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F17A7" w:rsidRPr="006F17A7" w:rsidRDefault="006F17A7" w:rsidP="006F17A7">
      <w:pPr>
        <w:rPr>
          <w:b/>
        </w:rPr>
      </w:pPr>
      <w:r w:rsidRPr="006F17A7">
        <w:rPr>
          <w:b/>
        </w:rPr>
        <w:t xml:space="preserve"> </w:t>
      </w:r>
      <w:r w:rsidRPr="006F17A7">
        <w:rPr>
          <w:b/>
        </w:rPr>
        <w:t xml:space="preserve">Directive 2010/99 </w:t>
      </w:r>
      <w:bookmarkStart w:id="0" w:name="_GoBack"/>
      <w:bookmarkEnd w:id="0"/>
      <w:r w:rsidRPr="006F17A7">
        <w:rPr>
          <w:b/>
        </w:rPr>
        <w:t>provides that, where ovens are used in commercial kitchens, they should conform to the detailed technical specifications laid down in the Directive and that staff who use such ovens should be given written details of the dangers associated with their use.</w:t>
      </w:r>
    </w:p>
    <w:p w:rsidR="006F17A7" w:rsidRPr="006F17A7" w:rsidRDefault="006F17A7" w:rsidP="006F17A7">
      <w:pPr>
        <w:rPr>
          <w:b/>
        </w:rPr>
      </w:pPr>
      <w:r w:rsidRPr="006F17A7">
        <w:rPr>
          <w:b/>
        </w:rPr>
        <w:t xml:space="preserve">John and his wife </w:t>
      </w:r>
      <w:proofErr w:type="spellStart"/>
      <w:r w:rsidRPr="006F17A7">
        <w:rPr>
          <w:b/>
        </w:rPr>
        <w:t>Kamlesh</w:t>
      </w:r>
      <w:proofErr w:type="spellEnd"/>
      <w:r w:rsidRPr="006F17A7">
        <w:rPr>
          <w:b/>
        </w:rPr>
        <w:t xml:space="preserve"> are both professional chefs in the United Kingdom. John works in the canteen of the local council, while </w:t>
      </w:r>
      <w:proofErr w:type="spellStart"/>
      <w:r w:rsidRPr="006F17A7">
        <w:rPr>
          <w:b/>
        </w:rPr>
        <w:t>Kamlesh</w:t>
      </w:r>
      <w:proofErr w:type="spellEnd"/>
      <w:r w:rsidRPr="006F17A7">
        <w:rPr>
          <w:b/>
        </w:rPr>
        <w:t xml:space="preserve"> works in the restaurant of an exclusive country house hotel. Both have suffered from burns caused by gas ovens in the kitchens at work. </w:t>
      </w:r>
      <w:proofErr w:type="spellStart"/>
      <w:r w:rsidRPr="006F17A7">
        <w:rPr>
          <w:b/>
        </w:rPr>
        <w:t>Kamlesh</w:t>
      </w:r>
      <w:proofErr w:type="spellEnd"/>
      <w:r w:rsidRPr="006F17A7">
        <w:rPr>
          <w:b/>
        </w:rPr>
        <w:t xml:space="preserve"> has been unable to work for eight weeks as a result of serious burns to her hands and arms. She believes that these were caused by the failure of an oven in the restaurant kitchen to comply with specifications as to temperature controls laid down in the Directive. John has had to purchase expensive lotions to apply to burns he has suffered on his face because the oven in the canteen had a tendency to overheat. He had received no written warning of this risk, although his boss had mentioned that the oven was temperamental.</w:t>
      </w:r>
    </w:p>
    <w:p w:rsidR="006F17A7" w:rsidRPr="006F17A7" w:rsidRDefault="006F17A7" w:rsidP="006F17A7">
      <w:pPr>
        <w:rPr>
          <w:b/>
        </w:rPr>
      </w:pPr>
      <w:r w:rsidRPr="006F17A7">
        <w:rPr>
          <w:b/>
        </w:rPr>
        <w:t xml:space="preserve">None of the gas ovens at the local council canteen or the country house hotel complies with the specifications laid down in the Directive and the burns would not have happened had the ovens complied with the specifications in the Directive. Neither John nor </w:t>
      </w:r>
      <w:proofErr w:type="spellStart"/>
      <w:r w:rsidRPr="006F17A7">
        <w:rPr>
          <w:b/>
        </w:rPr>
        <w:t>Kamlesh</w:t>
      </w:r>
      <w:proofErr w:type="spellEnd"/>
      <w:r w:rsidRPr="006F17A7">
        <w:rPr>
          <w:b/>
        </w:rPr>
        <w:t xml:space="preserve"> were given any written details of the dangers. Both employers point out that under the (fictitious) Catering Act 1994 (‘the Act’) ovens used in commercial kitchens are subject to legal regulation. In relation to such ovens, the Act itself requires that either a written or oral warning of the dangers of their use be given to staff using them.</w:t>
      </w:r>
    </w:p>
    <w:p w:rsidR="006F17A7" w:rsidRPr="006F17A7" w:rsidRDefault="006F17A7" w:rsidP="006F17A7">
      <w:pPr>
        <w:rPr>
          <w:b/>
        </w:rPr>
      </w:pPr>
      <w:r w:rsidRPr="006F17A7">
        <w:rPr>
          <w:b/>
        </w:rPr>
        <w:t xml:space="preserve">The Catering (Technical Requirements) Regulations 2014, made under the Act, lay down a series of rules applying to ovens in commercial kitchens, but the rules on temperature controls do not cover all the points in the directive. In particular, the directive required a visible and audible warning when the operating temperature was exceeded by more than 10% while the regulations require such a warning ‘when danger was likely to be caused’. The warning device on the oven which </w:t>
      </w:r>
      <w:proofErr w:type="spellStart"/>
      <w:r w:rsidRPr="006F17A7">
        <w:rPr>
          <w:b/>
        </w:rPr>
        <w:t>Kamlesh</w:t>
      </w:r>
      <w:proofErr w:type="spellEnd"/>
      <w:r w:rsidRPr="006F17A7">
        <w:rPr>
          <w:b/>
        </w:rPr>
        <w:t xml:space="preserve"> complains of was triggered only when the operating temperature was exceeded by 30%.</w:t>
      </w:r>
    </w:p>
    <w:p w:rsidR="006F17A7" w:rsidRPr="006F17A7" w:rsidRDefault="006F17A7" w:rsidP="006F17A7">
      <w:pPr>
        <w:rPr>
          <w:b/>
        </w:rPr>
      </w:pPr>
      <w:r w:rsidRPr="006F17A7">
        <w:rPr>
          <w:b/>
        </w:rPr>
        <w:t xml:space="preserve">Advise John and </w:t>
      </w:r>
      <w:proofErr w:type="spellStart"/>
      <w:r w:rsidRPr="006F17A7">
        <w:rPr>
          <w:b/>
        </w:rPr>
        <w:t>Kamlesh</w:t>
      </w:r>
      <w:proofErr w:type="spellEnd"/>
      <w:r w:rsidRPr="006F17A7">
        <w:rPr>
          <w:b/>
        </w:rPr>
        <w:t xml:space="preserve"> as to their rights under EU law.</w:t>
      </w:r>
    </w:p>
    <w:p w:rsidR="00C5698C" w:rsidRPr="006F17A7" w:rsidRDefault="006F17A7" w:rsidP="006F17A7">
      <w:pPr>
        <w:rPr>
          <w:b/>
        </w:rPr>
      </w:pPr>
      <w:r w:rsidRPr="006F17A7">
        <w:rPr>
          <w:b/>
        </w:rPr>
        <w:t>Note: This question does not require any discussion of Member State non-contractual liability.</w:t>
      </w:r>
    </w:p>
    <w:p w:rsidR="006F17A7" w:rsidRDefault="006F17A7" w:rsidP="006F17A7"/>
    <w:p w:rsidR="006F17A7" w:rsidRDefault="006F17A7" w:rsidP="006F17A7">
      <w:pPr>
        <w:pStyle w:val="Default"/>
        <w:rPr>
          <w:sz w:val="22"/>
          <w:szCs w:val="22"/>
        </w:rPr>
      </w:pPr>
      <w:r>
        <w:rPr>
          <w:sz w:val="22"/>
          <w:szCs w:val="22"/>
        </w:rPr>
        <w:t xml:space="preserve">This question concerns the direct and indirect effect of EU legal instruments, in particular, directives. The only instruments whose applicability and effect is specifically discussed in the treaties are regulations, which are explicitly both directly applicable and directly effective. The Court of Justice has progressively established the position in regard to other instruments. Initially in Van </w:t>
      </w:r>
      <w:proofErr w:type="spellStart"/>
      <w:r>
        <w:rPr>
          <w:sz w:val="22"/>
          <w:szCs w:val="22"/>
        </w:rPr>
        <w:t>Gend</w:t>
      </w:r>
      <w:proofErr w:type="spellEnd"/>
      <w:r>
        <w:rPr>
          <w:sz w:val="22"/>
          <w:szCs w:val="22"/>
        </w:rPr>
        <w:t xml:space="preserve"> </w:t>
      </w:r>
      <w:proofErr w:type="spellStart"/>
      <w:r>
        <w:rPr>
          <w:sz w:val="22"/>
          <w:szCs w:val="22"/>
        </w:rPr>
        <w:t>en</w:t>
      </w:r>
      <w:proofErr w:type="spellEnd"/>
      <w:r>
        <w:rPr>
          <w:sz w:val="22"/>
          <w:szCs w:val="22"/>
        </w:rPr>
        <w:t xml:space="preserve"> Loos (1962) it held that treaty provisions which were clear precise and unconditional (CPU) could have direct effect on the basis that the EU had created a new legal order and natural and legal persons were subjects and beneficiaries of that order; direct effect was the natural corollary of that principle. In Van </w:t>
      </w:r>
      <w:proofErr w:type="spellStart"/>
      <w:r>
        <w:rPr>
          <w:sz w:val="22"/>
          <w:szCs w:val="22"/>
        </w:rPr>
        <w:t>Duyn</w:t>
      </w:r>
      <w:proofErr w:type="spellEnd"/>
      <w:r>
        <w:rPr>
          <w:sz w:val="22"/>
          <w:szCs w:val="22"/>
        </w:rPr>
        <w:t xml:space="preserve"> (1974) this principle was extended to directives, but only in the context of vertical effect against the state. Marshall (1986) confirmed that a directive could have vertical but not horizontal direct effect. In addition to being CPU, a directive must also have passed its transposition date: </w:t>
      </w:r>
      <w:proofErr w:type="spellStart"/>
      <w:r>
        <w:rPr>
          <w:sz w:val="22"/>
          <w:szCs w:val="22"/>
        </w:rPr>
        <w:t>Tullio</w:t>
      </w:r>
      <w:proofErr w:type="spellEnd"/>
      <w:r>
        <w:rPr>
          <w:sz w:val="22"/>
          <w:szCs w:val="22"/>
        </w:rPr>
        <w:t xml:space="preserve"> </w:t>
      </w:r>
      <w:proofErr w:type="spellStart"/>
      <w:r>
        <w:rPr>
          <w:sz w:val="22"/>
          <w:szCs w:val="22"/>
        </w:rPr>
        <w:t>Ratti</w:t>
      </w:r>
      <w:proofErr w:type="spellEnd"/>
      <w:r>
        <w:rPr>
          <w:sz w:val="22"/>
          <w:szCs w:val="22"/>
        </w:rPr>
        <w:t xml:space="preserve"> (1979). </w:t>
      </w:r>
    </w:p>
    <w:p w:rsidR="006F17A7" w:rsidRDefault="006F17A7" w:rsidP="006F17A7">
      <w:pPr>
        <w:pStyle w:val="Default"/>
        <w:rPr>
          <w:sz w:val="22"/>
          <w:szCs w:val="22"/>
        </w:rPr>
      </w:pPr>
      <w:r>
        <w:rPr>
          <w:sz w:val="22"/>
          <w:szCs w:val="22"/>
        </w:rPr>
        <w:t xml:space="preserve">For these purposes the state includes its emanations. In Foster (1990) an emanation was described as ‘a body, whatever its legal form, which has been made responsible, pursuant to a measure adopted by the State, for providing a </w:t>
      </w:r>
      <w:r>
        <w:rPr>
          <w:sz w:val="22"/>
          <w:szCs w:val="22"/>
        </w:rPr>
        <w:lastRenderedPageBreak/>
        <w:t xml:space="preserve">public service under the control of the State, and has for that purpose special powers beyond those which result from the normal rules applicable in relations between individuals’. </w:t>
      </w:r>
    </w:p>
    <w:p w:rsidR="006F17A7" w:rsidRDefault="006F17A7" w:rsidP="006F17A7">
      <w:pPr>
        <w:pStyle w:val="Default"/>
        <w:rPr>
          <w:sz w:val="22"/>
          <w:szCs w:val="22"/>
        </w:rPr>
      </w:pPr>
      <w:r>
        <w:rPr>
          <w:sz w:val="22"/>
          <w:szCs w:val="22"/>
        </w:rPr>
        <w:t xml:space="preserve">Where the above conditions are not met, in particular in relation to the deployment of directives horizontally, there is an alternative principle of indirect effect. This is in effect an interpretive obligation imposed on the courts as emanations of the state which requires them to interpret national legislation so as to be consistent with relevant EU law, including directives, so far as possible. This obligation in turn derives from the obligation in Art 4.3 TEU on the member states to ‘take any appropriate measure … to ensure fulfilment of the obligations… resulting from the acts of the institutions of the Union’. This principle originated in the von Colson (1984) case which did not concern the substantive provisions of the directive but rather the mechanism for enforcement of obligations. In </w:t>
      </w:r>
      <w:proofErr w:type="spellStart"/>
      <w:r>
        <w:rPr>
          <w:sz w:val="22"/>
          <w:szCs w:val="22"/>
        </w:rPr>
        <w:t>Marleasing</w:t>
      </w:r>
      <w:proofErr w:type="spellEnd"/>
      <w:r>
        <w:rPr>
          <w:sz w:val="22"/>
          <w:szCs w:val="22"/>
        </w:rPr>
        <w:t xml:space="preserve"> (1989) the obligation was extended so that it applied across the board to all national legislation of whatever date. There is a limitation, in that the relevant interpretation must be ‘possible’. The approach taken by the English courts is that Parliament is assumed to legislate consistently with its obligations under EU law and if it transpires that a particular passage in legislation does not achieve this objective it can to some extent be read down so as to achieve consistency. This approach goes well beyond the standard semantic statutory interpretation techniques usually used by the courts: </w:t>
      </w:r>
      <w:proofErr w:type="spellStart"/>
      <w:r>
        <w:rPr>
          <w:sz w:val="22"/>
          <w:szCs w:val="22"/>
        </w:rPr>
        <w:t>Pickstone</w:t>
      </w:r>
      <w:proofErr w:type="spellEnd"/>
      <w:r>
        <w:rPr>
          <w:sz w:val="22"/>
          <w:szCs w:val="22"/>
        </w:rPr>
        <w:t xml:space="preserve"> (1989); Litster (1990) compare the ECHR cases such as </w:t>
      </w:r>
      <w:proofErr w:type="spellStart"/>
      <w:r>
        <w:rPr>
          <w:sz w:val="22"/>
          <w:szCs w:val="22"/>
        </w:rPr>
        <w:t>Ghaidan</w:t>
      </w:r>
      <w:proofErr w:type="spellEnd"/>
      <w:r>
        <w:rPr>
          <w:sz w:val="22"/>
          <w:szCs w:val="22"/>
        </w:rPr>
        <w:t xml:space="preserve"> (2004). </w:t>
      </w:r>
    </w:p>
    <w:p w:rsidR="006F17A7" w:rsidRDefault="006F17A7" w:rsidP="006F17A7">
      <w:pPr>
        <w:pStyle w:val="Default"/>
        <w:rPr>
          <w:sz w:val="16"/>
          <w:szCs w:val="16"/>
        </w:rPr>
      </w:pPr>
      <w:r>
        <w:rPr>
          <w:sz w:val="22"/>
          <w:szCs w:val="22"/>
        </w:rPr>
        <w:t xml:space="preserve">Applying the law to the facts given, we can advise John and </w:t>
      </w:r>
      <w:proofErr w:type="spellStart"/>
      <w:r>
        <w:rPr>
          <w:sz w:val="22"/>
          <w:szCs w:val="22"/>
        </w:rPr>
        <w:t>Kamlesh</w:t>
      </w:r>
      <w:proofErr w:type="spellEnd"/>
      <w:r>
        <w:rPr>
          <w:sz w:val="22"/>
          <w:szCs w:val="22"/>
        </w:rPr>
        <w:t xml:space="preserve"> as follows: </w:t>
      </w:r>
      <w:r>
        <w:rPr>
          <w:i/>
          <w:iCs/>
          <w:sz w:val="16"/>
          <w:szCs w:val="16"/>
        </w:rPr>
        <w:t xml:space="preserve">Page 10 of 13 </w:t>
      </w:r>
    </w:p>
    <w:p w:rsidR="006F17A7" w:rsidRDefault="006F17A7" w:rsidP="006F17A7">
      <w:pPr>
        <w:pStyle w:val="Default"/>
        <w:rPr>
          <w:rFonts w:cstheme="minorBidi"/>
          <w:color w:val="auto"/>
        </w:rPr>
      </w:pPr>
    </w:p>
    <w:p w:rsidR="006F17A7" w:rsidRDefault="006F17A7" w:rsidP="006F17A7">
      <w:pPr>
        <w:pStyle w:val="Default"/>
        <w:pageBreakBefore/>
        <w:rPr>
          <w:rFonts w:cstheme="minorBidi"/>
          <w:color w:val="auto"/>
          <w:sz w:val="22"/>
          <w:szCs w:val="22"/>
        </w:rPr>
      </w:pPr>
      <w:r>
        <w:rPr>
          <w:rFonts w:cstheme="minorBidi"/>
          <w:color w:val="auto"/>
          <w:sz w:val="22"/>
          <w:szCs w:val="22"/>
        </w:rPr>
        <w:lastRenderedPageBreak/>
        <w:t xml:space="preserve">John is employed by a local authority which is clearly an emanation of the state. He may therefore be able to rely on the vertical direct effect of the directive assuming it is CPU and the transposition date has passed. In his case, the relevant provision of the directive requires him to be given written warnings which he has not received. Assuming he can prove causation, he should be able to rely on the directive itself in order to obtain compensation. </w:t>
      </w:r>
    </w:p>
    <w:p w:rsidR="006F17A7" w:rsidRDefault="006F17A7" w:rsidP="006F17A7">
      <w:r>
        <w:t xml:space="preserve">Clearly </w:t>
      </w:r>
      <w:proofErr w:type="spellStart"/>
      <w:r>
        <w:t>Kamlesh</w:t>
      </w:r>
      <w:proofErr w:type="spellEnd"/>
      <w:r>
        <w:t xml:space="preserve"> is not employed by an emanation of the state. She therefore cannot rely on the direct effect of the directive. She may however be able to rely on the indirect effect in the form of the interpretive obligation. So far as she is concerned, she wishes to rely on the fact that the UK regulations do not appear fully to implement the requirements in the directive. The presumption is that Parliament did intend UK legislation to be compatible and that the minister used his powers of delegated legislation accordingly. There is therefore a strong interpretive obligation. It is at least arguable that the directive provides guidance as to what is required to ensure that a warning is provided ‘when danger is likely to be caused’. This would not be inconsistent with the scheme of the legislation, would not involve inserting substantial additional provisions and would not involve consideration of matters which go beyond the legitimate role of the court in interpreting legislation.</w:t>
      </w:r>
    </w:p>
    <w:p w:rsidR="006F17A7" w:rsidRDefault="006F17A7" w:rsidP="006F17A7"/>
    <w:sectPr w:rsidR="006F17A7">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17A7" w:rsidRDefault="006F17A7" w:rsidP="006F17A7">
      <w:pPr>
        <w:spacing w:after="0" w:line="240" w:lineRule="auto"/>
      </w:pPr>
      <w:r>
        <w:separator/>
      </w:r>
    </w:p>
  </w:endnote>
  <w:endnote w:type="continuationSeparator" w:id="0">
    <w:p w:rsidR="006F17A7" w:rsidRDefault="006F17A7" w:rsidP="006F1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17A7" w:rsidRDefault="006F17A7" w:rsidP="006F17A7">
      <w:pPr>
        <w:spacing w:after="0" w:line="240" w:lineRule="auto"/>
      </w:pPr>
      <w:r>
        <w:separator/>
      </w:r>
    </w:p>
  </w:footnote>
  <w:footnote w:type="continuationSeparator" w:id="0">
    <w:p w:rsidR="006F17A7" w:rsidRDefault="006F17A7" w:rsidP="006F17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17A7" w:rsidRDefault="006F17A7">
    <w:pPr>
      <w:pStyle w:val="Header"/>
    </w:pPr>
    <w:r>
      <w:t>REVISION: DIRECT EFFECT PROBLEM QUESTION FOR SESSION ON 21/11/17</w:t>
    </w:r>
  </w:p>
  <w:p w:rsidR="006F17A7" w:rsidRDefault="006F17A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7A7"/>
    <w:rsid w:val="006F17A7"/>
    <w:rsid w:val="00BC3D49"/>
    <w:rsid w:val="00C569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F4E78"/>
  <w15:chartTrackingRefBased/>
  <w15:docId w15:val="{9A324DD3-A15B-4BAA-B54B-800990677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F17A7"/>
    <w:pPr>
      <w:autoSpaceDE w:val="0"/>
      <w:autoSpaceDN w:val="0"/>
      <w:adjustRightInd w:val="0"/>
      <w:spacing w:after="0" w:line="240" w:lineRule="auto"/>
    </w:pPr>
    <w:rPr>
      <w:rFonts w:ascii="Verdana" w:hAnsi="Verdana" w:cs="Verdana"/>
      <w:color w:val="000000"/>
      <w:sz w:val="24"/>
      <w:szCs w:val="24"/>
    </w:rPr>
  </w:style>
  <w:style w:type="paragraph" w:styleId="Header">
    <w:name w:val="header"/>
    <w:basedOn w:val="Normal"/>
    <w:link w:val="HeaderChar"/>
    <w:uiPriority w:val="99"/>
    <w:unhideWhenUsed/>
    <w:rsid w:val="006F17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17A7"/>
  </w:style>
  <w:style w:type="paragraph" w:styleId="Footer">
    <w:name w:val="footer"/>
    <w:basedOn w:val="Normal"/>
    <w:link w:val="FooterChar"/>
    <w:uiPriority w:val="99"/>
    <w:unhideWhenUsed/>
    <w:rsid w:val="006F17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17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1033</Words>
  <Characters>5894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Knight</dc:creator>
  <cp:keywords/>
  <dc:description/>
  <cp:lastModifiedBy>Laura Knight</cp:lastModifiedBy>
  <cp:revision>2</cp:revision>
  <dcterms:created xsi:type="dcterms:W3CDTF">2017-10-26T17:56:00Z</dcterms:created>
  <dcterms:modified xsi:type="dcterms:W3CDTF">2017-10-26T18:00:00Z</dcterms:modified>
</cp:coreProperties>
</file>