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10.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nts/font9.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FAD0221">
      <w:pPr>
        <w:jc w:val="center"/>
        <w:rPr>
          <w:b/>
          <w:bCs/>
          <w:color w:val="000000" w:themeColor="text1"/>
          <w:sz w:val="32"/>
          <w:szCs w:val="32"/>
          <w14:textFill>
            <w14:solidFill>
              <w14:schemeClr w14:val="tx1"/>
            </w14:solidFill>
          </w14:textFill>
        </w:rPr>
      </w:pPr>
      <w:r>
        <w:rPr>
          <w:color w:val="000000" w:themeColor="text1"/>
          <w14:textFill>
            <w14:solidFill>
              <w14:schemeClr w14:val="tx1"/>
            </w14:solidFill>
          </w14:textFill>
        </w:rPr>
        <w:drawing>
          <wp:inline distT="0" distB="0" distL="0" distR="0">
            <wp:extent cx="5734050" cy="126428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7"/>
                    <a:srcRect b="49530"/>
                    <a:stretch>
                      <a:fillRect/>
                    </a:stretch>
                  </pic:blipFill>
                  <pic:spPr>
                    <a:xfrm>
                      <a:off x="0" y="0"/>
                      <a:ext cx="5734050" cy="1264307"/>
                    </a:xfrm>
                    <a:prstGeom prst="rect">
                      <a:avLst/>
                    </a:prstGeom>
                  </pic:spPr>
                </pic:pic>
              </a:graphicData>
            </a:graphic>
          </wp:inline>
        </w:drawing>
      </w:r>
    </w:p>
    <w:p w14:paraId="3842D8E6">
      <w:pPr>
        <w:spacing w:after="200"/>
        <w:rPr>
          <w:b/>
          <w:bCs/>
          <w:color w:val="000000" w:themeColor="text1"/>
          <w:sz w:val="32"/>
          <w:szCs w:val="32"/>
          <w14:textFill>
            <w14:solidFill>
              <w14:schemeClr w14:val="tx1"/>
            </w14:solidFill>
          </w14:textFill>
        </w:rPr>
      </w:pPr>
    </w:p>
    <w:p w14:paraId="3B377DBC">
      <w:pPr>
        <w:spacing w:after="200"/>
        <w:jc w:val="center"/>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MASTER OF BUSINESS ADMINISTRATION</w:t>
      </w:r>
    </w:p>
    <w:p w14:paraId="5ADF75A7">
      <w:pPr>
        <w:spacing w:after="200"/>
        <w:jc w:val="center"/>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LCMB7035 - DISSERTATION</w:t>
      </w:r>
    </w:p>
    <w:p w14:paraId="49B17823">
      <w:pPr>
        <w:spacing w:after="200"/>
        <w:jc w:val="center"/>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NAME - PARTH BHINGRADIYA</w:t>
      </w:r>
    </w:p>
    <w:p w14:paraId="1F1F3D5C">
      <w:pPr>
        <w:spacing w:after="200"/>
        <w:jc w:val="center"/>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STUDENT ID - 2505862</w:t>
      </w:r>
    </w:p>
    <w:p w14:paraId="385AA2D8">
      <w:pPr>
        <w:spacing w:after="200"/>
        <w:jc w:val="center"/>
        <w:rPr>
          <w:b/>
          <w:bCs/>
          <w:color w:val="000000" w:themeColor="text1"/>
          <w:sz w:val="32"/>
          <w:szCs w:val="32"/>
          <w:highlight w:val="none"/>
          <w14:textFill>
            <w14:solidFill>
              <w14:schemeClr w14:val="tx1"/>
            </w14:solidFill>
          </w14:textFill>
        </w:rPr>
      </w:pPr>
      <w:r>
        <w:rPr>
          <w:b/>
          <w:bCs/>
          <w:color w:val="000000" w:themeColor="text1"/>
          <w:sz w:val="32"/>
          <w:szCs w:val="32"/>
          <w14:textFill>
            <w14:solidFill>
              <w14:schemeClr w14:val="tx1"/>
            </w14:solidFill>
          </w14:textFill>
        </w:rPr>
        <w:t>DISSERTATIO</w:t>
      </w:r>
      <w:bookmarkStart w:id="8" w:name="_GoBack"/>
      <w:r>
        <w:rPr>
          <w:b/>
          <w:bCs/>
          <w:color w:val="000000" w:themeColor="text1"/>
          <w:sz w:val="32"/>
          <w:szCs w:val="32"/>
          <w:highlight w:val="none"/>
          <w14:textFill>
            <w14:solidFill>
              <w14:schemeClr w14:val="tx1"/>
            </w14:solidFill>
          </w14:textFill>
        </w:rPr>
        <w:t>N PROPOSAL</w:t>
      </w:r>
    </w:p>
    <w:p w14:paraId="0961E905">
      <w:pPr>
        <w:spacing w:after="200"/>
        <w:jc w:val="center"/>
        <w:rPr>
          <w:rFonts w:hint="default"/>
          <w:b/>
          <w:bCs/>
          <w:color w:val="000000" w:themeColor="text1"/>
          <w:sz w:val="32"/>
          <w:szCs w:val="32"/>
          <w:lang w:val="en-IN"/>
          <w14:textFill>
            <w14:solidFill>
              <w14:schemeClr w14:val="tx1"/>
            </w14:solidFill>
          </w14:textFill>
        </w:rPr>
      </w:pPr>
      <w:r>
        <w:rPr>
          <w:b/>
          <w:bCs/>
          <w:color w:val="000000" w:themeColor="text1"/>
          <w:sz w:val="32"/>
          <w:szCs w:val="32"/>
          <w:highlight w:val="none"/>
          <w14:textFill>
            <w14:solidFill>
              <w14:schemeClr w14:val="tx1"/>
            </w14:solidFill>
          </w14:textFill>
        </w:rPr>
        <w:t>SUPERVISOR’S NAME:</w:t>
      </w:r>
      <w:r>
        <w:rPr>
          <w:rFonts w:hint="default"/>
          <w:b/>
          <w:bCs/>
          <w:color w:val="000000" w:themeColor="text1"/>
          <w:sz w:val="32"/>
          <w:szCs w:val="32"/>
          <w:highlight w:val="none"/>
          <w:lang w:val="en-IN"/>
          <w14:textFill>
            <w14:solidFill>
              <w14:schemeClr w14:val="tx1"/>
            </w14:solidFill>
          </w14:textFill>
        </w:rPr>
        <w:t xml:space="preserve"> SHENGFENG MEI</w:t>
      </w:r>
      <w:bookmarkEnd w:id="8"/>
    </w:p>
    <w:p w14:paraId="082600EE">
      <w:pPr>
        <w:jc w:val="center"/>
        <w:rPr>
          <w:b/>
          <w:bCs/>
          <w:color w:val="000000" w:themeColor="text1"/>
          <w:sz w:val="32"/>
          <w:szCs w:val="32"/>
          <w14:textFill>
            <w14:solidFill>
              <w14:schemeClr w14:val="tx1"/>
            </w14:solidFill>
          </w14:textFill>
        </w:rPr>
      </w:pPr>
    </w:p>
    <w:p w14:paraId="34FE5060">
      <w:pPr>
        <w:jc w:val="center"/>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INVESTIGATING WAYS IN WHICH LEGITIMATE LUXURY FASHION MANUFACTURERS ARE USING EMERGING TECHNOLOGIES TO SECURE THEIR EXPORT PROCESSES AGAINST IMITATION</w:t>
      </w:r>
      <w:r>
        <w:rPr>
          <w:color w:val="000000" w:themeColor="text1"/>
          <w14:textFill>
            <w14:solidFill>
              <w14:schemeClr w14:val="tx1"/>
            </w14:solidFill>
          </w14:textFill>
        </w:rPr>
        <w:br w:type="page"/>
      </w:r>
    </w:p>
    <w:p w14:paraId="1B5E4945">
      <w:pPr>
        <w:keepNext/>
        <w:keepLines/>
        <w:pBdr>
          <w:top w:val="none" w:color="auto" w:sz="0" w:space="0"/>
          <w:left w:val="none" w:color="auto" w:sz="0" w:space="0"/>
          <w:bottom w:val="none" w:color="auto" w:sz="0" w:space="0"/>
          <w:right w:val="none" w:color="auto" w:sz="0" w:space="0"/>
          <w:between w:val="none" w:color="auto" w:sz="0" w:space="0"/>
        </w:pBdr>
        <w:spacing w:before="240" w:after="0"/>
        <w:jc w:val="center"/>
        <w:rPr>
          <w:b/>
          <w:bCs/>
          <w:color w:val="000000" w:themeColor="text1"/>
          <w14:textFill>
            <w14:solidFill>
              <w14:schemeClr w14:val="tx1"/>
            </w14:solidFill>
          </w14:textFill>
        </w:rPr>
      </w:pPr>
      <w:r>
        <w:rPr>
          <w:b/>
          <w:bCs/>
          <w:color w:val="000000" w:themeColor="text1"/>
          <w14:textFill>
            <w14:solidFill>
              <w14:schemeClr w14:val="tx1"/>
            </w14:solidFill>
          </w14:textFill>
        </w:rPr>
        <w:t>Table of Contents</w:t>
      </w:r>
    </w:p>
    <w:p w14:paraId="662DD931">
      <w:pPr>
        <w:keepNext/>
        <w:keepLines/>
        <w:pBdr>
          <w:top w:val="none" w:color="auto" w:sz="0" w:space="0"/>
          <w:left w:val="none" w:color="auto" w:sz="0" w:space="0"/>
          <w:bottom w:val="none" w:color="auto" w:sz="0" w:space="0"/>
          <w:right w:val="none" w:color="auto" w:sz="0" w:space="0"/>
          <w:between w:val="none" w:color="auto" w:sz="0" w:space="0"/>
        </w:pBdr>
        <w:spacing w:before="240" w:after="0"/>
        <w:jc w:val="center"/>
        <w:rPr>
          <w:b/>
          <w:bCs/>
          <w:color w:val="000000" w:themeColor="text1"/>
          <w14:textFill>
            <w14:solidFill>
              <w14:schemeClr w14:val="tx1"/>
            </w14:solidFill>
          </w14:textFill>
        </w:rPr>
      </w:pPr>
    </w:p>
    <w:sdt>
      <w:sdtPr>
        <w:rPr>
          <w:color w:val="000000" w:themeColor="text1"/>
          <w14:textFill>
            <w14:solidFill>
              <w14:schemeClr w14:val="tx1"/>
            </w14:solidFill>
          </w14:textFill>
        </w:rPr>
        <w:id w:val="616439366"/>
        <w:docPartObj>
          <w:docPartGallery w:val="Table of Contents"/>
          <w:docPartUnique/>
        </w:docPartObj>
      </w:sdtPr>
      <w:sdtEndPr>
        <w:rPr>
          <w:color w:val="000000" w:themeColor="text1"/>
          <w14:textFill>
            <w14:solidFill>
              <w14:schemeClr w14:val="tx1"/>
            </w14:solidFill>
          </w14:textFill>
        </w:rPr>
      </w:sdtEndPr>
      <w:sdtContent>
        <w:p w14:paraId="50E26DAD">
          <w:pPr>
            <w:pStyle w:val="13"/>
            <w:tabs>
              <w:tab w:val="right" w:leader="dot" w:pos="9016"/>
            </w:tabs>
            <w:rPr>
              <w:rFonts w:asciiTheme="minorHAnsi" w:hAnsiTheme="minorHAnsi" w:eastAsiaTheme="minorEastAsia" w:cstheme="minorBidi"/>
              <w:color w:val="000000" w:themeColor="text1"/>
              <w:sz w:val="22"/>
              <w:szCs w:val="22"/>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TOC \h \u \z \t "Heading 1,1,Heading 2,2,Heading 3,3,"</w:instrText>
          </w:r>
          <w:r>
            <w:rPr>
              <w:color w:val="000000" w:themeColor="text1"/>
              <w14:textFill>
                <w14:solidFill>
                  <w14:schemeClr w14:val="tx1"/>
                </w14:solidFill>
              </w14:textFill>
            </w:rPr>
            <w:fldChar w:fldCharType="separate"/>
          </w:r>
          <w:r>
            <w:fldChar w:fldCharType="begin"/>
          </w:r>
          <w:r>
            <w:instrText xml:space="preserve"> HYPERLINK \l "_Toc234961228" </w:instrText>
          </w:r>
          <w:r>
            <w:fldChar w:fldCharType="separate"/>
          </w:r>
          <w:r>
            <w:rPr>
              <w:rStyle w:val="10"/>
              <w:color w:val="000000" w:themeColor="text1"/>
              <w14:textFill>
                <w14:solidFill>
                  <w14:schemeClr w14:val="tx1"/>
                </w14:solidFill>
              </w14:textFill>
            </w:rPr>
            <w:t>1. 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_Toc234961228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19966B9A">
          <w:pPr>
            <w:pStyle w:val="13"/>
            <w:tabs>
              <w:tab w:val="right" w:leader="dot" w:pos="9016"/>
            </w:tabs>
            <w:rPr>
              <w:rFonts w:asciiTheme="minorHAnsi" w:hAnsiTheme="minorHAnsi" w:eastAsiaTheme="minorEastAsia" w:cstheme="minorBidi"/>
              <w:color w:val="000000" w:themeColor="text1"/>
              <w:sz w:val="22"/>
              <w:szCs w:val="22"/>
              <w14:textFill>
                <w14:solidFill>
                  <w14:schemeClr w14:val="tx1"/>
                </w14:solidFill>
              </w14:textFill>
            </w:rPr>
          </w:pPr>
          <w:r>
            <w:fldChar w:fldCharType="begin"/>
          </w:r>
          <w:r>
            <w:instrText xml:space="preserve"> HYPERLINK \l "_Toc234961229" </w:instrText>
          </w:r>
          <w:r>
            <w:fldChar w:fldCharType="separate"/>
          </w:r>
          <w:r>
            <w:rPr>
              <w:rStyle w:val="10"/>
              <w:color w:val="000000" w:themeColor="text1"/>
              <w14:textFill>
                <w14:solidFill>
                  <w14:schemeClr w14:val="tx1"/>
                </w14:solidFill>
              </w14:textFill>
            </w:rPr>
            <w:t>2. Literature Review</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_Toc234961229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3AAAC00C">
          <w:pPr>
            <w:pStyle w:val="13"/>
            <w:tabs>
              <w:tab w:val="right" w:leader="dot" w:pos="9016"/>
            </w:tabs>
            <w:rPr>
              <w:rFonts w:asciiTheme="minorHAnsi" w:hAnsiTheme="minorHAnsi" w:eastAsiaTheme="minorEastAsia" w:cstheme="minorBidi"/>
              <w:color w:val="000000" w:themeColor="text1"/>
              <w:sz w:val="22"/>
              <w:szCs w:val="22"/>
              <w14:textFill>
                <w14:solidFill>
                  <w14:schemeClr w14:val="tx1"/>
                </w14:solidFill>
              </w14:textFill>
            </w:rPr>
          </w:pPr>
          <w:r>
            <w:fldChar w:fldCharType="begin"/>
          </w:r>
          <w:r>
            <w:instrText xml:space="preserve"> HYPERLINK \l "_Toc234961230" </w:instrText>
          </w:r>
          <w:r>
            <w:fldChar w:fldCharType="separate"/>
          </w:r>
          <w:r>
            <w:rPr>
              <w:rStyle w:val="10"/>
              <w:color w:val="000000" w:themeColor="text1"/>
              <w14:textFill>
                <w14:solidFill>
                  <w14:schemeClr w14:val="tx1"/>
                </w14:solidFill>
              </w14:textFill>
            </w:rPr>
            <w:t>3. Methodology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_Toc234961230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439662AD">
          <w:pPr>
            <w:pStyle w:val="13"/>
            <w:tabs>
              <w:tab w:val="right" w:leader="dot" w:pos="9016"/>
            </w:tabs>
            <w:rPr>
              <w:rFonts w:asciiTheme="minorHAnsi" w:hAnsiTheme="minorHAnsi" w:eastAsiaTheme="minorEastAsia" w:cstheme="minorBidi"/>
              <w:color w:val="000000" w:themeColor="text1"/>
              <w:sz w:val="22"/>
              <w:szCs w:val="22"/>
              <w14:textFill>
                <w14:solidFill>
                  <w14:schemeClr w14:val="tx1"/>
                </w14:solidFill>
              </w14:textFill>
            </w:rPr>
          </w:pPr>
          <w:r>
            <w:fldChar w:fldCharType="begin"/>
          </w:r>
          <w:r>
            <w:instrText xml:space="preserve"> HYPERLINK \l "_Toc234961231" </w:instrText>
          </w:r>
          <w:r>
            <w:fldChar w:fldCharType="separate"/>
          </w:r>
          <w:r>
            <w:rPr>
              <w:rStyle w:val="10"/>
              <w:color w:val="000000" w:themeColor="text1"/>
              <w14:textFill>
                <w14:solidFill>
                  <w14:schemeClr w14:val="tx1"/>
                </w14:solidFill>
              </w14:textFill>
            </w:rPr>
            <w:t>4. Expected Findings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_Toc234961231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7B546A46">
          <w:pPr>
            <w:pStyle w:val="13"/>
            <w:tabs>
              <w:tab w:val="right" w:leader="dot" w:pos="9016"/>
            </w:tabs>
            <w:rPr>
              <w:rFonts w:asciiTheme="minorHAnsi" w:hAnsiTheme="minorHAnsi" w:eastAsiaTheme="minorEastAsia" w:cstheme="minorBidi"/>
              <w:color w:val="000000" w:themeColor="text1"/>
              <w:sz w:val="22"/>
              <w:szCs w:val="22"/>
              <w14:textFill>
                <w14:solidFill>
                  <w14:schemeClr w14:val="tx1"/>
                </w14:solidFill>
              </w14:textFill>
            </w:rPr>
          </w:pPr>
          <w:r>
            <w:fldChar w:fldCharType="begin"/>
          </w:r>
          <w:r>
            <w:instrText xml:space="preserve"> HYPERLINK \l "_Toc234961232" </w:instrText>
          </w:r>
          <w:r>
            <w:fldChar w:fldCharType="separate"/>
          </w:r>
          <w:r>
            <w:rPr>
              <w:rStyle w:val="10"/>
              <w:color w:val="000000" w:themeColor="text1"/>
              <w14:textFill>
                <w14:solidFill>
                  <w14:schemeClr w14:val="tx1"/>
                </w14:solidFill>
              </w14:textFill>
            </w:rPr>
            <w:t>5. Limitations and Ethics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_Toc234961232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707E010E">
          <w:pPr>
            <w:pStyle w:val="13"/>
            <w:tabs>
              <w:tab w:val="right" w:leader="dot" w:pos="9016"/>
            </w:tabs>
            <w:rPr>
              <w:rFonts w:asciiTheme="minorHAnsi" w:hAnsiTheme="minorHAnsi" w:eastAsiaTheme="minorEastAsia" w:cstheme="minorBidi"/>
              <w:color w:val="000000" w:themeColor="text1"/>
              <w:sz w:val="22"/>
              <w:szCs w:val="22"/>
              <w14:textFill>
                <w14:solidFill>
                  <w14:schemeClr w14:val="tx1"/>
                </w14:solidFill>
              </w14:textFill>
            </w:rPr>
          </w:pPr>
          <w:r>
            <w:fldChar w:fldCharType="begin"/>
          </w:r>
          <w:r>
            <w:instrText xml:space="preserve"> HYPERLINK \l "_Toc234961233" </w:instrText>
          </w:r>
          <w:r>
            <w:fldChar w:fldCharType="separate"/>
          </w:r>
          <w:r>
            <w:rPr>
              <w:rStyle w:val="10"/>
              <w:color w:val="000000" w:themeColor="text1"/>
              <w14:textFill>
                <w14:solidFill>
                  <w14:schemeClr w14:val="tx1"/>
                </w14:solidFill>
              </w14:textFill>
            </w:rPr>
            <w:t>6. Timeframe</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_Toc234961233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2CFB5938">
          <w:pPr>
            <w:pStyle w:val="13"/>
            <w:tabs>
              <w:tab w:val="right" w:leader="dot" w:pos="9016"/>
            </w:tabs>
            <w:rPr>
              <w:rFonts w:asciiTheme="minorHAnsi" w:hAnsiTheme="minorHAnsi" w:eastAsiaTheme="minorEastAsia" w:cstheme="minorBidi"/>
              <w:color w:val="000000" w:themeColor="text1"/>
              <w:sz w:val="22"/>
              <w:szCs w:val="22"/>
              <w14:textFill>
                <w14:solidFill>
                  <w14:schemeClr w14:val="tx1"/>
                </w14:solidFill>
              </w14:textFill>
            </w:rPr>
          </w:pPr>
          <w:r>
            <w:fldChar w:fldCharType="begin"/>
          </w:r>
          <w:r>
            <w:instrText xml:space="preserve"> HYPERLINK \l "_Toc234961234" </w:instrText>
          </w:r>
          <w:r>
            <w:fldChar w:fldCharType="separate"/>
          </w:r>
          <w:r>
            <w:rPr>
              <w:rStyle w:val="10"/>
              <w:color w:val="000000" w:themeColor="text1"/>
              <w14:textFill>
                <w14:solidFill>
                  <w14:schemeClr w14:val="tx1"/>
                </w14:solidFill>
              </w14:textFill>
            </w:rPr>
            <w:t>7. Conclusion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_Toc234961234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419A78CF">
          <w:pPr>
            <w:pStyle w:val="13"/>
            <w:tabs>
              <w:tab w:val="right" w:leader="dot" w:pos="9016"/>
            </w:tabs>
            <w:rPr>
              <w:rFonts w:asciiTheme="minorHAnsi" w:hAnsiTheme="minorHAnsi" w:eastAsiaTheme="minorEastAsia" w:cstheme="minorBidi"/>
              <w:color w:val="000000" w:themeColor="text1"/>
              <w:sz w:val="22"/>
              <w:szCs w:val="22"/>
              <w14:textFill>
                <w14:solidFill>
                  <w14:schemeClr w14:val="tx1"/>
                </w14:solidFill>
              </w14:textFill>
            </w:rPr>
          </w:pPr>
          <w:r>
            <w:fldChar w:fldCharType="begin"/>
          </w:r>
          <w:r>
            <w:instrText xml:space="preserve"> HYPERLINK \l "_Toc234961235" </w:instrText>
          </w:r>
          <w:r>
            <w:fldChar w:fldCharType="separate"/>
          </w:r>
          <w:r>
            <w:rPr>
              <w:rStyle w:val="10"/>
              <w:color w:val="000000" w:themeColor="text1"/>
              <w14:textFill>
                <w14:solidFill>
                  <w14:schemeClr w14:val="tx1"/>
                </w14:solidFill>
              </w14:textFill>
            </w:rPr>
            <w:t>References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_Toc234961235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3C2139FA">
          <w:pPr>
            <w:rPr>
              <w:color w:val="000000" w:themeColor="text1"/>
              <w14:textFill>
                <w14:solidFill>
                  <w14:schemeClr w14:val="tx1"/>
                </w14:solidFill>
              </w14:textFill>
            </w:rPr>
          </w:pPr>
          <w:r>
            <w:rPr>
              <w:color w:val="000000" w:themeColor="text1"/>
              <w14:textFill>
                <w14:solidFill>
                  <w14:schemeClr w14:val="tx1"/>
                </w14:solidFill>
              </w14:textFill>
            </w:rPr>
            <w:fldChar w:fldCharType="end"/>
          </w:r>
        </w:p>
      </w:sdtContent>
    </w:sdt>
    <w:p w14:paraId="61B9F8EB">
      <w:pPr>
        <w:jc w:val="center"/>
        <w:rPr>
          <w:b/>
          <w:bCs/>
          <w:color w:val="000000" w:themeColor="text1"/>
          <w:sz w:val="32"/>
          <w:szCs w:val="32"/>
          <w14:textFill>
            <w14:solidFill>
              <w14:schemeClr w14:val="tx1"/>
            </w14:solidFill>
          </w14:textFill>
        </w:rPr>
      </w:pPr>
    </w:p>
    <w:p w14:paraId="368F4C0D">
      <w:pPr>
        <w:jc w:val="left"/>
        <w:rPr>
          <w:b/>
          <w:bCs/>
          <w:color w:val="000000" w:themeColor="text1"/>
          <w14:textFill>
            <w14:solidFill>
              <w14:schemeClr w14:val="tx1"/>
            </w14:solidFill>
          </w14:textFill>
        </w:rPr>
      </w:pPr>
      <w:r>
        <w:rPr>
          <w:color w:val="000000" w:themeColor="text1"/>
          <w14:textFill>
            <w14:solidFill>
              <w14:schemeClr w14:val="tx1"/>
            </w14:solidFill>
          </w14:textFill>
        </w:rPr>
        <w:br w:type="page"/>
      </w:r>
    </w:p>
    <w:p w14:paraId="32657227">
      <w:pPr>
        <w:pStyle w:val="2"/>
        <w:rPr>
          <w:color w:val="000000" w:themeColor="text1"/>
          <w14:textFill>
            <w14:solidFill>
              <w14:schemeClr w14:val="tx1"/>
            </w14:solidFill>
          </w14:textFill>
        </w:rPr>
      </w:pPr>
      <w:bookmarkStart w:id="0" w:name="_Toc234961228"/>
      <w:r>
        <w:rPr>
          <w:color w:val="000000" w:themeColor="text1"/>
          <w14:textFill>
            <w14:solidFill>
              <w14:schemeClr w14:val="tx1"/>
            </w14:solidFill>
          </w14:textFill>
        </w:rPr>
        <w:t>1. Introduction</w:t>
      </w:r>
      <w:bookmarkEnd w:id="0"/>
    </w:p>
    <w:p w14:paraId="78D91D6D">
      <w:pPr>
        <w:rPr>
          <w:color w:val="000000" w:themeColor="text1"/>
          <w14:textFill>
            <w14:solidFill>
              <w14:schemeClr w14:val="tx1"/>
            </w14:solidFill>
          </w14:textFill>
        </w:rPr>
      </w:pPr>
      <w:r>
        <w:rPr>
          <w:color w:val="000000" w:themeColor="text1"/>
          <w14:textFill>
            <w14:solidFill>
              <w14:schemeClr w14:val="tx1"/>
            </w14:solidFill>
          </w14:textFill>
        </w:rPr>
        <w:t>Luxury fashion manufacturers must perform in a worldwide market exactly where brand worth relies on style, quality and limitedness and the power to shield genuine merchandise from imitation from the time they're relocated internationally. In particular, export processes are given special importance, as luxury fashion goods may be subject to several processes – from the manufacturing locations to logistics providers, customs, distributors, retailers or platforms for on-line resale. Imitation products, unauthorized diversion and counterfeit substitution at each step can affect a brand's reputation, the trust of its customers, and its legitimate revenue.</w:t>
      </w:r>
    </w:p>
    <w:p w14:paraId="3C4AE7F1">
      <w:pPr>
        <w:rPr>
          <w:color w:val="000000" w:themeColor="text1"/>
          <w14:textFill>
            <w14:solidFill>
              <w14:schemeClr w14:val="tx1"/>
            </w14:solidFill>
          </w14:textFill>
        </w:rPr>
      </w:pPr>
      <w:r>
        <w:rPr>
          <w:color w:val="000000" w:themeColor="text1"/>
          <w14:textFill>
            <w14:solidFill>
              <w14:schemeClr w14:val="tx1"/>
            </w14:solidFill>
          </w14:textFill>
        </w:rPr>
        <w:t>This problem is crucial due to its scale. According to the OECD and EUIPO, the total value of global trade in counterfeit goods amounted to approximately USD 467 billion in 2021 (Europa, 2025). This represents 2.3% of all global imports. In the EU, the estimated value of counterfeit trade was USD 117 billion, which was 4.7% of total EU imports. The clothing industry is part of the sector that is directly and heavily impacted. The loss of legitimate clothing sales in the EU between 2018 and 2021 was nearly EUR 12 billion (5.2% of all clothing sales). Approximately 160,000 fewer jobs were lost annually in the EU by 2021 due to counterfeiting (Europa, 2025). These are not just legal matters, but are legitimate business, export and the supply chain security concerns.</w:t>
      </w:r>
    </w:p>
    <w:p w14:paraId="20B0E072">
      <w:pPr>
        <w:rPr>
          <w:color w:val="000000" w:themeColor="text1"/>
          <w14:textFill>
            <w14:solidFill>
              <w14:schemeClr w14:val="tx1"/>
            </w14:solidFill>
          </w14:textFill>
        </w:rPr>
      </w:pPr>
      <w:r>
        <w:rPr>
          <w:color w:val="000000" w:themeColor="text1"/>
          <w14:textFill>
            <w14:solidFill>
              <w14:schemeClr w14:val="tx1"/>
            </w14:solidFill>
          </w14:textFill>
        </w:rPr>
        <w:t xml:space="preserve">There is an increasing discussion about the emerging technologies as possible solutions. Verifying product identity, tracking product movement and enhancing traceability in export supply chains could be enabled by blockchain, RFID, NFC, and AI, or by the tracking and use of digital product passports. Badhwar et al. (2023) indicated that blockchain shows great potential for application in the fashion and textile industry supply chain, due to its capabilities in traceability, transparency and authentication of products. Focusing is less on the fact that these technologies are specific ways in which legitimate luxury fashion manufacturers protect the export processes from imitation. The present study, therefore, critically analyses the role of emerging technologies by luxury fashion producers to protect the export process in a way that it does not bring any imitation phenomenon. </w:t>
      </w:r>
    </w:p>
    <w:p w14:paraId="3C9F2B5D">
      <w:pPr>
        <w:rPr>
          <w:b/>
          <w:bCs/>
          <w:i/>
          <w:iCs/>
          <w:color w:val="000000" w:themeColor="text1"/>
          <w14:textFill>
            <w14:solidFill>
              <w14:schemeClr w14:val="tx1"/>
            </w14:solidFill>
          </w14:textFill>
        </w:rPr>
      </w:pPr>
      <w:r>
        <w:rPr>
          <w:b/>
          <w:bCs/>
          <w:i/>
          <w:iCs/>
          <w:color w:val="000000" w:themeColor="text1"/>
          <w14:textFill>
            <w14:solidFill>
              <w14:schemeClr w14:val="tx1"/>
            </w14:solidFill>
          </w14:textFill>
        </w:rPr>
        <w:t xml:space="preserve">Research aim and objectives </w:t>
      </w:r>
    </w:p>
    <w:p w14:paraId="414F603C">
      <w:pPr>
        <w:rPr>
          <w:color w:val="000000" w:themeColor="text1"/>
          <w14:textFill>
            <w14:solidFill>
              <w14:schemeClr w14:val="tx1"/>
            </w14:solidFill>
          </w14:textFill>
        </w:rPr>
      </w:pPr>
      <w:r>
        <w:rPr>
          <w:color w:val="000000" w:themeColor="text1"/>
          <w14:textFill>
            <w14:solidFill>
              <w14:schemeClr w14:val="tx1"/>
            </w14:solidFill>
          </w14:textFill>
        </w:rPr>
        <w:t xml:space="preserve">Aim of this study is to consider issues of imitative risk involved with luxury fashion exports by identifying some emerging technologies that are most pertinent and analyze the connection of authentication and traceability and barriers to their use. </w:t>
      </w:r>
    </w:p>
    <w:p w14:paraId="1D2BA249">
      <w:pPr>
        <w:numPr>
          <w:ilvl w:val="0"/>
          <w:numId w:val="1"/>
        </w:numPr>
        <w:rPr>
          <w:color w:val="000000" w:themeColor="text1"/>
          <w14:textFill>
            <w14:solidFill>
              <w14:schemeClr w14:val="tx1"/>
            </w14:solidFill>
          </w14:textFill>
        </w:rPr>
      </w:pPr>
      <w:r>
        <w:rPr>
          <w:color w:val="000000" w:themeColor="text1"/>
          <w14:textFill>
            <w14:solidFill>
              <w14:schemeClr w14:val="tx1"/>
            </w14:solidFill>
          </w14:textFill>
        </w:rPr>
        <w:t xml:space="preserve">To analyse ways in which legitimate manufacturers of luxury fashion brands are protecting their export processes from imitation with the use emerging technologies </w:t>
      </w:r>
    </w:p>
    <w:p w14:paraId="2DFD7EBF">
      <w:pPr>
        <w:numPr>
          <w:ilvl w:val="0"/>
          <w:numId w:val="1"/>
        </w:numPr>
        <w:spacing w:after="0"/>
        <w:rPr>
          <w:color w:val="000000" w:themeColor="text1"/>
          <w14:textFill>
            <w14:solidFill>
              <w14:schemeClr w14:val="tx1"/>
            </w14:solidFill>
          </w14:textFill>
        </w:rPr>
      </w:pPr>
      <w:r>
        <w:rPr>
          <w:color w:val="000000" w:themeColor="text1"/>
          <w14:textFill>
            <w14:solidFill>
              <w14:schemeClr w14:val="tx1"/>
            </w14:solidFill>
          </w14:textFill>
        </w:rPr>
        <w:t>To determine risks that are prevalent for the original luxury fashion brands in the exporting process</w:t>
      </w:r>
    </w:p>
    <w:p w14:paraId="70F43003">
      <w:pPr>
        <w:numPr>
          <w:ilvl w:val="0"/>
          <w:numId w:val="1"/>
        </w:numPr>
        <w:spacing w:after="0"/>
        <w:rPr>
          <w:color w:val="000000" w:themeColor="text1"/>
          <w14:textFill>
            <w14:solidFill>
              <w14:schemeClr w14:val="tx1"/>
            </w14:solidFill>
          </w14:textFill>
        </w:rPr>
      </w:pPr>
      <w:r>
        <w:rPr>
          <w:color w:val="000000" w:themeColor="text1"/>
          <w14:textFill>
            <w14:solidFill>
              <w14:schemeClr w14:val="tx1"/>
            </w14:solidFill>
          </w14:textFill>
        </w:rPr>
        <w:t>To investigate emerging technologies that are currently being used to improve authentication and traceability of luxury fashion exports</w:t>
      </w:r>
    </w:p>
    <w:p w14:paraId="62E2DFFE">
      <w:pPr>
        <w:numPr>
          <w:ilvl w:val="0"/>
          <w:numId w:val="1"/>
        </w:numPr>
        <w:rPr>
          <w:color w:val="000000" w:themeColor="text1"/>
          <w14:textFill>
            <w14:solidFill>
              <w14:schemeClr w14:val="tx1"/>
            </w14:solidFill>
          </w14:textFill>
        </w:rPr>
      </w:pPr>
      <w:r>
        <w:rPr>
          <w:color w:val="000000" w:themeColor="text1"/>
          <w14:textFill>
            <w14:solidFill>
              <w14:schemeClr w14:val="tx1"/>
            </w14:solidFill>
          </w14:textFill>
        </w:rPr>
        <w:t xml:space="preserve">To find out a list of obstacles that hinder luxury fashion exports to use technologies in counteracting counterfeiting </w:t>
      </w:r>
    </w:p>
    <w:p w14:paraId="34B80BAF">
      <w:pPr>
        <w:rPr>
          <w:i/>
          <w:iCs/>
          <w:color w:val="000000" w:themeColor="text1"/>
          <w14:textFill>
            <w14:solidFill>
              <w14:schemeClr w14:val="tx1"/>
            </w14:solidFill>
          </w14:textFill>
        </w:rPr>
      </w:pPr>
      <w:r>
        <w:rPr>
          <w:b/>
          <w:bCs/>
          <w:i/>
          <w:iCs/>
          <w:color w:val="000000" w:themeColor="text1"/>
          <w14:textFill>
            <w14:solidFill>
              <w14:schemeClr w14:val="tx1"/>
            </w14:solidFill>
          </w14:textFill>
        </w:rPr>
        <w:t>Research questions</w:t>
      </w:r>
    </w:p>
    <w:p w14:paraId="296F9A2E">
      <w:pPr>
        <w:rPr>
          <w:b/>
          <w:bCs/>
          <w:color w:val="000000" w:themeColor="text1"/>
          <w14:textFill>
            <w14:solidFill>
              <w14:schemeClr w14:val="tx1"/>
            </w14:solidFill>
          </w14:textFill>
        </w:rPr>
      </w:pPr>
      <w:r>
        <w:rPr>
          <w:b/>
          <w:bCs/>
          <w:color w:val="000000" w:themeColor="text1"/>
          <w14:textFill>
            <w14:solidFill>
              <w14:schemeClr w14:val="tx1"/>
            </w14:solidFill>
          </w14:textFill>
        </w:rPr>
        <w:t>Main Research Question:</w:t>
      </w:r>
    </w:p>
    <w:p w14:paraId="54ACB42B">
      <w:pPr>
        <w:rPr>
          <w:color w:val="000000" w:themeColor="text1"/>
          <w14:textFill>
            <w14:solidFill>
              <w14:schemeClr w14:val="tx1"/>
            </w14:solidFill>
          </w14:textFill>
        </w:rPr>
      </w:pPr>
      <w:r>
        <w:rPr>
          <w:color w:val="000000" w:themeColor="text1"/>
          <w14:textFill>
            <w14:solidFill>
              <w14:schemeClr w14:val="tx1"/>
            </w14:solidFill>
          </w14:textFill>
        </w:rPr>
        <w:t>What strategies are legitimate luxury fashion brands taking in order to protect their export processes from imitation?</w:t>
      </w:r>
    </w:p>
    <w:p w14:paraId="7F90A891">
      <w:pPr>
        <w:rPr>
          <w:b/>
          <w:bCs/>
          <w:color w:val="000000" w:themeColor="text1"/>
          <w14:textFill>
            <w14:solidFill>
              <w14:schemeClr w14:val="tx1"/>
            </w14:solidFill>
          </w14:textFill>
        </w:rPr>
      </w:pPr>
      <w:r>
        <w:rPr>
          <w:b/>
          <w:bCs/>
          <w:color w:val="000000" w:themeColor="text1"/>
          <w14:textFill>
            <w14:solidFill>
              <w14:schemeClr w14:val="tx1"/>
            </w14:solidFill>
          </w14:textFill>
        </w:rPr>
        <w:t>Sub-Research Questions</w:t>
      </w:r>
    </w:p>
    <w:p w14:paraId="39D58E32">
      <w:pPr>
        <w:pStyle w:val="16"/>
        <w:numPr>
          <w:ilvl w:val="0"/>
          <w:numId w:val="2"/>
        </w:numPr>
        <w:rPr>
          <w:color w:val="000000" w:themeColor="text1"/>
          <w14:textFill>
            <w14:solidFill>
              <w14:schemeClr w14:val="tx1"/>
            </w14:solidFill>
          </w14:textFill>
        </w:rPr>
      </w:pPr>
      <w:r>
        <w:rPr>
          <w:color w:val="000000" w:themeColor="text1"/>
          <w14:textFill>
            <w14:solidFill>
              <w14:schemeClr w14:val="tx1"/>
            </w14:solidFill>
          </w14:textFill>
        </w:rPr>
        <w:t>What are the risks related to imitation and counterfeiting faced by the genuine luxury fashion exporters in the export regimes?</w:t>
      </w:r>
    </w:p>
    <w:p w14:paraId="50BCF8F1">
      <w:pPr>
        <w:pStyle w:val="16"/>
        <w:numPr>
          <w:ilvl w:val="0"/>
          <w:numId w:val="2"/>
        </w:numPr>
        <w:rPr>
          <w:color w:val="000000" w:themeColor="text1"/>
          <w14:textFill>
            <w14:solidFill>
              <w14:schemeClr w14:val="tx1"/>
            </w14:solidFill>
          </w14:textFill>
        </w:rPr>
      </w:pPr>
      <w:r>
        <w:rPr>
          <w:color w:val="000000" w:themeColor="text1"/>
          <w14:textFill>
            <w14:solidFill>
              <w14:schemeClr w14:val="tx1"/>
            </w14:solidFill>
          </w14:textFill>
        </w:rPr>
        <w:t>What are the new technologies that are being adopted for authenticated and traceable luxury fashion exports?</w:t>
      </w:r>
    </w:p>
    <w:p w14:paraId="7CA71B26">
      <w:pPr>
        <w:pStyle w:val="16"/>
        <w:numPr>
          <w:ilvl w:val="0"/>
          <w:numId w:val="2"/>
        </w:numPr>
        <w:rPr>
          <w:color w:val="000000" w:themeColor="text1"/>
          <w14:textFill>
            <w14:solidFill>
              <w14:schemeClr w14:val="tx1"/>
            </w14:solidFill>
          </w14:textFill>
        </w:rPr>
      </w:pPr>
      <w:r>
        <w:rPr>
          <w:color w:val="000000" w:themeColor="text1"/>
          <w14:textFill>
            <w14:solidFill>
              <w14:schemeClr w14:val="tx1"/>
            </w14:solidFill>
          </w14:textFill>
        </w:rPr>
        <w:t>What ways does new technology assist in protecting the operations of ‘real’ luxury fashion brands from being copied when exporting?</w:t>
      </w:r>
    </w:p>
    <w:p w14:paraId="2EB2B842">
      <w:pPr>
        <w:pStyle w:val="16"/>
        <w:numPr>
          <w:ilvl w:val="0"/>
          <w:numId w:val="2"/>
        </w:numPr>
        <w:rPr>
          <w:color w:val="000000" w:themeColor="text1"/>
          <w14:textFill>
            <w14:solidFill>
              <w14:schemeClr w14:val="tx1"/>
            </w14:solidFill>
          </w14:textFill>
        </w:rPr>
      </w:pPr>
      <w:r>
        <w:rPr>
          <w:color w:val="000000" w:themeColor="text1"/>
          <w14:textFill>
            <w14:solidFill>
              <w14:schemeClr w14:val="tx1"/>
            </w14:solidFill>
          </w14:textFill>
        </w:rPr>
        <w:t>What are the impeding factors for the adoption of novel technology on anti-imitation in luxury fashion exports?</w:t>
      </w:r>
    </w:p>
    <w:p w14:paraId="43AE2C69">
      <w:pPr>
        <w:rPr>
          <w:color w:val="000000" w:themeColor="text1"/>
          <w14:textFill>
            <w14:solidFill>
              <w14:schemeClr w14:val="tx1"/>
            </w14:solidFill>
          </w14:textFill>
        </w:rPr>
      </w:pPr>
      <w:r>
        <w:rPr>
          <w:color w:val="000000" w:themeColor="text1"/>
          <w14:textFill>
            <w14:solidFill>
              <w14:schemeClr w14:val="tx1"/>
            </w14:solidFill>
          </w14:textFill>
        </w:rPr>
        <w:t xml:space="preserve">These will be done with an Extended Literature Review of academic and credible industry sources. </w:t>
      </w:r>
    </w:p>
    <w:p w14:paraId="0BEA992E">
      <w:pPr>
        <w:pStyle w:val="2"/>
        <w:rPr>
          <w:color w:val="000000" w:themeColor="text1"/>
          <w14:textFill>
            <w14:solidFill>
              <w14:schemeClr w14:val="tx1"/>
            </w14:solidFill>
          </w14:textFill>
        </w:rPr>
      </w:pPr>
      <w:bookmarkStart w:id="1" w:name="_Toc234961229"/>
      <w:r>
        <w:rPr>
          <w:color w:val="000000" w:themeColor="text1"/>
          <w14:textFill>
            <w14:solidFill>
              <w14:schemeClr w14:val="tx1"/>
            </w14:solidFill>
          </w14:textFill>
        </w:rPr>
        <w:t>2. Literature Review</w:t>
      </w:r>
      <w:bookmarkEnd w:id="1"/>
    </w:p>
    <w:p w14:paraId="420335CE">
      <w:pPr>
        <w:rPr>
          <w:color w:val="000000" w:themeColor="text1"/>
          <w14:textFill>
            <w14:solidFill>
              <w14:schemeClr w14:val="tx1"/>
            </w14:solidFill>
          </w14:textFill>
        </w:rPr>
      </w:pPr>
      <w:r>
        <w:rPr>
          <w:color w:val="000000" w:themeColor="text1"/>
          <w14:textFill>
            <w14:solidFill>
              <w14:schemeClr w14:val="tx1"/>
            </w14:solidFill>
          </w14:textFill>
        </w:rPr>
        <w:t>This section focuses on three connected themes: luxury fashion imitation risk, technology-based authentication, and export supply-chain traceability. It is relevant, since luxury fashion manufacturers cannot only safeguard their products after they hit the hands of the customers (</w:t>
      </w:r>
      <w:r>
        <w:rPr>
          <w:color w:val="000000" w:themeColor="text1"/>
          <w:highlight w:val="white"/>
          <w14:textFill>
            <w14:solidFill>
              <w14:schemeClr w14:val="tx1"/>
            </w14:solidFill>
          </w14:textFill>
        </w:rPr>
        <w:t>Monreal-Mostrup</w:t>
      </w:r>
      <w:r>
        <w:rPr>
          <w:color w:val="000000" w:themeColor="text1"/>
          <w14:textFill>
            <w14:solidFill>
              <w14:schemeClr w14:val="tx1"/>
            </w14:solidFill>
          </w14:textFill>
        </w:rPr>
        <w:t xml:space="preserve">, 2024; </w:t>
      </w:r>
      <w:r>
        <w:rPr>
          <w:color w:val="000000" w:themeColor="text1"/>
          <w:highlight w:val="white"/>
          <w14:textFill>
            <w14:solidFill>
              <w14:schemeClr w14:val="tx1"/>
            </w14:solidFill>
          </w14:textFill>
        </w:rPr>
        <w:t>Nolan, 2023</w:t>
      </w:r>
      <w:r>
        <w:rPr>
          <w:color w:val="000000" w:themeColor="text1"/>
          <w14:textFill>
            <w14:solidFill>
              <w14:schemeClr w14:val="tx1"/>
            </w14:solidFill>
          </w14:textFill>
        </w:rPr>
        <w:t>). Rather, they need to safeguard those of genuine nature, while traversing across their international export routes, such as logistics firms, customs points, shopping partners, and distributors and retailers. Authenticity, visibility and control in the export process are, therefore, the subject of the review, as they are supported by emerging technologies.</w:t>
      </w:r>
    </w:p>
    <w:p w14:paraId="1033ED3D">
      <w:pPr>
        <w:rPr>
          <w:color w:val="000000" w:themeColor="text1"/>
          <w14:textFill>
            <w14:solidFill>
              <w14:schemeClr w14:val="tx1"/>
            </w14:solidFill>
          </w14:textFill>
        </w:rPr>
      </w:pPr>
      <w:r>
        <w:rPr>
          <w:color w:val="000000" w:themeColor="text1"/>
          <w14:textFill>
            <w14:solidFill>
              <w14:schemeClr w14:val="tx1"/>
            </w14:solidFill>
          </w14:textFill>
        </w:rPr>
        <w:t xml:space="preserve">Prior studies indicate that counterfeit is an issue in luxury fashion, as counterfeiters copy brand names, logos, packaging, materials and certificates to create fake products that look authentic. In the Luxury market, this has a particular impact as brand value relies on scarcity, craft, trust, and symbolic value. Studies on “luxury counterfeiting” also reveal that this phenomenon has spread beyond traditional street markets to resale and international markets and new means of communication such as the internet. The implication for manufacturers is that they should have better systems for verification, as well as legal enforcement. Varshney et al. (2024) described how luxury brands are increasingly turning to blockchain technology to fight counterfeiting but that they have to deal with dilemmas around maintaining luxury brand exclusivity versus second-hand luxury markets. </w:t>
      </w:r>
    </w:p>
    <w:p w14:paraId="332108FD">
      <w:pPr>
        <w:rPr>
          <w:color w:val="000000" w:themeColor="text1"/>
          <w14:textFill>
            <w14:solidFill>
              <w14:schemeClr w14:val="tx1"/>
            </w14:solidFill>
          </w14:textFill>
        </w:rPr>
      </w:pPr>
      <w:r>
        <w:rPr>
          <w:color w:val="000000" w:themeColor="text1"/>
          <w14:textFill>
            <w14:solidFill>
              <w14:schemeClr w14:val="tx1"/>
            </w14:solidFill>
          </w14:textFill>
        </w:rPr>
        <w:t>One of the most prominent in literature is authentication and traceability with the help of blockchain. Badhwar et al. (2023) elaborated on blockchain in the FTS industry and claimed that blockchain can aid traceability, transparency, and product authenticity. This aspect has significance for the current research as there is a need for an assurance to export security as far as product origin, ownership and movement are concerned. Likewise, Udokwu et al. (2023) identified the requirements of using blockchain as a luxury product authentication system and proposed that blockchain-based systems will be useful for a transparency of ownership and product use. However, blockchain is not a complete solution by itself. It relies on the accurate entry of data, supplier cooperation, integration with physical identifiers of products.</w:t>
      </w:r>
    </w:p>
    <w:p w14:paraId="1562A4DC">
      <w:pPr>
        <w:rPr>
          <w:color w:val="000000" w:themeColor="text1"/>
          <w14:textFill>
            <w14:solidFill>
              <w14:schemeClr w14:val="tx1"/>
            </w14:solidFill>
          </w14:textFill>
        </w:rPr>
      </w:pPr>
      <w:r>
        <w:rPr>
          <w:color w:val="000000" w:themeColor="text1"/>
          <w14:textFill>
            <w14:solidFill>
              <w14:schemeClr w14:val="tx1"/>
            </w14:solidFill>
          </w14:textFill>
        </w:rPr>
        <w:t>One of the highlighting themes is the application of RFID, NFC, QR codes and digital product passports. According to Lee and Yeon (2021), installing NFC to verify the details of a product may be possible using mobile applications, and the adoption of blockchain-based traceability requires the establishment of standardised interfaces and interoperability with current systems or applications. Digital product passports were more recently recognized as an important enabler for information sharing and product level transparency in the value chain (Zhang and Seuring, 2024). This is important for luxury fashion exports since digital product information can be used to assist obtaining authentication and verification from distributors and customs clearance after the sale.</w:t>
      </w:r>
    </w:p>
    <w:p w14:paraId="045B4253">
      <w:pPr>
        <w:rPr>
          <w:color w:val="000000" w:themeColor="text1"/>
          <w14:textFill>
            <w14:solidFill>
              <w14:schemeClr w14:val="tx1"/>
            </w14:solidFill>
          </w14:textFill>
        </w:rPr>
      </w:pPr>
      <w:r>
        <w:rPr>
          <w:color w:val="000000" w:themeColor="text1"/>
          <w14:textFill>
            <w14:solidFill>
              <w14:schemeClr w14:val="tx1"/>
            </w14:solidFill>
          </w14:textFill>
        </w:rPr>
        <w:t>The literature still lacks a clear gap though. Various papers have been published on different types of counterfeiting, blockchain, or RFID/NFC or digital passports. Others are primarily concerned with consumers or resale or sustainability. Less research is provided to directly link the legitimate luxury fashion manufacturers, emerging technologies, export-process security and imitation prevention in one review. This study aims to fill that void by summarizing the present available knowledge in a themed manner and the potentials of cooperation between various technologies in protecting luxury fashion exports.</w:t>
      </w:r>
    </w:p>
    <w:p w14:paraId="3C0C18AF">
      <w:pPr>
        <w:pStyle w:val="2"/>
        <w:rPr>
          <w:color w:val="000000" w:themeColor="text1"/>
          <w14:textFill>
            <w14:solidFill>
              <w14:schemeClr w14:val="tx1"/>
            </w14:solidFill>
          </w14:textFill>
        </w:rPr>
      </w:pPr>
      <w:bookmarkStart w:id="2" w:name="_Toc234961230"/>
      <w:r>
        <w:rPr>
          <w:color w:val="000000" w:themeColor="text1"/>
          <w14:textFill>
            <w14:solidFill>
              <w14:schemeClr w14:val="tx1"/>
            </w14:solidFill>
          </w14:textFill>
        </w:rPr>
        <w:t>3. Methodology</w:t>
      </w:r>
      <w:bookmarkEnd w:id="2"/>
    </w:p>
    <w:p w14:paraId="371BC3B2">
      <w:pPr>
        <w:rPr>
          <w:color w:val="000000" w:themeColor="text1"/>
          <w14:textFill>
            <w14:solidFill>
              <w14:schemeClr w14:val="tx1"/>
            </w14:solidFill>
          </w14:textFill>
        </w:rPr>
      </w:pPr>
      <w:r>
        <w:rPr>
          <w:color w:val="000000" w:themeColor="text1"/>
          <w14:textFill>
            <w14:solidFill>
              <w14:schemeClr w14:val="tx1"/>
            </w14:solidFill>
          </w14:textFill>
        </w:rPr>
        <w:t xml:space="preserve">This will be a qualitative study that will rely on the extended literature review (ELR) technique. This means that this study will not involve researching and collecting primary data from participants, but involve analysing existing/already published academic literature works and credible industry sources. This method is appropriate, as the main research question is focused on finding ways in which emerging technologies can be applied to secure legitimate luxury fashion manufacturers in the export process from being imitated. The literature review method is used when a study is meant to compare what is known about the topic, determine gaps, and ensure that the researcher has a clear and academic understanding of the topic and is not examining any numerical relationships (Snyder, 2019). </w:t>
      </w:r>
    </w:p>
    <w:p w14:paraId="3F2F6080">
      <w:pPr>
        <w:rPr>
          <w:color w:val="000000" w:themeColor="text1"/>
          <w14:textFill>
            <w14:solidFill>
              <w14:schemeClr w14:val="tx1"/>
            </w14:solidFill>
          </w14:textFill>
        </w:rPr>
      </w:pPr>
      <w:r>
        <w:rPr>
          <w:color w:val="000000" w:themeColor="text1"/>
          <w14:textFill>
            <w14:solidFill>
              <w14:schemeClr w14:val="tx1"/>
            </w14:solidFill>
          </w14:textFill>
        </w:rPr>
        <w:t>The method of collecting data in the study will be a secondary data collection method. Academic databases, such as Web of Science, Science Direct, Emerald Insight, Business Source Premier and most importantly, Google Scholar will be used. These databases would be appropriate due to the fact that the literature included herein are peer-reviewed in the areas of supply chain management, international business, fashion management and technology adoption and anti-counterfeiting research. Owing to the freshness and pertinence of the subject, the data search process will emphasize more on recent and relevant literature. This will include some most relevant keywords, such as luxury fashion, new technologies, export security, authentication and traceability.</w:t>
      </w:r>
    </w:p>
    <w:p w14:paraId="1795EA5D">
      <w:pPr>
        <w:rPr>
          <w:color w:val="000000" w:themeColor="text1"/>
          <w14:textFill>
            <w14:solidFill>
              <w14:schemeClr w14:val="tx1"/>
            </w14:solidFill>
          </w14:textFill>
        </w:rPr>
      </w:pPr>
      <w:r>
        <w:rPr>
          <w:color w:val="000000" w:themeColor="text1"/>
          <w14:textFill>
            <w14:solidFill>
              <w14:schemeClr w14:val="tx1"/>
            </w14:solidFill>
          </w14:textFill>
        </w:rPr>
        <w:t xml:space="preserve">Main search terms will include “luxury fashion” AND counterfeit, “luxury goods” AND blockchain AND traceability, “Luxury fashion” AND “authentication” AND “blockchain”, “fashion industry” AND RFID OR “NFC” AND “authentication”, “new technologies” AND anti-counterfeiting, and “export process” AND “supply chain security”. Using boolean operators (AND, OR and NOT) will be used to narrow down irrelevant results. Recent studies indicate that blockchain and digital traceability can assist in guaranteeing transparency, product authenticity and supply-chain visibility in the Fashion and Luxury sphere, which will inform the search and guidance of the process (Badhwar et al., 2023). </w:t>
      </w:r>
    </w:p>
    <w:p w14:paraId="6D4CBFC8">
      <w:pPr>
        <w:rPr>
          <w:color w:val="000000" w:themeColor="text1"/>
          <w14:textFill>
            <w14:solidFill>
              <w14:schemeClr w14:val="tx1"/>
            </w14:solidFill>
          </w14:textFill>
        </w:rPr>
      </w:pPr>
      <w:r>
        <w:rPr>
          <w:color w:val="000000" w:themeColor="text1"/>
          <w14:textFill>
            <w14:solidFill>
              <w14:schemeClr w14:val="tx1"/>
            </w14:solidFill>
          </w14:textFill>
        </w:rPr>
        <w:t>The sampling method to sort out most relevant secondary data sources will be purposive. Papers that are peer-reviewed or scientific journals, academic books, or literature on luxury fashion goods, luxury goods, counterfeit goods, blockchain systems, RFID, NFC, AI, IoT, traceability or export security will be included. It will also include data sources that are published in English within the period 2015-2026. Non-academic blogs, opinion pieces, less-relevant, or too-old articles, articles without full text availability, and studies that only explore consumer opinion on fake goods, but do not introduce reference to technology or export security by the manufacturers will be excluded.</w:t>
      </w:r>
    </w:p>
    <w:p w14:paraId="34665F3B">
      <w:pPr>
        <w:rPr>
          <w:color w:val="000000" w:themeColor="text1"/>
          <w14:textFill>
            <w14:solidFill>
              <w14:schemeClr w14:val="tx1"/>
            </w14:solidFill>
          </w14:textFill>
        </w:rPr>
      </w:pPr>
      <w:r>
        <w:rPr>
          <w:color w:val="000000" w:themeColor="text1"/>
          <w14:textFill>
            <w14:solidFill>
              <w14:schemeClr w14:val="tx1"/>
            </w14:solidFill>
          </w14:textFill>
        </w:rPr>
        <w:t>Screening will be conducted using a PRISMA-style screening method, including identification, screening, eligibility assessment and final inclusion. This wording is appropriate because the study follows an Extended Literature Review approach rather than a full Systematic Literature Review. This is useful because it helps to ensure fidelity in the reporting of the processes of study identification, selection, appraising and synthesising (Page et al. 2021). This study, however, will not be a good example of a complete Systemic Literature Review (SLR), as it is a study to develop a critical understanding in thematic manner that does not seek a full SLR.</w:t>
      </w:r>
    </w:p>
    <w:p w14:paraId="566032C6">
      <w:pPr>
        <w:rPr>
          <w:color w:val="000000" w:themeColor="text1"/>
          <w14:textFill>
            <w14:solidFill>
              <w14:schemeClr w14:val="tx1"/>
            </w14:solidFill>
          </w14:textFill>
        </w:rPr>
      </w:pPr>
      <w:r>
        <w:rPr>
          <w:color w:val="000000" w:themeColor="text1"/>
          <w14:textFill>
            <w14:solidFill>
              <w14:schemeClr w14:val="tx1"/>
            </w14:solidFill>
          </w14:textFill>
        </w:rPr>
        <w:t>Thematic analysis will be applied for analysis of the selected literature and narrative synthesis will be applied to understand the subject. The findings will be organized around categories: imitation risks, authentication technologies, traceability systems, export security and barriers to export. However, interviews and questionnaires are not used due to the luxury manufacturers' ability to refuse to disclose confidential export-security practices and because the study measures the attitudes and opinions of customers and employees, respectively, are not of primary interest. There are no human participants thus there is little ethical risk involved, but all evidence and references will be referenced correctly and academic integrity will be ensured.</w:t>
      </w:r>
    </w:p>
    <w:p w14:paraId="4388B5B0">
      <w:pPr>
        <w:pStyle w:val="2"/>
        <w:rPr>
          <w:color w:val="000000" w:themeColor="text1"/>
          <w14:textFill>
            <w14:solidFill>
              <w14:schemeClr w14:val="tx1"/>
            </w14:solidFill>
          </w14:textFill>
        </w:rPr>
      </w:pPr>
      <w:bookmarkStart w:id="3" w:name="_Toc234961231"/>
      <w:r>
        <w:rPr>
          <w:color w:val="000000" w:themeColor="text1"/>
          <w14:textFill>
            <w14:solidFill>
              <w14:schemeClr w14:val="tx1"/>
            </w14:solidFill>
          </w14:textFill>
        </w:rPr>
        <w:t>4. Expected Findings</w:t>
      </w:r>
      <w:bookmarkEnd w:id="3"/>
    </w:p>
    <w:p w14:paraId="6EAF0005">
      <w:pPr>
        <w:rPr>
          <w:color w:val="000000" w:themeColor="text1"/>
          <w14:textFill>
            <w14:solidFill>
              <w14:schemeClr w14:val="tx1"/>
            </w14:solidFill>
          </w14:textFill>
        </w:rPr>
      </w:pPr>
      <w:r>
        <w:rPr>
          <w:color w:val="000000" w:themeColor="text1"/>
          <w14:textFill>
            <w14:solidFill>
              <w14:schemeClr w14:val="tx1"/>
            </w14:solidFill>
          </w14:textFill>
        </w:rPr>
        <w:t xml:space="preserve">The aim of this research is to examine the utilization of emerging technologies by the legal luxury fashion producers to protect the products' export procedures from parity. It is expected to be able to identify technologies like blockchain, RFID, NFC, AI, IoT monitoring and digital product passports, which make the authentication, traceability and transparency of the supply chain better. The blockchain is expected to be a significant aspect as it could enhance transparency and product authenticity in the fashion supply chain and a digital product passport could facilitate better product level information flow and verification. The results could, however, indicate that supplier co-operation and the proper regulatory oversight of customs and the involvement of good quality data are compatible with the use of technology. </w:t>
      </w:r>
    </w:p>
    <w:p w14:paraId="4AA0ACE9">
      <w:pPr>
        <w:pStyle w:val="2"/>
        <w:rPr>
          <w:color w:val="000000" w:themeColor="text1"/>
          <w14:textFill>
            <w14:solidFill>
              <w14:schemeClr w14:val="tx1"/>
            </w14:solidFill>
          </w14:textFill>
        </w:rPr>
      </w:pPr>
      <w:bookmarkStart w:id="4" w:name="_Toc234961232"/>
      <w:r>
        <w:rPr>
          <w:color w:val="000000" w:themeColor="text1"/>
          <w14:textFill>
            <w14:solidFill>
              <w14:schemeClr w14:val="tx1"/>
            </w14:solidFill>
          </w14:textFill>
        </w:rPr>
        <w:t>5. Limitations and Ethics</w:t>
      </w:r>
      <w:bookmarkEnd w:id="4"/>
    </w:p>
    <w:p w14:paraId="11165278">
      <w:pPr>
        <w:rPr>
          <w:color w:val="000000" w:themeColor="text1"/>
          <w14:textFill>
            <w14:solidFill>
              <w14:schemeClr w14:val="tx1"/>
            </w14:solidFill>
          </w14:textFill>
        </w:rPr>
      </w:pPr>
      <w:r>
        <w:rPr>
          <w:color w:val="000000" w:themeColor="text1"/>
          <w14:textFill>
            <w14:solidFill>
              <w14:schemeClr w14:val="tx1"/>
            </w14:solidFill>
          </w14:textFill>
        </w:rPr>
        <w:t xml:space="preserve">This present study has some limitations, as it is based on secondary data only, and no primary data will be collected from the luxury fashion manufacturers. Hence, confidentiality-based export-security methods might not be accessible in educational resources. Yet another constraint is the fact that technologies, like blockchain and digital product passports, are still evolving and recent literature industry specific. The study will employ peer-reviewed journal articles and credible reports as a way to control this issue. Ethical risk is minimal, as no interviews or questionnaires or personal participant information is to be gained. If the personal or company related data is discussed from secondary sources, however, the study will adhere to the GDPR and Data Protection Act 2018 of the UK which also governs the usage of personal data (Legislation, 2024). Imitation will also have a legal aspect under the Trade Marks Act 1994, particularly where there is an infringement of the unauthorised trademark in respect of goods. </w:t>
      </w:r>
    </w:p>
    <w:p w14:paraId="206687AF">
      <w:pPr>
        <w:pStyle w:val="2"/>
        <w:rPr>
          <w:color w:val="000000" w:themeColor="text1"/>
          <w14:textFill>
            <w14:solidFill>
              <w14:schemeClr w14:val="tx1"/>
            </w14:solidFill>
          </w14:textFill>
        </w:rPr>
      </w:pPr>
      <w:bookmarkStart w:id="5" w:name="_Toc234961233"/>
      <w:r>
        <w:rPr>
          <w:color w:val="000000" w:themeColor="text1"/>
          <w14:textFill>
            <w14:solidFill>
              <w14:schemeClr w14:val="tx1"/>
            </w14:solidFill>
          </w14:textFill>
        </w:rPr>
        <w:t>6. Timeframe</w:t>
      </w:r>
      <w:bookmarkEnd w:id="5"/>
      <w:r>
        <w:rPr>
          <w:color w:val="000000" w:themeColor="text1"/>
          <w14:textFill>
            <w14:solidFill>
              <w14:schemeClr w14:val="tx1"/>
            </w14:solidFill>
          </w14:textFill>
        </w:rPr>
        <w:t xml:space="preserve"> </w:t>
      </w:r>
    </w:p>
    <w:p w14:paraId="25BD9992">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6094730" cy="2847975"/>
            <wp:effectExtent l="0" t="0" r="1270" b="0"/>
            <wp:docPr id="130705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05355" name="Picture 1"/>
                    <pic:cNvPicPr>
                      <a:picLocks noChangeAspect="1"/>
                    </pic:cNvPicPr>
                  </pic:nvPicPr>
                  <pic:blipFill>
                    <a:blip r:embed="rId8"/>
                    <a:stretch>
                      <a:fillRect/>
                    </a:stretch>
                  </pic:blipFill>
                  <pic:spPr>
                    <a:xfrm>
                      <a:off x="0" y="0"/>
                      <a:ext cx="6103831" cy="2852224"/>
                    </a:xfrm>
                    <a:prstGeom prst="rect">
                      <a:avLst/>
                    </a:prstGeom>
                  </pic:spPr>
                </pic:pic>
              </a:graphicData>
            </a:graphic>
          </wp:inline>
        </w:drawing>
      </w:r>
    </w:p>
    <w:p w14:paraId="0D0FC4CE">
      <w:pPr>
        <w:pStyle w:val="2"/>
        <w:rPr>
          <w:color w:val="000000" w:themeColor="text1"/>
          <w14:textFill>
            <w14:solidFill>
              <w14:schemeClr w14:val="tx1"/>
            </w14:solidFill>
          </w14:textFill>
        </w:rPr>
      </w:pPr>
      <w:bookmarkStart w:id="6" w:name="_Toc234961234"/>
      <w:r>
        <w:rPr>
          <w:color w:val="000000" w:themeColor="text1"/>
          <w14:textFill>
            <w14:solidFill>
              <w14:schemeClr w14:val="tx1"/>
            </w14:solidFill>
          </w14:textFill>
        </w:rPr>
        <w:t>7. Conclusion</w:t>
      </w:r>
      <w:bookmarkEnd w:id="6"/>
    </w:p>
    <w:p w14:paraId="30FDD586">
      <w:pPr>
        <w:rPr>
          <w:color w:val="000000" w:themeColor="text1"/>
          <w14:textFill>
            <w14:solidFill>
              <w14:schemeClr w14:val="tx1"/>
            </w14:solidFill>
          </w14:textFill>
        </w:rPr>
      </w:pPr>
      <w:r>
        <w:rPr>
          <w:color w:val="000000" w:themeColor="text1"/>
          <w14:textFill>
            <w14:solidFill>
              <w14:schemeClr w14:val="tx1"/>
            </w14:solidFill>
          </w14:textFill>
        </w:rPr>
        <w:t>The central point of this proposal is to address the question of how the export process of legitimate luxury manufacturers can be protected from imitation using emerging technologies. Imitation is an important topic as it can have anti-brand values, customer trust and international supply chain control. An Extended Literature Review (ETR) will be used to investigate and analyse past studies on blockchain, RFID, NFC, AI and IoT and digital product passports. The method is appropriate as it avoids the need to access confidential primary data from luxury manufacturers, while also permitting critical analysis of academic research.</w:t>
      </w:r>
      <w:r>
        <w:rPr>
          <w:color w:val="000000" w:themeColor="text1"/>
          <w14:textFill>
            <w14:solidFill>
              <w14:schemeClr w14:val="tx1"/>
            </w14:solidFill>
          </w14:textFill>
        </w:rPr>
        <w:br w:type="page"/>
      </w:r>
    </w:p>
    <w:p w14:paraId="14F5427C">
      <w:pPr>
        <w:pStyle w:val="2"/>
        <w:rPr>
          <w:color w:val="000000" w:themeColor="text1"/>
          <w14:textFill>
            <w14:solidFill>
              <w14:schemeClr w14:val="tx1"/>
            </w14:solidFill>
          </w14:textFill>
        </w:rPr>
      </w:pPr>
      <w:bookmarkStart w:id="7" w:name="_Toc234961235"/>
      <w:r>
        <w:rPr>
          <w:color w:val="000000" w:themeColor="text1"/>
          <w14:textFill>
            <w14:solidFill>
              <w14:schemeClr w14:val="tx1"/>
            </w14:solidFill>
          </w14:textFill>
        </w:rPr>
        <w:t>References</w:t>
      </w:r>
      <w:bookmarkEnd w:id="7"/>
      <w:r>
        <w:rPr>
          <w:color w:val="000000" w:themeColor="text1"/>
          <w14:textFill>
            <w14:solidFill>
              <w14:schemeClr w14:val="tx1"/>
            </w14:solidFill>
          </w14:textFill>
        </w:rPr>
        <w:t xml:space="preserve"> </w:t>
      </w:r>
    </w:p>
    <w:p w14:paraId="273220AF">
      <w:pPr>
        <w:rPr>
          <w:color w:val="000000" w:themeColor="text1"/>
          <w14:textFill>
            <w14:solidFill>
              <w14:schemeClr w14:val="tx1"/>
            </w14:solidFill>
          </w14:textFill>
        </w:rPr>
      </w:pPr>
      <w:r>
        <w:rPr>
          <w:color w:val="000000" w:themeColor="text1"/>
          <w14:textFill>
            <w14:solidFill>
              <w14:schemeClr w14:val="tx1"/>
            </w14:solidFill>
          </w14:textFill>
        </w:rPr>
        <w:t>Badhwar, A., Islam, S. and Tan, C.S.L., (2023). Exploring the potential of blockchain technology within the fashion and textile supply chain with a focus on traceability, transparency, and product authenticity: A systematic review. </w:t>
      </w:r>
      <w:r>
        <w:rPr>
          <w:i/>
          <w:iCs/>
          <w:color w:val="000000" w:themeColor="text1"/>
          <w14:textFill>
            <w14:solidFill>
              <w14:schemeClr w14:val="tx1"/>
            </w14:solidFill>
          </w14:textFill>
        </w:rPr>
        <w:t>Frontiers in Blockchain</w:t>
      </w:r>
      <w:r>
        <w:rPr>
          <w:color w:val="000000" w:themeColor="text1"/>
          <w14:textFill>
            <w14:solidFill>
              <w14:schemeClr w14:val="tx1"/>
            </w14:solidFill>
          </w14:textFill>
        </w:rPr>
        <w:t>, </w:t>
      </w:r>
      <w:r>
        <w:rPr>
          <w:i/>
          <w:iCs/>
          <w:color w:val="000000" w:themeColor="text1"/>
          <w14:textFill>
            <w14:solidFill>
              <w14:schemeClr w14:val="tx1"/>
            </w14:solidFill>
          </w14:textFill>
        </w:rPr>
        <w:t>6</w:t>
      </w:r>
      <w:r>
        <w:rPr>
          <w:color w:val="000000" w:themeColor="text1"/>
          <w14:textFill>
            <w14:solidFill>
              <w14:schemeClr w14:val="tx1"/>
            </w14:solidFill>
          </w14:textFill>
        </w:rPr>
        <w:t xml:space="preserve">, p.1044723. </w:t>
      </w:r>
    </w:p>
    <w:p w14:paraId="491CAE8B">
      <w:pPr>
        <w:rPr>
          <w:color w:val="000000" w:themeColor="text1"/>
          <w14:textFill>
            <w14:solidFill>
              <w14:schemeClr w14:val="tx1"/>
            </w14:solidFill>
          </w14:textFill>
        </w:rPr>
      </w:pPr>
      <w:r>
        <w:rPr>
          <w:color w:val="000000" w:themeColor="text1"/>
          <w14:textFill>
            <w14:solidFill>
              <w14:schemeClr w14:val="tx1"/>
            </w14:solidFill>
          </w14:textFill>
        </w:rPr>
        <w:t xml:space="preserve">Europa, (2024). </w:t>
      </w:r>
      <w:r>
        <w:rPr>
          <w:i/>
          <w:iCs/>
          <w:color w:val="000000" w:themeColor="text1"/>
          <w14:textFill>
            <w14:solidFill>
              <w14:schemeClr w14:val="tx1"/>
            </w14:solidFill>
          </w14:textFill>
        </w:rPr>
        <w:t>Economic impact of counterfeiting in the clothing, cosmetics, and toy sectors in the EU.</w:t>
      </w:r>
      <w:r>
        <w:rPr>
          <w:color w:val="000000" w:themeColor="text1"/>
          <w14:textFill>
            <w14:solidFill>
              <w14:schemeClr w14:val="tx1"/>
            </w14:solidFill>
          </w14:textFill>
        </w:rPr>
        <w:t xml:space="preserve"> Available at:  </w:t>
      </w:r>
      <w:r>
        <w:fldChar w:fldCharType="begin"/>
      </w:r>
      <w:r>
        <w:instrText xml:space="preserve"> HYPERLINK "https://www.euipo.europa.eu/en/publications/clothing-cosmetics-and-toy-sectors-in-the-eu-2024" \h </w:instrText>
      </w:r>
      <w:r>
        <w:fldChar w:fldCharType="separate"/>
      </w:r>
      <w:r>
        <w:rPr>
          <w:color w:val="000000" w:themeColor="text1"/>
          <w:u w:val="single"/>
          <w14:textFill>
            <w14:solidFill>
              <w14:schemeClr w14:val="tx1"/>
            </w14:solidFill>
          </w14:textFill>
        </w:rPr>
        <w:t>https://www.euipo.europa.eu/en/publications/clothing-cosmetics-and-toy-sectors-in-the-eu-2024</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[Accessed on: 05.07.2026]</w:t>
      </w:r>
    </w:p>
    <w:p w14:paraId="6C60E395">
      <w:pPr>
        <w:rPr>
          <w:color w:val="000000" w:themeColor="text1"/>
          <w14:textFill>
            <w14:solidFill>
              <w14:schemeClr w14:val="tx1"/>
            </w14:solidFill>
          </w14:textFill>
        </w:rPr>
      </w:pPr>
      <w:r>
        <w:rPr>
          <w:color w:val="000000" w:themeColor="text1"/>
          <w14:textFill>
            <w14:solidFill>
              <w14:schemeClr w14:val="tx1"/>
            </w14:solidFill>
          </w14:textFill>
        </w:rPr>
        <w:t xml:space="preserve">Europa, (2025). </w:t>
      </w:r>
      <w:r>
        <w:rPr>
          <w:i/>
          <w:iCs/>
          <w:color w:val="000000" w:themeColor="text1"/>
          <w14:textFill>
            <w14:solidFill>
              <w14:schemeClr w14:val="tx1"/>
            </w14:solidFill>
          </w14:textFill>
        </w:rPr>
        <w:t>EUIPO and OECD publish a report on counterfeit and pirated trade</w:t>
      </w:r>
      <w:r>
        <w:rPr>
          <w:color w:val="000000" w:themeColor="text1"/>
          <w14:textFill>
            <w14:solidFill>
              <w14:schemeClr w14:val="tx1"/>
            </w14:solidFill>
          </w14:textFill>
        </w:rPr>
        <w:t xml:space="preserve"> Available at:   </w:t>
      </w:r>
      <w:r>
        <w:fldChar w:fldCharType="begin"/>
      </w:r>
      <w:r>
        <w:instrText xml:space="preserve"> HYPERLINK "https://www.euipo.europa.eu/en/news/observatory/euipo-and-oecd-publish-a-report-on-counterfeit-and-pirated-trade" \h </w:instrText>
      </w:r>
      <w:r>
        <w:fldChar w:fldCharType="separate"/>
      </w:r>
      <w:r>
        <w:rPr>
          <w:color w:val="000000" w:themeColor="text1"/>
          <w:u w:val="single"/>
          <w14:textFill>
            <w14:solidFill>
              <w14:schemeClr w14:val="tx1"/>
            </w14:solidFill>
          </w14:textFill>
        </w:rPr>
        <w:t>https://www.euipo.europa.eu/en/news/observatory/euipo-and-oecd-publish-a-report-on-counterfeit-and-pirated-trade</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[Accessed on: 04.07.2026]</w:t>
      </w:r>
    </w:p>
    <w:p w14:paraId="5C07CA35">
      <w:pPr>
        <w:rPr>
          <w:color w:val="000000" w:themeColor="text1"/>
          <w14:textFill>
            <w14:solidFill>
              <w14:schemeClr w14:val="tx1"/>
            </w14:solidFill>
          </w14:textFill>
        </w:rPr>
      </w:pPr>
      <w:r>
        <w:rPr>
          <w:color w:val="000000" w:themeColor="text1"/>
          <w14:textFill>
            <w14:solidFill>
              <w14:schemeClr w14:val="tx1"/>
            </w14:solidFill>
          </w14:textFill>
        </w:rPr>
        <w:t>Lee, H. and Yeon, C., (2021). Blockchain-based traceability for anti-counterfeit in cross-border e-commerce transactions. </w:t>
      </w:r>
      <w:r>
        <w:rPr>
          <w:i/>
          <w:iCs/>
          <w:color w:val="000000" w:themeColor="text1"/>
          <w14:textFill>
            <w14:solidFill>
              <w14:schemeClr w14:val="tx1"/>
            </w14:solidFill>
          </w14:textFill>
        </w:rPr>
        <w:t>Sustainability</w:t>
      </w:r>
      <w:r>
        <w:rPr>
          <w:color w:val="000000" w:themeColor="text1"/>
          <w14:textFill>
            <w14:solidFill>
              <w14:schemeClr w14:val="tx1"/>
            </w14:solidFill>
          </w14:textFill>
        </w:rPr>
        <w:t>, </w:t>
      </w:r>
      <w:r>
        <w:rPr>
          <w:i/>
          <w:iCs/>
          <w:color w:val="000000" w:themeColor="text1"/>
          <w14:textFill>
            <w14:solidFill>
              <w14:schemeClr w14:val="tx1"/>
            </w14:solidFill>
          </w14:textFill>
        </w:rPr>
        <w:t>13</w:t>
      </w:r>
      <w:r>
        <w:rPr>
          <w:color w:val="000000" w:themeColor="text1"/>
          <w14:textFill>
            <w14:solidFill>
              <w14:schemeClr w14:val="tx1"/>
            </w14:solidFill>
          </w14:textFill>
        </w:rPr>
        <w:t>(19), p.11057.</w:t>
      </w:r>
    </w:p>
    <w:p w14:paraId="31E52F7E">
      <w:pPr>
        <w:rPr>
          <w:color w:val="000000" w:themeColor="text1"/>
          <w14:textFill>
            <w14:solidFill>
              <w14:schemeClr w14:val="tx1"/>
            </w14:solidFill>
          </w14:textFill>
        </w:rPr>
      </w:pPr>
      <w:r>
        <w:rPr>
          <w:color w:val="000000" w:themeColor="text1"/>
          <w14:textFill>
            <w14:solidFill>
              <w14:schemeClr w14:val="tx1"/>
            </w14:solidFill>
          </w14:textFill>
        </w:rPr>
        <w:t xml:space="preserve">Legislation, (2024). </w:t>
      </w:r>
      <w:r>
        <w:rPr>
          <w:i/>
          <w:iCs/>
          <w:color w:val="000000" w:themeColor="text1"/>
          <w14:textFill>
            <w14:solidFill>
              <w14:schemeClr w14:val="tx1"/>
            </w14:solidFill>
          </w14:textFill>
        </w:rPr>
        <w:t>Data Protection Act 2018</w:t>
      </w:r>
      <w:r>
        <w:rPr>
          <w:color w:val="000000" w:themeColor="text1"/>
          <w14:textFill>
            <w14:solidFill>
              <w14:schemeClr w14:val="tx1"/>
            </w14:solidFill>
          </w14:textFill>
        </w:rPr>
        <w:t xml:space="preserve">. Available at:  </w:t>
      </w:r>
      <w:r>
        <w:fldChar w:fldCharType="begin"/>
      </w:r>
      <w:r>
        <w:instrText xml:space="preserve"> HYPERLINK "https://www.legislation.gov.uk/ukpga/2018/12/contents" \h </w:instrText>
      </w:r>
      <w:r>
        <w:fldChar w:fldCharType="separate"/>
      </w:r>
      <w:r>
        <w:rPr>
          <w:color w:val="000000" w:themeColor="text1"/>
          <w:u w:val="single"/>
          <w14:textFill>
            <w14:solidFill>
              <w14:schemeClr w14:val="tx1"/>
            </w14:solidFill>
          </w14:textFill>
        </w:rPr>
        <w:t>https://www.legislation.gov.uk/ukpga/2018/12/contents</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[Accessed on: 07.07.2026]</w:t>
      </w:r>
    </w:p>
    <w:p w14:paraId="405BBF41">
      <w:pPr>
        <w:rPr>
          <w:color w:val="000000" w:themeColor="text1"/>
          <w14:textFill>
            <w14:solidFill>
              <w14:schemeClr w14:val="tx1"/>
            </w14:solidFill>
          </w14:textFill>
        </w:rPr>
      </w:pPr>
      <w:r>
        <w:rPr>
          <w:color w:val="000000" w:themeColor="text1"/>
          <w:highlight w:val="white"/>
          <w14:textFill>
            <w14:solidFill>
              <w14:schemeClr w14:val="tx1"/>
            </w14:solidFill>
          </w14:textFill>
        </w:rPr>
        <w:t>Monreal-Mostrup, C., (2024). The impact of counterfeits and fake copies in the luxury brand perception.</w:t>
      </w:r>
      <w:r>
        <w:rPr>
          <w:color w:val="000000" w:themeColor="text1"/>
          <w14:textFill>
            <w14:solidFill>
              <w14:schemeClr w14:val="tx1"/>
            </w14:solidFill>
          </w14:textFill>
        </w:rPr>
        <w:t xml:space="preserve"> </w:t>
      </w:r>
    </w:p>
    <w:p w14:paraId="1AC4E939">
      <w:pPr>
        <w:rPr>
          <w:color w:val="000000" w:themeColor="text1"/>
          <w14:textFill>
            <w14:solidFill>
              <w14:schemeClr w14:val="tx1"/>
            </w14:solidFill>
          </w14:textFill>
        </w:rPr>
      </w:pPr>
      <w:r>
        <w:rPr>
          <w:color w:val="000000" w:themeColor="text1"/>
          <w:highlight w:val="white"/>
          <w14:textFill>
            <w14:solidFill>
              <w14:schemeClr w14:val="tx1"/>
            </w14:solidFill>
          </w14:textFill>
        </w:rPr>
        <w:t xml:space="preserve">Nolan, M., (2023). Prada bag or fraud-a bag: The impacts of knockoffs and counterfeits on the fashion industry. </w:t>
      </w:r>
      <w:r>
        <w:rPr>
          <w:i/>
          <w:iCs/>
          <w:color w:val="000000" w:themeColor="text1"/>
          <w:highlight w:val="white"/>
          <w14:textFill>
            <w14:solidFill>
              <w14:schemeClr w14:val="tx1"/>
            </w14:solidFill>
          </w14:textFill>
        </w:rPr>
        <w:t>Saint Louis University Law Journal</w:t>
      </w:r>
      <w:r>
        <w:rPr>
          <w:color w:val="000000" w:themeColor="text1"/>
          <w:highlight w:val="white"/>
          <w14:textFill>
            <w14:solidFill>
              <w14:schemeClr w14:val="tx1"/>
            </w14:solidFill>
          </w14:textFill>
        </w:rPr>
        <w:t xml:space="preserve">, </w:t>
      </w:r>
      <w:r>
        <w:rPr>
          <w:i/>
          <w:iCs/>
          <w:color w:val="000000" w:themeColor="text1"/>
          <w:highlight w:val="white"/>
          <w14:textFill>
            <w14:solidFill>
              <w14:schemeClr w14:val="tx1"/>
            </w14:solidFill>
          </w14:textFill>
        </w:rPr>
        <w:t>68</w:t>
      </w:r>
      <w:r>
        <w:rPr>
          <w:color w:val="000000" w:themeColor="text1"/>
          <w:highlight w:val="white"/>
          <w14:textFill>
            <w14:solidFill>
              <w14:schemeClr w14:val="tx1"/>
            </w14:solidFill>
          </w14:textFill>
        </w:rPr>
        <w:t>(1), p.10.</w:t>
      </w:r>
      <w:r>
        <w:rPr>
          <w:color w:val="000000" w:themeColor="text1"/>
          <w14:textFill>
            <w14:solidFill>
              <w14:schemeClr w14:val="tx1"/>
            </w14:solidFill>
          </w14:textFill>
        </w:rPr>
        <w:t xml:space="preserve"> </w:t>
      </w:r>
    </w:p>
    <w:p w14:paraId="0F33E390">
      <w:pPr>
        <w:rPr>
          <w:color w:val="000000" w:themeColor="text1"/>
          <w14:textFill>
            <w14:solidFill>
              <w14:schemeClr w14:val="tx1"/>
            </w14:solidFill>
          </w14:textFill>
        </w:rPr>
      </w:pPr>
      <w:r>
        <w:rPr>
          <w:color w:val="000000" w:themeColor="text1"/>
          <w14:textFill>
            <w14:solidFill>
              <w14:schemeClr w14:val="tx1"/>
            </w14:solidFill>
          </w14:textFill>
        </w:rPr>
        <w:t>Page, M.J., McKenzie, J.E., Bossuyt, P.M., Boutron, I., Hoffmann, T.C., Mulrow, C.D., Shamseer, L., Tetzlaff, J.M., Akl, E.A., Brennan, S.E. and Chou, R., (2021). The PRISMA 2020 statement: an updated guideline for reporting systematic reviews. </w:t>
      </w:r>
      <w:r>
        <w:rPr>
          <w:i/>
          <w:iCs/>
          <w:color w:val="000000" w:themeColor="text1"/>
          <w14:textFill>
            <w14:solidFill>
              <w14:schemeClr w14:val="tx1"/>
            </w14:solidFill>
          </w14:textFill>
        </w:rPr>
        <w:t>bmj</w:t>
      </w:r>
      <w:r>
        <w:rPr>
          <w:color w:val="000000" w:themeColor="text1"/>
          <w14:textFill>
            <w14:solidFill>
              <w14:schemeClr w14:val="tx1"/>
            </w14:solidFill>
          </w14:textFill>
        </w:rPr>
        <w:t>, </w:t>
      </w:r>
      <w:r>
        <w:rPr>
          <w:i/>
          <w:iCs/>
          <w:color w:val="000000" w:themeColor="text1"/>
          <w14:textFill>
            <w14:solidFill>
              <w14:schemeClr w14:val="tx1"/>
            </w14:solidFill>
          </w14:textFill>
        </w:rPr>
        <w:t>372</w:t>
      </w:r>
      <w:r>
        <w:rPr>
          <w:color w:val="000000" w:themeColor="text1"/>
          <w14:textFill>
            <w14:solidFill>
              <w14:schemeClr w14:val="tx1"/>
            </w14:solidFill>
          </w14:textFill>
        </w:rPr>
        <w:t xml:space="preserve">. </w:t>
      </w:r>
    </w:p>
    <w:p w14:paraId="54ADB319">
      <w:pPr>
        <w:rPr>
          <w:color w:val="000000" w:themeColor="text1"/>
          <w14:textFill>
            <w14:solidFill>
              <w14:schemeClr w14:val="tx1"/>
            </w14:solidFill>
          </w14:textFill>
        </w:rPr>
      </w:pPr>
      <w:r>
        <w:rPr>
          <w:color w:val="000000" w:themeColor="text1"/>
          <w14:textFill>
            <w14:solidFill>
              <w14:schemeClr w14:val="tx1"/>
            </w14:solidFill>
          </w14:textFill>
        </w:rPr>
        <w:t>Snyder, H., (2019). Literature review as a research methodology: An overview and guidelines. </w:t>
      </w:r>
      <w:r>
        <w:rPr>
          <w:i/>
          <w:iCs/>
          <w:color w:val="000000" w:themeColor="text1"/>
          <w14:textFill>
            <w14:solidFill>
              <w14:schemeClr w14:val="tx1"/>
            </w14:solidFill>
          </w14:textFill>
        </w:rPr>
        <w:t>Journal of business research</w:t>
      </w:r>
      <w:r>
        <w:rPr>
          <w:color w:val="000000" w:themeColor="text1"/>
          <w14:textFill>
            <w14:solidFill>
              <w14:schemeClr w14:val="tx1"/>
            </w14:solidFill>
          </w14:textFill>
        </w:rPr>
        <w:t>, </w:t>
      </w:r>
      <w:r>
        <w:rPr>
          <w:i/>
          <w:iCs/>
          <w:color w:val="000000" w:themeColor="text1"/>
          <w14:textFill>
            <w14:solidFill>
              <w14:schemeClr w14:val="tx1"/>
            </w14:solidFill>
          </w14:textFill>
        </w:rPr>
        <w:t>104</w:t>
      </w:r>
      <w:r>
        <w:rPr>
          <w:color w:val="000000" w:themeColor="text1"/>
          <w14:textFill>
            <w14:solidFill>
              <w14:schemeClr w14:val="tx1"/>
            </w14:solidFill>
          </w14:textFill>
        </w:rPr>
        <w:t>, pp.333-339.</w:t>
      </w:r>
    </w:p>
    <w:p w14:paraId="26BCB13B">
      <w:pPr>
        <w:rPr>
          <w:color w:val="000000" w:themeColor="text1"/>
          <w14:textFill>
            <w14:solidFill>
              <w14:schemeClr w14:val="tx1"/>
            </w14:solidFill>
          </w14:textFill>
        </w:rPr>
      </w:pPr>
      <w:r>
        <w:rPr>
          <w:color w:val="000000" w:themeColor="text1"/>
          <w14:textFill>
            <w14:solidFill>
              <w14:schemeClr w14:val="tx1"/>
            </w14:solidFill>
          </w14:textFill>
        </w:rPr>
        <w:t>Udokwu, C., Zimmermann, R., Norta, A., Brandtner, P., Kormiltsyn, A. and Aroh, S.M., (2023). Exerting qualitative analytics and blockchain requirement-engineering in designing and implementing a luxury products authentication system. </w:t>
      </w:r>
      <w:r>
        <w:rPr>
          <w:i/>
          <w:iCs/>
          <w:color w:val="000000" w:themeColor="text1"/>
          <w14:textFill>
            <w14:solidFill>
              <w14:schemeClr w14:val="tx1"/>
            </w14:solidFill>
          </w14:textFill>
        </w:rPr>
        <w:t>Inventions</w:t>
      </w:r>
      <w:r>
        <w:rPr>
          <w:color w:val="000000" w:themeColor="text1"/>
          <w14:textFill>
            <w14:solidFill>
              <w14:schemeClr w14:val="tx1"/>
            </w14:solidFill>
          </w14:textFill>
        </w:rPr>
        <w:t>, </w:t>
      </w:r>
      <w:r>
        <w:rPr>
          <w:i/>
          <w:iCs/>
          <w:color w:val="000000" w:themeColor="text1"/>
          <w14:textFill>
            <w14:solidFill>
              <w14:schemeClr w14:val="tx1"/>
            </w14:solidFill>
          </w14:textFill>
        </w:rPr>
        <w:t>8</w:t>
      </w:r>
      <w:r>
        <w:rPr>
          <w:color w:val="000000" w:themeColor="text1"/>
          <w14:textFill>
            <w14:solidFill>
              <w14:schemeClr w14:val="tx1"/>
            </w14:solidFill>
          </w14:textFill>
        </w:rPr>
        <w:t>(1), p.49.</w:t>
      </w:r>
    </w:p>
    <w:p w14:paraId="2FE7F489">
      <w:pPr>
        <w:rPr>
          <w:color w:val="000000" w:themeColor="text1"/>
          <w14:textFill>
            <w14:solidFill>
              <w14:schemeClr w14:val="tx1"/>
            </w14:solidFill>
          </w14:textFill>
        </w:rPr>
      </w:pPr>
      <w:r>
        <w:rPr>
          <w:color w:val="000000" w:themeColor="text1"/>
          <w14:textFill>
            <w14:solidFill>
              <w14:schemeClr w14:val="tx1"/>
            </w14:solidFill>
          </w14:textFill>
        </w:rPr>
        <w:t>Varshney, U., Karamchandani, A., Kundu, T. and Kapoor, R., (2024). Profit or prestige? Strategies for luxury brands to navigate the second-hand market using blockchain technology. </w:t>
      </w:r>
      <w:r>
        <w:rPr>
          <w:i/>
          <w:iCs/>
          <w:color w:val="000000" w:themeColor="text1"/>
          <w14:textFill>
            <w14:solidFill>
              <w14:schemeClr w14:val="tx1"/>
            </w14:solidFill>
          </w14:textFill>
        </w:rPr>
        <w:t>Transportation Research Part E: Logistics and Transportation Review</w:t>
      </w:r>
      <w:r>
        <w:rPr>
          <w:color w:val="000000" w:themeColor="text1"/>
          <w14:textFill>
            <w14:solidFill>
              <w14:schemeClr w14:val="tx1"/>
            </w14:solidFill>
          </w14:textFill>
        </w:rPr>
        <w:t>, </w:t>
      </w:r>
      <w:r>
        <w:rPr>
          <w:i/>
          <w:iCs/>
          <w:color w:val="000000" w:themeColor="text1"/>
          <w14:textFill>
            <w14:solidFill>
              <w14:schemeClr w14:val="tx1"/>
            </w14:solidFill>
          </w14:textFill>
        </w:rPr>
        <w:t>191</w:t>
      </w:r>
      <w:r>
        <w:rPr>
          <w:color w:val="000000" w:themeColor="text1"/>
          <w14:textFill>
            <w14:solidFill>
              <w14:schemeClr w14:val="tx1"/>
            </w14:solidFill>
          </w14:textFill>
        </w:rPr>
        <w:t>, p.103726.</w:t>
      </w:r>
    </w:p>
    <w:p w14:paraId="709CE5E9">
      <w:pPr>
        <w:rPr>
          <w:color w:val="000000" w:themeColor="text1"/>
          <w14:textFill>
            <w14:solidFill>
              <w14:schemeClr w14:val="tx1"/>
            </w14:solidFill>
          </w14:textFill>
        </w:rPr>
      </w:pPr>
      <w:r>
        <w:rPr>
          <w:color w:val="000000" w:themeColor="text1"/>
          <w14:textFill>
            <w14:solidFill>
              <w14:schemeClr w14:val="tx1"/>
            </w14:solidFill>
          </w14:textFill>
        </w:rPr>
        <w:t>Zhang, A. and Seuring, S., (2024). Digital product passport for sustainable and circular supply chain management: a structured review of use cases. </w:t>
      </w:r>
      <w:r>
        <w:rPr>
          <w:i/>
          <w:iCs/>
          <w:color w:val="000000" w:themeColor="text1"/>
          <w14:textFill>
            <w14:solidFill>
              <w14:schemeClr w14:val="tx1"/>
            </w14:solidFill>
          </w14:textFill>
        </w:rPr>
        <w:t>International Journal of Logistics Research and Applications</w:t>
      </w:r>
      <w:r>
        <w:rPr>
          <w:color w:val="000000" w:themeColor="text1"/>
          <w14:textFill>
            <w14:solidFill>
              <w14:schemeClr w14:val="tx1"/>
            </w14:solidFill>
          </w14:textFill>
        </w:rPr>
        <w:t>, </w:t>
      </w:r>
      <w:r>
        <w:rPr>
          <w:i/>
          <w:iCs/>
          <w:color w:val="000000" w:themeColor="text1"/>
          <w14:textFill>
            <w14:solidFill>
              <w14:schemeClr w14:val="tx1"/>
            </w14:solidFill>
          </w14:textFill>
        </w:rPr>
        <w:t>27</w:t>
      </w:r>
      <w:r>
        <w:rPr>
          <w:color w:val="000000" w:themeColor="text1"/>
          <w14:textFill>
            <w14:solidFill>
              <w14:schemeClr w14:val="tx1"/>
            </w14:solidFill>
          </w14:textFill>
        </w:rPr>
        <w:t>(12), pp.2513-2540.</w:t>
      </w:r>
    </w:p>
    <w:sectPr>
      <w:footerReference r:id="rId5" w:type="default"/>
      <w:pgSz w:w="11906" w:h="16838"/>
      <w:pgMar w:top="1440" w:right="1440" w:bottom="1440" w:left="1440" w:header="708" w:footer="708"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D3B6CAA5-0C1B-4A21-A8D1-2D9C13474297}"/>
  </w:font>
  <w:font w:name="Arial">
    <w:panose1 w:val="020B0604020202020204"/>
    <w:charset w:val="00"/>
    <w:family w:val="swiss"/>
    <w:pitch w:val="default"/>
    <w:sig w:usb0="E0002EFF" w:usb1="C000785B" w:usb2="00000009" w:usb3="00000000" w:csb0="400001FF" w:csb1="FFFF0000"/>
    <w:embedRegular r:id="rId2" w:fontKey="{13F674EA-9DAD-4F1A-81DE-5064E5B5A0E2}"/>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EEF9135D-39B4-4B80-8C8B-4825283F1901}"/>
  </w:font>
  <w:font w:name="Wingdings">
    <w:panose1 w:val="05000000000000000000"/>
    <w:charset w:val="02"/>
    <w:family w:val="auto"/>
    <w:pitch w:val="default"/>
    <w:sig w:usb0="00000000" w:usb1="00000000" w:usb2="00000000" w:usb3="00000000" w:csb0="80000000" w:csb1="00000000"/>
    <w:embedRegular r:id="rId4" w:fontKey="{FAFF34D8-DFB5-4991-A888-7EA257D84A7E}"/>
  </w:font>
  <w:font w:name="Calibri">
    <w:panose1 w:val="020F0502020204030204"/>
    <w:charset w:val="00"/>
    <w:family w:val="swiss"/>
    <w:pitch w:val="default"/>
    <w:sig w:usb0="E4002EFF" w:usb1="C200247B" w:usb2="00000009" w:usb3="00000000" w:csb0="200001FF" w:csb1="00000000"/>
    <w:embedRegular r:id="rId5" w:fontKey="{4E10326B-C517-4E5C-ACDC-F569ECE0E3C7}"/>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embedRegular r:id="rId6" w:fontKey="{D35FEF26-E2DA-446D-8093-3EDD2402F5E9}"/>
  </w:font>
  <w:font w:name="Mangal">
    <w:panose1 w:val="02040503050203030202"/>
    <w:charset w:val="00"/>
    <w:family w:val="roman"/>
    <w:pitch w:val="default"/>
    <w:sig w:usb0="00008003" w:usb1="00000000" w:usb2="00000000" w:usb3="00000000" w:csb0="00000001" w:csb1="00000000"/>
    <w:embedRegular r:id="rId7" w:fontKey="{2AC0AFCC-7A20-4360-9ABD-C32436316294}"/>
  </w:font>
  <w:font w:name="Noto Sans Symbols">
    <w:altName w:val="Segoe Print"/>
    <w:panose1 w:val="00000000000000000000"/>
    <w:charset w:val="00"/>
    <w:family w:val="auto"/>
    <w:pitch w:val="default"/>
    <w:sig w:usb0="00000000" w:usb1="00000000" w:usb2="00000000" w:usb3="00000000" w:csb0="00000000" w:csb1="00000000"/>
    <w:embedRegular r:id="rId8" w:fontKey="{2C0F5FB9-DEB9-47FE-AAE1-A62F42889507}"/>
  </w:font>
  <w:font w:name="Symbol">
    <w:panose1 w:val="05050102010706020507"/>
    <w:charset w:val="02"/>
    <w:family w:val="roman"/>
    <w:pitch w:val="default"/>
    <w:sig w:usb0="00000000" w:usb1="00000000" w:usb2="00000000" w:usb3="00000000" w:csb0="80000000" w:csb1="00000000"/>
    <w:embedRegular r:id="rId9" w:fontKey="{039E14C2-2176-47A3-A16E-97C4613D0DBE}"/>
  </w:font>
  <w:font w:name="Segoe Print">
    <w:panose1 w:val="02000600000000000000"/>
    <w:charset w:val="00"/>
    <w:family w:val="auto"/>
    <w:pitch w:val="default"/>
    <w:sig w:usb0="0000028F" w:usb1="00000000" w:usb2="00000000" w:usb3="00000000" w:csb0="2000009F" w:csb1="47010000"/>
    <w:embedRegular r:id="rId10" w:fontKey="{B05F75C9-D8A1-4AD5-AC0A-52BDC111A604}"/>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D36CF15">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after="0" w:line="240" w:lineRule="auto"/>
      <w:jc w:val="right"/>
      <w:rPr>
        <w:color w:val="000000"/>
        <w:sz w:val="20"/>
        <w:szCs w:val="20"/>
      </w:rPr>
    </w:pPr>
    <w:r>
      <w:rPr>
        <w:color w:val="000000"/>
        <w:sz w:val="20"/>
        <w:szCs w:val="20"/>
      </w:rPr>
      <w:fldChar w:fldCharType="begin"/>
    </w:r>
    <w:r>
      <w:rPr>
        <w:color w:val="000000"/>
        <w:sz w:val="20"/>
        <w:szCs w:val="20"/>
      </w:rPr>
      <w:instrText xml:space="preserve">PAGE</w:instrText>
    </w:r>
    <w:r>
      <w:rPr>
        <w:color w:val="000000"/>
        <w:sz w:val="20"/>
        <w:szCs w:val="20"/>
      </w:rPr>
      <w:fldChar w:fldCharType="separate"/>
    </w:r>
    <w:r>
      <w:rPr>
        <w:color w:val="000000"/>
        <w:sz w:val="20"/>
        <w:szCs w:val="20"/>
      </w:rPr>
      <w:t>1</w:t>
    </w:r>
    <w:r>
      <w:rPr>
        <w:color w:val="000000"/>
        <w:sz w:val="20"/>
        <w:szCs w:val="20"/>
      </w:rPr>
      <w:fldChar w:fldCharType="end"/>
    </w:r>
  </w:p>
  <w:p w14:paraId="0AB306CA">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9F05C98"/>
    <w:multiLevelType w:val="multilevel"/>
    <w:tmpl w:val="09F05C98"/>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1">
    <w:nsid w:val="3CD858CF"/>
    <w:multiLevelType w:val="multilevel"/>
    <w:tmpl w:val="3CD858CF"/>
    <w:lvl w:ilvl="0" w:tentative="0">
      <w:start w:val="1"/>
      <w:numFmt w:val="decimal"/>
      <w:lvlText w:val="%1."/>
      <w:lvlJc w:val="left"/>
      <w:pPr>
        <w:ind w:left="720" w:hanging="360"/>
      </w:pPr>
      <w:rPr>
        <w:rFonts w:hint="default"/>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7"/>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3591"/>
    <w:rsid w:val="000125F5"/>
    <w:rsid w:val="000323FB"/>
    <w:rsid w:val="000E2490"/>
    <w:rsid w:val="00102889"/>
    <w:rsid w:val="00165B4B"/>
    <w:rsid w:val="002A3591"/>
    <w:rsid w:val="00425DF0"/>
    <w:rsid w:val="00456860"/>
    <w:rsid w:val="00514F3C"/>
    <w:rsid w:val="00563535"/>
    <w:rsid w:val="0063107B"/>
    <w:rsid w:val="00AB4413"/>
    <w:rsid w:val="00B42A7E"/>
    <w:rsid w:val="00B745C3"/>
    <w:rsid w:val="00C6367A"/>
    <w:rsid w:val="00C70DFE"/>
    <w:rsid w:val="00DD26BE"/>
    <w:rsid w:val="00DF3BC2"/>
    <w:rsid w:val="00E30B96"/>
    <w:rsid w:val="00E65DC4"/>
    <w:rsid w:val="00F854E8"/>
    <w:rsid w:val="0AB3729B"/>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imes New Roman" w:cs="Times New Roman"/>
      <w:sz w:val="24"/>
      <w:szCs w:val="24"/>
      <w:lang w:val="en-IN" w:eastAsia="en-IN" w:bidi="ar-SA"/>
    </w:rPr>
  </w:style>
  <w:style w:type="paragraph" w:styleId="2">
    <w:name w:val="heading 1"/>
    <w:basedOn w:val="1"/>
    <w:next w:val="1"/>
    <w:qFormat/>
    <w:uiPriority w:val="9"/>
    <w:pPr>
      <w:keepNext/>
      <w:keepLines/>
      <w:spacing w:before="400" w:after="120"/>
      <w:outlineLvl w:val="0"/>
    </w:pPr>
    <w:rPr>
      <w:b/>
      <w:bCs/>
    </w:rPr>
  </w:style>
  <w:style w:type="paragraph" w:styleId="3">
    <w:name w:val="heading 2"/>
    <w:basedOn w:val="1"/>
    <w:next w:val="1"/>
    <w:semiHidden/>
    <w:unhideWhenUsed/>
    <w:qFormat/>
    <w:uiPriority w:val="9"/>
    <w:pPr>
      <w:keepNext/>
      <w:keepLines/>
      <w:spacing w:before="160" w:after="80"/>
      <w:outlineLvl w:val="1"/>
    </w:pPr>
    <w:rPr>
      <w:rFonts w:ascii="Calibri" w:hAnsi="Calibri" w:eastAsia="Calibri" w:cs="Calibri"/>
      <w:color w:val="2F5496"/>
      <w:sz w:val="32"/>
      <w:szCs w:val="32"/>
    </w:rPr>
  </w:style>
  <w:style w:type="paragraph" w:styleId="4">
    <w:name w:val="heading 3"/>
    <w:basedOn w:val="1"/>
    <w:next w:val="1"/>
    <w:semiHidden/>
    <w:unhideWhenUsed/>
    <w:qFormat/>
    <w:uiPriority w:val="9"/>
    <w:pPr>
      <w:keepNext/>
      <w:keepLines/>
      <w:spacing w:before="160" w:after="80"/>
      <w:outlineLvl w:val="2"/>
    </w:pPr>
    <w:rPr>
      <w:color w:val="2F5496"/>
      <w:sz w:val="28"/>
      <w:szCs w:val="28"/>
    </w:rPr>
  </w:style>
  <w:style w:type="paragraph" w:styleId="5">
    <w:name w:val="heading 4"/>
    <w:basedOn w:val="1"/>
    <w:next w:val="1"/>
    <w:semiHidden/>
    <w:unhideWhenUsed/>
    <w:qFormat/>
    <w:uiPriority w:val="9"/>
    <w:pPr>
      <w:keepNext/>
      <w:keepLines/>
      <w:spacing w:before="80" w:after="40"/>
      <w:outlineLvl w:val="3"/>
    </w:pPr>
    <w:rPr>
      <w:i/>
      <w:iCs/>
      <w:color w:val="2F5496"/>
    </w:rPr>
  </w:style>
  <w:style w:type="paragraph" w:styleId="6">
    <w:name w:val="heading 5"/>
    <w:basedOn w:val="1"/>
    <w:next w:val="1"/>
    <w:semiHidden/>
    <w:unhideWhenUsed/>
    <w:qFormat/>
    <w:uiPriority w:val="9"/>
    <w:pPr>
      <w:keepNext/>
      <w:keepLines/>
      <w:spacing w:before="80" w:after="40"/>
      <w:outlineLvl w:val="4"/>
    </w:pPr>
    <w:rPr>
      <w:color w:val="2F5496"/>
    </w:rPr>
  </w:style>
  <w:style w:type="paragraph" w:styleId="7">
    <w:name w:val="heading 6"/>
    <w:basedOn w:val="1"/>
    <w:next w:val="1"/>
    <w:semiHidden/>
    <w:unhideWhenUsed/>
    <w:qFormat/>
    <w:uiPriority w:val="9"/>
    <w:pPr>
      <w:keepNext/>
      <w:keepLines/>
      <w:spacing w:before="40" w:after="0"/>
      <w:outlineLvl w:val="5"/>
    </w:pPr>
    <w:rPr>
      <w:i/>
      <w:iCs/>
      <w:color w:val="595959"/>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character" w:styleId="10">
    <w:name w:val="Hyperlink"/>
    <w:basedOn w:val="8"/>
    <w:unhideWhenUsed/>
    <w:uiPriority w:val="99"/>
    <w:rPr>
      <w:color w:val="0000FF" w:themeColor="hyperlink"/>
      <w:u w:val="single"/>
      <w14:textFill>
        <w14:solidFill>
          <w14:schemeClr w14:val="hlink"/>
        </w14:solidFill>
      </w14:textFill>
    </w:rPr>
  </w:style>
  <w:style w:type="paragraph" w:styleId="11">
    <w:name w:val="Subtitle"/>
    <w:basedOn w:val="1"/>
    <w:next w:val="1"/>
    <w:qFormat/>
    <w:uiPriority w:val="11"/>
    <w:rPr>
      <w:color w:val="595959"/>
      <w:sz w:val="28"/>
      <w:szCs w:val="28"/>
    </w:rPr>
  </w:style>
  <w:style w:type="paragraph" w:styleId="12">
    <w:name w:val="Title"/>
    <w:basedOn w:val="1"/>
    <w:next w:val="1"/>
    <w:qFormat/>
    <w:uiPriority w:val="10"/>
    <w:pPr>
      <w:spacing w:after="80" w:line="240" w:lineRule="auto"/>
    </w:pPr>
    <w:rPr>
      <w:rFonts w:ascii="Calibri" w:hAnsi="Calibri" w:eastAsia="Calibri" w:cs="Calibri"/>
      <w:sz w:val="56"/>
      <w:szCs w:val="56"/>
    </w:rPr>
  </w:style>
  <w:style w:type="paragraph" w:styleId="13">
    <w:name w:val="toc 1"/>
    <w:basedOn w:val="1"/>
    <w:next w:val="1"/>
    <w:autoRedefine/>
    <w:unhideWhenUsed/>
    <w:qFormat/>
    <w:uiPriority w:val="39"/>
    <w:pPr>
      <w:spacing w:after="100"/>
    </w:pPr>
  </w:style>
  <w:style w:type="table" w:customStyle="1" w:styleId="14">
    <w:name w:val="TableNormal"/>
    <w:qFormat/>
    <w:uiPriority w:val="0"/>
    <w:tblPr>
      <w:tblCellMar>
        <w:top w:w="100" w:type="dxa"/>
        <w:left w:w="100" w:type="dxa"/>
        <w:bottom w:w="100" w:type="dxa"/>
        <w:right w:w="100" w:type="dxa"/>
      </w:tblCellMar>
    </w:tblPr>
  </w:style>
  <w:style w:type="table" w:customStyle="1" w:styleId="15">
    <w:name w:val="_Style 12"/>
    <w:basedOn w:val="14"/>
    <w:qFormat/>
    <w:uiPriority w:val="0"/>
    <w:pPr>
      <w:spacing w:after="0" w:line="240" w:lineRule="auto"/>
    </w:pPr>
    <w:tblPr>
      <w:tblCellMar>
        <w:top w:w="0" w:type="dxa"/>
        <w:left w:w="108" w:type="dxa"/>
        <w:bottom w:w="0" w:type="dxa"/>
        <w:right w:w="108" w:type="dxa"/>
      </w:tblCellMar>
    </w:tblPr>
  </w:style>
  <w:style w:type="paragraph" w:styleId="16">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9" Type="http://schemas.openxmlformats.org/officeDocument/2006/relationships/font" Target="fonts/font9.odttf"/><Relationship Id="rId8" Type="http://schemas.openxmlformats.org/officeDocument/2006/relationships/font" Target="fonts/font8.odttf"/><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0" Type="http://schemas.openxmlformats.org/officeDocument/2006/relationships/font" Target="fonts/font10.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Z4hHpRNgwMaQJcRVRAjfBbdCBmw==">CgMxLjAyDmguZzhvMWZmNW1xdmR5Mg5oLjRsNHZmazRvbmN3bjIOaC5udnRrbmNneXZxbWMyDmgub3M3NGN1YWJiY3FiMg5oLnQwaWZpY24wNnpxNDIOaC5xc2N4N3hpb3N6b3AyDmgubmRjbmdtNjlsczRjMg5oLjJtcW04aHR1d2NuODgAciExSFFkeHB6S0xGaEJRczNScE5JWHFnV3AxYW8xeTFsR00=</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11</Pages>
  <Words>2519</Words>
  <Characters>15056</Characters>
  <Lines>131</Lines>
  <Paragraphs>36</Paragraphs>
  <TotalTime>15</TotalTime>
  <ScaleCrop>false</ScaleCrop>
  <LinksUpToDate>false</LinksUpToDate>
  <CharactersWithSpaces>17545</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2026-07-09T16:45:00Z</dcterms:created>
  <dc:creator>dipak</dc:creator>
  <cp:lastModifiedBy>WPS_1778156025</cp:lastModifiedBy>
  <dcterms:modified xsi:type="dcterms:W3CDTF">2026-07-16T13:34:26Z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eyJoZGlkIjoiNmNjZTM1MDFjMzExNDU2NzczODQ3N2YzYWY2MmYxMWEiLCJ1c2VySWQiOiIzODQ4MjkyMDYzODE2In0=</vt:lpwstr>
  </property>
  <property fmtid="{D5CDD505-2E9C-101B-9397-08002B2CF9AE}" pid="3" name="KSOProductBuildVer">
    <vt:lpwstr>1033-12.1.0.26880</vt:lpwstr>
  </property>
  <property fmtid="{D5CDD505-2E9C-101B-9397-08002B2CF9AE}" pid="4" name="ICV">
    <vt:lpwstr>A3EE298084914B93A0D465B6A0B6D20A_12</vt:lpwstr>
  </property>
</Properties>
</file>