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49691" w14:textId="77777777" w:rsidR="006F002C" w:rsidRPr="0048389D" w:rsidRDefault="006F002C" w:rsidP="006F002C">
      <w:pPr>
        <w:rPr>
          <w:b/>
          <w:bCs/>
        </w:rPr>
      </w:pPr>
      <w:r w:rsidRPr="0048389D">
        <w:rPr>
          <w:noProof/>
        </w:rPr>
        <w:drawing>
          <wp:inline distT="0" distB="0" distL="0" distR="0" wp14:anchorId="54E4206C" wp14:editId="7CEBB319">
            <wp:extent cx="2273300" cy="914400"/>
            <wp:effectExtent l="0" t="0" r="0" b="0"/>
            <wp:docPr id="1426454011"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4" descr="UWTSD logo with na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77241" cy="915985"/>
                    </a:xfrm>
                    <a:prstGeom prst="rect">
                      <a:avLst/>
                    </a:prstGeom>
                    <a:noFill/>
                    <a:ln>
                      <a:noFill/>
                    </a:ln>
                  </pic:spPr>
                </pic:pic>
              </a:graphicData>
            </a:graphic>
          </wp:inline>
        </w:drawing>
      </w:r>
    </w:p>
    <w:p w14:paraId="3390E569" w14:textId="77777777" w:rsidR="006F002C" w:rsidRPr="0048389D" w:rsidRDefault="006F002C" w:rsidP="006F002C">
      <w:pPr>
        <w:rPr>
          <w:b/>
          <w:bCs/>
        </w:rPr>
      </w:pPr>
    </w:p>
    <w:p w14:paraId="58BDB17B" w14:textId="77777777" w:rsidR="006F002C" w:rsidRPr="0048389D" w:rsidRDefault="006F002C" w:rsidP="006F002C">
      <w:pPr>
        <w:rPr>
          <w:b/>
          <w:bCs/>
        </w:rPr>
      </w:pPr>
    </w:p>
    <w:p w14:paraId="004E9F58" w14:textId="77777777" w:rsidR="006F002C" w:rsidRPr="0048389D" w:rsidRDefault="006F002C" w:rsidP="006F002C">
      <w:pPr>
        <w:rPr>
          <w:b/>
          <w:bCs/>
        </w:rPr>
      </w:pPr>
    </w:p>
    <w:p w14:paraId="63439668" w14:textId="77777777" w:rsidR="006F002C" w:rsidRDefault="006F002C" w:rsidP="006F002C">
      <w:pPr>
        <w:jc w:val="center"/>
        <w:rPr>
          <w:sz w:val="44"/>
          <w:szCs w:val="44"/>
        </w:rPr>
      </w:pPr>
    </w:p>
    <w:p w14:paraId="32EE10C4" w14:textId="47C275A9" w:rsidR="006F002C" w:rsidRPr="0048389D" w:rsidRDefault="00A0173D" w:rsidP="006F002C">
      <w:pPr>
        <w:jc w:val="center"/>
        <w:rPr>
          <w:sz w:val="44"/>
          <w:szCs w:val="44"/>
        </w:rPr>
      </w:pPr>
      <w:r>
        <w:rPr>
          <w:sz w:val="44"/>
          <w:szCs w:val="44"/>
        </w:rPr>
        <w:t>M</w:t>
      </w:r>
      <w:r w:rsidR="006F002C" w:rsidRPr="0048389D">
        <w:rPr>
          <w:sz w:val="44"/>
          <w:szCs w:val="44"/>
        </w:rPr>
        <w:t xml:space="preserve">BA </w:t>
      </w:r>
      <w:r>
        <w:rPr>
          <w:sz w:val="44"/>
          <w:szCs w:val="44"/>
        </w:rPr>
        <w:t xml:space="preserve">INTERNATIONAL </w:t>
      </w:r>
      <w:r w:rsidR="006F002C" w:rsidRPr="0048389D">
        <w:rPr>
          <w:sz w:val="44"/>
          <w:szCs w:val="44"/>
        </w:rPr>
        <w:t>BUSINESS</w:t>
      </w:r>
    </w:p>
    <w:p w14:paraId="7205F02A" w14:textId="34082200" w:rsidR="006F002C" w:rsidRDefault="00A0173D" w:rsidP="006F002C">
      <w:pPr>
        <w:jc w:val="center"/>
        <w:rPr>
          <w:sz w:val="44"/>
          <w:szCs w:val="44"/>
        </w:rPr>
      </w:pPr>
      <w:bookmarkStart w:id="0" w:name="_heading=h.30j0zll"/>
      <w:bookmarkEnd w:id="0"/>
      <w:r>
        <w:rPr>
          <w:sz w:val="44"/>
          <w:szCs w:val="44"/>
        </w:rPr>
        <w:t>Human Capital</w:t>
      </w:r>
      <w:r w:rsidR="006F002C">
        <w:rPr>
          <w:sz w:val="44"/>
          <w:szCs w:val="44"/>
        </w:rPr>
        <w:t xml:space="preserve"> Management</w:t>
      </w:r>
    </w:p>
    <w:p w14:paraId="68DB679A" w14:textId="77777777" w:rsidR="006F002C" w:rsidRDefault="006F002C" w:rsidP="006F002C">
      <w:pPr>
        <w:jc w:val="center"/>
        <w:rPr>
          <w:sz w:val="44"/>
          <w:szCs w:val="44"/>
        </w:rPr>
      </w:pPr>
    </w:p>
    <w:p w14:paraId="442271F6" w14:textId="77777777" w:rsidR="006F002C" w:rsidRDefault="006F002C" w:rsidP="006F002C">
      <w:pPr>
        <w:spacing w:line="480" w:lineRule="auto"/>
        <w:jc w:val="center"/>
        <w:rPr>
          <w:rFonts w:ascii="Times New Roman" w:eastAsia="Times New Roman" w:hAnsi="Times New Roman" w:cs="Times New Roman"/>
        </w:rPr>
      </w:pPr>
    </w:p>
    <w:p w14:paraId="787ABD3C" w14:textId="77777777" w:rsidR="006F002C" w:rsidRDefault="006F002C" w:rsidP="006F002C">
      <w:pPr>
        <w:spacing w:line="480" w:lineRule="auto"/>
        <w:jc w:val="center"/>
        <w:rPr>
          <w:rFonts w:ascii="Times New Roman" w:eastAsia="Times New Roman" w:hAnsi="Times New Roman" w:cs="Times New Roman"/>
        </w:rPr>
      </w:pPr>
    </w:p>
    <w:p w14:paraId="6E0A43BA" w14:textId="77777777" w:rsidR="006F002C" w:rsidRPr="0048389D" w:rsidRDefault="006F002C" w:rsidP="006F002C">
      <w:pPr>
        <w:jc w:val="center"/>
        <w:rPr>
          <w:sz w:val="44"/>
          <w:szCs w:val="44"/>
        </w:rPr>
      </w:pPr>
    </w:p>
    <w:p w14:paraId="1AD535A7" w14:textId="77777777" w:rsidR="006F002C" w:rsidRPr="0048389D" w:rsidRDefault="006F002C" w:rsidP="006F002C"/>
    <w:p w14:paraId="0077FD8C" w14:textId="77777777" w:rsidR="006F002C" w:rsidRPr="0048389D" w:rsidRDefault="006F002C" w:rsidP="006F002C"/>
    <w:p w14:paraId="164687FA" w14:textId="77777777" w:rsidR="006F002C" w:rsidRPr="0048389D" w:rsidRDefault="006F002C" w:rsidP="006F002C"/>
    <w:p w14:paraId="2ADB4A6E" w14:textId="77777777" w:rsidR="006F002C" w:rsidRPr="0048389D" w:rsidRDefault="006F002C" w:rsidP="006F002C"/>
    <w:p w14:paraId="39C31D50" w14:textId="77777777" w:rsidR="006F002C" w:rsidRPr="0048389D" w:rsidRDefault="006F002C" w:rsidP="006F002C"/>
    <w:p w14:paraId="0D4862DD" w14:textId="77777777" w:rsidR="006F002C" w:rsidRPr="0048389D" w:rsidRDefault="006F002C" w:rsidP="006F002C"/>
    <w:p w14:paraId="2D057D85" w14:textId="17EEDE69" w:rsidR="006F002C" w:rsidRDefault="006F002C" w:rsidP="006F002C">
      <w:pPr>
        <w:rPr>
          <w:iCs/>
        </w:rPr>
      </w:pPr>
      <w:r w:rsidRPr="0048389D">
        <w:rPr>
          <w:i/>
        </w:rPr>
        <w:t>Lect</w:t>
      </w:r>
      <w:r>
        <w:rPr>
          <w:i/>
        </w:rPr>
        <w:t>ure</w:t>
      </w:r>
      <w:r w:rsidRPr="0048389D">
        <w:rPr>
          <w:i/>
        </w:rPr>
        <w:t xml:space="preserve">r: </w:t>
      </w:r>
      <w:r w:rsidRPr="0048389D">
        <w:rPr>
          <w:iCs/>
        </w:rPr>
        <w:t xml:space="preserve">Dr. </w:t>
      </w:r>
      <w:r w:rsidR="0075015C">
        <w:rPr>
          <w:iCs/>
        </w:rPr>
        <w:t>Gladius Kulothungan</w:t>
      </w:r>
    </w:p>
    <w:p w14:paraId="46AD2ADD" w14:textId="2D09F0EA" w:rsidR="006F002C" w:rsidRPr="0048389D" w:rsidRDefault="006F002C" w:rsidP="006F002C">
      <w:pPr>
        <w:rPr>
          <w:i/>
        </w:rPr>
      </w:pPr>
      <w:r>
        <w:rPr>
          <w:i/>
        </w:rPr>
        <w:t>Module</w:t>
      </w:r>
      <w:r w:rsidRPr="0048389D">
        <w:rPr>
          <w:i/>
        </w:rPr>
        <w:t xml:space="preserve"> code: </w:t>
      </w:r>
      <w:r w:rsidRPr="0048389D">
        <w:rPr>
          <w:iCs/>
        </w:rPr>
        <w:t>LC</w:t>
      </w:r>
      <w:r w:rsidR="00547C01">
        <w:rPr>
          <w:iCs/>
        </w:rPr>
        <w:t>M</w:t>
      </w:r>
      <w:r>
        <w:rPr>
          <w:iCs/>
        </w:rPr>
        <w:t>B</w:t>
      </w:r>
      <w:r w:rsidR="00366BD2">
        <w:rPr>
          <w:iCs/>
        </w:rPr>
        <w:t>7</w:t>
      </w:r>
      <w:r>
        <w:rPr>
          <w:iCs/>
        </w:rPr>
        <w:t>0</w:t>
      </w:r>
      <w:r w:rsidR="00366BD2">
        <w:rPr>
          <w:iCs/>
        </w:rPr>
        <w:t>23</w:t>
      </w:r>
    </w:p>
    <w:p w14:paraId="7C522810" w14:textId="77777777" w:rsidR="006F002C" w:rsidRPr="0048389D" w:rsidRDefault="006F002C" w:rsidP="006F002C">
      <w:pPr>
        <w:rPr>
          <w:iCs/>
        </w:rPr>
      </w:pPr>
      <w:r w:rsidRPr="0048389D">
        <w:rPr>
          <w:i/>
        </w:rPr>
        <w:t xml:space="preserve">Student name: </w:t>
      </w:r>
      <w:r>
        <w:rPr>
          <w:iCs/>
        </w:rPr>
        <w:t>Cristian Stoleru</w:t>
      </w:r>
    </w:p>
    <w:p w14:paraId="76D7EE76" w14:textId="77777777" w:rsidR="006F002C" w:rsidRPr="0048389D" w:rsidRDefault="006F002C" w:rsidP="006F002C">
      <w:pPr>
        <w:rPr>
          <w:i/>
        </w:rPr>
      </w:pPr>
      <w:r w:rsidRPr="0048389D">
        <w:rPr>
          <w:i/>
        </w:rPr>
        <w:t xml:space="preserve">Student ID: </w:t>
      </w:r>
      <w:r w:rsidRPr="0048389D">
        <w:rPr>
          <w:iCs/>
        </w:rPr>
        <w:t>221</w:t>
      </w:r>
      <w:r w:rsidRPr="00621BF1">
        <w:rPr>
          <w:iCs/>
        </w:rPr>
        <w:t>5119</w:t>
      </w:r>
    </w:p>
    <w:p w14:paraId="356165E0" w14:textId="77777777" w:rsidR="00D029F6" w:rsidRDefault="00D029F6" w:rsidP="00D029F6">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lastRenderedPageBreak/>
        <w:t>Contents</w:t>
      </w:r>
    </w:p>
    <w:sdt>
      <w:sdtPr>
        <w:id w:val="-547462712"/>
        <w:docPartObj>
          <w:docPartGallery w:val="Table of Contents"/>
          <w:docPartUnique/>
        </w:docPartObj>
      </w:sdtPr>
      <w:sdtContent>
        <w:p w14:paraId="485934AF" w14:textId="03F5DAC9" w:rsidR="00765230" w:rsidRDefault="00D029F6">
          <w:pPr>
            <w:pStyle w:val="TOC1"/>
            <w:tabs>
              <w:tab w:val="right" w:leader="dot" w:pos="9016"/>
            </w:tabs>
            <w:rPr>
              <w:noProof/>
            </w:rPr>
          </w:pPr>
          <w:r>
            <w:fldChar w:fldCharType="begin"/>
          </w:r>
          <w:r>
            <w:instrText xml:space="preserve"> TOC \h \u \z \t "Heading 1,1,Heading 2,2,Heading 3,3,"</w:instrText>
          </w:r>
          <w:r>
            <w:fldChar w:fldCharType="separate"/>
          </w:r>
          <w:hyperlink w:anchor="_Toc213875827" w:history="1">
            <w:r w:rsidR="00765230" w:rsidRPr="002E0DFC">
              <w:rPr>
                <w:rStyle w:val="Hyperlink"/>
                <w:rFonts w:ascii="Times New Roman" w:eastAsia="Times New Roman" w:hAnsi="Times New Roman" w:cs="Times New Roman"/>
                <w:noProof/>
              </w:rPr>
              <w:t>Question 1: Technological Advancements and the Reshaping of Labour Markets: Implications for HRM and IHRM Strategies</w:t>
            </w:r>
            <w:r w:rsidR="00765230">
              <w:rPr>
                <w:noProof/>
                <w:webHidden/>
              </w:rPr>
              <w:tab/>
            </w:r>
            <w:r w:rsidR="00765230">
              <w:rPr>
                <w:noProof/>
                <w:webHidden/>
              </w:rPr>
              <w:fldChar w:fldCharType="begin"/>
            </w:r>
            <w:r w:rsidR="00765230">
              <w:rPr>
                <w:noProof/>
                <w:webHidden/>
              </w:rPr>
              <w:instrText xml:space="preserve"> PAGEREF _Toc213875827 \h </w:instrText>
            </w:r>
            <w:r w:rsidR="00765230">
              <w:rPr>
                <w:noProof/>
                <w:webHidden/>
              </w:rPr>
            </w:r>
            <w:r w:rsidR="00765230">
              <w:rPr>
                <w:noProof/>
                <w:webHidden/>
              </w:rPr>
              <w:fldChar w:fldCharType="separate"/>
            </w:r>
            <w:r w:rsidR="00765230">
              <w:rPr>
                <w:noProof/>
                <w:webHidden/>
              </w:rPr>
              <w:t>3</w:t>
            </w:r>
            <w:r w:rsidR="00765230">
              <w:rPr>
                <w:noProof/>
                <w:webHidden/>
              </w:rPr>
              <w:fldChar w:fldCharType="end"/>
            </w:r>
          </w:hyperlink>
        </w:p>
        <w:p w14:paraId="214707C0" w14:textId="179AFBE8" w:rsidR="00765230" w:rsidRDefault="00765230">
          <w:pPr>
            <w:pStyle w:val="TOC2"/>
            <w:tabs>
              <w:tab w:val="right" w:leader="dot" w:pos="9016"/>
            </w:tabs>
            <w:rPr>
              <w:noProof/>
            </w:rPr>
          </w:pPr>
          <w:hyperlink w:anchor="_Toc213875828" w:history="1">
            <w:r w:rsidRPr="002E0DFC">
              <w:rPr>
                <w:rStyle w:val="Hyperlink"/>
                <w:rFonts w:ascii="Times New Roman" w:eastAsia="Times New Roman" w:hAnsi="Times New Roman" w:cs="Times New Roman"/>
                <w:noProof/>
              </w:rPr>
              <w:t>1.1. Labour Market Transformation: Polarization and Fluidity</w:t>
            </w:r>
            <w:r>
              <w:rPr>
                <w:noProof/>
                <w:webHidden/>
              </w:rPr>
              <w:tab/>
            </w:r>
            <w:r>
              <w:rPr>
                <w:noProof/>
                <w:webHidden/>
              </w:rPr>
              <w:fldChar w:fldCharType="begin"/>
            </w:r>
            <w:r>
              <w:rPr>
                <w:noProof/>
                <w:webHidden/>
              </w:rPr>
              <w:instrText xml:space="preserve"> PAGEREF _Toc213875828 \h </w:instrText>
            </w:r>
            <w:r>
              <w:rPr>
                <w:noProof/>
                <w:webHidden/>
              </w:rPr>
            </w:r>
            <w:r>
              <w:rPr>
                <w:noProof/>
                <w:webHidden/>
              </w:rPr>
              <w:fldChar w:fldCharType="separate"/>
            </w:r>
            <w:r>
              <w:rPr>
                <w:noProof/>
                <w:webHidden/>
              </w:rPr>
              <w:t>3</w:t>
            </w:r>
            <w:r>
              <w:rPr>
                <w:noProof/>
                <w:webHidden/>
              </w:rPr>
              <w:fldChar w:fldCharType="end"/>
            </w:r>
          </w:hyperlink>
        </w:p>
        <w:p w14:paraId="3D0112FD" w14:textId="441263FB" w:rsidR="00765230" w:rsidRDefault="00765230">
          <w:pPr>
            <w:pStyle w:val="TOC2"/>
            <w:tabs>
              <w:tab w:val="right" w:leader="dot" w:pos="9016"/>
            </w:tabs>
            <w:rPr>
              <w:noProof/>
            </w:rPr>
          </w:pPr>
          <w:hyperlink w:anchor="_Toc213875829" w:history="1">
            <w:r w:rsidRPr="002E0DFC">
              <w:rPr>
                <w:rStyle w:val="Hyperlink"/>
                <w:rFonts w:ascii="Times New Roman" w:eastAsia="Times New Roman" w:hAnsi="Times New Roman" w:cs="Times New Roman"/>
                <w:noProof/>
              </w:rPr>
              <w:t>1.2. Strategic Implications for Domestic HRM</w:t>
            </w:r>
            <w:r>
              <w:rPr>
                <w:noProof/>
                <w:webHidden/>
              </w:rPr>
              <w:tab/>
            </w:r>
            <w:r>
              <w:rPr>
                <w:noProof/>
                <w:webHidden/>
              </w:rPr>
              <w:fldChar w:fldCharType="begin"/>
            </w:r>
            <w:r>
              <w:rPr>
                <w:noProof/>
                <w:webHidden/>
              </w:rPr>
              <w:instrText xml:space="preserve"> PAGEREF _Toc213875829 \h </w:instrText>
            </w:r>
            <w:r>
              <w:rPr>
                <w:noProof/>
                <w:webHidden/>
              </w:rPr>
            </w:r>
            <w:r>
              <w:rPr>
                <w:noProof/>
                <w:webHidden/>
              </w:rPr>
              <w:fldChar w:fldCharType="separate"/>
            </w:r>
            <w:r>
              <w:rPr>
                <w:noProof/>
                <w:webHidden/>
              </w:rPr>
              <w:t>4</w:t>
            </w:r>
            <w:r>
              <w:rPr>
                <w:noProof/>
                <w:webHidden/>
              </w:rPr>
              <w:fldChar w:fldCharType="end"/>
            </w:r>
          </w:hyperlink>
        </w:p>
        <w:p w14:paraId="6D423D43" w14:textId="5A7FE5C7" w:rsidR="00765230" w:rsidRDefault="00765230">
          <w:pPr>
            <w:pStyle w:val="TOC2"/>
            <w:tabs>
              <w:tab w:val="right" w:leader="dot" w:pos="9016"/>
            </w:tabs>
            <w:rPr>
              <w:noProof/>
            </w:rPr>
          </w:pPr>
          <w:hyperlink w:anchor="_Toc213875830" w:history="1">
            <w:r w:rsidRPr="002E0DFC">
              <w:rPr>
                <w:rStyle w:val="Hyperlink"/>
                <w:rFonts w:ascii="Times New Roman" w:eastAsia="Times New Roman" w:hAnsi="Times New Roman" w:cs="Times New Roman"/>
                <w:noProof/>
              </w:rPr>
              <w:t>1.3. IHRM Challenges in the Global Digital Context</w:t>
            </w:r>
            <w:r>
              <w:rPr>
                <w:noProof/>
                <w:webHidden/>
              </w:rPr>
              <w:tab/>
            </w:r>
            <w:r>
              <w:rPr>
                <w:noProof/>
                <w:webHidden/>
              </w:rPr>
              <w:fldChar w:fldCharType="begin"/>
            </w:r>
            <w:r>
              <w:rPr>
                <w:noProof/>
                <w:webHidden/>
              </w:rPr>
              <w:instrText xml:space="preserve"> PAGEREF _Toc213875830 \h </w:instrText>
            </w:r>
            <w:r>
              <w:rPr>
                <w:noProof/>
                <w:webHidden/>
              </w:rPr>
            </w:r>
            <w:r>
              <w:rPr>
                <w:noProof/>
                <w:webHidden/>
              </w:rPr>
              <w:fldChar w:fldCharType="separate"/>
            </w:r>
            <w:r>
              <w:rPr>
                <w:noProof/>
                <w:webHidden/>
              </w:rPr>
              <w:t>5</w:t>
            </w:r>
            <w:r>
              <w:rPr>
                <w:noProof/>
                <w:webHidden/>
              </w:rPr>
              <w:fldChar w:fldCharType="end"/>
            </w:r>
          </w:hyperlink>
        </w:p>
        <w:p w14:paraId="21352CE0" w14:textId="23CA1C35" w:rsidR="00765230" w:rsidRDefault="00765230">
          <w:pPr>
            <w:pStyle w:val="TOC2"/>
            <w:tabs>
              <w:tab w:val="right" w:leader="dot" w:pos="9016"/>
            </w:tabs>
            <w:rPr>
              <w:noProof/>
            </w:rPr>
          </w:pPr>
          <w:hyperlink w:anchor="_Toc213875831" w:history="1">
            <w:r w:rsidRPr="002E0DFC">
              <w:rPr>
                <w:rStyle w:val="Hyperlink"/>
                <w:rFonts w:ascii="Times New Roman" w:eastAsia="Times New Roman" w:hAnsi="Times New Roman" w:cs="Times New Roman"/>
                <w:noProof/>
              </w:rPr>
              <w:t>Conclusion</w:t>
            </w:r>
            <w:r>
              <w:rPr>
                <w:noProof/>
                <w:webHidden/>
              </w:rPr>
              <w:tab/>
            </w:r>
            <w:r>
              <w:rPr>
                <w:noProof/>
                <w:webHidden/>
              </w:rPr>
              <w:fldChar w:fldCharType="begin"/>
            </w:r>
            <w:r>
              <w:rPr>
                <w:noProof/>
                <w:webHidden/>
              </w:rPr>
              <w:instrText xml:space="preserve"> PAGEREF _Toc213875831 \h </w:instrText>
            </w:r>
            <w:r>
              <w:rPr>
                <w:noProof/>
                <w:webHidden/>
              </w:rPr>
            </w:r>
            <w:r>
              <w:rPr>
                <w:noProof/>
                <w:webHidden/>
              </w:rPr>
              <w:fldChar w:fldCharType="separate"/>
            </w:r>
            <w:r>
              <w:rPr>
                <w:noProof/>
                <w:webHidden/>
              </w:rPr>
              <w:t>5</w:t>
            </w:r>
            <w:r>
              <w:rPr>
                <w:noProof/>
                <w:webHidden/>
              </w:rPr>
              <w:fldChar w:fldCharType="end"/>
            </w:r>
          </w:hyperlink>
        </w:p>
        <w:p w14:paraId="100758D5" w14:textId="39E8BEBD" w:rsidR="00765230" w:rsidRDefault="00765230">
          <w:pPr>
            <w:pStyle w:val="TOC1"/>
            <w:tabs>
              <w:tab w:val="right" w:leader="dot" w:pos="9016"/>
            </w:tabs>
            <w:rPr>
              <w:noProof/>
            </w:rPr>
          </w:pPr>
          <w:hyperlink w:anchor="_Toc213875832" w:history="1">
            <w:r w:rsidRPr="002E0DFC">
              <w:rPr>
                <w:rStyle w:val="Hyperlink"/>
                <w:rFonts w:ascii="Times New Roman" w:eastAsia="Times New Roman" w:hAnsi="Times New Roman" w:cs="Times New Roman"/>
                <w:noProof/>
              </w:rPr>
              <w:t>Question 2: Demographic and Geopolitical Factors: Challenges for HR Professionals</w:t>
            </w:r>
            <w:r>
              <w:rPr>
                <w:noProof/>
                <w:webHidden/>
              </w:rPr>
              <w:tab/>
            </w:r>
            <w:r>
              <w:rPr>
                <w:noProof/>
                <w:webHidden/>
              </w:rPr>
              <w:fldChar w:fldCharType="begin"/>
            </w:r>
            <w:r>
              <w:rPr>
                <w:noProof/>
                <w:webHidden/>
              </w:rPr>
              <w:instrText xml:space="preserve"> PAGEREF _Toc213875832 \h </w:instrText>
            </w:r>
            <w:r>
              <w:rPr>
                <w:noProof/>
                <w:webHidden/>
              </w:rPr>
            </w:r>
            <w:r>
              <w:rPr>
                <w:noProof/>
                <w:webHidden/>
              </w:rPr>
              <w:fldChar w:fldCharType="separate"/>
            </w:r>
            <w:r>
              <w:rPr>
                <w:noProof/>
                <w:webHidden/>
              </w:rPr>
              <w:t>6</w:t>
            </w:r>
            <w:r>
              <w:rPr>
                <w:noProof/>
                <w:webHidden/>
              </w:rPr>
              <w:fldChar w:fldCharType="end"/>
            </w:r>
          </w:hyperlink>
        </w:p>
        <w:p w14:paraId="04E7937D" w14:textId="23DF6754" w:rsidR="00765230" w:rsidRDefault="00765230">
          <w:pPr>
            <w:pStyle w:val="TOC2"/>
            <w:tabs>
              <w:tab w:val="right" w:leader="dot" w:pos="9016"/>
            </w:tabs>
            <w:rPr>
              <w:noProof/>
            </w:rPr>
          </w:pPr>
          <w:hyperlink w:anchor="_Toc213875833" w:history="1">
            <w:r w:rsidRPr="002E0DFC">
              <w:rPr>
                <w:rStyle w:val="Hyperlink"/>
                <w:rFonts w:ascii="Times New Roman" w:eastAsia="Times New Roman" w:hAnsi="Times New Roman" w:cs="Times New Roman"/>
                <w:noProof/>
              </w:rPr>
              <w:t>2.1. The Impact of Shifting Demographic Structures</w:t>
            </w:r>
            <w:r>
              <w:rPr>
                <w:noProof/>
                <w:webHidden/>
              </w:rPr>
              <w:tab/>
            </w:r>
            <w:r>
              <w:rPr>
                <w:noProof/>
                <w:webHidden/>
              </w:rPr>
              <w:fldChar w:fldCharType="begin"/>
            </w:r>
            <w:r>
              <w:rPr>
                <w:noProof/>
                <w:webHidden/>
              </w:rPr>
              <w:instrText xml:space="preserve"> PAGEREF _Toc213875833 \h </w:instrText>
            </w:r>
            <w:r>
              <w:rPr>
                <w:noProof/>
                <w:webHidden/>
              </w:rPr>
            </w:r>
            <w:r>
              <w:rPr>
                <w:noProof/>
                <w:webHidden/>
              </w:rPr>
              <w:fldChar w:fldCharType="separate"/>
            </w:r>
            <w:r>
              <w:rPr>
                <w:noProof/>
                <w:webHidden/>
              </w:rPr>
              <w:t>6</w:t>
            </w:r>
            <w:r>
              <w:rPr>
                <w:noProof/>
                <w:webHidden/>
              </w:rPr>
              <w:fldChar w:fldCharType="end"/>
            </w:r>
          </w:hyperlink>
        </w:p>
        <w:p w14:paraId="4311C70D" w14:textId="2A431C90" w:rsidR="00765230" w:rsidRDefault="00765230">
          <w:pPr>
            <w:pStyle w:val="TOC2"/>
            <w:tabs>
              <w:tab w:val="right" w:leader="dot" w:pos="9016"/>
            </w:tabs>
            <w:rPr>
              <w:noProof/>
            </w:rPr>
          </w:pPr>
          <w:hyperlink w:anchor="_Toc213875834" w:history="1">
            <w:r w:rsidRPr="002E0DFC">
              <w:rPr>
                <w:rStyle w:val="Hyperlink"/>
                <w:rFonts w:ascii="Times New Roman" w:eastAsia="Times New Roman" w:hAnsi="Times New Roman" w:cs="Times New Roman"/>
                <w:noProof/>
              </w:rPr>
              <w:t>2.2. Geopolitical Volatility and IHRM Resilience</w:t>
            </w:r>
            <w:r>
              <w:rPr>
                <w:noProof/>
                <w:webHidden/>
              </w:rPr>
              <w:tab/>
            </w:r>
            <w:r>
              <w:rPr>
                <w:noProof/>
                <w:webHidden/>
              </w:rPr>
              <w:fldChar w:fldCharType="begin"/>
            </w:r>
            <w:r>
              <w:rPr>
                <w:noProof/>
                <w:webHidden/>
              </w:rPr>
              <w:instrText xml:space="preserve"> PAGEREF _Toc213875834 \h </w:instrText>
            </w:r>
            <w:r>
              <w:rPr>
                <w:noProof/>
                <w:webHidden/>
              </w:rPr>
            </w:r>
            <w:r>
              <w:rPr>
                <w:noProof/>
                <w:webHidden/>
              </w:rPr>
              <w:fldChar w:fldCharType="separate"/>
            </w:r>
            <w:r>
              <w:rPr>
                <w:noProof/>
                <w:webHidden/>
              </w:rPr>
              <w:t>7</w:t>
            </w:r>
            <w:r>
              <w:rPr>
                <w:noProof/>
                <w:webHidden/>
              </w:rPr>
              <w:fldChar w:fldCharType="end"/>
            </w:r>
          </w:hyperlink>
        </w:p>
        <w:p w14:paraId="1C0E10BF" w14:textId="2F0C7573" w:rsidR="00765230" w:rsidRDefault="00765230">
          <w:pPr>
            <w:pStyle w:val="TOC2"/>
            <w:tabs>
              <w:tab w:val="right" w:leader="dot" w:pos="9016"/>
            </w:tabs>
            <w:rPr>
              <w:noProof/>
            </w:rPr>
          </w:pPr>
          <w:hyperlink w:anchor="_Toc213875835" w:history="1">
            <w:r w:rsidRPr="002E0DFC">
              <w:rPr>
                <w:rStyle w:val="Hyperlink"/>
                <w:rFonts w:ascii="Times New Roman" w:eastAsia="Times New Roman" w:hAnsi="Times New Roman" w:cs="Times New Roman"/>
                <w:noProof/>
              </w:rPr>
              <w:t>Conclusion</w:t>
            </w:r>
            <w:r>
              <w:rPr>
                <w:noProof/>
                <w:webHidden/>
              </w:rPr>
              <w:tab/>
            </w:r>
            <w:r>
              <w:rPr>
                <w:noProof/>
                <w:webHidden/>
              </w:rPr>
              <w:fldChar w:fldCharType="begin"/>
            </w:r>
            <w:r>
              <w:rPr>
                <w:noProof/>
                <w:webHidden/>
              </w:rPr>
              <w:instrText xml:space="preserve"> PAGEREF _Toc213875835 \h </w:instrText>
            </w:r>
            <w:r>
              <w:rPr>
                <w:noProof/>
                <w:webHidden/>
              </w:rPr>
            </w:r>
            <w:r>
              <w:rPr>
                <w:noProof/>
                <w:webHidden/>
              </w:rPr>
              <w:fldChar w:fldCharType="separate"/>
            </w:r>
            <w:r>
              <w:rPr>
                <w:noProof/>
                <w:webHidden/>
              </w:rPr>
              <w:t>8</w:t>
            </w:r>
            <w:r>
              <w:rPr>
                <w:noProof/>
                <w:webHidden/>
              </w:rPr>
              <w:fldChar w:fldCharType="end"/>
            </w:r>
          </w:hyperlink>
        </w:p>
        <w:p w14:paraId="62A52CC0" w14:textId="5614AE37" w:rsidR="00765230" w:rsidRDefault="00765230">
          <w:pPr>
            <w:pStyle w:val="TOC1"/>
            <w:tabs>
              <w:tab w:val="right" w:leader="dot" w:pos="9016"/>
            </w:tabs>
            <w:rPr>
              <w:noProof/>
            </w:rPr>
          </w:pPr>
          <w:hyperlink w:anchor="_Toc213875836" w:history="1">
            <w:r w:rsidRPr="002E0DFC">
              <w:rPr>
                <w:rStyle w:val="Hyperlink"/>
                <w:rFonts w:ascii="Times New Roman" w:eastAsia="Times New Roman" w:hAnsi="Times New Roman" w:cs="Times New Roman"/>
                <w:noProof/>
              </w:rPr>
              <w:t>Question 3: Addressing Persistent Skills Gaps and Talent Shortages through Strategic HRM</w:t>
            </w:r>
            <w:r>
              <w:rPr>
                <w:noProof/>
                <w:webHidden/>
              </w:rPr>
              <w:tab/>
            </w:r>
            <w:r>
              <w:rPr>
                <w:noProof/>
                <w:webHidden/>
              </w:rPr>
              <w:fldChar w:fldCharType="begin"/>
            </w:r>
            <w:r>
              <w:rPr>
                <w:noProof/>
                <w:webHidden/>
              </w:rPr>
              <w:instrText xml:space="preserve"> PAGEREF _Toc213875836 \h </w:instrText>
            </w:r>
            <w:r>
              <w:rPr>
                <w:noProof/>
                <w:webHidden/>
              </w:rPr>
            </w:r>
            <w:r>
              <w:rPr>
                <w:noProof/>
                <w:webHidden/>
              </w:rPr>
              <w:fldChar w:fldCharType="separate"/>
            </w:r>
            <w:r>
              <w:rPr>
                <w:noProof/>
                <w:webHidden/>
              </w:rPr>
              <w:t>8</w:t>
            </w:r>
            <w:r>
              <w:rPr>
                <w:noProof/>
                <w:webHidden/>
              </w:rPr>
              <w:fldChar w:fldCharType="end"/>
            </w:r>
          </w:hyperlink>
        </w:p>
        <w:p w14:paraId="75B2B8E2" w14:textId="3ED88FA3" w:rsidR="00765230" w:rsidRDefault="00765230">
          <w:pPr>
            <w:pStyle w:val="TOC2"/>
            <w:tabs>
              <w:tab w:val="right" w:leader="dot" w:pos="9016"/>
            </w:tabs>
            <w:rPr>
              <w:noProof/>
            </w:rPr>
          </w:pPr>
          <w:hyperlink w:anchor="_Toc213875837" w:history="1">
            <w:r w:rsidRPr="002E0DFC">
              <w:rPr>
                <w:rStyle w:val="Hyperlink"/>
                <w:rFonts w:ascii="Times New Roman" w:eastAsia="Times New Roman" w:hAnsi="Times New Roman" w:cs="Times New Roman"/>
                <w:noProof/>
              </w:rPr>
              <w:t>3.1. Diagnosis and Strategic Workforce Planning</w:t>
            </w:r>
            <w:r>
              <w:rPr>
                <w:noProof/>
                <w:webHidden/>
              </w:rPr>
              <w:tab/>
            </w:r>
            <w:r>
              <w:rPr>
                <w:noProof/>
                <w:webHidden/>
              </w:rPr>
              <w:fldChar w:fldCharType="begin"/>
            </w:r>
            <w:r>
              <w:rPr>
                <w:noProof/>
                <w:webHidden/>
              </w:rPr>
              <w:instrText xml:space="preserve"> PAGEREF _Toc213875837 \h </w:instrText>
            </w:r>
            <w:r>
              <w:rPr>
                <w:noProof/>
                <w:webHidden/>
              </w:rPr>
            </w:r>
            <w:r>
              <w:rPr>
                <w:noProof/>
                <w:webHidden/>
              </w:rPr>
              <w:fldChar w:fldCharType="separate"/>
            </w:r>
            <w:r>
              <w:rPr>
                <w:noProof/>
                <w:webHidden/>
              </w:rPr>
              <w:t>8</w:t>
            </w:r>
            <w:r>
              <w:rPr>
                <w:noProof/>
                <w:webHidden/>
              </w:rPr>
              <w:fldChar w:fldCharType="end"/>
            </w:r>
          </w:hyperlink>
        </w:p>
        <w:p w14:paraId="646BAEF6" w14:textId="67F61CD4" w:rsidR="00765230" w:rsidRDefault="00765230">
          <w:pPr>
            <w:pStyle w:val="TOC2"/>
            <w:tabs>
              <w:tab w:val="right" w:leader="dot" w:pos="9016"/>
            </w:tabs>
            <w:rPr>
              <w:noProof/>
            </w:rPr>
          </w:pPr>
          <w:hyperlink w:anchor="_Toc213875838" w:history="1">
            <w:r w:rsidRPr="002E0DFC">
              <w:rPr>
                <w:rStyle w:val="Hyperlink"/>
                <w:rFonts w:ascii="Times New Roman" w:eastAsia="Times New Roman" w:hAnsi="Times New Roman" w:cs="Times New Roman"/>
                <w:noProof/>
              </w:rPr>
              <w:t>3.2. Strategic Interventions: Build, Buy, Borrow, or Bridge</w:t>
            </w:r>
            <w:r>
              <w:rPr>
                <w:noProof/>
                <w:webHidden/>
              </w:rPr>
              <w:tab/>
            </w:r>
            <w:r>
              <w:rPr>
                <w:noProof/>
                <w:webHidden/>
              </w:rPr>
              <w:fldChar w:fldCharType="begin"/>
            </w:r>
            <w:r>
              <w:rPr>
                <w:noProof/>
                <w:webHidden/>
              </w:rPr>
              <w:instrText xml:space="preserve"> PAGEREF _Toc213875838 \h </w:instrText>
            </w:r>
            <w:r>
              <w:rPr>
                <w:noProof/>
                <w:webHidden/>
              </w:rPr>
            </w:r>
            <w:r>
              <w:rPr>
                <w:noProof/>
                <w:webHidden/>
              </w:rPr>
              <w:fldChar w:fldCharType="separate"/>
            </w:r>
            <w:r>
              <w:rPr>
                <w:noProof/>
                <w:webHidden/>
              </w:rPr>
              <w:t>9</w:t>
            </w:r>
            <w:r>
              <w:rPr>
                <w:noProof/>
                <w:webHidden/>
              </w:rPr>
              <w:fldChar w:fldCharType="end"/>
            </w:r>
          </w:hyperlink>
        </w:p>
        <w:p w14:paraId="1223ECC2" w14:textId="545C9B96" w:rsidR="00765230" w:rsidRDefault="00765230">
          <w:pPr>
            <w:pStyle w:val="TOC2"/>
            <w:tabs>
              <w:tab w:val="right" w:leader="dot" w:pos="9016"/>
            </w:tabs>
            <w:rPr>
              <w:noProof/>
            </w:rPr>
          </w:pPr>
          <w:hyperlink w:anchor="_Toc213875839" w:history="1">
            <w:r w:rsidRPr="002E0DFC">
              <w:rPr>
                <w:rStyle w:val="Hyperlink"/>
                <w:rFonts w:ascii="Times New Roman" w:eastAsia="Times New Roman" w:hAnsi="Times New Roman" w:cs="Times New Roman"/>
                <w:noProof/>
              </w:rPr>
              <w:t>3.3. Retention through Holistic Employee Experience</w:t>
            </w:r>
            <w:r>
              <w:rPr>
                <w:noProof/>
                <w:webHidden/>
              </w:rPr>
              <w:tab/>
            </w:r>
            <w:r>
              <w:rPr>
                <w:noProof/>
                <w:webHidden/>
              </w:rPr>
              <w:fldChar w:fldCharType="begin"/>
            </w:r>
            <w:r>
              <w:rPr>
                <w:noProof/>
                <w:webHidden/>
              </w:rPr>
              <w:instrText xml:space="preserve"> PAGEREF _Toc213875839 \h </w:instrText>
            </w:r>
            <w:r>
              <w:rPr>
                <w:noProof/>
                <w:webHidden/>
              </w:rPr>
            </w:r>
            <w:r>
              <w:rPr>
                <w:noProof/>
                <w:webHidden/>
              </w:rPr>
              <w:fldChar w:fldCharType="separate"/>
            </w:r>
            <w:r>
              <w:rPr>
                <w:noProof/>
                <w:webHidden/>
              </w:rPr>
              <w:t>10</w:t>
            </w:r>
            <w:r>
              <w:rPr>
                <w:noProof/>
                <w:webHidden/>
              </w:rPr>
              <w:fldChar w:fldCharType="end"/>
            </w:r>
          </w:hyperlink>
        </w:p>
        <w:p w14:paraId="073E9CB5" w14:textId="77D62B2A" w:rsidR="00765230" w:rsidRDefault="00765230">
          <w:pPr>
            <w:pStyle w:val="TOC1"/>
            <w:tabs>
              <w:tab w:val="right" w:leader="dot" w:pos="9016"/>
            </w:tabs>
            <w:rPr>
              <w:noProof/>
            </w:rPr>
          </w:pPr>
          <w:hyperlink w:anchor="_Toc213875840" w:history="1">
            <w:r w:rsidRPr="002E0DFC">
              <w:rPr>
                <w:rStyle w:val="Hyperlink"/>
                <w:rFonts w:ascii="Times New Roman" w:eastAsia="Times New Roman" w:hAnsi="Times New Roman" w:cs="Times New Roman"/>
                <w:noProof/>
              </w:rPr>
              <w:t>Question 4: Preparedness for the Globalised Workplace: A Critical Self-Reflection</w:t>
            </w:r>
            <w:r>
              <w:rPr>
                <w:noProof/>
                <w:webHidden/>
              </w:rPr>
              <w:tab/>
            </w:r>
            <w:r>
              <w:rPr>
                <w:noProof/>
                <w:webHidden/>
              </w:rPr>
              <w:fldChar w:fldCharType="begin"/>
            </w:r>
            <w:r>
              <w:rPr>
                <w:noProof/>
                <w:webHidden/>
              </w:rPr>
              <w:instrText xml:space="preserve"> PAGEREF _Toc213875840 \h </w:instrText>
            </w:r>
            <w:r>
              <w:rPr>
                <w:noProof/>
                <w:webHidden/>
              </w:rPr>
            </w:r>
            <w:r>
              <w:rPr>
                <w:noProof/>
                <w:webHidden/>
              </w:rPr>
              <w:fldChar w:fldCharType="separate"/>
            </w:r>
            <w:r>
              <w:rPr>
                <w:noProof/>
                <w:webHidden/>
              </w:rPr>
              <w:t>12</w:t>
            </w:r>
            <w:r>
              <w:rPr>
                <w:noProof/>
                <w:webHidden/>
              </w:rPr>
              <w:fldChar w:fldCharType="end"/>
            </w:r>
          </w:hyperlink>
        </w:p>
        <w:p w14:paraId="080E7126" w14:textId="189C7D72" w:rsidR="00765230" w:rsidRDefault="00765230">
          <w:pPr>
            <w:pStyle w:val="TOC2"/>
            <w:tabs>
              <w:tab w:val="right" w:leader="dot" w:pos="9016"/>
            </w:tabs>
            <w:rPr>
              <w:noProof/>
            </w:rPr>
          </w:pPr>
          <w:hyperlink w:anchor="_Toc213875841" w:history="1">
            <w:r w:rsidRPr="002E0DFC">
              <w:rPr>
                <w:rStyle w:val="Hyperlink"/>
                <w:rFonts w:ascii="Times New Roman" w:eastAsia="Times New Roman" w:hAnsi="Times New Roman" w:cs="Times New Roman"/>
                <w:noProof/>
              </w:rPr>
              <w:t>4.1. Introduction to the Reflection Framework</w:t>
            </w:r>
            <w:r>
              <w:rPr>
                <w:noProof/>
                <w:webHidden/>
              </w:rPr>
              <w:tab/>
            </w:r>
            <w:r>
              <w:rPr>
                <w:noProof/>
                <w:webHidden/>
              </w:rPr>
              <w:fldChar w:fldCharType="begin"/>
            </w:r>
            <w:r>
              <w:rPr>
                <w:noProof/>
                <w:webHidden/>
              </w:rPr>
              <w:instrText xml:space="preserve"> PAGEREF _Toc213875841 \h </w:instrText>
            </w:r>
            <w:r>
              <w:rPr>
                <w:noProof/>
                <w:webHidden/>
              </w:rPr>
            </w:r>
            <w:r>
              <w:rPr>
                <w:noProof/>
                <w:webHidden/>
              </w:rPr>
              <w:fldChar w:fldCharType="separate"/>
            </w:r>
            <w:r>
              <w:rPr>
                <w:noProof/>
                <w:webHidden/>
              </w:rPr>
              <w:t>12</w:t>
            </w:r>
            <w:r>
              <w:rPr>
                <w:noProof/>
                <w:webHidden/>
              </w:rPr>
              <w:fldChar w:fldCharType="end"/>
            </w:r>
          </w:hyperlink>
        </w:p>
        <w:p w14:paraId="2D17646C" w14:textId="7E1FD1C6" w:rsidR="00765230" w:rsidRDefault="00765230">
          <w:pPr>
            <w:pStyle w:val="TOC2"/>
            <w:tabs>
              <w:tab w:val="right" w:leader="dot" w:pos="9016"/>
            </w:tabs>
            <w:rPr>
              <w:noProof/>
            </w:rPr>
          </w:pPr>
          <w:hyperlink w:anchor="_Toc213875842" w:history="1">
            <w:r w:rsidRPr="002E0DFC">
              <w:rPr>
                <w:rStyle w:val="Hyperlink"/>
                <w:rFonts w:ascii="Times New Roman" w:eastAsia="Times New Roman" w:hAnsi="Times New Roman" w:cs="Times New Roman"/>
                <w:noProof/>
              </w:rPr>
              <w:t>4.2. Capabilities Assessment and Evidence</w:t>
            </w:r>
            <w:r>
              <w:rPr>
                <w:noProof/>
                <w:webHidden/>
              </w:rPr>
              <w:tab/>
            </w:r>
            <w:r>
              <w:rPr>
                <w:noProof/>
                <w:webHidden/>
              </w:rPr>
              <w:fldChar w:fldCharType="begin"/>
            </w:r>
            <w:r>
              <w:rPr>
                <w:noProof/>
                <w:webHidden/>
              </w:rPr>
              <w:instrText xml:space="preserve"> PAGEREF _Toc213875842 \h </w:instrText>
            </w:r>
            <w:r>
              <w:rPr>
                <w:noProof/>
                <w:webHidden/>
              </w:rPr>
            </w:r>
            <w:r>
              <w:rPr>
                <w:noProof/>
                <w:webHidden/>
              </w:rPr>
              <w:fldChar w:fldCharType="separate"/>
            </w:r>
            <w:r>
              <w:rPr>
                <w:noProof/>
                <w:webHidden/>
              </w:rPr>
              <w:t>12</w:t>
            </w:r>
            <w:r>
              <w:rPr>
                <w:noProof/>
                <w:webHidden/>
              </w:rPr>
              <w:fldChar w:fldCharType="end"/>
            </w:r>
          </w:hyperlink>
        </w:p>
        <w:p w14:paraId="75743DC0" w14:textId="41994827" w:rsidR="00765230" w:rsidRDefault="00765230">
          <w:pPr>
            <w:pStyle w:val="TOC2"/>
            <w:tabs>
              <w:tab w:val="right" w:leader="dot" w:pos="9016"/>
            </w:tabs>
            <w:rPr>
              <w:noProof/>
            </w:rPr>
          </w:pPr>
          <w:hyperlink w:anchor="_Toc213875843" w:history="1">
            <w:r w:rsidRPr="002E0DFC">
              <w:rPr>
                <w:rStyle w:val="Hyperlink"/>
                <w:rFonts w:ascii="Times New Roman" w:eastAsia="Times New Roman" w:hAnsi="Times New Roman" w:cs="Times New Roman"/>
                <w:noProof/>
              </w:rPr>
              <w:t>4.3. Strategy for Improvement and Leveraging Strengths</w:t>
            </w:r>
            <w:r>
              <w:rPr>
                <w:noProof/>
                <w:webHidden/>
              </w:rPr>
              <w:tab/>
            </w:r>
            <w:r>
              <w:rPr>
                <w:noProof/>
                <w:webHidden/>
              </w:rPr>
              <w:fldChar w:fldCharType="begin"/>
            </w:r>
            <w:r>
              <w:rPr>
                <w:noProof/>
                <w:webHidden/>
              </w:rPr>
              <w:instrText xml:space="preserve"> PAGEREF _Toc213875843 \h </w:instrText>
            </w:r>
            <w:r>
              <w:rPr>
                <w:noProof/>
                <w:webHidden/>
              </w:rPr>
            </w:r>
            <w:r>
              <w:rPr>
                <w:noProof/>
                <w:webHidden/>
              </w:rPr>
              <w:fldChar w:fldCharType="separate"/>
            </w:r>
            <w:r>
              <w:rPr>
                <w:noProof/>
                <w:webHidden/>
              </w:rPr>
              <w:t>13</w:t>
            </w:r>
            <w:r>
              <w:rPr>
                <w:noProof/>
                <w:webHidden/>
              </w:rPr>
              <w:fldChar w:fldCharType="end"/>
            </w:r>
          </w:hyperlink>
        </w:p>
        <w:p w14:paraId="0771E9A3" w14:textId="18FC44F7" w:rsidR="00765230" w:rsidRDefault="00765230">
          <w:pPr>
            <w:pStyle w:val="TOC1"/>
            <w:tabs>
              <w:tab w:val="right" w:leader="dot" w:pos="9016"/>
            </w:tabs>
            <w:rPr>
              <w:noProof/>
            </w:rPr>
          </w:pPr>
          <w:hyperlink w:anchor="_Toc213875844" w:history="1">
            <w:r w:rsidRPr="002E0DFC">
              <w:rPr>
                <w:rStyle w:val="Hyperlink"/>
                <w:rFonts w:ascii="Times New Roman" w:eastAsia="Times New Roman" w:hAnsi="Times New Roman" w:cs="Times New Roman"/>
                <w:noProof/>
              </w:rPr>
              <w:t>References List</w:t>
            </w:r>
            <w:r>
              <w:rPr>
                <w:noProof/>
                <w:webHidden/>
              </w:rPr>
              <w:tab/>
            </w:r>
            <w:r>
              <w:rPr>
                <w:noProof/>
                <w:webHidden/>
              </w:rPr>
              <w:fldChar w:fldCharType="begin"/>
            </w:r>
            <w:r>
              <w:rPr>
                <w:noProof/>
                <w:webHidden/>
              </w:rPr>
              <w:instrText xml:space="preserve"> PAGEREF _Toc213875844 \h </w:instrText>
            </w:r>
            <w:r>
              <w:rPr>
                <w:noProof/>
                <w:webHidden/>
              </w:rPr>
            </w:r>
            <w:r>
              <w:rPr>
                <w:noProof/>
                <w:webHidden/>
              </w:rPr>
              <w:fldChar w:fldCharType="separate"/>
            </w:r>
            <w:r>
              <w:rPr>
                <w:noProof/>
                <w:webHidden/>
              </w:rPr>
              <w:t>15</w:t>
            </w:r>
            <w:r>
              <w:rPr>
                <w:noProof/>
                <w:webHidden/>
              </w:rPr>
              <w:fldChar w:fldCharType="end"/>
            </w:r>
          </w:hyperlink>
        </w:p>
        <w:p w14:paraId="6E309112" w14:textId="381CC17F" w:rsidR="00D029F6" w:rsidRDefault="00D029F6" w:rsidP="00D029F6">
          <w:r>
            <w:fldChar w:fldCharType="end"/>
          </w:r>
        </w:p>
      </w:sdtContent>
    </w:sdt>
    <w:p w14:paraId="583A400C" w14:textId="77777777" w:rsidR="00D029F6" w:rsidRDefault="00D029F6" w:rsidP="00D029F6">
      <w:pPr>
        <w:rPr>
          <w:rFonts w:ascii="Times New Roman" w:eastAsia="Times New Roman" w:hAnsi="Times New Roman" w:cs="Times New Roman"/>
          <w:b/>
        </w:rPr>
      </w:pPr>
    </w:p>
    <w:p w14:paraId="4DB7E466" w14:textId="77777777" w:rsidR="00D029F6" w:rsidRDefault="00D029F6" w:rsidP="00D029F6">
      <w:pPr>
        <w:rPr>
          <w:rFonts w:ascii="Times New Roman" w:eastAsia="Times New Roman" w:hAnsi="Times New Roman" w:cs="Times New Roman"/>
          <w:b/>
        </w:rPr>
      </w:pPr>
    </w:p>
    <w:p w14:paraId="22C2074E" w14:textId="77777777" w:rsidR="00D029F6" w:rsidRDefault="00D029F6" w:rsidP="00D029F6">
      <w:pPr>
        <w:rPr>
          <w:rFonts w:ascii="Times New Roman" w:eastAsia="Times New Roman" w:hAnsi="Times New Roman" w:cs="Times New Roman"/>
          <w:b/>
        </w:rPr>
      </w:pPr>
    </w:p>
    <w:p w14:paraId="089F048B" w14:textId="77777777" w:rsidR="00D029F6" w:rsidRDefault="00D029F6" w:rsidP="00D029F6">
      <w:pPr>
        <w:rPr>
          <w:rFonts w:ascii="Times New Roman" w:eastAsia="Times New Roman" w:hAnsi="Times New Roman" w:cs="Times New Roman"/>
          <w:b/>
        </w:rPr>
      </w:pPr>
    </w:p>
    <w:p w14:paraId="577E0DBB" w14:textId="77777777" w:rsidR="00D029F6" w:rsidRDefault="00D029F6" w:rsidP="00D029F6">
      <w:pPr>
        <w:rPr>
          <w:rFonts w:ascii="Times New Roman" w:eastAsia="Times New Roman" w:hAnsi="Times New Roman" w:cs="Times New Roman"/>
          <w:b/>
        </w:rPr>
      </w:pPr>
    </w:p>
    <w:p w14:paraId="19E1927B" w14:textId="77777777" w:rsidR="00D029F6" w:rsidRDefault="00D029F6" w:rsidP="00D029F6">
      <w:pPr>
        <w:rPr>
          <w:rFonts w:ascii="Times New Roman" w:eastAsia="Times New Roman" w:hAnsi="Times New Roman" w:cs="Times New Roman"/>
          <w:b/>
        </w:rPr>
      </w:pPr>
    </w:p>
    <w:p w14:paraId="7DBD4076" w14:textId="77777777" w:rsidR="00D029F6" w:rsidRDefault="00D029F6" w:rsidP="00D029F6">
      <w:pPr>
        <w:rPr>
          <w:rFonts w:ascii="Times New Roman" w:eastAsia="Times New Roman" w:hAnsi="Times New Roman" w:cs="Times New Roman"/>
          <w:b/>
        </w:rPr>
      </w:pPr>
    </w:p>
    <w:p w14:paraId="605EEF84" w14:textId="77777777" w:rsidR="00D029F6" w:rsidRDefault="00D029F6" w:rsidP="0016177E">
      <w:pPr>
        <w:pStyle w:val="Heading1"/>
        <w:jc w:val="both"/>
        <w:rPr>
          <w:rFonts w:ascii="Times New Roman" w:eastAsia="Times New Roman" w:hAnsi="Times New Roman" w:cs="Times New Roman"/>
        </w:rPr>
      </w:pPr>
      <w:bookmarkStart w:id="1" w:name="_Toc213875827"/>
      <w:r>
        <w:rPr>
          <w:rFonts w:ascii="Times New Roman" w:eastAsia="Times New Roman" w:hAnsi="Times New Roman" w:cs="Times New Roman"/>
        </w:rPr>
        <w:lastRenderedPageBreak/>
        <w:t>Question 1: Technological Advancements and the Reshaping of Labour Markets: Implications for HRM and IHRM Strategies</w:t>
      </w:r>
      <w:bookmarkEnd w:id="1"/>
    </w:p>
    <w:p w14:paraId="35179683" w14:textId="77777777" w:rsidR="00D029F6" w:rsidRDefault="00D029F6" w:rsidP="00D029F6">
      <w:pPr>
        <w:rPr>
          <w:rFonts w:ascii="Times New Roman" w:eastAsia="Times New Roman" w:hAnsi="Times New Roman" w:cs="Times New Roman"/>
          <w:b/>
        </w:rPr>
      </w:pPr>
    </w:p>
    <w:p w14:paraId="64F5E738" w14:textId="77777777" w:rsidR="00D029F6" w:rsidRDefault="00D029F6" w:rsidP="00D029F6">
      <w:pPr>
        <w:pStyle w:val="Heading2"/>
        <w:rPr>
          <w:rFonts w:ascii="Times New Roman" w:eastAsia="Times New Roman" w:hAnsi="Times New Roman" w:cs="Times New Roman"/>
        </w:rPr>
      </w:pPr>
      <w:bookmarkStart w:id="2" w:name="_Toc213875828"/>
      <w:r>
        <w:rPr>
          <w:rFonts w:ascii="Times New Roman" w:eastAsia="Times New Roman" w:hAnsi="Times New Roman" w:cs="Times New Roman"/>
        </w:rPr>
        <w:t>1.1. Labour Market Transformation: Polarization and Fluidity</w:t>
      </w:r>
      <w:bookmarkEnd w:id="2"/>
    </w:p>
    <w:p w14:paraId="48B4420F" w14:textId="77777777" w:rsidR="00D029F6" w:rsidRDefault="00D029F6" w:rsidP="0016177E">
      <w:pPr>
        <w:ind w:firstLine="720"/>
        <w:jc w:val="both"/>
        <w:rPr>
          <w:rFonts w:ascii="Times New Roman" w:eastAsia="Times New Roman" w:hAnsi="Times New Roman" w:cs="Times New Roman"/>
        </w:rPr>
      </w:pPr>
      <w:r>
        <w:rPr>
          <w:rFonts w:ascii="Times New Roman" w:eastAsia="Times New Roman" w:hAnsi="Times New Roman" w:cs="Times New Roman"/>
        </w:rPr>
        <w:t>Technological developments, especially the use of Artificial Intelligence (AI) and digital platforms, are changing the structural dynamics of employment, and this creates complex strategic challenges for Human Resource Management (HRM) and IHRM. The most significant changes are labour market polarization and fluidification of work.</w:t>
      </w:r>
    </w:p>
    <w:p w14:paraId="465716CF" w14:textId="33384B78" w:rsidR="00D029F6" w:rsidRDefault="00D029F6" w:rsidP="0016177E">
      <w:pPr>
        <w:ind w:firstLine="720"/>
        <w:jc w:val="both"/>
        <w:rPr>
          <w:rFonts w:ascii="Times New Roman" w:eastAsia="Times New Roman" w:hAnsi="Times New Roman" w:cs="Times New Roman"/>
        </w:rPr>
      </w:pPr>
      <w:r>
        <w:rPr>
          <w:rFonts w:ascii="Times New Roman" w:eastAsia="Times New Roman" w:hAnsi="Times New Roman" w:cs="Times New Roman"/>
        </w:rPr>
        <w:t xml:space="preserve">This polarization dynamic is captured by the U-Shaped model of the labour market transformation (Figure 1). Adapted from Frey and Osborne (2017) and the World Economic Forum (2023) - the model shows that automation particularly affects middle-skilled and routine jobs and has been represented as the 'Automation Risk Zone.' The resulting outcome is a dual market in which demand becomes more acute for high skilled workers who are able to manage these new forms of technology (the </w:t>
      </w:r>
      <w:r w:rsidR="00D0398F">
        <w:rPr>
          <w:rFonts w:ascii="Times New Roman" w:eastAsia="Times New Roman" w:hAnsi="Times New Roman" w:cs="Times New Roman"/>
        </w:rPr>
        <w:t>right-hand</w:t>
      </w:r>
      <w:r>
        <w:rPr>
          <w:rFonts w:ascii="Times New Roman" w:eastAsia="Times New Roman" w:hAnsi="Times New Roman" w:cs="Times New Roman"/>
        </w:rPr>
        <w:t xml:space="preserve"> peak), creating a critical 'skills asymmetry' (Deloitte, 2022). At the same time, there is also an increased demand for low-skill service jobs that are non-routine and hence hard to automate (the left-hand peak). Concurrently, the proliferation of digital platforms has catalysed the 'gig economy' in which employment has become fluid, with responsibility for training and career progression moving from the organisation to the individual (Vallas &amp; Schor, 2020). This requires a paradigm shift in HRM from the traditional talent acquisition to orchestrating a flexible network of internal and external capabilities (Becker et al., 2021), which requires new organisational architectures for a fragmented talent ecosystem.</w:t>
      </w:r>
    </w:p>
    <w:p w14:paraId="40949117" w14:textId="77777777" w:rsidR="00D029F6" w:rsidRDefault="00D029F6" w:rsidP="00D029F6">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0" distB="0" distL="0" distR="0" wp14:anchorId="183F14D9" wp14:editId="5C7A331C">
            <wp:extent cx="5486400" cy="5486400"/>
            <wp:effectExtent l="0" t="0" r="0" b="0"/>
            <wp:docPr id="1" name="image1.png" descr="A diagram of a diagram of a business&#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diagram of a diagram of a business&#10;&#10;AI-generated content may be incorrect."/>
                    <pic:cNvPicPr preferRelativeResize="0"/>
                  </pic:nvPicPr>
                  <pic:blipFill>
                    <a:blip r:embed="rId5"/>
                    <a:srcRect/>
                    <a:stretch>
                      <a:fillRect/>
                    </a:stretch>
                  </pic:blipFill>
                  <pic:spPr>
                    <a:xfrm>
                      <a:off x="0" y="0"/>
                      <a:ext cx="5486400" cy="5486400"/>
                    </a:xfrm>
                    <a:prstGeom prst="rect">
                      <a:avLst/>
                    </a:prstGeom>
                    <a:ln/>
                  </pic:spPr>
                </pic:pic>
              </a:graphicData>
            </a:graphic>
          </wp:inline>
        </w:drawing>
      </w:r>
    </w:p>
    <w:p w14:paraId="1E8F0077" w14:textId="77777777" w:rsidR="00D029F6" w:rsidRDefault="00D029F6" w:rsidP="00D029F6">
      <w:pPr>
        <w:rPr>
          <w:rFonts w:ascii="Times New Roman" w:eastAsia="Times New Roman" w:hAnsi="Times New Roman" w:cs="Times New Roman"/>
        </w:rPr>
      </w:pPr>
    </w:p>
    <w:p w14:paraId="6F11984A" w14:textId="77777777" w:rsidR="00D029F6" w:rsidRDefault="00D029F6" w:rsidP="00D029F6">
      <w:pPr>
        <w:pStyle w:val="Heading2"/>
        <w:rPr>
          <w:rFonts w:ascii="Times New Roman" w:eastAsia="Times New Roman" w:hAnsi="Times New Roman" w:cs="Times New Roman"/>
        </w:rPr>
      </w:pPr>
      <w:bookmarkStart w:id="3" w:name="_Toc213875829"/>
      <w:r>
        <w:rPr>
          <w:rFonts w:ascii="Times New Roman" w:eastAsia="Times New Roman" w:hAnsi="Times New Roman" w:cs="Times New Roman"/>
        </w:rPr>
        <w:t>1.2. Strategic Implications for Domestic HRM</w:t>
      </w:r>
      <w:bookmarkEnd w:id="3"/>
    </w:p>
    <w:p w14:paraId="110C3E87" w14:textId="15FE8B9F" w:rsidR="00D029F6" w:rsidRDefault="00D029F6" w:rsidP="00065829">
      <w:pPr>
        <w:ind w:firstLine="720"/>
        <w:jc w:val="both"/>
        <w:rPr>
          <w:rFonts w:ascii="Times New Roman" w:eastAsia="Times New Roman" w:hAnsi="Times New Roman" w:cs="Times New Roman"/>
        </w:rPr>
      </w:pPr>
      <w:r>
        <w:rPr>
          <w:rFonts w:ascii="Times New Roman" w:eastAsia="Times New Roman" w:hAnsi="Times New Roman" w:cs="Times New Roman"/>
        </w:rPr>
        <w:t xml:space="preserve">This new structure of the labour market requires that HRM transforms from a support function to a key factor in organisational adaptation. First, traditional workforce planning needs to be dynamic and move from static forecasting to continuous scenario modelling and capability mapping to align human capital with the strategy in a volatile context (Lepak &amp; Snell, 1999). Second, organisations need to shift towards internal reskilling opportunities, using AI-fuelled learning platforms (Cappelli, 2017) to develop customisation opportunities for moving employees from declining to in-demand careers. Third, the HRM must re-design systems for a hybrid workforce of employees and contractors. This necessitates </w:t>
      </w:r>
      <w:r w:rsidR="00065829">
        <w:rPr>
          <w:rFonts w:ascii="Times New Roman" w:eastAsia="Times New Roman" w:hAnsi="Times New Roman" w:cs="Times New Roman"/>
        </w:rPr>
        <w:t>outcome-based</w:t>
      </w:r>
      <w:r>
        <w:rPr>
          <w:rFonts w:ascii="Times New Roman" w:eastAsia="Times New Roman" w:hAnsi="Times New Roman" w:cs="Times New Roman"/>
        </w:rPr>
        <w:t xml:space="preserve"> performance frameworks and, critically, an effective ethics framework to govern algorithmic management and mitigate against the data privacy risks that Zuboff (2019) warned about. Finally, compensation strategies would have to be re-evaluated to provide for internal equity between </w:t>
      </w:r>
      <w:r w:rsidR="00065829">
        <w:rPr>
          <w:rFonts w:ascii="Times New Roman" w:eastAsia="Times New Roman" w:hAnsi="Times New Roman" w:cs="Times New Roman"/>
        </w:rPr>
        <w:t>highly paid</w:t>
      </w:r>
      <w:r>
        <w:rPr>
          <w:rFonts w:ascii="Times New Roman" w:eastAsia="Times New Roman" w:hAnsi="Times New Roman" w:cs="Times New Roman"/>
        </w:rPr>
        <w:t xml:space="preserve"> gig specialists and traditional employees to prevent the erosion of its culture (Tavlaridis 2024).</w:t>
      </w:r>
    </w:p>
    <w:p w14:paraId="1DC78D66" w14:textId="77777777" w:rsidR="00D029F6" w:rsidRDefault="00D029F6" w:rsidP="00D029F6">
      <w:pPr>
        <w:pStyle w:val="Heading2"/>
        <w:rPr>
          <w:rFonts w:ascii="Times New Roman" w:eastAsia="Times New Roman" w:hAnsi="Times New Roman" w:cs="Times New Roman"/>
        </w:rPr>
      </w:pPr>
      <w:bookmarkStart w:id="4" w:name="_Toc213875830"/>
      <w:r>
        <w:rPr>
          <w:rFonts w:ascii="Times New Roman" w:eastAsia="Times New Roman" w:hAnsi="Times New Roman" w:cs="Times New Roman"/>
        </w:rPr>
        <w:lastRenderedPageBreak/>
        <w:t>1.3. IHRM Challenges in the Global Digital Context</w:t>
      </w:r>
      <w:bookmarkEnd w:id="4"/>
    </w:p>
    <w:p w14:paraId="04018E01" w14:textId="628FF476" w:rsidR="00D029F6" w:rsidRDefault="00D029F6" w:rsidP="00466F39">
      <w:pPr>
        <w:ind w:firstLine="720"/>
        <w:jc w:val="both"/>
        <w:rPr>
          <w:rFonts w:ascii="Times New Roman" w:eastAsia="Times New Roman" w:hAnsi="Times New Roman" w:cs="Times New Roman"/>
        </w:rPr>
      </w:pPr>
      <w:r>
        <w:rPr>
          <w:rFonts w:ascii="Times New Roman" w:eastAsia="Times New Roman" w:hAnsi="Times New Roman" w:cs="Times New Roman"/>
        </w:rPr>
        <w:t xml:space="preserve">Globally such implications are compounded, requiring a strategic change in the purpose of IHRM. As digital collaboration tools make physical mobility less critical (Schuler, 2020), the role of IHRM shifts from the logistics to the governance. This is illustrated in Figure 2, which shows the shift from an 'Old Focus' (on the focus or management of expatriates) to a 'New Focus' on how to govern a dispersed digital workforce. This new paradigm places IHRM in position of architect global digital governance involving moving through a digital data privacy labyrinth such as GDPR across international boundaries and securing local labour law compliance for remote workers in many countries (Hoang and </w:t>
      </w:r>
      <w:r w:rsidR="00466F39">
        <w:rPr>
          <w:rFonts w:ascii="Times New Roman" w:eastAsia="Times New Roman" w:hAnsi="Times New Roman" w:cs="Times New Roman"/>
        </w:rPr>
        <w:t>Kulothungan</w:t>
      </w:r>
      <w:r>
        <w:rPr>
          <w:rFonts w:ascii="Times New Roman" w:eastAsia="Times New Roman" w:hAnsi="Times New Roman" w:cs="Times New Roman"/>
        </w:rPr>
        <w:t>, 2025). Furthermore, the successful implementation of AI across international subsidiaries requires high cultural intelligence to deal with resistance and tailor the automation to different ethical norms for equity and acceptance (Briscoe et al., 2021). IHRM's central role is therefore one of transformation - from managing physical mobility to the design of the ethical and compliant organizational structures for a borderless digital workforce (Festing &amp; Schafer, 2014).</w:t>
      </w:r>
    </w:p>
    <w:p w14:paraId="44994512" w14:textId="77777777" w:rsidR="00D029F6" w:rsidRDefault="00D029F6" w:rsidP="00D029F6">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3C11A6FA" wp14:editId="0FC9929B">
            <wp:extent cx="4398645" cy="3943350"/>
            <wp:effectExtent l="0" t="0" r="1905" b="0"/>
            <wp:docPr id="3" name="image3.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3.png" descr="A diagram of a diagram&#10;&#10;AI-generated content may be incorrect."/>
                    <pic:cNvPicPr preferRelativeResize="0"/>
                  </pic:nvPicPr>
                  <pic:blipFill>
                    <a:blip r:embed="rId6"/>
                    <a:srcRect/>
                    <a:stretch>
                      <a:fillRect/>
                    </a:stretch>
                  </pic:blipFill>
                  <pic:spPr>
                    <a:xfrm>
                      <a:off x="0" y="0"/>
                      <a:ext cx="4398645" cy="3943350"/>
                    </a:xfrm>
                    <a:prstGeom prst="rect">
                      <a:avLst/>
                    </a:prstGeom>
                    <a:ln/>
                  </pic:spPr>
                </pic:pic>
              </a:graphicData>
            </a:graphic>
          </wp:inline>
        </w:drawing>
      </w:r>
    </w:p>
    <w:p w14:paraId="46FBAC83" w14:textId="77777777" w:rsidR="00D029F6" w:rsidRDefault="00D029F6" w:rsidP="00D029F6">
      <w:pPr>
        <w:rPr>
          <w:rFonts w:ascii="Times New Roman" w:eastAsia="Times New Roman" w:hAnsi="Times New Roman" w:cs="Times New Roman"/>
        </w:rPr>
      </w:pPr>
    </w:p>
    <w:p w14:paraId="401609C9" w14:textId="77777777" w:rsidR="00D029F6" w:rsidRDefault="00D029F6" w:rsidP="00D029F6">
      <w:pPr>
        <w:pStyle w:val="Heading2"/>
        <w:rPr>
          <w:rFonts w:ascii="Times New Roman" w:eastAsia="Times New Roman" w:hAnsi="Times New Roman" w:cs="Times New Roman"/>
        </w:rPr>
      </w:pPr>
      <w:bookmarkStart w:id="5" w:name="_Toc213875831"/>
      <w:r>
        <w:rPr>
          <w:rFonts w:ascii="Times New Roman" w:eastAsia="Times New Roman" w:hAnsi="Times New Roman" w:cs="Times New Roman"/>
        </w:rPr>
        <w:t>Conclusion</w:t>
      </w:r>
      <w:bookmarkEnd w:id="5"/>
      <w:r>
        <w:rPr>
          <w:rFonts w:ascii="Times New Roman" w:eastAsia="Times New Roman" w:hAnsi="Times New Roman" w:cs="Times New Roman"/>
        </w:rPr>
        <w:t xml:space="preserve"> </w:t>
      </w:r>
    </w:p>
    <w:p w14:paraId="288248F3" w14:textId="4BF72208" w:rsidR="00D029F6" w:rsidRDefault="00D029F6" w:rsidP="00466F39">
      <w:pPr>
        <w:ind w:firstLine="720"/>
        <w:jc w:val="both"/>
      </w:pPr>
      <w:r>
        <w:rPr>
          <w:rFonts w:ascii="Times New Roman" w:eastAsia="Times New Roman" w:hAnsi="Times New Roman" w:cs="Times New Roman"/>
        </w:rPr>
        <w:t xml:space="preserve">The advancement of technology requires HRM and IHRM to progress from administrative support to strategic architects of capability. To do this, success requires dynamic workforce planning for navigating the polarised domestic labour market and sophisticated governance of the ethical, legal and cultural complexities of a </w:t>
      </w:r>
      <w:r w:rsidR="00466F39">
        <w:rPr>
          <w:rFonts w:ascii="Times New Roman" w:eastAsia="Times New Roman" w:hAnsi="Times New Roman" w:cs="Times New Roman"/>
        </w:rPr>
        <w:t>digitally enabled</w:t>
      </w:r>
      <w:r>
        <w:rPr>
          <w:rFonts w:ascii="Times New Roman" w:eastAsia="Times New Roman" w:hAnsi="Times New Roman" w:cs="Times New Roman"/>
        </w:rPr>
        <w:t>, borderless talent ecosystem, a fundamental redefinition of the IHRM function.</w:t>
      </w:r>
    </w:p>
    <w:p w14:paraId="0E18E998" w14:textId="77777777" w:rsidR="00D029F6" w:rsidRDefault="00D029F6" w:rsidP="00D029F6">
      <w:pPr>
        <w:pStyle w:val="Heading1"/>
        <w:rPr>
          <w:rFonts w:ascii="Times New Roman" w:eastAsia="Times New Roman" w:hAnsi="Times New Roman" w:cs="Times New Roman"/>
        </w:rPr>
      </w:pPr>
      <w:r>
        <w:lastRenderedPageBreak/>
        <w:t xml:space="preserve"> </w:t>
      </w:r>
      <w:bookmarkStart w:id="6" w:name="_Toc213875832"/>
      <w:r>
        <w:rPr>
          <w:rFonts w:ascii="Times New Roman" w:eastAsia="Times New Roman" w:hAnsi="Times New Roman" w:cs="Times New Roman"/>
        </w:rPr>
        <w:t>Question 2: Demographic and Geopolitical Factors: Challenges for HR Professionals</w:t>
      </w:r>
      <w:bookmarkEnd w:id="6"/>
    </w:p>
    <w:p w14:paraId="6CC61D12" w14:textId="77777777" w:rsidR="00D029F6" w:rsidRDefault="00D029F6" w:rsidP="00D029F6">
      <w:pPr>
        <w:pStyle w:val="Heading2"/>
        <w:rPr>
          <w:rFonts w:ascii="Times New Roman" w:eastAsia="Times New Roman" w:hAnsi="Times New Roman" w:cs="Times New Roman"/>
        </w:rPr>
      </w:pPr>
      <w:bookmarkStart w:id="7" w:name="_Toc213875833"/>
      <w:r>
        <w:rPr>
          <w:rFonts w:ascii="Times New Roman" w:eastAsia="Times New Roman" w:hAnsi="Times New Roman" w:cs="Times New Roman"/>
        </w:rPr>
        <w:t>2.1. The Impact of Shifting Demographic Structures</w:t>
      </w:r>
      <w:bookmarkEnd w:id="7"/>
    </w:p>
    <w:p w14:paraId="075625DE" w14:textId="77777777" w:rsidR="00D029F6" w:rsidRDefault="00D029F6" w:rsidP="00B230C0">
      <w:pPr>
        <w:ind w:firstLine="720"/>
        <w:jc w:val="both"/>
        <w:rPr>
          <w:rFonts w:ascii="Times New Roman" w:eastAsia="Times New Roman" w:hAnsi="Times New Roman" w:cs="Times New Roman"/>
        </w:rPr>
      </w:pPr>
      <w:r>
        <w:rPr>
          <w:rFonts w:ascii="Times New Roman" w:eastAsia="Times New Roman" w:hAnsi="Times New Roman" w:cs="Times New Roman"/>
        </w:rPr>
        <w:t>Contemporary employment markets are being transformed under the influence of great demographic waves, in particular ageing populations in the countries of the Organization for Economic Cooperation and Development and large international migration flows, leading to concrete labour shortages and skills imbalances requiring a proactive response by HR (World Economic Forum, 2023).</w:t>
      </w:r>
    </w:p>
    <w:p w14:paraId="0EF75F89" w14:textId="77777777" w:rsidR="00D029F6" w:rsidRDefault="00D029F6" w:rsidP="00B230C0">
      <w:pPr>
        <w:ind w:firstLine="720"/>
        <w:jc w:val="both"/>
        <w:rPr>
          <w:rFonts w:ascii="Times New Roman" w:eastAsia="Times New Roman" w:hAnsi="Times New Roman" w:cs="Times New Roman"/>
        </w:rPr>
      </w:pPr>
      <w:r>
        <w:rPr>
          <w:rFonts w:ascii="Times New Roman" w:eastAsia="Times New Roman" w:hAnsi="Times New Roman" w:cs="Times New Roman"/>
        </w:rPr>
        <w:t>In developed economies, mass retirement of experienced workers is threatening a major loss of tacit institutional knowledge (Dessler, 2021). This forces an evolution in HR policy illustrated in Figure 1 from an untenable 'Old Policy Focus' of advocating early retirement to a 'New Policy Focus' aiming to keep on older workers. Strategic initiatives such as flexible policies such as phased retirement, where employees work fewer hours while mentoring successors and reverse mentoring, where younger employees instruct senior employees on new technologies to create a multi-directional knowledge flow (Kulothungan, 2024). At the same time, HR will be forced to re-engineer HR benefits in such a way that they control soaring healthcare costs and make them appealing to the younger talent pool (CIPD, 2022). On the other hand, migration offers a solution to labour shortages but requires a sophisticated HR infrastructure. Beyond figuring out how to navigate complex visa compliance, HR needs to create an authentic inclusive culture by developing solid Inclusion and Diversity (I&amp;D) initiatives. An improper integration of a diverse workforce presents systemic risks (including internal equity conflicts and a failure to innovate) (Hoang &amp; Tavlaridis, 2025; Jackson et al., 2020).</w:t>
      </w:r>
    </w:p>
    <w:p w14:paraId="6A5B2F45" w14:textId="77777777" w:rsidR="00D029F6" w:rsidRDefault="00D029F6" w:rsidP="00D029F6">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01575851" wp14:editId="68C3E94C">
            <wp:extent cx="5829300" cy="3457575"/>
            <wp:effectExtent l="0" t="0" r="0" b="9525"/>
            <wp:docPr id="2" name="image2.png" descr="A diagram of a policy&#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2.png" descr="A diagram of a policy&#10;&#10;AI-generated content may be incorrect."/>
                    <pic:cNvPicPr preferRelativeResize="0"/>
                  </pic:nvPicPr>
                  <pic:blipFill>
                    <a:blip r:embed="rId7"/>
                    <a:srcRect/>
                    <a:stretch>
                      <a:fillRect/>
                    </a:stretch>
                  </pic:blipFill>
                  <pic:spPr>
                    <a:xfrm>
                      <a:off x="0" y="0"/>
                      <a:ext cx="5829300" cy="3457575"/>
                    </a:xfrm>
                    <a:prstGeom prst="rect">
                      <a:avLst/>
                    </a:prstGeom>
                    <a:ln/>
                  </pic:spPr>
                </pic:pic>
              </a:graphicData>
            </a:graphic>
          </wp:inline>
        </w:drawing>
      </w:r>
    </w:p>
    <w:p w14:paraId="4A3A539B" w14:textId="77777777" w:rsidR="00D029F6" w:rsidRDefault="00D029F6" w:rsidP="00D029F6">
      <w:pPr>
        <w:pStyle w:val="Heading2"/>
        <w:rPr>
          <w:rFonts w:ascii="Times New Roman" w:eastAsia="Times New Roman" w:hAnsi="Times New Roman" w:cs="Times New Roman"/>
        </w:rPr>
      </w:pPr>
      <w:bookmarkStart w:id="8" w:name="_Toc213875834"/>
      <w:r>
        <w:rPr>
          <w:rFonts w:ascii="Times New Roman" w:eastAsia="Times New Roman" w:hAnsi="Times New Roman" w:cs="Times New Roman"/>
        </w:rPr>
        <w:lastRenderedPageBreak/>
        <w:t>2.2. Geopolitical Volatility and IHRM Resilience</w:t>
      </w:r>
      <w:bookmarkEnd w:id="8"/>
    </w:p>
    <w:p w14:paraId="3AA6389A" w14:textId="77777777" w:rsidR="00D029F6" w:rsidRDefault="00D029F6" w:rsidP="00FA1147">
      <w:pPr>
        <w:ind w:firstLine="720"/>
        <w:jc w:val="both"/>
        <w:rPr>
          <w:rFonts w:ascii="Times New Roman" w:eastAsia="Times New Roman" w:hAnsi="Times New Roman" w:cs="Times New Roman"/>
        </w:rPr>
      </w:pPr>
      <w:r>
        <w:rPr>
          <w:rFonts w:ascii="Times New Roman" w:eastAsia="Times New Roman" w:hAnsi="Times New Roman" w:cs="Times New Roman"/>
        </w:rPr>
        <w:t>Increasing geopolitical fragmentation and economic nationalism are severely testing the core principles of International Human Resource Management (IHRM). This volatility produces a negative feedback loop, which is conceptualised in Figure 2, "The Vicious Cycle of Geopolitical Risk and Talent Mobility." Geopolitical tensions translate into protectionist visa barriers, which lead to a decrease in the mobility of talents; this, in turn, increases the demand for local talent development and thus increase duty of care risks for the global workforce.</w:t>
      </w:r>
    </w:p>
    <w:p w14:paraId="15D636E0" w14:textId="77777777" w:rsidR="00D029F6" w:rsidRDefault="00D029F6" w:rsidP="00FA1147">
      <w:pPr>
        <w:ind w:firstLine="720"/>
        <w:jc w:val="both"/>
        <w:rPr>
          <w:rFonts w:ascii="Times New Roman" w:eastAsia="Times New Roman" w:hAnsi="Times New Roman" w:cs="Times New Roman"/>
        </w:rPr>
      </w:pPr>
      <w:r>
        <w:rPr>
          <w:rFonts w:ascii="Times New Roman" w:eastAsia="Times New Roman" w:hAnsi="Times New Roman" w:cs="Times New Roman"/>
        </w:rPr>
        <w:t>For IHRM, the question of building resilience is not only about anticipating and adapting to these political shocks. With nationalistic hiring requirements stifling traditional expatriation (Schuler 2020; Collings, 2023), a resilient IHRM response is decentralisation of the talent strategy, alongside a refocalisation on investment into the development of a strong local talent pipeline and succession plans (Sparrow and Hesketh 2021). Furthermore, regional conflicts and cyber warfare present a large burden on the duty of care for HR. IHRM is now demanding sophisticated crisis management protocols for employee safety, and strict data security protocols to keep intellectual property secure across remote international teams (Brewster et al., 2016; Vaiman et al., 2017). Ultimately IHRM resilience is the ability to equally acknowledge the need for global strategic coherence whilst maintaining a capacity to flexibly adapt to volatile local realities where human and organisational integrity can both be at risk.</w:t>
      </w:r>
    </w:p>
    <w:p w14:paraId="71D16C72" w14:textId="77777777" w:rsidR="00D029F6" w:rsidRDefault="00D029F6" w:rsidP="00D029F6">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56E3CA4D" wp14:editId="0AEF2E20">
            <wp:extent cx="5781675" cy="4619625"/>
            <wp:effectExtent l="0" t="0" r="9525" b="9525"/>
            <wp:docPr id="5" name="image5.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5.png" descr="A diagram of a diagram&#10;&#10;AI-generated content may be incorrect."/>
                    <pic:cNvPicPr preferRelativeResize="0"/>
                  </pic:nvPicPr>
                  <pic:blipFill>
                    <a:blip r:embed="rId8"/>
                    <a:srcRect/>
                    <a:stretch>
                      <a:fillRect/>
                    </a:stretch>
                  </pic:blipFill>
                  <pic:spPr>
                    <a:xfrm>
                      <a:off x="0" y="0"/>
                      <a:ext cx="5781675" cy="4619625"/>
                    </a:xfrm>
                    <a:prstGeom prst="rect">
                      <a:avLst/>
                    </a:prstGeom>
                    <a:ln/>
                  </pic:spPr>
                </pic:pic>
              </a:graphicData>
            </a:graphic>
          </wp:inline>
        </w:drawing>
      </w:r>
    </w:p>
    <w:p w14:paraId="0A3A482E" w14:textId="77777777" w:rsidR="00D029F6" w:rsidRDefault="00D029F6" w:rsidP="00D029F6">
      <w:pPr>
        <w:pStyle w:val="Heading2"/>
        <w:rPr>
          <w:rFonts w:ascii="Times New Roman" w:eastAsia="Times New Roman" w:hAnsi="Times New Roman" w:cs="Times New Roman"/>
        </w:rPr>
      </w:pPr>
      <w:r>
        <w:rPr>
          <w:rFonts w:ascii="Times New Roman" w:eastAsia="Times New Roman" w:hAnsi="Times New Roman" w:cs="Times New Roman"/>
        </w:rPr>
        <w:lastRenderedPageBreak/>
        <w:t xml:space="preserve"> </w:t>
      </w:r>
    </w:p>
    <w:p w14:paraId="78EFBC70" w14:textId="77777777" w:rsidR="00D029F6" w:rsidRDefault="00D029F6" w:rsidP="00D029F6">
      <w:pPr>
        <w:pStyle w:val="Heading2"/>
        <w:rPr>
          <w:rFonts w:ascii="Times New Roman" w:eastAsia="Times New Roman" w:hAnsi="Times New Roman" w:cs="Times New Roman"/>
        </w:rPr>
      </w:pPr>
      <w:bookmarkStart w:id="9" w:name="_Toc213875835"/>
      <w:r>
        <w:rPr>
          <w:rFonts w:ascii="Times New Roman" w:eastAsia="Times New Roman" w:hAnsi="Times New Roman" w:cs="Times New Roman"/>
        </w:rPr>
        <w:t>Conclusion</w:t>
      </w:r>
      <w:bookmarkEnd w:id="9"/>
    </w:p>
    <w:p w14:paraId="201D0994" w14:textId="77777777" w:rsidR="00D029F6" w:rsidRDefault="00D029F6" w:rsidP="00C5104D">
      <w:pPr>
        <w:ind w:firstLine="720"/>
        <w:jc w:val="both"/>
        <w:rPr>
          <w:rFonts w:ascii="Times New Roman" w:eastAsia="Times New Roman" w:hAnsi="Times New Roman" w:cs="Times New Roman"/>
        </w:rPr>
      </w:pPr>
      <w:r>
        <w:rPr>
          <w:rFonts w:ascii="Times New Roman" w:eastAsia="Times New Roman" w:hAnsi="Times New Roman" w:cs="Times New Roman"/>
        </w:rPr>
        <w:t>A combination of population demographic shifts and geopolitical upheaval are forcing a strategic change in how HR is conducted. Professionals need to not only move beyond reactive roles to proactively model these external macro-environmental shifts by synthesising labour market data with geopolitical intelligence. This is to ensure that the workforce strategy supports business resilience, allows the ethical management of a diverse global workforce as well as the development of the capabilities to operate in political sensitive environments (Vargas, 2022).</w:t>
      </w:r>
    </w:p>
    <w:p w14:paraId="15053408" w14:textId="77777777" w:rsidR="00D029F6" w:rsidRDefault="00D029F6" w:rsidP="00D029F6"/>
    <w:p w14:paraId="17711AE5" w14:textId="77777777" w:rsidR="006017D1" w:rsidRDefault="006017D1" w:rsidP="00D029F6"/>
    <w:p w14:paraId="45D1F8C6" w14:textId="77777777" w:rsidR="006017D1" w:rsidRDefault="006017D1" w:rsidP="00D029F6"/>
    <w:p w14:paraId="268AE909" w14:textId="77777777" w:rsidR="006017D1" w:rsidRDefault="006017D1" w:rsidP="00D029F6"/>
    <w:p w14:paraId="2ED0EAA9" w14:textId="77777777" w:rsidR="006017D1" w:rsidRDefault="006017D1" w:rsidP="00D029F6"/>
    <w:p w14:paraId="03A9D267" w14:textId="77777777" w:rsidR="00D029F6" w:rsidRDefault="00D029F6" w:rsidP="00D029F6">
      <w:pPr>
        <w:pStyle w:val="Heading1"/>
        <w:rPr>
          <w:rFonts w:ascii="Times New Roman" w:eastAsia="Times New Roman" w:hAnsi="Times New Roman" w:cs="Times New Roman"/>
        </w:rPr>
      </w:pPr>
      <w:r>
        <w:rPr>
          <w:rFonts w:ascii="Times New Roman" w:eastAsia="Times New Roman" w:hAnsi="Times New Roman" w:cs="Times New Roman"/>
        </w:rPr>
        <w:t xml:space="preserve"> </w:t>
      </w:r>
      <w:bookmarkStart w:id="10" w:name="_Toc213875836"/>
      <w:r>
        <w:rPr>
          <w:rFonts w:ascii="Times New Roman" w:eastAsia="Times New Roman" w:hAnsi="Times New Roman" w:cs="Times New Roman"/>
        </w:rPr>
        <w:t>Question 3: Addressing Persistent Skills Gaps and Talent Shortages through Strategic HRM</w:t>
      </w:r>
      <w:bookmarkEnd w:id="10"/>
    </w:p>
    <w:p w14:paraId="24F97570" w14:textId="77777777" w:rsidR="00D029F6" w:rsidRDefault="00D029F6" w:rsidP="00D029F6">
      <w:pPr>
        <w:pStyle w:val="Heading2"/>
        <w:rPr>
          <w:rFonts w:ascii="Times New Roman" w:eastAsia="Times New Roman" w:hAnsi="Times New Roman" w:cs="Times New Roman"/>
        </w:rPr>
      </w:pPr>
      <w:bookmarkStart w:id="11" w:name="_Toc213875837"/>
      <w:r>
        <w:rPr>
          <w:rFonts w:ascii="Times New Roman" w:eastAsia="Times New Roman" w:hAnsi="Times New Roman" w:cs="Times New Roman"/>
        </w:rPr>
        <w:t>3.1. Diagnosis and Strategic Workforce Planning</w:t>
      </w:r>
      <w:bookmarkEnd w:id="11"/>
    </w:p>
    <w:p w14:paraId="111B1020" w14:textId="77777777" w:rsidR="00D029F6" w:rsidRDefault="00D029F6" w:rsidP="00C5104D">
      <w:pPr>
        <w:ind w:firstLine="720"/>
        <w:jc w:val="both"/>
        <w:rPr>
          <w:rFonts w:ascii="Times New Roman" w:eastAsia="Times New Roman" w:hAnsi="Times New Roman" w:cs="Times New Roman"/>
        </w:rPr>
      </w:pPr>
      <w:r>
        <w:rPr>
          <w:rFonts w:ascii="Times New Roman" w:eastAsia="Times New Roman" w:hAnsi="Times New Roman" w:cs="Times New Roman"/>
        </w:rPr>
        <w:t>The persistence of skills gap in important sectors such as technology and healthcare is an existential threat to organisational capability (PwC, 2023). Addressing this requires a move from reactive recruitment practices to proactive Strategic Human Resource Management (SHR) which requires HR initiatives to be intimately involved in long-term strategic management (Lepak and Snell, 1999). The foundation is an in-depth diagnosis of the landscape of skills through dynamic, Strategic Workforce Planning (SWP).</w:t>
      </w:r>
    </w:p>
    <w:p w14:paraId="56464536" w14:textId="77777777" w:rsidR="00D029F6" w:rsidRDefault="00D029F6" w:rsidP="00C5104D">
      <w:pPr>
        <w:ind w:firstLine="720"/>
        <w:jc w:val="both"/>
        <w:rPr>
          <w:rFonts w:ascii="Times New Roman" w:eastAsia="Times New Roman" w:hAnsi="Times New Roman" w:cs="Times New Roman"/>
        </w:rPr>
      </w:pPr>
      <w:r>
        <w:rPr>
          <w:rFonts w:ascii="Times New Roman" w:eastAsia="Times New Roman" w:hAnsi="Times New Roman" w:cs="Times New Roman"/>
        </w:rPr>
        <w:t xml:space="preserve">Modern SWP is a constant process of projecting future skill requirements compared to internal current supply of skills to identify gaps (Dessler, 2021). This analysis needs to be dynamic, because the type of competencies needed is constantly changing (World Economic Forum, 2023). For example, the hypothetical analysis in Figure 1 for a healthcare technology firm indicates a large deficit in the future in 'Data Science' and 'AI Ethics' whilst also the smaller deficit in 'Clinical Technology' indicates a need for upskilling. This granular data-driven diagnosis is a critical one, without </w:t>
      </w:r>
      <w:proofErr w:type="gramStart"/>
      <w:r>
        <w:rPr>
          <w:rFonts w:ascii="Times New Roman" w:eastAsia="Times New Roman" w:hAnsi="Times New Roman" w:cs="Times New Roman"/>
        </w:rPr>
        <w:t>it</w:t>
      </w:r>
      <w:proofErr w:type="gramEnd"/>
      <w:r>
        <w:rPr>
          <w:rFonts w:ascii="Times New Roman" w:eastAsia="Times New Roman" w:hAnsi="Times New Roman" w:cs="Times New Roman"/>
        </w:rPr>
        <w:t xml:space="preserve"> talent strategy is merely guesswork.</w:t>
      </w:r>
    </w:p>
    <w:p w14:paraId="60D9FB30" w14:textId="77777777" w:rsidR="00D029F6" w:rsidRDefault="00D029F6" w:rsidP="00D029F6">
      <w:pPr>
        <w:jc w:val="center"/>
        <w:rPr>
          <w:rFonts w:ascii="Times New Roman" w:eastAsia="Times New Roman" w:hAnsi="Times New Roman" w:cs="Times New Roman"/>
          <w:b/>
        </w:rPr>
      </w:pPr>
    </w:p>
    <w:p w14:paraId="258640B9" w14:textId="77777777" w:rsidR="00D029F6" w:rsidRDefault="00D029F6" w:rsidP="00D029F6">
      <w:pPr>
        <w:jc w:val="center"/>
        <w:rPr>
          <w:rFonts w:ascii="Times New Roman" w:eastAsia="Times New Roman" w:hAnsi="Times New Roman" w:cs="Times New Roman"/>
          <w:b/>
        </w:rPr>
      </w:pPr>
    </w:p>
    <w:p w14:paraId="2A6DBC58" w14:textId="77777777" w:rsidR="00D029F6" w:rsidRDefault="00D029F6" w:rsidP="00D029F6">
      <w:pPr>
        <w:jc w:val="center"/>
        <w:rPr>
          <w:rFonts w:ascii="Times New Roman" w:eastAsia="Times New Roman" w:hAnsi="Times New Roman" w:cs="Times New Roman"/>
          <w:b/>
        </w:rPr>
      </w:pPr>
    </w:p>
    <w:p w14:paraId="4466A23B"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30491502" wp14:editId="43512F72">
            <wp:extent cx="5495925" cy="5495925"/>
            <wp:effectExtent l="0" t="0" r="0" b="0"/>
            <wp:docPr id="4" name="image4.png" descr="A graph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4.png" descr="A graph of a diagram&#10;&#10;AI-generated content may be incorrect."/>
                    <pic:cNvPicPr preferRelativeResize="0"/>
                  </pic:nvPicPr>
                  <pic:blipFill>
                    <a:blip r:embed="rId9"/>
                    <a:srcRect/>
                    <a:stretch>
                      <a:fillRect/>
                    </a:stretch>
                  </pic:blipFill>
                  <pic:spPr>
                    <a:xfrm>
                      <a:off x="0" y="0"/>
                      <a:ext cx="5495925" cy="5495925"/>
                    </a:xfrm>
                    <a:prstGeom prst="rect">
                      <a:avLst/>
                    </a:prstGeom>
                    <a:ln/>
                  </pic:spPr>
                </pic:pic>
              </a:graphicData>
            </a:graphic>
          </wp:inline>
        </w:drawing>
      </w:r>
    </w:p>
    <w:p w14:paraId="306A7D7D" w14:textId="77777777" w:rsidR="00D029F6" w:rsidRDefault="00D029F6" w:rsidP="00D029F6">
      <w:pPr>
        <w:pStyle w:val="Heading2"/>
        <w:rPr>
          <w:rFonts w:ascii="Times New Roman" w:eastAsia="Times New Roman" w:hAnsi="Times New Roman" w:cs="Times New Roman"/>
        </w:rPr>
      </w:pPr>
      <w:bookmarkStart w:id="12" w:name="_Toc213875838"/>
      <w:r>
        <w:rPr>
          <w:rFonts w:ascii="Times New Roman" w:eastAsia="Times New Roman" w:hAnsi="Times New Roman" w:cs="Times New Roman"/>
        </w:rPr>
        <w:t>3.2. Strategic Interventions: Build, Buy, Borrow, or Bridge</w:t>
      </w:r>
      <w:bookmarkEnd w:id="12"/>
    </w:p>
    <w:p w14:paraId="005CE5E7" w14:textId="77777777" w:rsidR="00D029F6" w:rsidRDefault="00D029F6" w:rsidP="006017D1">
      <w:pPr>
        <w:ind w:firstLine="720"/>
        <w:jc w:val="both"/>
        <w:rPr>
          <w:rFonts w:ascii="Times New Roman" w:eastAsia="Times New Roman" w:hAnsi="Times New Roman" w:cs="Times New Roman"/>
        </w:rPr>
      </w:pPr>
      <w:r>
        <w:rPr>
          <w:rFonts w:ascii="Times New Roman" w:eastAsia="Times New Roman" w:hAnsi="Times New Roman" w:cs="Times New Roman"/>
        </w:rPr>
        <w:t xml:space="preserve">Once diagnosed, there is a portfolio of talent solutions referred to as "Build, Buy, Borrow or Bridge": The strategic choice is dependent on skill scarcity and whether it is more specific to the organisation as illustrated in the matrix in Figure 2. For scarce and very specific skills, the strategy is to Build--with major investment in internal L&amp;D as is the case with Amazon's reskilling academies (Kulothungan, 2024). This is complemented by having a Bridge strategy to create talent pipelines, by long term strategic partnership with educational institutions. Where there are skills that are scarce but universal (e.g. cybersecurity), then a Buy strategy is needed, requiring sophisticated Talent Acquisition and a compelling Employee Value Proposition (EVP) (SHRM, 2021). For short term needs, </w:t>
      </w:r>
      <w:proofErr w:type="gramStart"/>
      <w:r>
        <w:rPr>
          <w:rFonts w:ascii="Times New Roman" w:eastAsia="Times New Roman" w:hAnsi="Times New Roman" w:cs="Times New Roman"/>
        </w:rPr>
        <w:t>Borrow</w:t>
      </w:r>
      <w:proofErr w:type="gramEnd"/>
      <w:r>
        <w:rPr>
          <w:rFonts w:ascii="Times New Roman" w:eastAsia="Times New Roman" w:hAnsi="Times New Roman" w:cs="Times New Roman"/>
        </w:rPr>
        <w:t xml:space="preserve"> strategy using freelancers offers flexibility but requires robust knowledge transfer protocols to avoid cultural fragmentation (Vallas &amp; Schor, 2020).</w:t>
      </w:r>
    </w:p>
    <w:p w14:paraId="06EC78F5" w14:textId="77777777" w:rsidR="00D029F6" w:rsidRDefault="00D029F6" w:rsidP="00D029F6">
      <w:pPr>
        <w:jc w:val="center"/>
        <w:rPr>
          <w:rFonts w:ascii="Times New Roman" w:eastAsia="Times New Roman" w:hAnsi="Times New Roman" w:cs="Times New Roman"/>
          <w:b/>
        </w:rPr>
      </w:pPr>
    </w:p>
    <w:p w14:paraId="38E8FEA9" w14:textId="77777777" w:rsidR="00D029F6" w:rsidRDefault="00D029F6" w:rsidP="00D029F6">
      <w:pPr>
        <w:jc w:val="center"/>
        <w:rPr>
          <w:rFonts w:ascii="Times New Roman" w:eastAsia="Times New Roman" w:hAnsi="Times New Roman" w:cs="Times New Roman"/>
          <w:b/>
        </w:rPr>
      </w:pPr>
    </w:p>
    <w:p w14:paraId="6E390FF6"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69A3EC0A" wp14:editId="1C9605A1">
            <wp:extent cx="5829300" cy="5829300"/>
            <wp:effectExtent l="0" t="0" r="0" b="0"/>
            <wp:docPr id="7" name="image7.png" descr="A diagram of a business model&#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7.png" descr="A diagram of a business model&#10;&#10;AI-generated content may be incorrect."/>
                    <pic:cNvPicPr preferRelativeResize="0"/>
                  </pic:nvPicPr>
                  <pic:blipFill>
                    <a:blip r:embed="rId10"/>
                    <a:srcRect/>
                    <a:stretch>
                      <a:fillRect/>
                    </a:stretch>
                  </pic:blipFill>
                  <pic:spPr>
                    <a:xfrm>
                      <a:off x="0" y="0"/>
                      <a:ext cx="5829300" cy="5829300"/>
                    </a:xfrm>
                    <a:prstGeom prst="rect">
                      <a:avLst/>
                    </a:prstGeom>
                    <a:ln/>
                  </pic:spPr>
                </pic:pic>
              </a:graphicData>
            </a:graphic>
          </wp:inline>
        </w:drawing>
      </w:r>
    </w:p>
    <w:p w14:paraId="1E2647A8" w14:textId="77777777" w:rsidR="00D029F6" w:rsidRDefault="00D029F6" w:rsidP="00D029F6">
      <w:pPr>
        <w:rPr>
          <w:rFonts w:ascii="Times New Roman" w:eastAsia="Times New Roman" w:hAnsi="Times New Roman" w:cs="Times New Roman"/>
        </w:rPr>
      </w:pPr>
    </w:p>
    <w:p w14:paraId="3D97B21A" w14:textId="77777777" w:rsidR="00D029F6" w:rsidRDefault="00D029F6" w:rsidP="00D029F6">
      <w:pPr>
        <w:pStyle w:val="Heading2"/>
        <w:rPr>
          <w:rFonts w:ascii="Times New Roman" w:eastAsia="Times New Roman" w:hAnsi="Times New Roman" w:cs="Times New Roman"/>
        </w:rPr>
      </w:pPr>
      <w:bookmarkStart w:id="13" w:name="_Toc213875839"/>
      <w:r>
        <w:rPr>
          <w:rFonts w:ascii="Times New Roman" w:eastAsia="Times New Roman" w:hAnsi="Times New Roman" w:cs="Times New Roman"/>
        </w:rPr>
        <w:t>3.3. Retention through Holistic Employee Experience</w:t>
      </w:r>
      <w:bookmarkEnd w:id="13"/>
    </w:p>
    <w:p w14:paraId="7F986084" w14:textId="77777777" w:rsidR="00D029F6" w:rsidRDefault="00D029F6" w:rsidP="006017D1">
      <w:pPr>
        <w:ind w:firstLine="720"/>
        <w:jc w:val="both"/>
        <w:rPr>
          <w:rFonts w:ascii="Times New Roman" w:eastAsia="Times New Roman" w:hAnsi="Times New Roman" w:cs="Times New Roman"/>
        </w:rPr>
      </w:pPr>
      <w:r>
        <w:rPr>
          <w:rFonts w:ascii="Times New Roman" w:eastAsia="Times New Roman" w:hAnsi="Times New Roman" w:cs="Times New Roman"/>
        </w:rPr>
        <w:t>These strategies cannot be sustained without a basic commitment to retention. It is inefficient to build or purchase talent and lose it. Therefore, it is up to SHRM to advocate for a holistic approach to the Employee Experience (EX) - the aggregate of all the employee experiences with the organisation. In high-stress sectors, this means providing equitable total rewards, psychological safety and clear career paths (Armstrong &amp; Taylor, 2020). The strategic importance of EX is financial, and not just philosophical. As can be seen from Figure 3, the higher the score for EX the more direct correlation will be with reduced staff turnover and reduced recruitment costs. This in turn forms a virtuous cycle, whereby retained talent creates less pressure to hire, and this frees up resources to further invest in the development and well-being which strengthens EX (Guest 2017).</w:t>
      </w:r>
    </w:p>
    <w:p w14:paraId="2B30CDFC"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1C8408BC" wp14:editId="4262A377">
            <wp:extent cx="5724525" cy="5724525"/>
            <wp:effectExtent l="0" t="0" r="0" b="0"/>
            <wp:docPr id="6" name="image6.png" descr="A graph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6.png" descr="A graph of a graph&#10;&#10;AI-generated content may be incorrect."/>
                    <pic:cNvPicPr preferRelativeResize="0"/>
                  </pic:nvPicPr>
                  <pic:blipFill>
                    <a:blip r:embed="rId11"/>
                    <a:srcRect/>
                    <a:stretch>
                      <a:fillRect/>
                    </a:stretch>
                  </pic:blipFill>
                  <pic:spPr>
                    <a:xfrm>
                      <a:off x="0" y="0"/>
                      <a:ext cx="5724525" cy="5724525"/>
                    </a:xfrm>
                    <a:prstGeom prst="rect">
                      <a:avLst/>
                    </a:prstGeom>
                    <a:ln/>
                  </pic:spPr>
                </pic:pic>
              </a:graphicData>
            </a:graphic>
          </wp:inline>
        </w:drawing>
      </w:r>
    </w:p>
    <w:p w14:paraId="0A5B0D06" w14:textId="77777777" w:rsidR="00D029F6" w:rsidRDefault="00D029F6" w:rsidP="00CD22EA">
      <w:pPr>
        <w:ind w:firstLine="720"/>
        <w:jc w:val="both"/>
        <w:rPr>
          <w:rFonts w:ascii="Times New Roman" w:eastAsia="Times New Roman" w:hAnsi="Times New Roman" w:cs="Times New Roman"/>
        </w:rPr>
      </w:pPr>
      <w:r>
        <w:rPr>
          <w:rFonts w:ascii="Times New Roman" w:eastAsia="Times New Roman" w:hAnsi="Times New Roman" w:cs="Times New Roman"/>
        </w:rPr>
        <w:t>Talent shortages can only be addressed with a systematic SHRM framework. It begins with data-driven diagnosis through SWP, followed by a portfolio of "Build, Buy, Borrow, and Bridge" strategies. This structure, however, has as its foundation a profound commitment towards the Employee Experience, which is the ultimate driver of retention and the key to establishing a sustainable human capital advantage.</w:t>
      </w:r>
    </w:p>
    <w:p w14:paraId="620F55CD" w14:textId="77777777" w:rsidR="00D029F6" w:rsidRDefault="00D029F6" w:rsidP="00D029F6"/>
    <w:p w14:paraId="015B8347" w14:textId="77777777" w:rsidR="00D029F6" w:rsidRDefault="00D029F6" w:rsidP="00D029F6">
      <w:pPr>
        <w:pStyle w:val="Heading1"/>
        <w:rPr>
          <w:rFonts w:ascii="Times New Roman" w:eastAsia="Times New Roman" w:hAnsi="Times New Roman" w:cs="Times New Roman"/>
        </w:rPr>
      </w:pPr>
      <w:r>
        <w:lastRenderedPageBreak/>
        <w:t xml:space="preserve"> </w:t>
      </w:r>
      <w:bookmarkStart w:id="14" w:name="_Toc213875840"/>
      <w:r>
        <w:rPr>
          <w:rFonts w:ascii="Times New Roman" w:eastAsia="Times New Roman" w:hAnsi="Times New Roman" w:cs="Times New Roman"/>
        </w:rPr>
        <w:t>Question 4: Preparedness for the Globalised Workplace: A Critical Self-Reflection</w:t>
      </w:r>
      <w:bookmarkEnd w:id="14"/>
    </w:p>
    <w:p w14:paraId="2EC7DA30" w14:textId="77777777" w:rsidR="00D029F6" w:rsidRDefault="00D029F6" w:rsidP="00D029F6">
      <w:pPr>
        <w:pStyle w:val="Heading2"/>
        <w:rPr>
          <w:rFonts w:ascii="Times New Roman" w:eastAsia="Times New Roman" w:hAnsi="Times New Roman" w:cs="Times New Roman"/>
        </w:rPr>
      </w:pPr>
      <w:bookmarkStart w:id="15" w:name="_Toc213875841"/>
      <w:r>
        <w:rPr>
          <w:rFonts w:ascii="Times New Roman" w:eastAsia="Times New Roman" w:hAnsi="Times New Roman" w:cs="Times New Roman"/>
        </w:rPr>
        <w:t>4.1. Introduction to the Reflection Framework</w:t>
      </w:r>
      <w:bookmarkEnd w:id="15"/>
    </w:p>
    <w:p w14:paraId="440A4166" w14:textId="48E7624C" w:rsidR="00D029F6" w:rsidRDefault="00D029F6" w:rsidP="005D2008">
      <w:pPr>
        <w:ind w:firstLine="720"/>
        <w:jc w:val="both"/>
        <w:rPr>
          <w:rFonts w:ascii="Times New Roman" w:eastAsia="Times New Roman" w:hAnsi="Times New Roman" w:cs="Times New Roman"/>
        </w:rPr>
      </w:pPr>
      <w:r>
        <w:rPr>
          <w:rFonts w:ascii="Times New Roman" w:eastAsia="Times New Roman" w:hAnsi="Times New Roman" w:cs="Times New Roman"/>
        </w:rPr>
        <w:t xml:space="preserve">To be successful in the modern globalised </w:t>
      </w:r>
      <w:r w:rsidR="005D2008">
        <w:rPr>
          <w:rFonts w:ascii="Times New Roman" w:eastAsia="Times New Roman" w:hAnsi="Times New Roman" w:cs="Times New Roman"/>
        </w:rPr>
        <w:t>workplace</w:t>
      </w:r>
      <w:r>
        <w:rPr>
          <w:rFonts w:ascii="Times New Roman" w:eastAsia="Times New Roman" w:hAnsi="Times New Roman" w:cs="Times New Roman"/>
        </w:rPr>
        <w:t xml:space="preserve">, it is necessary to navigate through the technological, demographic and geopolitical disruptions that have been analysed. This requires leaders who are adaptable, have a cross-cultural competence and </w:t>
      </w:r>
      <w:proofErr w:type="gramStart"/>
      <w:r>
        <w:rPr>
          <w:rFonts w:ascii="Times New Roman" w:eastAsia="Times New Roman" w:hAnsi="Times New Roman" w:cs="Times New Roman"/>
        </w:rPr>
        <w:t>are able to</w:t>
      </w:r>
      <w:proofErr w:type="gramEnd"/>
      <w:r>
        <w:rPr>
          <w:rFonts w:ascii="Times New Roman" w:eastAsia="Times New Roman" w:hAnsi="Times New Roman" w:cs="Times New Roman"/>
        </w:rPr>
        <w:t xml:space="preserve"> constantly learn (Briscoe et al., 2021). This section is an important </w:t>
      </w:r>
      <w:r w:rsidR="005D2008">
        <w:rPr>
          <w:rFonts w:ascii="Times New Roman" w:eastAsia="Times New Roman" w:hAnsi="Times New Roman" w:cs="Times New Roman"/>
        </w:rPr>
        <w:t>self-reflection</w:t>
      </w:r>
      <w:r>
        <w:rPr>
          <w:rFonts w:ascii="Times New Roman" w:eastAsia="Times New Roman" w:hAnsi="Times New Roman" w:cs="Times New Roman"/>
        </w:rPr>
        <w:t xml:space="preserve"> on my readiness for this environment. Using Kolb's (1984) experiential learning cycle as an example, I will be auditing my capabilities, but the analysis will be based on certain evidence to assure Level 7 critical judgement.</w:t>
      </w:r>
    </w:p>
    <w:p w14:paraId="587BC2DA" w14:textId="77777777" w:rsidR="00D029F6" w:rsidRDefault="00D029F6" w:rsidP="00D029F6">
      <w:pPr>
        <w:pStyle w:val="Heading2"/>
        <w:rPr>
          <w:rFonts w:ascii="Times New Roman" w:eastAsia="Times New Roman" w:hAnsi="Times New Roman" w:cs="Times New Roman"/>
        </w:rPr>
      </w:pPr>
      <w:bookmarkStart w:id="16" w:name="_Toc213875842"/>
      <w:r>
        <w:rPr>
          <w:rFonts w:ascii="Times New Roman" w:eastAsia="Times New Roman" w:hAnsi="Times New Roman" w:cs="Times New Roman"/>
        </w:rPr>
        <w:t>4.2. Capabilities Assessment and Evidence</w:t>
      </w:r>
      <w:bookmarkEnd w:id="16"/>
    </w:p>
    <w:p w14:paraId="1EEF10CB" w14:textId="3B699401" w:rsidR="00D029F6" w:rsidRDefault="00D029F6" w:rsidP="005D2008">
      <w:pPr>
        <w:ind w:firstLine="720"/>
        <w:jc w:val="both"/>
        <w:rPr>
          <w:rFonts w:ascii="Times New Roman" w:eastAsia="Times New Roman" w:hAnsi="Times New Roman" w:cs="Times New Roman"/>
        </w:rPr>
      </w:pPr>
      <w:r>
        <w:rPr>
          <w:rFonts w:ascii="Times New Roman" w:eastAsia="Times New Roman" w:hAnsi="Times New Roman" w:cs="Times New Roman"/>
        </w:rPr>
        <w:t xml:space="preserve">My capabilities expose a recurring thread, where I demonstrate a strength of being able to tackle structured and analytical processes, and a weakness of being able to tackle challenges with greater ambiguity and within a human context. My expertise in Technology and Leadership is based on Strategic use of Data and Evidence. For </w:t>
      </w:r>
      <w:r w:rsidR="005D2008">
        <w:rPr>
          <w:rFonts w:ascii="Times New Roman" w:eastAsia="Times New Roman" w:hAnsi="Times New Roman" w:cs="Times New Roman"/>
        </w:rPr>
        <w:t>example,</w:t>
      </w:r>
      <w:r>
        <w:rPr>
          <w:rFonts w:ascii="Times New Roman" w:eastAsia="Times New Roman" w:hAnsi="Times New Roman" w:cs="Times New Roman"/>
        </w:rPr>
        <w:t xml:space="preserve"> I have been able to use Tableau to develop predictive Human Resource models (Dessler, 2021) and led group discussions to consensus using conflicting data through synthesis. However, such analytical focus appears to have consequences in terms of weaknesses. I have a theoretical rather than practical knowledge of the ethical governance of AI in IHRM (Zuboff, 2019), and with no experience of the inspirational, emotionally intelligent leadership I would need to guide a team through a crisis, reflecting a gap in applied behavioural leadership (Bass &amp; Riggio, 2006).</w:t>
      </w:r>
    </w:p>
    <w:p w14:paraId="54640F4A" w14:textId="2AB3A1C1" w:rsidR="00D029F6" w:rsidRDefault="00D029F6" w:rsidP="005D2008">
      <w:pPr>
        <w:ind w:firstLine="720"/>
        <w:jc w:val="both"/>
        <w:rPr>
          <w:rFonts w:ascii="Times New Roman" w:eastAsia="Times New Roman" w:hAnsi="Times New Roman" w:cs="Times New Roman"/>
        </w:rPr>
      </w:pPr>
      <w:r>
        <w:rPr>
          <w:rFonts w:ascii="Times New Roman" w:eastAsia="Times New Roman" w:hAnsi="Times New Roman" w:cs="Times New Roman"/>
        </w:rPr>
        <w:t xml:space="preserve">This pattern carries on through to my Teamwork and Communication skills. I excel at the design and implementation of structured systems for asynchronous collaborative work, having used effective work flows in virtual collaboration, e.g. using Slack and Trello (Gibson &amp; Gibbs, 2006). My skills in formal written communication are also a major selling </w:t>
      </w:r>
      <w:r w:rsidR="005D2008">
        <w:rPr>
          <w:rFonts w:ascii="Times New Roman" w:eastAsia="Times New Roman" w:hAnsi="Times New Roman" w:cs="Times New Roman"/>
        </w:rPr>
        <w:t>point,</w:t>
      </w:r>
      <w:r>
        <w:rPr>
          <w:rFonts w:ascii="Times New Roman" w:eastAsia="Times New Roman" w:hAnsi="Times New Roman" w:cs="Times New Roman"/>
        </w:rPr>
        <w:t xml:space="preserve"> and I have a record of high marks on essays that have been praised for their clarity of communication. The equivalent weaknesses are seen to occur in less structured, interpersonal contexts. Professional feedback has mentioned that my task-oriented control can stifle creativity in the team by lowering psychological safety, (Edmondson, 1999). This was further emphasized in a simulation of a cross-cultural negotiation, due to my direct, low-context communication style, that failed to interpret non-verbal communication cues, which caused friction and demonstrated a failure to apply cultural models in practice (Hall, 1976).</w:t>
      </w:r>
    </w:p>
    <w:p w14:paraId="1DAB7808" w14:textId="01CC91A3" w:rsidR="00D029F6" w:rsidRDefault="00D029F6" w:rsidP="005D2008">
      <w:pPr>
        <w:ind w:firstLine="720"/>
        <w:jc w:val="both"/>
        <w:rPr>
          <w:rFonts w:ascii="Times New Roman" w:eastAsia="Times New Roman" w:hAnsi="Times New Roman" w:cs="Times New Roman"/>
        </w:rPr>
      </w:pPr>
      <w:r>
        <w:rPr>
          <w:rFonts w:ascii="Times New Roman" w:eastAsia="Times New Roman" w:hAnsi="Times New Roman" w:cs="Times New Roman"/>
        </w:rPr>
        <w:t xml:space="preserve">Finally, my approach to Self-Directed Learning is based on this same two sidedness. I am very proactive when it comes to addressing theoretical knowledge gaps which is supported by the fact that I have completed two micro-credentials on geopolitical risk analysis by myself for this assignment (Long, 2019). The </w:t>
      </w:r>
      <w:r w:rsidR="005D2008">
        <w:rPr>
          <w:rFonts w:ascii="Times New Roman" w:eastAsia="Times New Roman" w:hAnsi="Times New Roman" w:cs="Times New Roman"/>
        </w:rPr>
        <w:t>weakness,</w:t>
      </w:r>
      <w:r>
        <w:rPr>
          <w:rFonts w:ascii="Times New Roman" w:eastAsia="Times New Roman" w:hAnsi="Times New Roman" w:cs="Times New Roman"/>
        </w:rPr>
        <w:t xml:space="preserve"> however, is an over-emphasis on theoretical depth at the expense of developing peripheral professional skills. A recent presentation, for which I did get the content right but worked on the visual design, some feedback on that </w:t>
      </w:r>
      <w:r>
        <w:rPr>
          <w:rFonts w:ascii="Times New Roman" w:eastAsia="Times New Roman" w:hAnsi="Times New Roman" w:cs="Times New Roman"/>
        </w:rPr>
        <w:lastRenderedPageBreak/>
        <w:t>presentation was that it lacked the executive-level polish desired in a professional context, which shows that there can be a balance of analytical rigour versus impactful delivery.</w:t>
      </w:r>
    </w:p>
    <w:p w14:paraId="6A96867F" w14:textId="77777777" w:rsidR="00D029F6" w:rsidRDefault="00D029F6" w:rsidP="00D029F6">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604B019E" wp14:editId="5D25EBFD">
            <wp:extent cx="5772150" cy="5772150"/>
            <wp:effectExtent l="0" t="0" r="0" b="0"/>
            <wp:docPr id="9" name="image9.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9" name="image9.png" descr="A diagram of a graph&#10;&#10;AI-generated content may be incorrect."/>
                    <pic:cNvPicPr preferRelativeResize="0"/>
                  </pic:nvPicPr>
                  <pic:blipFill>
                    <a:blip r:embed="rId12"/>
                    <a:srcRect/>
                    <a:stretch>
                      <a:fillRect/>
                    </a:stretch>
                  </pic:blipFill>
                  <pic:spPr>
                    <a:xfrm>
                      <a:off x="0" y="0"/>
                      <a:ext cx="5772150" cy="5772150"/>
                    </a:xfrm>
                    <a:prstGeom prst="rect">
                      <a:avLst/>
                    </a:prstGeom>
                    <a:ln/>
                  </pic:spPr>
                </pic:pic>
              </a:graphicData>
            </a:graphic>
          </wp:inline>
        </w:drawing>
      </w:r>
    </w:p>
    <w:p w14:paraId="2BB29D2A" w14:textId="77777777" w:rsidR="00D029F6" w:rsidRDefault="00D029F6" w:rsidP="00D029F6">
      <w:pPr>
        <w:rPr>
          <w:rFonts w:ascii="Times New Roman" w:eastAsia="Times New Roman" w:hAnsi="Times New Roman" w:cs="Times New Roman"/>
          <w:b/>
        </w:rPr>
      </w:pPr>
    </w:p>
    <w:p w14:paraId="7E4424BA" w14:textId="77777777" w:rsidR="00D029F6" w:rsidRDefault="00D029F6" w:rsidP="00D029F6">
      <w:pPr>
        <w:pStyle w:val="Heading2"/>
        <w:rPr>
          <w:rFonts w:ascii="Times New Roman" w:eastAsia="Times New Roman" w:hAnsi="Times New Roman" w:cs="Times New Roman"/>
        </w:rPr>
      </w:pPr>
      <w:bookmarkStart w:id="17" w:name="_Toc213875843"/>
      <w:r>
        <w:rPr>
          <w:rFonts w:ascii="Times New Roman" w:eastAsia="Times New Roman" w:hAnsi="Times New Roman" w:cs="Times New Roman"/>
        </w:rPr>
        <w:t>4.3. Strategy for Improvement and Leveraging Strengths</w:t>
      </w:r>
      <w:bookmarkEnd w:id="17"/>
    </w:p>
    <w:p w14:paraId="1741F6EC" w14:textId="41B9737C" w:rsidR="00D029F6" w:rsidRDefault="00D029F6" w:rsidP="00DE262F">
      <w:pPr>
        <w:ind w:firstLine="720"/>
        <w:jc w:val="both"/>
        <w:rPr>
          <w:rFonts w:ascii="Times New Roman" w:eastAsia="Times New Roman" w:hAnsi="Times New Roman" w:cs="Times New Roman"/>
        </w:rPr>
      </w:pPr>
      <w:r>
        <w:rPr>
          <w:rFonts w:ascii="Times New Roman" w:eastAsia="Times New Roman" w:hAnsi="Times New Roman" w:cs="Times New Roman"/>
        </w:rPr>
        <w:t xml:space="preserve">My development plan is a structured process within the framework of Kolb's experiential learning cycle as visualised in Figure 2. The Self-Assessment Radar Chart (Figure 1) will give the initial diagnosis - 'Concrete Experience' - which determines that Technology Governance, Leadership and Communication are my most lacking capabilities. My strategy goes through the next stages of the cycle. For 'Abstract Conceptualization,' I will engage in acquiring new knowledge through taking short courses in AI governance and volunteering for a leadership simulation where I will put inspirational communication techniques to practice. The 'Active Experimentation' stage will involve deliberately applying these new skills. I will use cultural models (Hall, 1976) as explicit diagnostic tools on the virtual meetings to enhance </w:t>
      </w:r>
      <w:r>
        <w:rPr>
          <w:rFonts w:ascii="Times New Roman" w:eastAsia="Times New Roman" w:hAnsi="Times New Roman" w:cs="Times New Roman"/>
        </w:rPr>
        <w:lastRenderedPageBreak/>
        <w:t xml:space="preserve">my </w:t>
      </w:r>
      <w:r w:rsidR="00DE262F">
        <w:rPr>
          <w:rFonts w:ascii="Times New Roman" w:eastAsia="Times New Roman" w:hAnsi="Times New Roman" w:cs="Times New Roman"/>
        </w:rPr>
        <w:t>cross-cultural</w:t>
      </w:r>
      <w:r>
        <w:rPr>
          <w:rFonts w:ascii="Times New Roman" w:eastAsia="Times New Roman" w:hAnsi="Times New Roman" w:cs="Times New Roman"/>
        </w:rPr>
        <w:t xml:space="preserve"> agility.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balance my strengths and weaknesses in </w:t>
      </w:r>
      <w:r w:rsidR="00DE262F">
        <w:rPr>
          <w:rFonts w:ascii="Times New Roman" w:eastAsia="Times New Roman" w:hAnsi="Times New Roman" w:cs="Times New Roman"/>
        </w:rPr>
        <w:t>teamwork</w:t>
      </w:r>
      <w:r>
        <w:rPr>
          <w:rFonts w:ascii="Times New Roman" w:eastAsia="Times New Roman" w:hAnsi="Times New Roman" w:cs="Times New Roman"/>
        </w:rPr>
        <w:t>, I will use my analytical skills to take the lead in initial scoping of my final project but then empower the team to design their own processes to encourage innovation. This systematic plan will close the identified gaps, transforming this into a dynamic cycle of continuous professional development.</w:t>
      </w:r>
    </w:p>
    <w:p w14:paraId="1FE0609E" w14:textId="77777777" w:rsidR="00D029F6" w:rsidRDefault="00D029F6" w:rsidP="00D029F6">
      <w:pPr>
        <w:ind w:left="720"/>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E19BD6B" wp14:editId="12DB27FF">
            <wp:extent cx="4895850" cy="4895850"/>
            <wp:effectExtent l="0" t="0" r="0" b="0"/>
            <wp:docPr id="8" name="image8.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8" name="image8.png" descr="A diagram of a diagram&#10;&#10;AI-generated content may be incorrect."/>
                    <pic:cNvPicPr preferRelativeResize="0"/>
                  </pic:nvPicPr>
                  <pic:blipFill>
                    <a:blip r:embed="rId13"/>
                    <a:srcRect/>
                    <a:stretch>
                      <a:fillRect/>
                    </a:stretch>
                  </pic:blipFill>
                  <pic:spPr>
                    <a:xfrm>
                      <a:off x="0" y="0"/>
                      <a:ext cx="4895850" cy="4895850"/>
                    </a:xfrm>
                    <a:prstGeom prst="rect">
                      <a:avLst/>
                    </a:prstGeom>
                    <a:ln/>
                  </pic:spPr>
                </pic:pic>
              </a:graphicData>
            </a:graphic>
          </wp:inline>
        </w:drawing>
      </w:r>
    </w:p>
    <w:p w14:paraId="7DE740DF" w14:textId="77777777" w:rsidR="00D029F6" w:rsidRDefault="00D029F6" w:rsidP="00D029F6">
      <w:pPr>
        <w:rPr>
          <w:rFonts w:ascii="Times New Roman" w:eastAsia="Times New Roman" w:hAnsi="Times New Roman" w:cs="Times New Roman"/>
        </w:rPr>
      </w:pPr>
    </w:p>
    <w:p w14:paraId="73B79CE1" w14:textId="77777777" w:rsidR="00DE262F" w:rsidRDefault="00DE262F" w:rsidP="00D029F6">
      <w:pPr>
        <w:rPr>
          <w:rFonts w:ascii="Times New Roman" w:eastAsia="Times New Roman" w:hAnsi="Times New Roman" w:cs="Times New Roman"/>
        </w:rPr>
      </w:pPr>
    </w:p>
    <w:p w14:paraId="38B45146" w14:textId="77777777" w:rsidR="00DE262F" w:rsidRDefault="00DE262F" w:rsidP="00D029F6">
      <w:pPr>
        <w:rPr>
          <w:rFonts w:ascii="Times New Roman" w:eastAsia="Times New Roman" w:hAnsi="Times New Roman" w:cs="Times New Roman"/>
        </w:rPr>
      </w:pPr>
    </w:p>
    <w:p w14:paraId="7D89007C" w14:textId="77777777" w:rsidR="00DE262F" w:rsidRDefault="00DE262F" w:rsidP="00D029F6">
      <w:pPr>
        <w:rPr>
          <w:rFonts w:ascii="Times New Roman" w:eastAsia="Times New Roman" w:hAnsi="Times New Roman" w:cs="Times New Roman"/>
        </w:rPr>
      </w:pPr>
    </w:p>
    <w:p w14:paraId="5BD9C303" w14:textId="77777777" w:rsidR="00DE262F" w:rsidRDefault="00DE262F" w:rsidP="00D029F6">
      <w:pPr>
        <w:rPr>
          <w:rFonts w:ascii="Times New Roman" w:eastAsia="Times New Roman" w:hAnsi="Times New Roman" w:cs="Times New Roman"/>
        </w:rPr>
      </w:pPr>
    </w:p>
    <w:p w14:paraId="4A5D7AB1" w14:textId="77777777" w:rsidR="00DE262F" w:rsidRDefault="00DE262F" w:rsidP="00D029F6">
      <w:pPr>
        <w:rPr>
          <w:rFonts w:ascii="Times New Roman" w:eastAsia="Times New Roman" w:hAnsi="Times New Roman" w:cs="Times New Roman"/>
        </w:rPr>
      </w:pPr>
    </w:p>
    <w:p w14:paraId="2BB0A30C" w14:textId="77777777" w:rsidR="00D029F6" w:rsidRDefault="00D029F6" w:rsidP="00D029F6">
      <w:pPr>
        <w:pStyle w:val="Heading1"/>
        <w:rPr>
          <w:rFonts w:ascii="Times New Roman" w:eastAsia="Times New Roman" w:hAnsi="Times New Roman" w:cs="Times New Roman"/>
        </w:rPr>
      </w:pPr>
      <w:bookmarkStart w:id="18" w:name="_Toc213875844"/>
      <w:r>
        <w:rPr>
          <w:rFonts w:ascii="Times New Roman" w:eastAsia="Times New Roman" w:hAnsi="Times New Roman" w:cs="Times New Roman"/>
        </w:rPr>
        <w:lastRenderedPageBreak/>
        <w:t>References List</w:t>
      </w:r>
      <w:bookmarkEnd w:id="18"/>
    </w:p>
    <w:p w14:paraId="326BDCE6"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Armstrong, M., &amp; Taylor, S. (2020). </w:t>
      </w:r>
      <w:r>
        <w:rPr>
          <w:rFonts w:ascii="Times New Roman" w:eastAsia="Times New Roman" w:hAnsi="Times New Roman" w:cs="Times New Roman"/>
          <w:i/>
        </w:rPr>
        <w:t>Armstrong's Handbook of Human Resource Management Practice</w:t>
      </w:r>
      <w:r>
        <w:rPr>
          <w:rFonts w:ascii="Times New Roman" w:eastAsia="Times New Roman" w:hAnsi="Times New Roman" w:cs="Times New Roman"/>
        </w:rPr>
        <w:t> (15th ed.). Kogan Page.</w:t>
      </w:r>
    </w:p>
    <w:p w14:paraId="6F063FB7"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Bass, B. M., &amp; Riggio, R. E. (2006). </w:t>
      </w:r>
      <w:r>
        <w:rPr>
          <w:rFonts w:ascii="Times New Roman" w:eastAsia="Times New Roman" w:hAnsi="Times New Roman" w:cs="Times New Roman"/>
          <w:i/>
        </w:rPr>
        <w:t>Transformational Leadership</w:t>
      </w:r>
      <w:r>
        <w:rPr>
          <w:rFonts w:ascii="Times New Roman" w:eastAsia="Times New Roman" w:hAnsi="Times New Roman" w:cs="Times New Roman"/>
        </w:rPr>
        <w:t> (2nd ed.). Lawrence Erlbaum Associates.</w:t>
      </w:r>
    </w:p>
    <w:p w14:paraId="5DC7395A"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Becker, B. E., Huselid, M. A., &amp; Beatty, R. W. (2021). </w:t>
      </w:r>
      <w:r>
        <w:rPr>
          <w:rFonts w:ascii="Times New Roman" w:eastAsia="Times New Roman" w:hAnsi="Times New Roman" w:cs="Times New Roman"/>
          <w:i/>
        </w:rPr>
        <w:t>The Differentiated Workforce: Transforming Talent into Strategic Impact</w:t>
      </w:r>
      <w:r>
        <w:rPr>
          <w:rFonts w:ascii="Times New Roman" w:eastAsia="Times New Roman" w:hAnsi="Times New Roman" w:cs="Times New Roman"/>
        </w:rPr>
        <w:t>. Harvard Business Review Press.</w:t>
      </w:r>
    </w:p>
    <w:p w14:paraId="3EF024DC"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Brewster, C., Mayrhofer, W., &amp; Smale, A. (2016). </w:t>
      </w:r>
      <w:r>
        <w:rPr>
          <w:rFonts w:ascii="Times New Roman" w:eastAsia="Times New Roman" w:hAnsi="Times New Roman" w:cs="Times New Roman"/>
          <w:i/>
        </w:rPr>
        <w:t>New Perspectives on International Human Resource Management</w:t>
      </w:r>
      <w:r>
        <w:rPr>
          <w:rFonts w:ascii="Times New Roman" w:eastAsia="Times New Roman" w:hAnsi="Times New Roman" w:cs="Times New Roman"/>
        </w:rPr>
        <w:t>. Routledge.</w:t>
      </w:r>
    </w:p>
    <w:p w14:paraId="1DC2ECBB"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Briscoe, D. R., Schuler, R. S., &amp; Claus, L. (2021). </w:t>
      </w:r>
      <w:r>
        <w:rPr>
          <w:rFonts w:ascii="Times New Roman" w:eastAsia="Times New Roman" w:hAnsi="Times New Roman" w:cs="Times New Roman"/>
          <w:i/>
        </w:rPr>
        <w:t>International Human Resource Management: Policies and Practices for Global Companies</w:t>
      </w:r>
      <w:r>
        <w:rPr>
          <w:rFonts w:ascii="Times New Roman" w:eastAsia="Times New Roman" w:hAnsi="Times New Roman" w:cs="Times New Roman"/>
        </w:rPr>
        <w:t> (6th ed.). Routledge.</w:t>
      </w:r>
    </w:p>
    <w:p w14:paraId="5A008F7C"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Cappelli, P. (2017). The New Talent Management: Turning Your Workforce into a Competitive Advantage. </w:t>
      </w:r>
      <w:r>
        <w:rPr>
          <w:rFonts w:ascii="Times New Roman" w:eastAsia="Times New Roman" w:hAnsi="Times New Roman" w:cs="Times New Roman"/>
          <w:i/>
        </w:rPr>
        <w:t>Harvard Business Review</w:t>
      </w:r>
      <w:r>
        <w:rPr>
          <w:rFonts w:ascii="Times New Roman" w:eastAsia="Times New Roman" w:hAnsi="Times New Roman" w:cs="Times New Roman"/>
        </w:rPr>
        <w:t>, 95(5), 114–121.</w:t>
      </w:r>
    </w:p>
    <w:p w14:paraId="628D61CF"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CIPD. (2022). </w:t>
      </w:r>
      <w:r>
        <w:rPr>
          <w:rFonts w:ascii="Times New Roman" w:eastAsia="Times New Roman" w:hAnsi="Times New Roman" w:cs="Times New Roman"/>
          <w:i/>
        </w:rPr>
        <w:t>Responding to the Skills Crisis: A Practical Guide for HR</w:t>
      </w:r>
      <w:r>
        <w:rPr>
          <w:rFonts w:ascii="Times New Roman" w:eastAsia="Times New Roman" w:hAnsi="Times New Roman" w:cs="Times New Roman"/>
        </w:rPr>
        <w:t>. Chartered Institute of Personnel and Development.</w:t>
      </w:r>
    </w:p>
    <w:p w14:paraId="64EE3344"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Collings, D. G. (2023). Geopolitics and Global Talent Management. </w:t>
      </w:r>
      <w:r>
        <w:rPr>
          <w:rFonts w:ascii="Times New Roman" w:eastAsia="Times New Roman" w:hAnsi="Times New Roman" w:cs="Times New Roman"/>
          <w:i/>
        </w:rPr>
        <w:t>Journal of World Business</w:t>
      </w:r>
      <w:r>
        <w:rPr>
          <w:rFonts w:ascii="Times New Roman" w:eastAsia="Times New Roman" w:hAnsi="Times New Roman" w:cs="Times New Roman"/>
        </w:rPr>
        <w:t>, 68(5), 101378.</w:t>
      </w:r>
    </w:p>
    <w:p w14:paraId="21319537"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Deloitte. (2022). </w:t>
      </w:r>
      <w:r>
        <w:rPr>
          <w:rFonts w:ascii="Times New Roman" w:eastAsia="Times New Roman" w:hAnsi="Times New Roman" w:cs="Times New Roman"/>
          <w:i/>
        </w:rPr>
        <w:t>Global Human Capital Trends: The Great Imbalance</w:t>
      </w:r>
      <w:r>
        <w:rPr>
          <w:rFonts w:ascii="Times New Roman" w:eastAsia="Times New Roman" w:hAnsi="Times New Roman" w:cs="Times New Roman"/>
        </w:rPr>
        <w:t>. Deloitte Insights.</w:t>
      </w:r>
    </w:p>
    <w:p w14:paraId="06362CD6"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Dessler, G. (2021). </w:t>
      </w:r>
      <w:r>
        <w:rPr>
          <w:rFonts w:ascii="Times New Roman" w:eastAsia="Times New Roman" w:hAnsi="Times New Roman" w:cs="Times New Roman"/>
          <w:i/>
        </w:rPr>
        <w:t>Human Resource Management</w:t>
      </w:r>
      <w:r>
        <w:rPr>
          <w:rFonts w:ascii="Times New Roman" w:eastAsia="Times New Roman" w:hAnsi="Times New Roman" w:cs="Times New Roman"/>
        </w:rPr>
        <w:t> (17th ed.). Pearson Education.</w:t>
      </w:r>
    </w:p>
    <w:p w14:paraId="6762B6A7" w14:textId="577066D1"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 xml:space="preserve">Edmondson, A. (1999). Psychological Safety and Learning </w:t>
      </w:r>
      <w:r w:rsidR="00DE262F">
        <w:rPr>
          <w:rFonts w:ascii="Times New Roman" w:eastAsia="Times New Roman" w:hAnsi="Times New Roman" w:cs="Times New Roman"/>
        </w:rPr>
        <w:t>Behaviour</w:t>
      </w:r>
      <w:r>
        <w:rPr>
          <w:rFonts w:ascii="Times New Roman" w:eastAsia="Times New Roman" w:hAnsi="Times New Roman" w:cs="Times New Roman"/>
        </w:rPr>
        <w:t xml:space="preserve"> in Work Teams. </w:t>
      </w:r>
      <w:r>
        <w:rPr>
          <w:rFonts w:ascii="Times New Roman" w:eastAsia="Times New Roman" w:hAnsi="Times New Roman" w:cs="Times New Roman"/>
          <w:i/>
        </w:rPr>
        <w:t>Administrative Science Quarterly</w:t>
      </w:r>
      <w:r>
        <w:rPr>
          <w:rFonts w:ascii="Times New Roman" w:eastAsia="Times New Roman" w:hAnsi="Times New Roman" w:cs="Times New Roman"/>
        </w:rPr>
        <w:t>, 44(2), 350-383.</w:t>
      </w:r>
    </w:p>
    <w:p w14:paraId="51060540"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Festing, M., &amp; Schäfer, S. (2014). Generational Challenges to Global Mobility: The Role of the Employer Brand and Organizational Justice. </w:t>
      </w:r>
      <w:r>
        <w:rPr>
          <w:rFonts w:ascii="Times New Roman" w:eastAsia="Times New Roman" w:hAnsi="Times New Roman" w:cs="Times New Roman"/>
          <w:i/>
        </w:rPr>
        <w:t>Journal of World Business</w:t>
      </w:r>
      <w:r>
        <w:rPr>
          <w:rFonts w:ascii="Times New Roman" w:eastAsia="Times New Roman" w:hAnsi="Times New Roman" w:cs="Times New Roman"/>
        </w:rPr>
        <w:t>, 49(2), 263–273.</w:t>
      </w:r>
    </w:p>
    <w:p w14:paraId="6F044742"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Frey, C. B., &amp; Osborne, M. A. (2017). The Future of Employment: How Susceptible are Jobs to Computerisation? </w:t>
      </w:r>
      <w:r>
        <w:rPr>
          <w:rFonts w:ascii="Times New Roman" w:eastAsia="Times New Roman" w:hAnsi="Times New Roman" w:cs="Times New Roman"/>
          <w:i/>
        </w:rPr>
        <w:t>Technological Forecasting and Social Change</w:t>
      </w:r>
      <w:r>
        <w:rPr>
          <w:rFonts w:ascii="Times New Roman" w:eastAsia="Times New Roman" w:hAnsi="Times New Roman" w:cs="Times New Roman"/>
        </w:rPr>
        <w:t>, 114, 254–280.</w:t>
      </w:r>
    </w:p>
    <w:p w14:paraId="122E951B"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Gibson, C. B., &amp; Gibbs, J. L. (2006). Unpacking the Concept of Virtuality: The Effects of Geographic Dispersion, Electronic Dependence, Dynamic Structure, and National Diversity on Team Innovation. </w:t>
      </w:r>
      <w:r>
        <w:rPr>
          <w:rFonts w:ascii="Times New Roman" w:eastAsia="Times New Roman" w:hAnsi="Times New Roman" w:cs="Times New Roman"/>
          <w:i/>
        </w:rPr>
        <w:t>Administrative Science Quarterly</w:t>
      </w:r>
      <w:r>
        <w:rPr>
          <w:rFonts w:ascii="Times New Roman" w:eastAsia="Times New Roman" w:hAnsi="Times New Roman" w:cs="Times New Roman"/>
        </w:rPr>
        <w:t>, 51(3), 451–495.</w:t>
      </w:r>
    </w:p>
    <w:p w14:paraId="201AF677"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Gilson, L. L., Maynard, M. T., Young, N. C. J., Vartiainen, M., &amp; Hakonen, M. (2015). Virtual Teams: A Review of Current Research and Recommendations for Future Research. </w:t>
      </w:r>
      <w:r>
        <w:rPr>
          <w:rFonts w:ascii="Times New Roman" w:eastAsia="Times New Roman" w:hAnsi="Times New Roman" w:cs="Times New Roman"/>
          <w:i/>
        </w:rPr>
        <w:t>Journal of Management</w:t>
      </w:r>
      <w:r>
        <w:rPr>
          <w:rFonts w:ascii="Times New Roman" w:eastAsia="Times New Roman" w:hAnsi="Times New Roman" w:cs="Times New Roman"/>
        </w:rPr>
        <w:t>, 41(5), 1313–1337.</w:t>
      </w:r>
    </w:p>
    <w:p w14:paraId="456DFBE9"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Guest, D. E. (2017). Human Resource Management and Employee Well-Being: Towards a New Theoretical Perspective. </w:t>
      </w:r>
      <w:r>
        <w:rPr>
          <w:rFonts w:ascii="Times New Roman" w:eastAsia="Times New Roman" w:hAnsi="Times New Roman" w:cs="Times New Roman"/>
          <w:i/>
        </w:rPr>
        <w:t>Human Resource Management Journal</w:t>
      </w:r>
      <w:r>
        <w:rPr>
          <w:rFonts w:ascii="Times New Roman" w:eastAsia="Times New Roman" w:hAnsi="Times New Roman" w:cs="Times New Roman"/>
        </w:rPr>
        <w:t>, 27(1), 22-38.</w:t>
      </w:r>
    </w:p>
    <w:p w14:paraId="2765FAD4"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Hall, E. T. (1976). </w:t>
      </w:r>
      <w:r>
        <w:rPr>
          <w:rFonts w:ascii="Times New Roman" w:eastAsia="Times New Roman" w:hAnsi="Times New Roman" w:cs="Times New Roman"/>
          <w:i/>
        </w:rPr>
        <w:t>Beyond Culture</w:t>
      </w:r>
      <w:r>
        <w:rPr>
          <w:rFonts w:ascii="Times New Roman" w:eastAsia="Times New Roman" w:hAnsi="Times New Roman" w:cs="Times New Roman"/>
        </w:rPr>
        <w:t>. Anchor Books.</w:t>
      </w:r>
    </w:p>
    <w:p w14:paraId="0E54610C"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lastRenderedPageBreak/>
        <w:t>Hoang, N., &amp; Kulothungan, G. (2025). Governing the Global Digital Workforce: A Compliance Framework for IHRM in the Age of AI. </w:t>
      </w:r>
      <w:r>
        <w:rPr>
          <w:rFonts w:ascii="Times New Roman" w:eastAsia="Times New Roman" w:hAnsi="Times New Roman" w:cs="Times New Roman"/>
          <w:i/>
        </w:rPr>
        <w:t>Journal of Global Talent Management</w:t>
      </w:r>
      <w:r>
        <w:rPr>
          <w:rFonts w:ascii="Times New Roman" w:eastAsia="Times New Roman" w:hAnsi="Times New Roman" w:cs="Times New Roman"/>
        </w:rPr>
        <w:t xml:space="preserve">, 12(3), 45-62. </w:t>
      </w:r>
    </w:p>
    <w:p w14:paraId="561BCE84"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Hoang, N., &amp; Tavlaridis, V. (2025). The HR Challenge of Mass Migration: Compliance and Cultural Integration in Modern Workforces. </w:t>
      </w:r>
      <w:r>
        <w:rPr>
          <w:rFonts w:ascii="Times New Roman" w:eastAsia="Times New Roman" w:hAnsi="Times New Roman" w:cs="Times New Roman"/>
          <w:i/>
        </w:rPr>
        <w:t>International Migration Review</w:t>
      </w:r>
      <w:r>
        <w:rPr>
          <w:rFonts w:ascii="Times New Roman" w:eastAsia="Times New Roman" w:hAnsi="Times New Roman" w:cs="Times New Roman"/>
        </w:rPr>
        <w:t>, 15(4), 112-130.</w:t>
      </w:r>
    </w:p>
    <w:p w14:paraId="03CE90E6"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Jackson, S. E., Schuler, R. S., &amp; Jiang, K. (2020). An Integrated View of Strategic Human Resource Management. </w:t>
      </w:r>
      <w:r>
        <w:rPr>
          <w:rFonts w:ascii="Times New Roman" w:eastAsia="Times New Roman" w:hAnsi="Times New Roman" w:cs="Times New Roman"/>
          <w:i/>
        </w:rPr>
        <w:t>Academy of Management Annals</w:t>
      </w:r>
      <w:r>
        <w:rPr>
          <w:rFonts w:ascii="Times New Roman" w:eastAsia="Times New Roman" w:hAnsi="Times New Roman" w:cs="Times New Roman"/>
        </w:rPr>
        <w:t>, 14(1), 180-230.</w:t>
      </w:r>
    </w:p>
    <w:p w14:paraId="26996D18"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Kolb, D. A. (1984). </w:t>
      </w:r>
      <w:r>
        <w:rPr>
          <w:rFonts w:ascii="Times New Roman" w:eastAsia="Times New Roman" w:hAnsi="Times New Roman" w:cs="Times New Roman"/>
          <w:i/>
        </w:rPr>
        <w:t>Experiential Learning: Experience as the Source of Learning and Development</w:t>
      </w:r>
      <w:r>
        <w:rPr>
          <w:rFonts w:ascii="Times New Roman" w:eastAsia="Times New Roman" w:hAnsi="Times New Roman" w:cs="Times New Roman"/>
        </w:rPr>
        <w:t>. Prentice-Hall.</w:t>
      </w:r>
    </w:p>
    <w:p w14:paraId="66FB0BA1"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Kouzes, J. M., &amp; Posner, B. Z. (2017). </w:t>
      </w:r>
      <w:r>
        <w:rPr>
          <w:rFonts w:ascii="Times New Roman" w:eastAsia="Times New Roman" w:hAnsi="Times New Roman" w:cs="Times New Roman"/>
          <w:i/>
        </w:rPr>
        <w:t>The Leadership Challenge: How to Make Extraordinary Things Happen in Organizations</w:t>
      </w:r>
      <w:r>
        <w:rPr>
          <w:rFonts w:ascii="Times New Roman" w:eastAsia="Times New Roman" w:hAnsi="Times New Roman" w:cs="Times New Roman"/>
        </w:rPr>
        <w:t> (6th ed.). Wiley.</w:t>
      </w:r>
    </w:p>
    <w:p w14:paraId="47FA1E7E"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Kulothungan, G. (2024). Scaling Internal Mobility: Lessons from Tech Giants in Reskilling. </w:t>
      </w:r>
      <w:r>
        <w:rPr>
          <w:rFonts w:ascii="Times New Roman" w:eastAsia="Times New Roman" w:hAnsi="Times New Roman" w:cs="Times New Roman"/>
          <w:i/>
        </w:rPr>
        <w:t>International Journal of Training and Development</w:t>
      </w:r>
      <w:r>
        <w:rPr>
          <w:rFonts w:ascii="Times New Roman" w:eastAsia="Times New Roman" w:hAnsi="Times New Roman" w:cs="Times New Roman"/>
        </w:rPr>
        <w:t xml:space="preserve">, 18(4), 401-420. </w:t>
      </w:r>
    </w:p>
    <w:p w14:paraId="61709D0A"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Lepak, D. P., &amp; Snell, S. A. (1999). The Human Resource Architecture: Toward a Theory of Human Capital Allocation and Development. </w:t>
      </w:r>
      <w:r>
        <w:rPr>
          <w:rFonts w:ascii="Times New Roman" w:eastAsia="Times New Roman" w:hAnsi="Times New Roman" w:cs="Times New Roman"/>
          <w:i/>
        </w:rPr>
        <w:t>Academy of Management Review</w:t>
      </w:r>
      <w:r>
        <w:rPr>
          <w:rFonts w:ascii="Times New Roman" w:eastAsia="Times New Roman" w:hAnsi="Times New Roman" w:cs="Times New Roman"/>
        </w:rPr>
        <w:t>, 24(1), 31–48.</w:t>
      </w:r>
    </w:p>
    <w:p w14:paraId="38457D99"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Long, H. B. (2019). Self-Directed Learning: An Historical Perspective. In R. L. Wlodkowski, &amp; S. A. G. Sacks (Eds.), </w:t>
      </w:r>
      <w:r>
        <w:rPr>
          <w:rFonts w:ascii="Times New Roman" w:eastAsia="Times New Roman" w:hAnsi="Times New Roman" w:cs="Times New Roman"/>
          <w:i/>
        </w:rPr>
        <w:t>The Jossey-Bass Reader on Motivation in Organization Development</w:t>
      </w:r>
      <w:r>
        <w:rPr>
          <w:rFonts w:ascii="Times New Roman" w:eastAsia="Times New Roman" w:hAnsi="Times New Roman" w:cs="Times New Roman"/>
        </w:rPr>
        <w:t> (pp. 513-530). Jossey-Bass.</w:t>
      </w:r>
    </w:p>
    <w:p w14:paraId="5CF01ED0"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PwC. (2023). </w:t>
      </w:r>
      <w:r>
        <w:rPr>
          <w:rFonts w:ascii="Times New Roman" w:eastAsia="Times New Roman" w:hAnsi="Times New Roman" w:cs="Times New Roman"/>
          <w:i/>
        </w:rPr>
        <w:t>Hopes and Fears Global Workforce Survey</w:t>
      </w:r>
      <w:r>
        <w:rPr>
          <w:rFonts w:ascii="Times New Roman" w:eastAsia="Times New Roman" w:hAnsi="Times New Roman" w:cs="Times New Roman"/>
        </w:rPr>
        <w:t>. PricewaterhouseCoopers.</w:t>
      </w:r>
    </w:p>
    <w:p w14:paraId="02DAEF4D"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Schuler, R. S. (2020). The Digital Transformation of IHRM: Implications for Future Research. </w:t>
      </w:r>
      <w:r>
        <w:rPr>
          <w:rFonts w:ascii="Times New Roman" w:eastAsia="Times New Roman" w:hAnsi="Times New Roman" w:cs="Times New Roman"/>
          <w:i/>
        </w:rPr>
        <w:t>International Journal of Human Resource Management</w:t>
      </w:r>
      <w:r>
        <w:rPr>
          <w:rFonts w:ascii="Times New Roman" w:eastAsia="Times New Roman" w:hAnsi="Times New Roman" w:cs="Times New Roman"/>
        </w:rPr>
        <w:t>, 31(1), 1-28.</w:t>
      </w:r>
    </w:p>
    <w:p w14:paraId="241B195E"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SHRM. (2021). </w:t>
      </w:r>
      <w:r>
        <w:rPr>
          <w:rFonts w:ascii="Times New Roman" w:eastAsia="Times New Roman" w:hAnsi="Times New Roman" w:cs="Times New Roman"/>
          <w:i/>
        </w:rPr>
        <w:t>The State of Talent Acquisition: Strategies for a Post-Pandemic World</w:t>
      </w:r>
      <w:r>
        <w:rPr>
          <w:rFonts w:ascii="Times New Roman" w:eastAsia="Times New Roman" w:hAnsi="Times New Roman" w:cs="Times New Roman"/>
        </w:rPr>
        <w:t>. Society for Human Resource Management Report.</w:t>
      </w:r>
    </w:p>
    <w:p w14:paraId="3EA8EE10"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Sparrow, P., &amp; Hesketh, A. (2021). </w:t>
      </w:r>
      <w:r>
        <w:rPr>
          <w:rFonts w:ascii="Times New Roman" w:eastAsia="Times New Roman" w:hAnsi="Times New Roman" w:cs="Times New Roman"/>
          <w:i/>
        </w:rPr>
        <w:t>Globalizing Human Resource Management</w:t>
      </w:r>
      <w:r>
        <w:rPr>
          <w:rFonts w:ascii="Times New Roman" w:eastAsia="Times New Roman" w:hAnsi="Times New Roman" w:cs="Times New Roman"/>
        </w:rPr>
        <w:t>. Routledge.</w:t>
      </w:r>
    </w:p>
    <w:p w14:paraId="71C1AE28"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Tavlaridis, V. (2024). Ethical Compensation in the Platform Economy: Balancing Equity and Flexibility. </w:t>
      </w:r>
      <w:r>
        <w:rPr>
          <w:rFonts w:ascii="Times New Roman" w:eastAsia="Times New Roman" w:hAnsi="Times New Roman" w:cs="Times New Roman"/>
          <w:i/>
        </w:rPr>
        <w:t>Journal of HRM Ethics</w:t>
      </w:r>
      <w:r>
        <w:rPr>
          <w:rFonts w:ascii="Times New Roman" w:eastAsia="Times New Roman" w:hAnsi="Times New Roman" w:cs="Times New Roman"/>
        </w:rPr>
        <w:t>, 8(2), 88-105.</w:t>
      </w:r>
    </w:p>
    <w:p w14:paraId="2E432646"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Vaiman, V., Collings, D. G., &amp; Schuler, R. S. (2017). Talent Management: A Focus on the Global Perspective. </w:t>
      </w:r>
      <w:r>
        <w:rPr>
          <w:rFonts w:ascii="Times New Roman" w:eastAsia="Times New Roman" w:hAnsi="Times New Roman" w:cs="Times New Roman"/>
          <w:i/>
        </w:rPr>
        <w:t>Organizational Dynamics</w:t>
      </w:r>
      <w:r>
        <w:rPr>
          <w:rFonts w:ascii="Times New Roman" w:eastAsia="Times New Roman" w:hAnsi="Times New Roman" w:cs="Times New Roman"/>
        </w:rPr>
        <w:t>, 46(2), 125-136.</w:t>
      </w:r>
    </w:p>
    <w:p w14:paraId="61201B14"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Vallas, S., &amp; Schor, J. B. (2020). What Do We Know About the Gig Economy? </w:t>
      </w:r>
      <w:r>
        <w:rPr>
          <w:rFonts w:ascii="Times New Roman" w:eastAsia="Times New Roman" w:hAnsi="Times New Roman" w:cs="Times New Roman"/>
          <w:i/>
        </w:rPr>
        <w:t>Annual Review of Sociology</w:t>
      </w:r>
      <w:r>
        <w:rPr>
          <w:rFonts w:ascii="Times New Roman" w:eastAsia="Times New Roman" w:hAnsi="Times New Roman" w:cs="Times New Roman"/>
        </w:rPr>
        <w:t>, 46, 421–441.</w:t>
      </w:r>
    </w:p>
    <w:p w14:paraId="27BBAB54"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Vargas, R. (2022). The Geopolitical Risk in Global Talent Mapping: A PESTLE Analysis Approach. </w:t>
      </w:r>
      <w:r>
        <w:rPr>
          <w:rFonts w:ascii="Times New Roman" w:eastAsia="Times New Roman" w:hAnsi="Times New Roman" w:cs="Times New Roman"/>
          <w:i/>
        </w:rPr>
        <w:t>HR Geostrategy Journal</w:t>
      </w:r>
      <w:r>
        <w:rPr>
          <w:rFonts w:ascii="Times New Roman" w:eastAsia="Times New Roman" w:hAnsi="Times New Roman" w:cs="Times New Roman"/>
        </w:rPr>
        <w:t>, 4(3), 201-220.</w:t>
      </w:r>
    </w:p>
    <w:p w14:paraId="65A87FEB" w14:textId="77777777" w:rsidR="00D029F6" w:rsidRDefault="00D029F6" w:rsidP="00D029F6">
      <w:pPr>
        <w:rPr>
          <w:rFonts w:ascii="Times New Roman" w:eastAsia="Times New Roman" w:hAnsi="Times New Roman" w:cs="Times New Roman"/>
        </w:rPr>
      </w:pPr>
      <w:r>
        <w:rPr>
          <w:rFonts w:ascii="Times New Roman" w:eastAsia="Times New Roman" w:hAnsi="Times New Roman" w:cs="Times New Roman"/>
        </w:rPr>
        <w:t>World Economic Forum. (2023). </w:t>
      </w:r>
      <w:r>
        <w:rPr>
          <w:rFonts w:ascii="Times New Roman" w:eastAsia="Times New Roman" w:hAnsi="Times New Roman" w:cs="Times New Roman"/>
          <w:i/>
        </w:rPr>
        <w:t>Future of Jobs Report 2023</w:t>
      </w:r>
      <w:r>
        <w:rPr>
          <w:rFonts w:ascii="Times New Roman" w:eastAsia="Times New Roman" w:hAnsi="Times New Roman" w:cs="Times New Roman"/>
        </w:rPr>
        <w:t>. WEF.</w:t>
      </w:r>
    </w:p>
    <w:p w14:paraId="68744FAF" w14:textId="244469DC" w:rsidR="00943C96" w:rsidRDefault="00D029F6">
      <w:r>
        <w:rPr>
          <w:rFonts w:ascii="Times New Roman" w:eastAsia="Times New Roman" w:hAnsi="Times New Roman" w:cs="Times New Roman"/>
        </w:rPr>
        <w:t>Zuboff, S. (2019). </w:t>
      </w:r>
      <w:r>
        <w:rPr>
          <w:rFonts w:ascii="Times New Roman" w:eastAsia="Times New Roman" w:hAnsi="Times New Roman" w:cs="Times New Roman"/>
          <w:i/>
        </w:rPr>
        <w:t>The Age of Surveillance Capitalism: The Fight for a Human Future at the New Frontier of Power</w:t>
      </w:r>
      <w:r>
        <w:rPr>
          <w:rFonts w:ascii="Times New Roman" w:eastAsia="Times New Roman" w:hAnsi="Times New Roman" w:cs="Times New Roman"/>
        </w:rPr>
        <w:t>. Profile Books.</w:t>
      </w:r>
    </w:p>
    <w:sectPr w:rsidR="00943C96" w:rsidSect="00D029F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lay">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C29"/>
    <w:rsid w:val="00065829"/>
    <w:rsid w:val="00076B4F"/>
    <w:rsid w:val="0016177E"/>
    <w:rsid w:val="00211C29"/>
    <w:rsid w:val="002C13EC"/>
    <w:rsid w:val="00366BD2"/>
    <w:rsid w:val="003851BA"/>
    <w:rsid w:val="00430D53"/>
    <w:rsid w:val="00466F39"/>
    <w:rsid w:val="00547C01"/>
    <w:rsid w:val="00584C2B"/>
    <w:rsid w:val="005D2008"/>
    <w:rsid w:val="006017D1"/>
    <w:rsid w:val="006C5308"/>
    <w:rsid w:val="006F002C"/>
    <w:rsid w:val="0075015C"/>
    <w:rsid w:val="00765230"/>
    <w:rsid w:val="00943C96"/>
    <w:rsid w:val="00A0173D"/>
    <w:rsid w:val="00AA2D47"/>
    <w:rsid w:val="00B230C0"/>
    <w:rsid w:val="00BC34A4"/>
    <w:rsid w:val="00C5104D"/>
    <w:rsid w:val="00CD22EA"/>
    <w:rsid w:val="00D029F6"/>
    <w:rsid w:val="00D0398F"/>
    <w:rsid w:val="00D37549"/>
    <w:rsid w:val="00DE262F"/>
    <w:rsid w:val="00F51663"/>
    <w:rsid w:val="00FA1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AE70F"/>
  <w15:chartTrackingRefBased/>
  <w15:docId w15:val="{F0273C1F-5535-4F78-9B19-308EFBF75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9F6"/>
    <w:rPr>
      <w:rFonts w:ascii="Aptos" w:eastAsia="Aptos" w:hAnsi="Aptos" w:cs="Aptos"/>
      <w:kern w:val="0"/>
      <w:lang w:eastAsia="en-GB"/>
      <w14:ligatures w14:val="none"/>
    </w:rPr>
  </w:style>
  <w:style w:type="paragraph" w:styleId="Heading1">
    <w:name w:val="heading 1"/>
    <w:basedOn w:val="Normal"/>
    <w:next w:val="Normal"/>
    <w:link w:val="Heading1Char"/>
    <w:uiPriority w:val="9"/>
    <w:qFormat/>
    <w:rsid w:val="00211C29"/>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211C29"/>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11C29"/>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11C29"/>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211C29"/>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211C29"/>
    <w:pPr>
      <w:keepNext/>
      <w:keepLines/>
      <w:spacing w:before="40" w:after="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211C29"/>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211C29"/>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211C29"/>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1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C29"/>
    <w:rPr>
      <w:rFonts w:eastAsiaTheme="majorEastAsia" w:cstheme="majorBidi"/>
      <w:color w:val="272727" w:themeColor="text1" w:themeTint="D8"/>
    </w:rPr>
  </w:style>
  <w:style w:type="paragraph" w:styleId="Title">
    <w:name w:val="Title"/>
    <w:basedOn w:val="Normal"/>
    <w:next w:val="Normal"/>
    <w:link w:val="TitleChar"/>
    <w:uiPriority w:val="10"/>
    <w:qFormat/>
    <w:rsid w:val="00211C29"/>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11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C29"/>
    <w:pPr>
      <w:numPr>
        <w:ilvl w:val="1"/>
      </w:numPr>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11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C29"/>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211C29"/>
    <w:rPr>
      <w:i/>
      <w:iCs/>
      <w:color w:val="404040" w:themeColor="text1" w:themeTint="BF"/>
    </w:rPr>
  </w:style>
  <w:style w:type="paragraph" w:styleId="ListParagraph">
    <w:name w:val="List Paragraph"/>
    <w:basedOn w:val="Normal"/>
    <w:uiPriority w:val="34"/>
    <w:qFormat/>
    <w:rsid w:val="00211C29"/>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211C29"/>
    <w:rPr>
      <w:i/>
      <w:iCs/>
      <w:color w:val="0F4761" w:themeColor="accent1" w:themeShade="BF"/>
    </w:rPr>
  </w:style>
  <w:style w:type="paragraph" w:styleId="IntenseQuote">
    <w:name w:val="Intense Quote"/>
    <w:basedOn w:val="Normal"/>
    <w:next w:val="Normal"/>
    <w:link w:val="IntenseQuoteChar"/>
    <w:uiPriority w:val="30"/>
    <w:qFormat/>
    <w:rsid w:val="00211C29"/>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211C29"/>
    <w:rPr>
      <w:i/>
      <w:iCs/>
      <w:color w:val="0F4761" w:themeColor="accent1" w:themeShade="BF"/>
    </w:rPr>
  </w:style>
  <w:style w:type="character" w:styleId="IntenseReference">
    <w:name w:val="Intense Reference"/>
    <w:basedOn w:val="DefaultParagraphFont"/>
    <w:uiPriority w:val="32"/>
    <w:qFormat/>
    <w:rsid w:val="00211C29"/>
    <w:rPr>
      <w:b/>
      <w:bCs/>
      <w:smallCaps/>
      <w:color w:val="0F4761" w:themeColor="accent1" w:themeShade="BF"/>
      <w:spacing w:val="5"/>
    </w:rPr>
  </w:style>
  <w:style w:type="paragraph" w:styleId="TOC1">
    <w:name w:val="toc 1"/>
    <w:basedOn w:val="Normal"/>
    <w:next w:val="Normal"/>
    <w:autoRedefine/>
    <w:uiPriority w:val="39"/>
    <w:unhideWhenUsed/>
    <w:rsid w:val="00765230"/>
    <w:pPr>
      <w:spacing w:after="100"/>
    </w:pPr>
  </w:style>
  <w:style w:type="paragraph" w:styleId="TOC2">
    <w:name w:val="toc 2"/>
    <w:basedOn w:val="Normal"/>
    <w:next w:val="Normal"/>
    <w:autoRedefine/>
    <w:uiPriority w:val="39"/>
    <w:unhideWhenUsed/>
    <w:rsid w:val="00765230"/>
    <w:pPr>
      <w:spacing w:after="100"/>
      <w:ind w:left="240"/>
    </w:pPr>
  </w:style>
  <w:style w:type="character" w:styleId="Hyperlink">
    <w:name w:val="Hyperlink"/>
    <w:basedOn w:val="DefaultParagraphFont"/>
    <w:uiPriority w:val="99"/>
    <w:unhideWhenUsed/>
    <w:rsid w:val="0076523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16</Pages>
  <Words>3600</Words>
  <Characters>20525</Characters>
  <Application>Microsoft Office Word</Application>
  <DocSecurity>0</DocSecurity>
  <Lines>171</Lines>
  <Paragraphs>48</Paragraphs>
  <ScaleCrop>false</ScaleCrop>
  <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Stoleru</dc:creator>
  <cp:keywords/>
  <dc:description/>
  <cp:lastModifiedBy>Cristian Stoleru (2215119)</cp:lastModifiedBy>
  <cp:revision>27</cp:revision>
  <dcterms:created xsi:type="dcterms:W3CDTF">2025-11-12T20:49:00Z</dcterms:created>
  <dcterms:modified xsi:type="dcterms:W3CDTF">2025-11-12T21:37:00Z</dcterms:modified>
</cp:coreProperties>
</file>