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2A09C74" w:rsidRDefault="62A09C74" w14:paraId="19283811" w14:textId="1A0AE393"/>
    <w:p w:rsidR="001E4DB4" w:rsidRDefault="24CEB321" w14:paraId="5E5787A5" w14:textId="348885B2">
      <w:r>
        <w:t xml:space="preserve">                                 Consent and its role in cases involving </w:t>
      </w:r>
      <w:r w:rsidR="00E23545">
        <w:t>battery.</w:t>
      </w:r>
    </w:p>
    <w:p w:rsidR="1AAD60A1" w:rsidP="1AAD60A1" w:rsidRDefault="1AAD60A1" w14:paraId="3A55B11D" w14:textId="7CEEE35A"/>
    <w:p w:rsidR="68808F0C" w:rsidP="62A09C74" w:rsidRDefault="68808F0C" w14:paraId="285B0F49" w14:textId="526D7937">
      <w:pPr>
        <w:pStyle w:val="Normal"/>
        <w:spacing w:line="360" w:lineRule="auto"/>
      </w:pPr>
      <w:r w:rsidR="0D1C00EF">
        <w:rPr/>
        <w:t xml:space="preserve"> </w:t>
      </w:r>
      <w:r w:rsidR="2D307B00">
        <w:rPr/>
        <w:t xml:space="preserve">This essay will explore and analyse consent in the context of the legal system in the United Kingdom. Specifically, it will analyse cases involving battery where consent played a key role in </w:t>
      </w:r>
      <w:r w:rsidR="2D307B00">
        <w:rPr/>
        <w:t>determining</w:t>
      </w:r>
      <w:r w:rsidR="2D307B00">
        <w:rPr/>
        <w:t xml:space="preserve"> the legality of actions. Exploring and analysing all these dimensions will reveal complex interactions between individual autonomy, societal norms, and legal principles. In assessing consent, an assessment of consent is essential in the legal context of the United Kingdom. It involves cases and batteries for which it protects individual autonomy upholds ethical principles and navigates the balance between personal liberties and social interests. This essay will describe consent and its role in protecting human rights and dignity in the criminal justice system</w:t>
      </w:r>
      <w:r w:rsidR="2D307B00">
        <w:rPr/>
        <w:t xml:space="preserve">. </w:t>
      </w:r>
      <w:r w:rsidR="78880108">
        <w:rPr/>
        <w:t xml:space="preserve">Consent is crucial in cases involving assault, and includes battery, as it is agreeing to a certain action. Consent helps the </w:t>
      </w:r>
      <w:r w:rsidR="78880108">
        <w:rPr/>
        <w:t>defence</w:t>
      </w:r>
      <w:r w:rsidR="78880108">
        <w:rPr/>
        <w:t xml:space="preserve"> against a battery claim by emphasizing the scope of consent in different situations and the importance of understanding.</w:t>
      </w:r>
    </w:p>
    <w:p w:rsidR="68808F0C" w:rsidP="62A09C74" w:rsidRDefault="68808F0C" w14:paraId="7CC615B1" w14:textId="01A573E5">
      <w:pPr>
        <w:pStyle w:val="Normal"/>
        <w:spacing w:line="360" w:lineRule="auto"/>
      </w:pPr>
      <w:r w:rsidR="2D307B00">
        <w:rPr/>
        <w:t xml:space="preserve"> </w:t>
      </w:r>
      <w:r w:rsidR="2D307B00">
        <w:rPr/>
        <w:t xml:space="preserve">Consent in criminal law is a fundamental principle. It explores the ethical, philosophical, and legal dimensions of consent in the UK (United Kingdom). It portrays informed consent as voluntary actions carried out </w:t>
      </w:r>
      <w:r w:rsidR="2D307B00">
        <w:rPr/>
        <w:t>regarding</w:t>
      </w:r>
      <w:r w:rsidR="2D307B00">
        <w:rPr/>
        <w:t xml:space="preserve"> personal boundaries, bodily integrity, or intimate actions. In criminal law, consent is crucial because it </w:t>
      </w:r>
      <w:r w:rsidR="2D307B00">
        <w:rPr/>
        <w:t>establishes</w:t>
      </w:r>
      <w:r w:rsidR="2D307B00">
        <w:rPr/>
        <w:t xml:space="preserve"> the line between legal actions and crimes. A consent statutory definition has been set up by Section 74 Sexual Offences Act 2003 and that the freedom to agree by choice and capacity to choose. According to the (Crown Prosecution Service 2001), Until this act 2003 was introduced, consent was not defined in any way. Now this definition is provided in cases as a guide by the 2003 Act as a solution for the jury on how to </w:t>
      </w:r>
      <w:r w:rsidR="2D307B00">
        <w:rPr/>
        <w:t>proceed</w:t>
      </w:r>
      <w:r w:rsidR="2D307B00">
        <w:rPr/>
        <w:t xml:space="preserve"> towards the question of consent. Consent refers to the act of asking a person for voluntary and informed permission to engage in or to create certain activities. </w:t>
      </w:r>
      <w:r w:rsidR="2D307B00">
        <w:rPr/>
        <w:t>In UK law this consent must be given freely by the individual without any coercion, manipulation, or feeling of obligation consent is relevant in various areas of law, including medical procedures, sexual activities, and legal contexts.</w:t>
      </w:r>
      <w:r w:rsidR="2D307B00">
        <w:rPr/>
        <w:t xml:space="preserve"> </w:t>
      </w:r>
      <w:r w:rsidR="685612CF">
        <w:rPr/>
        <w:t>Consent is crucial in cases involving assault, and includes battery, as it is agreeing to a certain action.</w:t>
      </w:r>
    </w:p>
    <w:p w:rsidR="68808F0C" w:rsidP="62A09C74" w:rsidRDefault="68808F0C" w14:paraId="2E15B4F8" w14:textId="296FEAED">
      <w:pPr>
        <w:pStyle w:val="Normal"/>
        <w:spacing w:line="360" w:lineRule="auto"/>
      </w:pPr>
      <w:r w:rsidR="2D307B00">
        <w:rPr/>
        <w:t>One aspect of consent is autonomy which is a basic principle in the ethical discussion of consent.</w:t>
      </w:r>
      <w:r w:rsidR="7388012D">
        <w:rPr/>
        <w:t xml:space="preserve"> Autonomy is defined as independent decisions and the individual having the </w:t>
      </w:r>
      <w:r w:rsidR="7388012D">
        <w:rPr/>
        <w:t>capacity</w:t>
      </w:r>
      <w:r w:rsidR="7388012D">
        <w:rPr/>
        <w:t xml:space="preserve"> to make their own decisions, the </w:t>
      </w:r>
      <w:r w:rsidR="7388012D">
        <w:rPr/>
        <w:t>capacity</w:t>
      </w:r>
      <w:r w:rsidR="7388012D">
        <w:rPr/>
        <w:t xml:space="preserve"> to commit and criminal liability would be the legal contexts in autonomy in this includes mental health, age, and guilt, these being factors that are </w:t>
      </w:r>
      <w:r w:rsidR="696E2E27">
        <w:rPr/>
        <w:t>considered in</w:t>
      </w:r>
      <w:r w:rsidR="7EEE976C">
        <w:rPr/>
        <w:t xml:space="preserve"> </w:t>
      </w:r>
      <w:r w:rsidR="7388012D">
        <w:rPr/>
        <w:t>legal systems.</w:t>
      </w:r>
      <w:r w:rsidR="2D307B00">
        <w:rPr/>
        <w:t xml:space="preserve"> Ethical theories and their implications in consent refer to various frameworks. One of them is utilitarianism, which explores actions based on their utility and the promotion of well–being or happiness. The connection between consent and utilitarianism suggests that consent is important because it leads to positive outcomes. It is based on trust, respectful relationships, emotional well-being, and compliance. Consent, according to the utilitarian principle, reduces harm and promotes happiness. According to (</w:t>
      </w:r>
      <w:r w:rsidR="00D26758">
        <w:rPr/>
        <w:t>Driver, 1970) Utilitarianism is a powerful and persuasive ethic in the history of philosophy. Utilitarianism is the view that morally, the right action is the best</w:t>
      </w:r>
      <w:r w:rsidR="2D307B00">
        <w:rPr/>
        <w:t>. Another ethical aspect is deontology, which focuses on the inherent rightness or wrongness of actions, without consideration for their consequences. According to (Walen, 2016) By deontology, deontology means that rules or principles can be the purpose of promoting consequences that govern the permissibility of actions. Examining the concept of affirmative consent and its ethical foundations means that when an individual engages in a certain activity by mutual agreement, this is referred to as ‘’yes means yes’’. Affirmative consent is based on ethically active communication, a positive approach to interpersonal relationships, and reciprocal respect. Affirmative consent supports respect within relationships by prioritizing open</w:t>
      </w:r>
      <w:r w:rsidR="372CE63A">
        <w:rPr/>
        <w:t xml:space="preserve"> </w:t>
      </w:r>
      <w:r w:rsidR="2D307B00">
        <w:rPr/>
        <w:t xml:space="preserve">communication appropriately by obtaining consent. and ensuring that decisions made are handled. According to (Burgin 2019 p.296) Rape law reforms in occidental countries have changed the standards of consent, reflecting a discursive social change based on free and active consent </w:t>
      </w:r>
      <w:r w:rsidR="2D307B00">
        <w:rPr/>
        <w:t>regarding</w:t>
      </w:r>
      <w:r w:rsidR="2D307B00">
        <w:rPr/>
        <w:t xml:space="preserve"> sex. This new standard of consent concerning rape law is referred to as communicative or affirmative in Australian authorities and the United Kingdom. Its purpose is to protect the victim from being asked about her consent to the actions. In the case of assault including battery and other offences in England, consent is dealt with in the imposition of the Sexual Offences Act 2003. This act ensures that consent is important, as it allows individuals the freedom to choose and make decisions. The Criminal Justice Act 2003 also relies on consent in cases of assault causing actual bodily harm and grievous bodily harm. According to (Witmer-Rich 2011) Three distinct theories are offered by liberal commentators. One of the theories, supported by J.S Mill in 1859, argues that consent is valued because interest allows individuals to be the best judges. Joel Feinberg, in 1989, believes that consent grants the right to autonomy over life, based on its intrinsic sovereignty. Joseph Raz, in 1988, claims that autonomy is a constitutive element of well-being, and the state must promote it. The decision is made without external influence. Respecting autonomy means respecting yourself and offering the chance to respect the decisions of others. It also means having the right to make your own decisions in life, even if others would consider them immoral and unwise. According to (Hall R. and Longstaff L. 1997) Consent in criminal law is crucial, particularly in cases involving sex sadomasochistic, tattooing, martial arts, fighting, prostitution, and sexual violence. There was a case involving two young women who were expecting to be taken home from a disco club but were taken somewhere else without their consent and violated. The Court of Appeal emphasized the importance of distinguishing between ‘’consent and obedience’’. Giving consent and autonomy plays a significant role in expressing limits and preferences, ensuring that the decision is </w:t>
      </w:r>
      <w:r w:rsidR="7C3FB2FC">
        <w:rPr/>
        <w:t>honoured</w:t>
      </w:r>
      <w:r w:rsidR="2D307B00">
        <w:rPr/>
        <w:t xml:space="preserve"> and respected. </w:t>
      </w:r>
      <w:r w:rsidR="2D307B00">
        <w:rPr/>
        <w:t>Consent must be given willingly by mutual agreement, without any manipulation, pressure, or coercion.</w:t>
      </w:r>
      <w:r w:rsidR="2D307B00">
        <w:rPr/>
        <w:t xml:space="preserve"> Another principal element is that the person giving consent must have the mental </w:t>
      </w:r>
      <w:r w:rsidR="2D307B00">
        <w:rPr/>
        <w:t>capacity</w:t>
      </w:r>
      <w:r w:rsidR="2D307B00">
        <w:rPr/>
        <w:t xml:space="preserve"> and legal competence to understand the situation and decide. Consent can be changed or withdrawn at any time in case the individual changes their mind. According to (</w:t>
      </w:r>
      <w:r w:rsidR="2D307B00">
        <w:rPr/>
        <w:t>Hardicre</w:t>
      </w:r>
      <w:r w:rsidR="2D307B00">
        <w:rPr/>
        <w:t xml:space="preserve">, 2014) informed consent is important because it helps to protect the right and safety of individuals. Conducting studies without proper ethical and institutional approvals is a major violation. The principles of voluntary consent uphold the respect for personal choices and individual autonomy, which have legal and ethical responsibilities. </w:t>
      </w:r>
    </w:p>
    <w:p w:rsidR="68808F0C" w:rsidP="62A09C74" w:rsidRDefault="68808F0C" w14:paraId="56A9429A" w14:textId="3400E989">
      <w:pPr>
        <w:pStyle w:val="Normal"/>
        <w:spacing w:line="360" w:lineRule="auto"/>
      </w:pPr>
      <w:r w:rsidR="2D307B00">
        <w:rPr/>
        <w:t xml:space="preserve"> </w:t>
      </w:r>
      <w:r w:rsidR="2D307B00">
        <w:rPr/>
        <w:t>The battery in criminal law is described as harmful contact with other people in the absence of consent</w:t>
      </w:r>
      <w:r w:rsidR="6D5BD4BE">
        <w:rPr/>
        <w:t xml:space="preserve">. </w:t>
      </w:r>
      <w:r w:rsidR="2D307B00">
        <w:rPr/>
        <w:t>Victims can seek compensation for the cause of damage in civil defence. The context of battery in the UK (United Kingdom) is governed by the Common Law system in contact with the court decision. According to (Rollinson,1941) Battery has been defined by another volunteer of the defendant causing aggression, offensive, or harmful touch to the person of the plaintiff directly or indirectly. In the UK (United Kingdom) legislation which is related to battery are Criminal Justice Act 1988, section 39 defines battery that is an act of assault of a person recklessly or intentionally making another person suffer through violence. This act involves violence, and intentional or reckless bodily harm, for which the individuals involved are punished with imprisonment. Assault and battery sentences are six months imprisonment, and/or a fine up to £5000. Another act that contributes to the defence of the battery is the Criminal Justice Act 1861 this act includes the battery is the law that assigns forms of assault and bodily harm. UK (United Kingdom) has different laws that contribute against violence and there are related to battery, their contribution is to offer protection, and this there are Harassment Act 1997, and the Domestic Violence, Crime and Victims Act 2004 provide support for victims and Sentencing Guidelines and how the name is saying it provides guidelines to judges and magistrates to help ensure consistency and fairness to sentencing individuals of battery-related offenses. What played into the understanding and shaping of consent was the reference cases for meanings in the involvement of intimate relationships and the transmission of diseases. One case was R v Brown (1993) This case involved consensual sadomasochistic activities. Several men were exposed to videotaped sadomasochistic acts. The limits of consent as a defence to</w:t>
      </w:r>
      <w:r w:rsidR="5323FB67">
        <w:rPr/>
        <w:t xml:space="preserve"> the</w:t>
      </w:r>
      <w:r w:rsidR="2D307B00">
        <w:rPr/>
        <w:t xml:space="preserve"> battery were imposed by the court about these unconventional consensual activities. The House of Lords held that consent was not a </w:t>
      </w:r>
      <w:r w:rsidR="752E95E7">
        <w:rPr/>
        <w:t>defence</w:t>
      </w:r>
      <w:r w:rsidR="2D307B00">
        <w:rPr/>
        <w:t xml:space="preserve"> to acts in which actual bodily harm is inflicted. The court decided in this case that sadomasochistic activities resulting in serious harm exceeded consent, even though it was accepted, another case was R v Dika (2004) a case that involved the transmission of serious diseases, such as HIV, without asking for consent explaining about the illness. The individual in question was investigated and charged with grievous bodily harm for transmitting HIV to two women. The investigation focused on whether the women had given their consent, unaware of the individual’s HIV status. Ethical and legal questions </w:t>
      </w:r>
      <w:r w:rsidR="2D307B00">
        <w:rPr/>
        <w:t>r</w:t>
      </w:r>
      <w:r w:rsidR="2D307B00">
        <w:rPr/>
        <w:t>egarding</w:t>
      </w:r>
      <w:r w:rsidR="2D307B00">
        <w:rPr/>
        <w:t xml:space="preserve"> </w:t>
      </w:r>
      <w:r w:rsidR="2D307B00">
        <w:rPr/>
        <w:t xml:space="preserve">consent were explored. The court </w:t>
      </w:r>
      <w:r w:rsidR="2D307B00">
        <w:rPr/>
        <w:t>d</w:t>
      </w:r>
      <w:r w:rsidR="2D307B00">
        <w:rPr/>
        <w:t>etermined</w:t>
      </w:r>
      <w:r w:rsidR="2D307B00">
        <w:rPr/>
        <w:t xml:space="preserve"> </w:t>
      </w:r>
      <w:r w:rsidR="2D307B00">
        <w:rPr/>
        <w:t xml:space="preserve">that if the individual with HIV does not </w:t>
      </w:r>
      <w:r w:rsidR="2D307B00">
        <w:rPr/>
        <w:t>d</w:t>
      </w:r>
      <w:r w:rsidR="2D307B00">
        <w:rPr/>
        <w:t>isclose</w:t>
      </w:r>
      <w:r w:rsidR="2D307B00">
        <w:rPr/>
        <w:t xml:space="preserve"> </w:t>
      </w:r>
      <w:r w:rsidR="2D307B00">
        <w:rPr/>
        <w:t xml:space="preserve">their medical status and transmits the virus, the partner's consent is considered invalid. In this case, criminal liability was seen as the </w:t>
      </w:r>
      <w:r w:rsidR="2D307B00">
        <w:rPr/>
        <w:t>a</w:t>
      </w:r>
      <w:r w:rsidR="2D307B00">
        <w:rPr/>
        <w:t>ppropriate solution</w:t>
      </w:r>
      <w:r w:rsidR="2D307B00">
        <w:rPr/>
        <w:t>.</w:t>
      </w:r>
      <w:r w:rsidR="2D307B00">
        <w:rPr/>
        <w:t xml:space="preserve"> The battery plays a significant role because illegal and legal physical contact defines it, consent referring specifically to the consent of a valid consent could be considered a permissible battery. One difference between consensual activities and </w:t>
      </w:r>
      <w:r w:rsidR="2D307B00">
        <w:rPr/>
        <w:t xml:space="preserve">battery is related to voluntary and informed consent. Activities between individuals that involve mutual agreement will not be considered battery. </w:t>
      </w:r>
    </w:p>
    <w:p w:rsidR="68808F0C" w:rsidP="62A09C74" w:rsidRDefault="68808F0C" w14:paraId="69617A33" w14:textId="3C946739">
      <w:pPr>
        <w:pStyle w:val="Normal"/>
        <w:spacing w:line="360" w:lineRule="auto"/>
      </w:pPr>
      <w:r w:rsidR="2D307B00">
        <w:rPr/>
        <w:t xml:space="preserve"> </w:t>
      </w:r>
      <w:r w:rsidR="2D307B00">
        <w:rPr/>
        <w:t>Challenges have begun to arise increasingly in terms of consent challenges and lead to grey areas when consent is not clear in terms of informed and voluntary consent due to mental incapacity and intoxication which is causing challenges, and ambiguities. One example of cases is Assante (2011) or R v Brown (1993) in which the consent would have been unclear. According to (</w:t>
      </w:r>
      <w:r w:rsidR="2D307B00">
        <w:rPr/>
        <w:t>Musmade</w:t>
      </w:r>
      <w:r w:rsidR="2D307B00">
        <w:rPr/>
        <w:t xml:space="preserve"> et al. 2013) Informed consent is the goal to </w:t>
      </w:r>
      <w:r w:rsidR="2D307B00">
        <w:rPr/>
        <w:t>provide</w:t>
      </w:r>
      <w:r w:rsidR="2D307B00">
        <w:rPr/>
        <w:t xml:space="preserve"> lots of information to an individual, and the language should be clear, so can be understood that a decision regarding ‘’to’’ or ‘’not to’’ have the choice to </w:t>
      </w:r>
      <w:r w:rsidR="2D307B00">
        <w:rPr/>
        <w:t>participate</w:t>
      </w:r>
      <w:r w:rsidR="2D307B00">
        <w:rPr/>
        <w:t xml:space="preserve"> in activities</w:t>
      </w:r>
      <w:r w:rsidR="2D307B00">
        <w:rPr/>
        <w:t xml:space="preserve">.  </w:t>
      </w:r>
      <w:r w:rsidR="2D307B00">
        <w:rPr/>
        <w:t xml:space="preserve">Although consent </w:t>
      </w:r>
      <w:r w:rsidR="2D307B00">
        <w:rPr/>
        <w:t>remains</w:t>
      </w:r>
      <w:r w:rsidR="2D307B00">
        <w:rPr/>
        <w:t xml:space="preserve"> a fundamental principle in cases that are related to battery, applying the law to get justice and victims to ask for compensation, despite the efforts of challenges and grey areas of consent persisting, it </w:t>
      </w:r>
      <w:r w:rsidR="2D307B00">
        <w:rPr/>
        <w:t>remains</w:t>
      </w:r>
      <w:r w:rsidR="2D307B00">
        <w:rPr/>
        <w:t xml:space="preserve"> an ongoing confrontation with the public. The conclusion of this essay defines and explores consent about battery. Explains its role as it relates to criminal offenses and legal interactions while explaining the ethical, legal, and philosophical dimensions of consent and debating the challenges of the controversies</w:t>
      </w:r>
      <w:r w:rsidR="2D307B00">
        <w:rPr/>
        <w:t xml:space="preserve">.  </w:t>
      </w:r>
    </w:p>
    <w:p w:rsidR="68808F0C" w:rsidP="62A09C74" w:rsidRDefault="68808F0C" w14:paraId="4E310C65" w14:textId="08F12D8C">
      <w:pPr>
        <w:pStyle w:val="Normal"/>
        <w:spacing w:line="360" w:lineRule="auto"/>
      </w:pPr>
    </w:p>
    <w:p w:rsidR="68808F0C" w:rsidP="62A09C74" w:rsidRDefault="68808F0C" w14:paraId="20FD2514" w14:textId="6D129BDB">
      <w:pPr>
        <w:pStyle w:val="Normal"/>
        <w:spacing w:line="360" w:lineRule="auto"/>
      </w:pPr>
    </w:p>
    <w:p w:rsidR="68808F0C" w:rsidP="62A09C74" w:rsidRDefault="68808F0C" w14:paraId="6079B2BE" w14:textId="28CC0EA0">
      <w:pPr>
        <w:pStyle w:val="Normal"/>
        <w:spacing w:line="360" w:lineRule="auto"/>
      </w:pPr>
    </w:p>
    <w:p w:rsidR="5140C157" w:rsidP="62A09C74" w:rsidRDefault="5140C157" w14:paraId="6F27C99B" w14:textId="1B1EB9AD">
      <w:pPr>
        <w:pStyle w:val="Normal"/>
        <w:spacing w:line="360" w:lineRule="auto"/>
      </w:pPr>
      <w:r w:rsidR="5140C157">
        <w:rPr/>
        <w:t>Case List</w:t>
      </w:r>
      <w:r w:rsidR="75054825">
        <w:rPr/>
        <w:t>:</w:t>
      </w:r>
    </w:p>
    <w:p w:rsidR="75054825" w:rsidP="62A09C74" w:rsidRDefault="75054825" w14:paraId="04DAADF3" w14:textId="76B06595">
      <w:pPr>
        <w:pStyle w:val="Normal"/>
        <w:spacing w:line="360" w:lineRule="auto"/>
      </w:pPr>
      <w:r w:rsidR="75054825">
        <w:rPr/>
        <w:t>R v Brown (1993)</w:t>
      </w:r>
      <w:r w:rsidR="756C3BA8">
        <w:rPr/>
        <w:t xml:space="preserve"> UKHL 19</w:t>
      </w:r>
    </w:p>
    <w:p w:rsidR="75054825" w:rsidP="62A09C74" w:rsidRDefault="75054825" w14:paraId="7FF021AC" w14:textId="6D9FDB6A">
      <w:pPr>
        <w:pStyle w:val="Normal"/>
        <w:spacing w:line="360" w:lineRule="auto"/>
      </w:pPr>
      <w:r w:rsidR="3D4DA0FD">
        <w:rPr/>
        <w:t>Reference List:</w:t>
      </w:r>
    </w:p>
    <w:p w:rsidR="75054825" w:rsidP="62A09C74" w:rsidRDefault="75054825" w14:paraId="46BBE866" w14:textId="24BE2E9F">
      <w:pPr>
        <w:pStyle w:val="Normal"/>
        <w:spacing w:line="360" w:lineRule="auto"/>
      </w:pPr>
      <w:r w:rsidR="3D4DA0FD">
        <w:rPr/>
        <w:t>Board, T.E. (2019) Criminalization &amp; Consent: Sadomasochism &amp; Consent in R v Brown: Trinity College Dublin, Trinity College Law Review (TCLR) Trinity College Dublin. Available at: https: trinitycollegelawreview.org/criminalization-and –consent-sadomasochism-in-r-v-brown/ (Accessed: 10 November 2023)</w:t>
      </w:r>
    </w:p>
    <w:p w:rsidR="75054825" w:rsidP="62A09C74" w:rsidRDefault="75054825" w14:paraId="253A81A0" w14:textId="11093E54">
      <w:pPr>
        <w:pStyle w:val="Normal"/>
        <w:spacing w:line="360" w:lineRule="auto"/>
      </w:pPr>
      <w:r w:rsidR="75054825">
        <w:rPr/>
        <w:t>R v Dika (2004)</w:t>
      </w:r>
      <w:r w:rsidR="081BCCB3">
        <w:rPr/>
        <w:t xml:space="preserve"> EWCA Crim 1103</w:t>
      </w:r>
    </w:p>
    <w:p w:rsidR="75054825" w:rsidP="62A09C74" w:rsidRDefault="75054825" w14:paraId="1BE0BC68" w14:textId="0D1D7DCD">
      <w:pPr>
        <w:pStyle w:val="Normal"/>
        <w:spacing w:line="360" w:lineRule="auto"/>
      </w:pPr>
      <w:r w:rsidR="75054825">
        <w:rPr/>
        <w:t>Reference List:</w:t>
      </w:r>
    </w:p>
    <w:p w:rsidR="5EF668FB" w:rsidP="62A09C74" w:rsidRDefault="5EF668FB" w14:paraId="6556211E" w14:textId="697E6662">
      <w:pPr>
        <w:pStyle w:val="Normal"/>
        <w:spacing w:line="360" w:lineRule="auto"/>
      </w:pPr>
      <w:r w:rsidR="5EF668FB">
        <w:rPr/>
        <w:t>R v Dika (2004) EWCA CRIM 1103 global</w:t>
      </w:r>
      <w:r w:rsidR="3E48DB94">
        <w:rPr/>
        <w:t>healthrights.org/</w:t>
      </w:r>
      <w:r w:rsidR="5C40335E">
        <w:rPr/>
        <w:t xml:space="preserve"> </w:t>
      </w:r>
      <w:r w:rsidR="3E48DB94">
        <w:rPr/>
        <w:t>wp</w:t>
      </w:r>
      <w:r w:rsidR="3E48DB94">
        <w:rPr/>
        <w:t>-content</w:t>
      </w:r>
      <w:r w:rsidR="7CEDC0C5">
        <w:rPr/>
        <w:t>/uploads/2014-R-v-Dica.pdf (Accessed: 10 November 2023)</w:t>
      </w:r>
    </w:p>
    <w:p w:rsidR="62A09C74" w:rsidP="62A09C74" w:rsidRDefault="62A09C74" w14:paraId="2FA10D4A" w14:textId="26D32CD6">
      <w:pPr>
        <w:pStyle w:val="Normal"/>
        <w:spacing w:line="360" w:lineRule="auto"/>
      </w:pPr>
    </w:p>
    <w:p w:rsidR="62A09C74" w:rsidP="62A09C74" w:rsidRDefault="62A09C74" w14:paraId="35858638" w14:textId="17949B1D">
      <w:pPr>
        <w:pStyle w:val="Normal"/>
        <w:spacing w:line="360" w:lineRule="auto"/>
      </w:pPr>
    </w:p>
    <w:p w:rsidR="3B989F46" w:rsidP="62A09C74" w:rsidRDefault="3B989F46" w14:paraId="63A5B626" w14:textId="2F44EAA9">
      <w:pPr>
        <w:pStyle w:val="Normal"/>
        <w:spacing w:line="360" w:lineRule="auto"/>
      </w:pPr>
      <w:r w:rsidR="3B989F46">
        <w:rPr/>
        <w:t>Reference List:</w:t>
      </w:r>
    </w:p>
    <w:p w:rsidR="27174B0D" w:rsidP="62A09C74" w:rsidRDefault="27174B0D" w14:paraId="13978F29" w14:textId="24BE2E9F">
      <w:pPr>
        <w:pStyle w:val="Normal"/>
        <w:spacing w:line="360" w:lineRule="auto"/>
      </w:pPr>
      <w:r w:rsidR="27174B0D">
        <w:rPr/>
        <w:t xml:space="preserve">Board, T.E. (2019) Criminalization &amp; Consent: </w:t>
      </w:r>
      <w:r w:rsidR="5F5599DA">
        <w:rPr/>
        <w:t xml:space="preserve">Sadomasochism &amp; Consent in R v Brown: Trinity </w:t>
      </w:r>
      <w:r w:rsidR="188E13D2">
        <w:rPr/>
        <w:t>College Dublin</w:t>
      </w:r>
      <w:r w:rsidR="6305FAA1">
        <w:rPr/>
        <w:t>, Trinity College Law Review (TCLR) Trinity College Dublin. Available at: h</w:t>
      </w:r>
      <w:r w:rsidR="337EA49C">
        <w:rPr/>
        <w:t>ttps</w:t>
      </w:r>
      <w:r w:rsidR="2C0DA6E3">
        <w:rPr/>
        <w:t>: trinitycollegelawreview.org/criminalization-and</w:t>
      </w:r>
      <w:r w:rsidR="6C98BFAA">
        <w:rPr/>
        <w:t xml:space="preserve"> –</w:t>
      </w:r>
      <w:r w:rsidR="2C0DA6E3">
        <w:rPr/>
        <w:t>consent</w:t>
      </w:r>
      <w:r w:rsidR="6C98BFAA">
        <w:rPr/>
        <w:t>-sadomasochism-in-r-v-brown/ (</w:t>
      </w:r>
      <w:r w:rsidR="7B074782">
        <w:rPr/>
        <w:t>Accessed</w:t>
      </w:r>
      <w:r w:rsidR="6C98BFAA">
        <w:rPr/>
        <w:t>: 10 November 2023)</w:t>
      </w:r>
    </w:p>
    <w:p w:rsidR="163C7CF0" w:rsidP="62A09C74" w:rsidRDefault="163C7CF0" w14:paraId="7BAB72F9" w14:textId="6F214685">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2A09C74" w:rsidR="163C7CF0">
        <w:rPr>
          <w:rFonts w:ascii="Calibri" w:hAnsi="Calibri" w:eastAsia="Calibri" w:cs="Calibri"/>
          <w:b w:val="0"/>
          <w:bCs w:val="0"/>
          <w:i w:val="0"/>
          <w:iCs w:val="0"/>
          <w:caps w:val="0"/>
          <w:smallCaps w:val="0"/>
          <w:noProof w:val="0"/>
          <w:color w:val="000000" w:themeColor="text1" w:themeTint="FF" w:themeShade="FF"/>
          <w:sz w:val="22"/>
          <w:szCs w:val="22"/>
          <w:lang w:val="en-GB"/>
        </w:rPr>
        <w:t>Burgin R. (</w:t>
      </w:r>
      <w:r w:rsidRPr="62A09C74" w:rsidR="47525610">
        <w:rPr>
          <w:rFonts w:ascii="Calibri" w:hAnsi="Calibri" w:eastAsia="Calibri" w:cs="Calibri"/>
          <w:b w:val="0"/>
          <w:bCs w:val="0"/>
          <w:i w:val="0"/>
          <w:iCs w:val="0"/>
          <w:caps w:val="0"/>
          <w:smallCaps w:val="0"/>
          <w:noProof w:val="0"/>
          <w:color w:val="000000" w:themeColor="text1" w:themeTint="FF" w:themeShade="FF"/>
          <w:sz w:val="22"/>
          <w:szCs w:val="22"/>
          <w:lang w:val="en-GB"/>
        </w:rPr>
        <w:t>2019 p.296</w:t>
      </w:r>
      <w:r w:rsidRPr="62A09C74" w:rsidR="789CF731">
        <w:rPr>
          <w:rFonts w:ascii="Calibri" w:hAnsi="Calibri" w:eastAsia="Calibri" w:cs="Calibri"/>
          <w:b w:val="0"/>
          <w:bCs w:val="0"/>
          <w:i w:val="0"/>
          <w:iCs w:val="0"/>
          <w:caps w:val="0"/>
          <w:smallCaps w:val="0"/>
          <w:noProof w:val="0"/>
          <w:color w:val="000000" w:themeColor="text1" w:themeTint="FF" w:themeShade="FF"/>
          <w:sz w:val="22"/>
          <w:szCs w:val="22"/>
          <w:lang w:val="en-GB"/>
        </w:rPr>
        <w:t>) Persistent</w:t>
      </w:r>
      <w:r w:rsidRPr="62A09C74" w:rsidR="762AB14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2A09C74" w:rsidR="4B964200">
        <w:rPr>
          <w:rFonts w:ascii="Calibri" w:hAnsi="Calibri" w:eastAsia="Calibri" w:cs="Calibri"/>
          <w:b w:val="0"/>
          <w:bCs w:val="0"/>
          <w:i w:val="0"/>
          <w:iCs w:val="0"/>
          <w:caps w:val="0"/>
          <w:smallCaps w:val="0"/>
          <w:noProof w:val="0"/>
          <w:color w:val="000000" w:themeColor="text1" w:themeTint="FF" w:themeShade="FF"/>
          <w:sz w:val="22"/>
          <w:szCs w:val="22"/>
          <w:lang w:val="en-GB"/>
        </w:rPr>
        <w:t>Narratives of</w:t>
      </w:r>
      <w:r w:rsidRPr="62A09C74" w:rsidR="762AB14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Force</w:t>
      </w:r>
      <w:r w:rsidRPr="62A09C74" w:rsidR="13EB7AD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Resistance: Affirmative Consent as Law Reform, The British Journal of Criminology</w:t>
      </w:r>
      <w:r w:rsidRPr="62A09C74" w:rsidR="610C35CB">
        <w:rPr>
          <w:rFonts w:ascii="Calibri" w:hAnsi="Calibri" w:eastAsia="Calibri" w:cs="Calibri"/>
          <w:b w:val="0"/>
          <w:bCs w:val="0"/>
          <w:i w:val="0"/>
          <w:iCs w:val="0"/>
          <w:caps w:val="0"/>
          <w:smallCaps w:val="0"/>
          <w:noProof w:val="0"/>
          <w:color w:val="000000" w:themeColor="text1" w:themeTint="FF" w:themeShade="FF"/>
          <w:sz w:val="22"/>
          <w:szCs w:val="22"/>
          <w:lang w:val="en-GB"/>
        </w:rPr>
        <w:t>, Volume 59, Issue 2, March 2019, Pg.296-314.Publis</w:t>
      </w:r>
      <w:r w:rsidRPr="62A09C74" w:rsidR="5AA59F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hed:12 October 2018 </w:t>
      </w:r>
      <w:hyperlink r:id="R9fb60fe347134d71">
        <w:r w:rsidRPr="62A09C74" w:rsidR="5AA59F67">
          <w:rPr>
            <w:rStyle w:val="Hyperlink"/>
            <w:rFonts w:ascii="Calibri" w:hAnsi="Calibri" w:eastAsia="Calibri" w:cs="Calibri"/>
            <w:b w:val="0"/>
            <w:bCs w:val="0"/>
            <w:i w:val="0"/>
            <w:iCs w:val="0"/>
            <w:caps w:val="0"/>
            <w:smallCaps w:val="0"/>
            <w:noProof w:val="0"/>
            <w:sz w:val="22"/>
            <w:szCs w:val="22"/>
            <w:lang w:val="en-GB"/>
          </w:rPr>
          <w:t>https://doi.</w:t>
        </w:r>
        <w:r w:rsidRPr="62A09C74" w:rsidR="0FB7BF90">
          <w:rPr>
            <w:rStyle w:val="Hyperlink"/>
            <w:rFonts w:ascii="Calibri" w:hAnsi="Calibri" w:eastAsia="Calibri" w:cs="Calibri"/>
            <w:b w:val="0"/>
            <w:bCs w:val="0"/>
            <w:i w:val="0"/>
            <w:iCs w:val="0"/>
            <w:caps w:val="0"/>
            <w:smallCaps w:val="0"/>
            <w:noProof w:val="0"/>
            <w:sz w:val="22"/>
            <w:szCs w:val="22"/>
            <w:lang w:val="en-GB"/>
          </w:rPr>
          <w:t>org/10.1093/bjc/azy043</w:t>
        </w:r>
      </w:hyperlink>
      <w:r w:rsidRPr="62A09C74" w:rsidR="0FB7BF90">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2A09C74" w:rsidP="62A09C74" w:rsidRDefault="62A09C74" w14:paraId="354AA2A4" w14:textId="09DFDFBE">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AF00315" w:rsidP="62A09C74" w:rsidRDefault="7AF00315" w14:paraId="07392C52" w14:textId="401C9846">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2A09C74" w:rsidR="7AF0031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Driver, J. (1970) Julia Driver, the </w:t>
      </w:r>
      <w:r w:rsidRPr="62A09C74" w:rsidR="658A3C6E">
        <w:rPr>
          <w:rFonts w:ascii="Calibri" w:hAnsi="Calibri" w:eastAsia="Calibri" w:cs="Calibri"/>
          <w:b w:val="0"/>
          <w:bCs w:val="0"/>
          <w:i w:val="0"/>
          <w:iCs w:val="0"/>
          <w:caps w:val="0"/>
          <w:smallCaps w:val="0"/>
          <w:noProof w:val="0"/>
          <w:color w:val="000000" w:themeColor="text1" w:themeTint="FF" w:themeShade="FF"/>
          <w:sz w:val="22"/>
          <w:szCs w:val="22"/>
          <w:lang w:val="en-GB"/>
        </w:rPr>
        <w:t>history</w:t>
      </w:r>
      <w:r w:rsidRPr="62A09C74" w:rsidR="7AF0031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w:t>
      </w:r>
      <w:r w:rsidRPr="62A09C74" w:rsidR="50CB917C">
        <w:rPr>
          <w:rFonts w:ascii="Calibri" w:hAnsi="Calibri" w:eastAsia="Calibri" w:cs="Calibri"/>
          <w:b w:val="0"/>
          <w:bCs w:val="0"/>
          <w:i w:val="0"/>
          <w:iCs w:val="0"/>
          <w:caps w:val="0"/>
          <w:smallCaps w:val="0"/>
          <w:noProof w:val="0"/>
          <w:color w:val="000000" w:themeColor="text1" w:themeTint="FF" w:themeShade="FF"/>
          <w:sz w:val="22"/>
          <w:szCs w:val="22"/>
          <w:lang w:val="en-GB"/>
        </w:rPr>
        <w:t>Utilitarianism</w:t>
      </w:r>
      <w:r w:rsidRPr="62A09C74" w:rsidR="7AF0031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2A09C74" w:rsidR="7839CD78">
        <w:rPr>
          <w:rFonts w:ascii="Calibri" w:hAnsi="Calibri" w:eastAsia="Calibri" w:cs="Calibri"/>
          <w:b w:val="0"/>
          <w:bCs w:val="0"/>
          <w:i w:val="0"/>
          <w:iCs w:val="0"/>
          <w:caps w:val="0"/>
          <w:smallCaps w:val="0"/>
          <w:noProof w:val="0"/>
          <w:color w:val="000000" w:themeColor="text1" w:themeTint="FF" w:themeShade="FF"/>
          <w:sz w:val="22"/>
          <w:szCs w:val="22"/>
          <w:lang w:val="en-GB"/>
        </w:rPr>
        <w:t>Phil Papers</w:t>
      </w:r>
      <w:r w:rsidRPr="62A09C74" w:rsidR="7AF0031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w:t>
      </w:r>
      <w:r w:rsidRPr="62A09C74" w:rsidR="515D062F">
        <w:rPr>
          <w:rFonts w:ascii="Calibri" w:hAnsi="Calibri" w:eastAsia="Calibri" w:cs="Calibri"/>
          <w:b w:val="0"/>
          <w:bCs w:val="0"/>
          <w:i w:val="0"/>
          <w:iCs w:val="0"/>
          <w:caps w:val="0"/>
          <w:smallCaps w:val="0"/>
          <w:noProof w:val="0"/>
          <w:color w:val="000000" w:themeColor="text1" w:themeTint="FF" w:themeShade="FF"/>
          <w:sz w:val="22"/>
          <w:szCs w:val="22"/>
          <w:lang w:val="en-GB"/>
        </w:rPr>
        <w:t>at: https</w:t>
      </w:r>
      <w:r w:rsidRPr="62A09C74" w:rsidR="3994E847">
        <w:rPr>
          <w:rFonts w:ascii="Calibri" w:hAnsi="Calibri" w:eastAsia="Calibri" w:cs="Calibri"/>
          <w:b w:val="0"/>
          <w:bCs w:val="0"/>
          <w:i w:val="0"/>
          <w:iCs w:val="0"/>
          <w:caps w:val="0"/>
          <w:smallCaps w:val="0"/>
          <w:noProof w:val="0"/>
          <w:color w:val="000000" w:themeColor="text1" w:themeTint="FF" w:themeShade="FF"/>
          <w:sz w:val="22"/>
          <w:szCs w:val="22"/>
          <w:lang w:val="en-GB"/>
        </w:rPr>
        <w:t>://philpapers.org/rec/DRITHO (</w:t>
      </w:r>
      <w:r w:rsidRPr="62A09C74" w:rsidR="022B2277">
        <w:rPr>
          <w:rFonts w:ascii="Calibri" w:hAnsi="Calibri" w:eastAsia="Calibri" w:cs="Calibri"/>
          <w:b w:val="0"/>
          <w:bCs w:val="0"/>
          <w:i w:val="0"/>
          <w:iCs w:val="0"/>
          <w:caps w:val="0"/>
          <w:smallCaps w:val="0"/>
          <w:noProof w:val="0"/>
          <w:color w:val="000000" w:themeColor="text1" w:themeTint="FF" w:themeShade="FF"/>
          <w:sz w:val="22"/>
          <w:szCs w:val="22"/>
          <w:lang w:val="en-GB"/>
        </w:rPr>
        <w:t>Accessed</w:t>
      </w:r>
      <w:r w:rsidRPr="62A09C74" w:rsidR="3994E847">
        <w:rPr>
          <w:rFonts w:ascii="Calibri" w:hAnsi="Calibri" w:eastAsia="Calibri" w:cs="Calibri"/>
          <w:b w:val="0"/>
          <w:bCs w:val="0"/>
          <w:i w:val="0"/>
          <w:iCs w:val="0"/>
          <w:caps w:val="0"/>
          <w:smallCaps w:val="0"/>
          <w:noProof w:val="0"/>
          <w:color w:val="000000" w:themeColor="text1" w:themeTint="FF" w:themeShade="FF"/>
          <w:sz w:val="22"/>
          <w:szCs w:val="22"/>
          <w:lang w:val="en-GB"/>
        </w:rPr>
        <w:t>: 10 November 2023)</w:t>
      </w:r>
    </w:p>
    <w:p w:rsidR="68808F0C" w:rsidP="62A09C74" w:rsidRDefault="68808F0C" w14:paraId="4824C724" w14:textId="10CE131F">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EB25775" w:rsidP="62A09C74" w:rsidRDefault="4EB25775" w14:paraId="54FD477E" w14:textId="07F7D25A">
      <w:pPr>
        <w:pStyle w:val="Normal"/>
        <w:spacing w:line="360" w:lineRule="auto"/>
      </w:pPr>
      <w:r w:rsidR="4EB25775">
        <w:rPr/>
        <w:t>Hardicre</w:t>
      </w:r>
      <w:r w:rsidR="6ABC61A7">
        <w:rPr/>
        <w:t xml:space="preserve"> J.</w:t>
      </w:r>
      <w:r w:rsidR="4EB25775">
        <w:rPr/>
        <w:t xml:space="preserve"> </w:t>
      </w:r>
      <w:r w:rsidR="4EB25775">
        <w:rPr/>
        <w:t>2014</w:t>
      </w:r>
      <w:r w:rsidR="4E4B8324">
        <w:rPr/>
        <w:t xml:space="preserve"> Valid informed consent in research</w:t>
      </w:r>
      <w:r w:rsidR="3EC70D80">
        <w:rPr/>
        <w:t>: An introduction. Available at https:</w:t>
      </w:r>
      <w:r w:rsidR="11D3507B">
        <w:rPr/>
        <w:t xml:space="preserve"> </w:t>
      </w:r>
      <w:r w:rsidR="3EC70D80">
        <w:rPr/>
        <w:t>www. Researchgate</w:t>
      </w:r>
      <w:r w:rsidR="73D92DA8">
        <w:rPr/>
        <w:t>.net/publication/</w:t>
      </w:r>
      <w:r w:rsidR="690EC4CE">
        <w:rPr/>
        <w:t>263209210; Valid</w:t>
      </w:r>
      <w:r w:rsidR="73D92DA8">
        <w:rPr/>
        <w:t>-</w:t>
      </w:r>
      <w:r w:rsidR="7125C313">
        <w:rPr/>
        <w:t xml:space="preserve"> informed-consent-in-research-An-introduction (</w:t>
      </w:r>
      <w:r w:rsidR="26155B1C">
        <w:rPr/>
        <w:t>Accessed</w:t>
      </w:r>
      <w:r w:rsidR="7125C313">
        <w:rPr/>
        <w:t xml:space="preserve"> 29 </w:t>
      </w:r>
      <w:r w:rsidR="3280DDE2">
        <w:rPr/>
        <w:t>October</w:t>
      </w:r>
      <w:r w:rsidR="7125C313">
        <w:rPr/>
        <w:t xml:space="preserve"> </w:t>
      </w:r>
      <w:r w:rsidR="07BBB41D">
        <w:rPr/>
        <w:t>2023)</w:t>
      </w:r>
    </w:p>
    <w:p w:rsidR="4EB25775" w:rsidP="62A09C74" w:rsidRDefault="4EB25775" w14:paraId="6CB06A96" w14:textId="2B2C04BA">
      <w:pPr>
        <w:pStyle w:val="Normal"/>
        <w:spacing w:before="0" w:beforeAutospacing="off" w:after="0" w:afterAutospacing="off" w:line="360" w:lineRule="auto"/>
      </w:pPr>
      <w:r w:rsidR="4EB25775">
        <w:rPr/>
        <w:t>Hall R. and Longstaff L. 1997</w:t>
      </w:r>
      <w:r w:rsidR="40EBBFAC">
        <w:rPr/>
        <w:t xml:space="preserve"> National Law Journal, Defining Consent, 147 (67 95)</w:t>
      </w:r>
      <w:r w:rsidR="61994D13">
        <w:rPr/>
        <w:t xml:space="preserve"> doi:10.52388/1811-0770.</w:t>
      </w:r>
    </w:p>
    <w:p w:rsidR="72DA43EC" w:rsidP="62A09C74" w:rsidRDefault="72DA43EC" w14:paraId="48E9B798" w14:textId="7F5E36EE">
      <w:pPr>
        <w:pStyle w:val="Normal"/>
        <w:spacing w:before="0" w:beforeAutospacing="off" w:after="0" w:afterAutospacing="off" w:line="360" w:lineRule="auto"/>
      </w:pPr>
      <w:r w:rsidR="72DA43EC">
        <w:rPr/>
        <w:t>Witmer-Rich</w:t>
      </w:r>
      <w:r w:rsidR="3DBF9107">
        <w:rPr/>
        <w:t xml:space="preserve">, J. (2011) </w:t>
      </w:r>
      <w:r w:rsidR="46582AE6">
        <w:rPr/>
        <w:t>It is</w:t>
      </w:r>
      <w:r w:rsidR="3DBF9107">
        <w:rPr/>
        <w:t xml:space="preserve"> good to be autonomous: Prospective consent</w:t>
      </w:r>
      <w:r w:rsidR="3D3B5EE5">
        <w:rPr/>
        <w:t xml:space="preserve">, </w:t>
      </w:r>
      <w:r w:rsidR="609F21E9">
        <w:rPr/>
        <w:t>retrospective</w:t>
      </w:r>
      <w:r w:rsidR="3D3B5EE5">
        <w:rPr/>
        <w:t xml:space="preserve"> consent, and the </w:t>
      </w:r>
      <w:r w:rsidR="6E5721D3">
        <w:rPr/>
        <w:t>foundation of</w:t>
      </w:r>
      <w:r w:rsidR="3D3B5EE5">
        <w:rPr/>
        <w:t xml:space="preserve"> consent in the Criminal Law’’, Criminal Law and the Philosophy</w:t>
      </w:r>
      <w:r w:rsidR="5DE8EC4C">
        <w:rPr/>
        <w:t>, 5(3), pp.377-398 doi:10,1007/s11572-011-9126-9.</w:t>
      </w:r>
    </w:p>
    <w:p w:rsidR="68808F0C" w:rsidP="62A09C74" w:rsidRDefault="68808F0C" w14:paraId="0D3F8D51" w14:textId="2213A83F">
      <w:pPr>
        <w:pStyle w:val="Normal"/>
        <w:spacing w:before="0" w:beforeAutospacing="off" w:after="0" w:afterAutospacing="off" w:line="360" w:lineRule="auto"/>
      </w:pPr>
    </w:p>
    <w:p w:rsidR="6DD481FD" w:rsidP="62A09C74" w:rsidRDefault="6DD481FD" w14:paraId="11D889B2" w14:textId="07B7FF9F">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2A09C74" w:rsidR="6DD481FD">
        <w:rPr>
          <w:rFonts w:ascii="Calibri" w:hAnsi="Calibri" w:eastAsia="Calibri" w:cs="Calibri"/>
          <w:b w:val="0"/>
          <w:bCs w:val="0"/>
          <w:i w:val="0"/>
          <w:iCs w:val="0"/>
          <w:caps w:val="0"/>
          <w:smallCaps w:val="0"/>
          <w:noProof w:val="0"/>
          <w:color w:val="000000" w:themeColor="text1" w:themeTint="FF" w:themeShade="FF"/>
          <w:sz w:val="22"/>
          <w:szCs w:val="22"/>
          <w:lang w:val="en-GB"/>
        </w:rPr>
        <w:t>Walen,</w:t>
      </w:r>
      <w:r w:rsidRPr="62A09C74" w:rsidR="4BC4962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w:t>
      </w:r>
      <w:r w:rsidRPr="62A09C74" w:rsidR="6DD481F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2A09C74" w:rsidR="5A401A1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2A09C74" w:rsidR="6DD481FD">
        <w:rPr>
          <w:rFonts w:ascii="Calibri" w:hAnsi="Calibri" w:eastAsia="Calibri" w:cs="Calibri"/>
          <w:b w:val="0"/>
          <w:bCs w:val="0"/>
          <w:i w:val="0"/>
          <w:iCs w:val="0"/>
          <w:caps w:val="0"/>
          <w:smallCaps w:val="0"/>
          <w:noProof w:val="0"/>
          <w:color w:val="000000" w:themeColor="text1" w:themeTint="FF" w:themeShade="FF"/>
          <w:sz w:val="22"/>
          <w:szCs w:val="22"/>
          <w:lang w:val="en-GB"/>
        </w:rPr>
        <w:t>2016</w:t>
      </w:r>
      <w:r w:rsidRPr="62A09C74" w:rsidR="6726F461">
        <w:rPr>
          <w:rFonts w:ascii="Calibri" w:hAnsi="Calibri" w:eastAsia="Calibri" w:cs="Calibri"/>
          <w:b w:val="0"/>
          <w:bCs w:val="0"/>
          <w:i w:val="0"/>
          <w:iCs w:val="0"/>
          <w:caps w:val="0"/>
          <w:smallCaps w:val="0"/>
          <w:noProof w:val="0"/>
          <w:color w:val="000000" w:themeColor="text1" w:themeTint="FF" w:themeShade="FF"/>
          <w:sz w:val="22"/>
          <w:szCs w:val="22"/>
          <w:lang w:val="en-GB"/>
        </w:rPr>
        <w:t>) Introduction to the Special Issue on Deontology and the Criminal Law. Criminal Law and Philosophy Vol.</w:t>
      </w:r>
      <w:r w:rsidRPr="62A09C74" w:rsidR="660B8D2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10.iss.4, 29 </w:t>
      </w:r>
      <w:r w:rsidRPr="62A09C74" w:rsidR="66FF80AD">
        <w:rPr>
          <w:rFonts w:ascii="Calibri" w:hAnsi="Calibri" w:eastAsia="Calibri" w:cs="Calibri"/>
          <w:b w:val="0"/>
          <w:bCs w:val="0"/>
          <w:i w:val="0"/>
          <w:iCs w:val="0"/>
          <w:caps w:val="0"/>
          <w:smallCaps w:val="0"/>
          <w:noProof w:val="0"/>
          <w:color w:val="000000" w:themeColor="text1" w:themeTint="FF" w:themeShade="FF"/>
          <w:sz w:val="22"/>
          <w:szCs w:val="22"/>
          <w:lang w:val="en-GB"/>
        </w:rPr>
        <w:t>October Doi</w:t>
      </w:r>
      <w:r w:rsidRPr="62A09C74" w:rsidR="660B8D23">
        <w:rPr>
          <w:rFonts w:ascii="Calibri" w:hAnsi="Calibri" w:eastAsia="Calibri" w:cs="Calibri"/>
          <w:b w:val="0"/>
          <w:bCs w:val="0"/>
          <w:i w:val="0"/>
          <w:iCs w:val="0"/>
          <w:caps w:val="0"/>
          <w:smallCaps w:val="0"/>
          <w:noProof w:val="0"/>
          <w:color w:val="000000" w:themeColor="text1" w:themeTint="FF" w:themeShade="FF"/>
          <w:sz w:val="22"/>
          <w:szCs w:val="22"/>
          <w:lang w:val="en-GB"/>
        </w:rPr>
        <w:t>:10.1007</w:t>
      </w:r>
      <w:r w:rsidRPr="62A09C74" w:rsidR="2DCD3E56">
        <w:rPr>
          <w:rFonts w:ascii="Calibri" w:hAnsi="Calibri" w:eastAsia="Calibri" w:cs="Calibri"/>
          <w:b w:val="0"/>
          <w:bCs w:val="0"/>
          <w:i w:val="0"/>
          <w:iCs w:val="0"/>
          <w:caps w:val="0"/>
          <w:smallCaps w:val="0"/>
          <w:noProof w:val="0"/>
          <w:color w:val="000000" w:themeColor="text1" w:themeTint="FF" w:themeShade="FF"/>
          <w:sz w:val="22"/>
          <w:szCs w:val="22"/>
          <w:lang w:val="en-GB"/>
        </w:rPr>
        <w:t>/S11572-014-9353-y</w:t>
      </w:r>
      <w:r w:rsidRPr="62A09C74" w:rsidR="50349639">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8808F0C" w:rsidP="62A09C74" w:rsidRDefault="68808F0C" w14:paraId="1CEA6C39" w14:textId="66D839B8">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92A3E45" w:rsidP="62A09C74" w:rsidRDefault="192A3E45" w14:paraId="2EEEDA20" w14:textId="2E24346E">
      <w:pPr>
        <w:pStyle w:val="Normal"/>
        <w:spacing w:before="0" w:beforeAutospacing="off" w:after="0" w:afterAutospacing="off" w:line="360" w:lineRule="auto"/>
      </w:pPr>
      <w:r w:rsidR="192A3E45">
        <w:rPr/>
        <w:t xml:space="preserve">Crown Prosecution </w:t>
      </w:r>
      <w:r w:rsidR="30654CF7">
        <w:rPr/>
        <w:t>Service (</w:t>
      </w:r>
      <w:r w:rsidR="30654CF7">
        <w:rPr/>
        <w:t>2001)</w:t>
      </w:r>
      <w:r w:rsidR="633BCD8E">
        <w:rPr/>
        <w:t xml:space="preserve"> Sexual Offences Act 2003 Legislation.gov.uk Available at </w:t>
      </w:r>
      <w:hyperlink r:id="R720e84b04f9e48c5">
        <w:r w:rsidRPr="62A09C74" w:rsidR="633BCD8E">
          <w:rPr>
            <w:rStyle w:val="Hyperlink"/>
          </w:rPr>
          <w:t>https:</w:t>
        </w:r>
        <w:r w:rsidRPr="62A09C74" w:rsidR="42A7CA1F">
          <w:rPr>
            <w:rStyle w:val="Hyperlink"/>
          </w:rPr>
          <w:t>//www.legislation.gov.uk/UKpga/2003/42/section74</w:t>
        </w:r>
      </w:hyperlink>
      <w:r w:rsidR="42A7CA1F">
        <w:rPr/>
        <w:t xml:space="preserve"> </w:t>
      </w:r>
      <w:r w:rsidR="2B1708B9">
        <w:rPr/>
        <w:t>(</w:t>
      </w:r>
      <w:r w:rsidR="77EF0BFA">
        <w:rPr/>
        <w:t>Accessed</w:t>
      </w:r>
      <w:r w:rsidR="63555786">
        <w:rPr/>
        <w:t xml:space="preserve">: 29 </w:t>
      </w:r>
      <w:r w:rsidR="14EE39EF">
        <w:rPr/>
        <w:t>October</w:t>
      </w:r>
      <w:r w:rsidR="63555786">
        <w:rPr/>
        <w:t xml:space="preserve"> 2023</w:t>
      </w:r>
      <w:r w:rsidR="1CC2FB0F">
        <w:rPr/>
        <w:t>)</w:t>
      </w:r>
    </w:p>
    <w:p w:rsidR="68808F0C" w:rsidP="62A09C74" w:rsidRDefault="68808F0C" w14:paraId="4E1DEFEC" w14:textId="43C11C11">
      <w:pPr>
        <w:pStyle w:val="Normal"/>
        <w:spacing w:before="0" w:beforeAutospacing="off" w:after="0" w:afterAutospacing="off" w:line="360" w:lineRule="auto"/>
      </w:pPr>
    </w:p>
    <w:p w:rsidR="68808F0C" w:rsidP="62A09C74" w:rsidRDefault="68808F0C" w14:paraId="6C21E583" w14:textId="7E2332C2">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2A09C74" w:rsidR="4173DC53">
        <w:rPr>
          <w:rFonts w:ascii="Calibri" w:hAnsi="Calibri" w:eastAsia="Calibri" w:cs="Calibri"/>
          <w:b w:val="0"/>
          <w:bCs w:val="0"/>
          <w:i w:val="0"/>
          <w:iCs w:val="0"/>
          <w:caps w:val="0"/>
          <w:smallCaps w:val="0"/>
          <w:noProof w:val="0"/>
          <w:color w:val="000000" w:themeColor="text1" w:themeTint="FF" w:themeShade="FF"/>
          <w:sz w:val="22"/>
          <w:szCs w:val="22"/>
          <w:lang w:val="en-GB"/>
        </w:rPr>
        <w:t>Musmade</w:t>
      </w:r>
      <w:r w:rsidRPr="62A09C74" w:rsidR="4173DC53">
        <w:rPr>
          <w:rFonts w:ascii="Calibri" w:hAnsi="Calibri" w:eastAsia="Calibri" w:cs="Calibri"/>
          <w:b w:val="0"/>
          <w:bCs w:val="0"/>
          <w:i w:val="0"/>
          <w:iCs w:val="0"/>
          <w:caps w:val="0"/>
          <w:smallCaps w:val="0"/>
          <w:noProof w:val="0"/>
          <w:color w:val="000000" w:themeColor="text1" w:themeTint="FF" w:themeShade="FF"/>
          <w:sz w:val="22"/>
          <w:szCs w:val="22"/>
          <w:lang w:val="en-GB"/>
        </w:rPr>
        <w:t>, P.B. et al. (2013)</w:t>
      </w:r>
      <w:r w:rsidRPr="62A09C74" w:rsidR="18AAB6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Informed </w:t>
      </w:r>
      <w:r w:rsidRPr="62A09C74" w:rsidR="516D37C0">
        <w:rPr>
          <w:rFonts w:ascii="Calibri" w:hAnsi="Calibri" w:eastAsia="Calibri" w:cs="Calibri"/>
          <w:b w:val="0"/>
          <w:bCs w:val="0"/>
          <w:i w:val="0"/>
          <w:iCs w:val="0"/>
          <w:caps w:val="0"/>
          <w:smallCaps w:val="0"/>
          <w:noProof w:val="0"/>
          <w:color w:val="000000" w:themeColor="text1" w:themeTint="FF" w:themeShade="FF"/>
          <w:sz w:val="22"/>
          <w:szCs w:val="22"/>
          <w:lang w:val="en-GB"/>
        </w:rPr>
        <w:t>consent:</w:t>
      </w:r>
      <w:r w:rsidRPr="62A09C74" w:rsidR="18AAB6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Issues and challenges. Journal of</w:t>
      </w:r>
      <w:r w:rsidRPr="62A09C74" w:rsidR="23F27D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Advanced Pharmaceutical Technology &amp; Research, 4(3) p.134. </w:t>
      </w:r>
      <w:r w:rsidRPr="62A09C74" w:rsidR="73F83BB6">
        <w:rPr>
          <w:rFonts w:ascii="Calibri" w:hAnsi="Calibri" w:eastAsia="Calibri" w:cs="Calibri"/>
          <w:b w:val="0"/>
          <w:bCs w:val="0"/>
          <w:i w:val="0"/>
          <w:iCs w:val="0"/>
          <w:caps w:val="0"/>
          <w:smallCaps w:val="0"/>
          <w:noProof w:val="0"/>
          <w:color w:val="000000" w:themeColor="text1" w:themeTint="FF" w:themeShade="FF"/>
          <w:sz w:val="22"/>
          <w:szCs w:val="22"/>
          <w:lang w:val="en-GB"/>
        </w:rPr>
        <w:t>DOI: https</w:t>
      </w:r>
    </w:p>
    <w:p w:rsidR="68808F0C" w:rsidP="62A09C74" w:rsidRDefault="68808F0C" w14:paraId="710D741B" w14:textId="48B880DF">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2A09C74" w:rsidR="73F83BB6">
        <w:rPr>
          <w:rFonts w:ascii="Calibri" w:hAnsi="Calibri" w:eastAsia="Calibri" w:cs="Calibri"/>
          <w:b w:val="0"/>
          <w:bCs w:val="0"/>
          <w:i w:val="0"/>
          <w:iCs w:val="0"/>
          <w:caps w:val="0"/>
          <w:smallCaps w:val="0"/>
          <w:noProof w:val="0"/>
          <w:color w:val="000000" w:themeColor="text1" w:themeTint="FF" w:themeShade="FF"/>
          <w:sz w:val="22"/>
          <w:szCs w:val="22"/>
          <w:lang w:val="en-GB"/>
        </w:rPr>
        <w:t>://doi.org/10.4103/2231-4040.116779</w:t>
      </w:r>
    </w:p>
    <w:p w:rsidR="62A09C74" w:rsidP="62A09C74" w:rsidRDefault="62A09C74" w14:paraId="4840CF80" w14:textId="32FCDD6B">
      <w:pPr>
        <w:pStyle w:val="Normal"/>
        <w:spacing w:before="0" w:beforeAutospacing="off" w:after="0" w:afterAutospacing="off" w:line="360" w:lineRule="auto"/>
      </w:pPr>
    </w:p>
    <w:p w:rsidR="37CEF3AB" w:rsidP="62A09C74" w:rsidRDefault="37CEF3AB" w14:paraId="0B7E0D61" w14:textId="33649D4B">
      <w:pPr>
        <w:pStyle w:val="Normal"/>
        <w:spacing w:before="0" w:beforeAutospacing="off" w:after="0" w:afterAutospacing="off" w:line="360" w:lineRule="auto"/>
      </w:pPr>
      <w:r w:rsidR="37CEF3AB">
        <w:rPr/>
        <w:t xml:space="preserve">Rollinson W. D. (1941) Torts: Assault, Battery; Notre Dame Lawyer, Vol 17, Pg 1. URL: </w:t>
      </w:r>
      <w:hyperlink r:id="R4e05d0bbb91f490d">
        <w:r w:rsidRPr="62A09C74" w:rsidR="37CEF3AB">
          <w:rPr>
            <w:rStyle w:val="Hyperlink"/>
          </w:rPr>
          <w:t>https://heinonline.org/HOL/LandingpAGE?handle=hein</w:t>
        </w:r>
      </w:hyperlink>
      <w:r w:rsidR="37CEF3AB">
        <w:rPr/>
        <w:t>. Journals/tndl17&amp;div=48id=&amp;page=</w:t>
      </w:r>
    </w:p>
    <w:p w:rsidR="68808F0C" w:rsidP="62A09C74" w:rsidRDefault="68808F0C" w14:paraId="1B9FF5DF" w14:textId="6899EF0A">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CBF69D0" w:rsidP="62A09C74" w:rsidRDefault="0CBF69D0" w14:paraId="52122006" w14:textId="5F4E0BD6">
      <w:pPr>
        <w:spacing w:line="360" w:lineRule="auto"/>
      </w:pPr>
      <w:r w:rsidRPr="62A09C74" w:rsidR="0CBF69D0">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8808F0C" w:rsidP="62A09C74" w:rsidRDefault="68808F0C" w14:paraId="423FC047" w14:textId="2030D638">
      <w:pPr>
        <w:pStyle w:val="Normal"/>
        <w:spacing w:line="360" w:lineRule="auto"/>
        <w:rPr>
          <w:rFonts w:ascii="Calibri" w:hAnsi="Calibri" w:eastAsia="Calibri" w:cs="Calibri"/>
          <w:b w:val="0"/>
          <w:bCs w:val="0"/>
          <w:i w:val="0"/>
          <w:iCs w:val="0"/>
          <w:caps w:val="0"/>
          <w:smallCaps w:val="0"/>
          <w:noProof w:val="0"/>
          <w:color w:val="2C3E50"/>
          <w:sz w:val="27"/>
          <w:szCs w:val="27"/>
          <w:lang w:val="en-GB"/>
        </w:rPr>
      </w:pPr>
    </w:p>
    <w:sectPr w:rsidR="1AAD60A1">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1935E1"/>
    <w:rsid w:val="0003B83A"/>
    <w:rsid w:val="00156766"/>
    <w:rsid w:val="00167D4C"/>
    <w:rsid w:val="001E4DB4"/>
    <w:rsid w:val="001FB758"/>
    <w:rsid w:val="004A4ED6"/>
    <w:rsid w:val="004D0388"/>
    <w:rsid w:val="0099053C"/>
    <w:rsid w:val="009D6406"/>
    <w:rsid w:val="00D26758"/>
    <w:rsid w:val="00E23545"/>
    <w:rsid w:val="00F41042"/>
    <w:rsid w:val="00F4506B"/>
    <w:rsid w:val="0111905E"/>
    <w:rsid w:val="011E9A74"/>
    <w:rsid w:val="0144EC03"/>
    <w:rsid w:val="01893973"/>
    <w:rsid w:val="019587AF"/>
    <w:rsid w:val="0198E382"/>
    <w:rsid w:val="019F889B"/>
    <w:rsid w:val="01BE12D1"/>
    <w:rsid w:val="01E61F37"/>
    <w:rsid w:val="022B2277"/>
    <w:rsid w:val="0276F86F"/>
    <w:rsid w:val="0298FCD9"/>
    <w:rsid w:val="02ADF55F"/>
    <w:rsid w:val="02CCB2E9"/>
    <w:rsid w:val="02E1ED76"/>
    <w:rsid w:val="02EC88BE"/>
    <w:rsid w:val="03091758"/>
    <w:rsid w:val="032820D9"/>
    <w:rsid w:val="033B58FC"/>
    <w:rsid w:val="036B00C5"/>
    <w:rsid w:val="03CF8019"/>
    <w:rsid w:val="03D9B420"/>
    <w:rsid w:val="042BF12D"/>
    <w:rsid w:val="047A6416"/>
    <w:rsid w:val="047DBDD7"/>
    <w:rsid w:val="0483069A"/>
    <w:rsid w:val="04A8EEBF"/>
    <w:rsid w:val="04C0DA35"/>
    <w:rsid w:val="04D7295D"/>
    <w:rsid w:val="04EF83DD"/>
    <w:rsid w:val="04F4E122"/>
    <w:rsid w:val="0537EA2D"/>
    <w:rsid w:val="05461CD5"/>
    <w:rsid w:val="055800E9"/>
    <w:rsid w:val="055924F6"/>
    <w:rsid w:val="05893882"/>
    <w:rsid w:val="05D7AA4E"/>
    <w:rsid w:val="05DEBD01"/>
    <w:rsid w:val="05E1D0D9"/>
    <w:rsid w:val="0618D79E"/>
    <w:rsid w:val="065CAA96"/>
    <w:rsid w:val="0672F9BE"/>
    <w:rsid w:val="068B543E"/>
    <w:rsid w:val="068D396B"/>
    <w:rsid w:val="069D734A"/>
    <w:rsid w:val="06C642A1"/>
    <w:rsid w:val="06E324D7"/>
    <w:rsid w:val="06E3F228"/>
    <w:rsid w:val="06E5AF83"/>
    <w:rsid w:val="06F0A643"/>
    <w:rsid w:val="071AAE9B"/>
    <w:rsid w:val="076990D4"/>
    <w:rsid w:val="07A0C725"/>
    <w:rsid w:val="07BBB41D"/>
    <w:rsid w:val="07EE1FCA"/>
    <w:rsid w:val="081B32C6"/>
    <w:rsid w:val="081BCCB3"/>
    <w:rsid w:val="08817FE4"/>
    <w:rsid w:val="08B67EFC"/>
    <w:rsid w:val="08C60DCF"/>
    <w:rsid w:val="08DC0B4A"/>
    <w:rsid w:val="08F8CF87"/>
    <w:rsid w:val="08FED9E6"/>
    <w:rsid w:val="094FBE55"/>
    <w:rsid w:val="09816630"/>
    <w:rsid w:val="099E311C"/>
    <w:rsid w:val="09C00FB1"/>
    <w:rsid w:val="09F20F20"/>
    <w:rsid w:val="0A2398E0"/>
    <w:rsid w:val="0A3C390D"/>
    <w:rsid w:val="0AEF837E"/>
    <w:rsid w:val="0B0186A7"/>
    <w:rsid w:val="0B041E97"/>
    <w:rsid w:val="0B077455"/>
    <w:rsid w:val="0B12E19A"/>
    <w:rsid w:val="0B143F8A"/>
    <w:rsid w:val="0B5BE012"/>
    <w:rsid w:val="0B5EC561"/>
    <w:rsid w:val="0B9E8091"/>
    <w:rsid w:val="0BAFD990"/>
    <w:rsid w:val="0C065176"/>
    <w:rsid w:val="0C147999"/>
    <w:rsid w:val="0C294A72"/>
    <w:rsid w:val="0C3BFB40"/>
    <w:rsid w:val="0C8B53DF"/>
    <w:rsid w:val="0C8FB96D"/>
    <w:rsid w:val="0CA344B6"/>
    <w:rsid w:val="0CBF69D0"/>
    <w:rsid w:val="0CF80674"/>
    <w:rsid w:val="0D1C00EF"/>
    <w:rsid w:val="0D20AB95"/>
    <w:rsid w:val="0D291830"/>
    <w:rsid w:val="0D5D3A02"/>
    <w:rsid w:val="0E3F1517"/>
    <w:rsid w:val="0E4A825C"/>
    <w:rsid w:val="0E93D562"/>
    <w:rsid w:val="0F298C36"/>
    <w:rsid w:val="0F6709D7"/>
    <w:rsid w:val="0F6E1B6A"/>
    <w:rsid w:val="0F96DFDF"/>
    <w:rsid w:val="0F9FD44D"/>
    <w:rsid w:val="0FB7BF90"/>
    <w:rsid w:val="0FBE80BD"/>
    <w:rsid w:val="0FDAE578"/>
    <w:rsid w:val="0FE652BD"/>
    <w:rsid w:val="0FF6F3FA"/>
    <w:rsid w:val="0FFA3F8B"/>
    <w:rsid w:val="108245B7"/>
    <w:rsid w:val="10C7344D"/>
    <w:rsid w:val="10EAF678"/>
    <w:rsid w:val="110B01EF"/>
    <w:rsid w:val="1191875C"/>
    <w:rsid w:val="11D3507B"/>
    <w:rsid w:val="122BB8E8"/>
    <w:rsid w:val="129C140D"/>
    <w:rsid w:val="12A74D62"/>
    <w:rsid w:val="12C075BF"/>
    <w:rsid w:val="12D87C25"/>
    <w:rsid w:val="12DCDA7A"/>
    <w:rsid w:val="12F6217F"/>
    <w:rsid w:val="133F6D42"/>
    <w:rsid w:val="1351EFD2"/>
    <w:rsid w:val="13EB7AD8"/>
    <w:rsid w:val="1423D20A"/>
    <w:rsid w:val="14418C8D"/>
    <w:rsid w:val="1442A2B1"/>
    <w:rsid w:val="14431DC3"/>
    <w:rsid w:val="145C4620"/>
    <w:rsid w:val="1463B3BF"/>
    <w:rsid w:val="147DDA68"/>
    <w:rsid w:val="14B0D241"/>
    <w:rsid w:val="14B97BB5"/>
    <w:rsid w:val="14E1EE85"/>
    <w:rsid w:val="14EE39EF"/>
    <w:rsid w:val="159E4C54"/>
    <w:rsid w:val="15A457EA"/>
    <w:rsid w:val="15BB6AB6"/>
    <w:rsid w:val="15F0E87A"/>
    <w:rsid w:val="163C7CF0"/>
    <w:rsid w:val="165C0EDA"/>
    <w:rsid w:val="1680FC6D"/>
    <w:rsid w:val="16A91B06"/>
    <w:rsid w:val="16EBDB0D"/>
    <w:rsid w:val="17357D80"/>
    <w:rsid w:val="177A4373"/>
    <w:rsid w:val="179E4BD6"/>
    <w:rsid w:val="17ABED48"/>
    <w:rsid w:val="1854504F"/>
    <w:rsid w:val="188E13D2"/>
    <w:rsid w:val="18995808"/>
    <w:rsid w:val="18AAB6D1"/>
    <w:rsid w:val="18ADB2FB"/>
    <w:rsid w:val="190B03A8"/>
    <w:rsid w:val="191613D4"/>
    <w:rsid w:val="192A3E45"/>
    <w:rsid w:val="193804A4"/>
    <w:rsid w:val="1947404D"/>
    <w:rsid w:val="198E2082"/>
    <w:rsid w:val="1992CD27"/>
    <w:rsid w:val="19B89D2F"/>
    <w:rsid w:val="19D918CA"/>
    <w:rsid w:val="1A1275F6"/>
    <w:rsid w:val="1A55B060"/>
    <w:rsid w:val="1AAD60A1"/>
    <w:rsid w:val="1ACCEB51"/>
    <w:rsid w:val="1ADB0DF6"/>
    <w:rsid w:val="1AFC8DD4"/>
    <w:rsid w:val="1B0D94CE"/>
    <w:rsid w:val="1B4CC31B"/>
    <w:rsid w:val="1B4F8DA5"/>
    <w:rsid w:val="1B7E9E45"/>
    <w:rsid w:val="1B88E29E"/>
    <w:rsid w:val="1BE553BD"/>
    <w:rsid w:val="1C17D876"/>
    <w:rsid w:val="1C303456"/>
    <w:rsid w:val="1C3A28AD"/>
    <w:rsid w:val="1C7F5E6B"/>
    <w:rsid w:val="1C8C5802"/>
    <w:rsid w:val="1CA9652F"/>
    <w:rsid w:val="1CB8088D"/>
    <w:rsid w:val="1CC2FB0F"/>
    <w:rsid w:val="1CF03DF1"/>
    <w:rsid w:val="1CF42C69"/>
    <w:rsid w:val="1D0E6BEA"/>
    <w:rsid w:val="1DFA7F0C"/>
    <w:rsid w:val="1E3AD661"/>
    <w:rsid w:val="1EAA6976"/>
    <w:rsid w:val="1EAC89ED"/>
    <w:rsid w:val="1EB2E711"/>
    <w:rsid w:val="1ED01476"/>
    <w:rsid w:val="1ED1CBDA"/>
    <w:rsid w:val="1F221160"/>
    <w:rsid w:val="1F236D62"/>
    <w:rsid w:val="1F290632"/>
    <w:rsid w:val="1F31115D"/>
    <w:rsid w:val="1F698D4B"/>
    <w:rsid w:val="1F7A25A6"/>
    <w:rsid w:val="1F98DFBC"/>
    <w:rsid w:val="200875CF"/>
    <w:rsid w:val="201EE54F"/>
    <w:rsid w:val="2021991A"/>
    <w:rsid w:val="204B86EF"/>
    <w:rsid w:val="205F6234"/>
    <w:rsid w:val="206D9C3B"/>
    <w:rsid w:val="2070A31B"/>
    <w:rsid w:val="208CF553"/>
    <w:rsid w:val="20999697"/>
    <w:rsid w:val="20AAA319"/>
    <w:rsid w:val="20C40AB3"/>
    <w:rsid w:val="20C4D693"/>
    <w:rsid w:val="20E199E3"/>
    <w:rsid w:val="21733784"/>
    <w:rsid w:val="2190869A"/>
    <w:rsid w:val="21AC33B6"/>
    <w:rsid w:val="21B45A46"/>
    <w:rsid w:val="21BDCA7C"/>
    <w:rsid w:val="2228C5B4"/>
    <w:rsid w:val="222D4B1D"/>
    <w:rsid w:val="22477E97"/>
    <w:rsid w:val="224FC3DD"/>
    <w:rsid w:val="2259B222"/>
    <w:rsid w:val="225FF278"/>
    <w:rsid w:val="22D6F024"/>
    <w:rsid w:val="22EB0B28"/>
    <w:rsid w:val="23259360"/>
    <w:rsid w:val="23A53AFF"/>
    <w:rsid w:val="23F27D91"/>
    <w:rsid w:val="24CEB321"/>
    <w:rsid w:val="24D0EC34"/>
    <w:rsid w:val="25215773"/>
    <w:rsid w:val="252C408E"/>
    <w:rsid w:val="25324AED"/>
    <w:rsid w:val="25606676"/>
    <w:rsid w:val="25A26E89"/>
    <w:rsid w:val="25AA8240"/>
    <w:rsid w:val="25EEFE4C"/>
    <w:rsid w:val="260E2E78"/>
    <w:rsid w:val="26155B1C"/>
    <w:rsid w:val="261FB1A3"/>
    <w:rsid w:val="2673A591"/>
    <w:rsid w:val="26D39BE6"/>
    <w:rsid w:val="26EE289D"/>
    <w:rsid w:val="26FC36D7"/>
    <w:rsid w:val="27174B0D"/>
    <w:rsid w:val="2755B6DF"/>
    <w:rsid w:val="27BC463D"/>
    <w:rsid w:val="28068453"/>
    <w:rsid w:val="283CB3D2"/>
    <w:rsid w:val="28536C33"/>
    <w:rsid w:val="2899D884"/>
    <w:rsid w:val="28E0F4C8"/>
    <w:rsid w:val="293AA772"/>
    <w:rsid w:val="2945CF3A"/>
    <w:rsid w:val="29500B99"/>
    <w:rsid w:val="29518B35"/>
    <w:rsid w:val="297DF0AA"/>
    <w:rsid w:val="2986DEFB"/>
    <w:rsid w:val="29EA80BB"/>
    <w:rsid w:val="29EC8CFE"/>
    <w:rsid w:val="29ECA405"/>
    <w:rsid w:val="2A562163"/>
    <w:rsid w:val="2A60DF56"/>
    <w:rsid w:val="2A7A97A5"/>
    <w:rsid w:val="2ACFF585"/>
    <w:rsid w:val="2AD14268"/>
    <w:rsid w:val="2AD1C4B0"/>
    <w:rsid w:val="2AEA67EE"/>
    <w:rsid w:val="2B0FDB09"/>
    <w:rsid w:val="2B13AF07"/>
    <w:rsid w:val="2B1708B9"/>
    <w:rsid w:val="2B3A24BA"/>
    <w:rsid w:val="2B7FB35B"/>
    <w:rsid w:val="2B82CFBB"/>
    <w:rsid w:val="2C0DA6E3"/>
    <w:rsid w:val="2C0FBA67"/>
    <w:rsid w:val="2C1C06D9"/>
    <w:rsid w:val="2C1C338D"/>
    <w:rsid w:val="2C2DB092"/>
    <w:rsid w:val="2C30CC15"/>
    <w:rsid w:val="2C553A91"/>
    <w:rsid w:val="2CBC3553"/>
    <w:rsid w:val="2CF3129A"/>
    <w:rsid w:val="2D2CAA65"/>
    <w:rsid w:val="2D307B00"/>
    <w:rsid w:val="2D47FAF1"/>
    <w:rsid w:val="2D701CCB"/>
    <w:rsid w:val="2D813DC0"/>
    <w:rsid w:val="2D85677B"/>
    <w:rsid w:val="2D8C7FDA"/>
    <w:rsid w:val="2D8DC225"/>
    <w:rsid w:val="2D962EC7"/>
    <w:rsid w:val="2DC980F3"/>
    <w:rsid w:val="2DCD3E56"/>
    <w:rsid w:val="2DDCB408"/>
    <w:rsid w:val="2DF32979"/>
    <w:rsid w:val="2E096572"/>
    <w:rsid w:val="2E19CBDB"/>
    <w:rsid w:val="2E4C0110"/>
    <w:rsid w:val="2E4D954A"/>
    <w:rsid w:val="2E60DAC2"/>
    <w:rsid w:val="2EC87AC6"/>
    <w:rsid w:val="2F56DB12"/>
    <w:rsid w:val="2F69433D"/>
    <w:rsid w:val="2F788469"/>
    <w:rsid w:val="2FA535D3"/>
    <w:rsid w:val="2FD7199D"/>
    <w:rsid w:val="2FF93458"/>
    <w:rsid w:val="302A196E"/>
    <w:rsid w:val="3046F9E1"/>
    <w:rsid w:val="30654CF7"/>
    <w:rsid w:val="308C79A0"/>
    <w:rsid w:val="30911AD4"/>
    <w:rsid w:val="30950AE3"/>
    <w:rsid w:val="30BAFFAB"/>
    <w:rsid w:val="30E370C8"/>
    <w:rsid w:val="310121B5"/>
    <w:rsid w:val="3110E8C7"/>
    <w:rsid w:val="313118FD"/>
    <w:rsid w:val="313918AE"/>
    <w:rsid w:val="315C7045"/>
    <w:rsid w:val="31879B5B"/>
    <w:rsid w:val="31DB7ACB"/>
    <w:rsid w:val="31E94382"/>
    <w:rsid w:val="32001B88"/>
    <w:rsid w:val="3210CDF5"/>
    <w:rsid w:val="3226253A"/>
    <w:rsid w:val="3230751E"/>
    <w:rsid w:val="326A5603"/>
    <w:rsid w:val="3280DDE2"/>
    <w:rsid w:val="328D4F3A"/>
    <w:rsid w:val="329CF216"/>
    <w:rsid w:val="32AB0F3A"/>
    <w:rsid w:val="32F49F06"/>
    <w:rsid w:val="332A2C46"/>
    <w:rsid w:val="3331A23C"/>
    <w:rsid w:val="333731DA"/>
    <w:rsid w:val="3368EE87"/>
    <w:rsid w:val="336F5523"/>
    <w:rsid w:val="33774B2C"/>
    <w:rsid w:val="337EA49C"/>
    <w:rsid w:val="3438C277"/>
    <w:rsid w:val="3475D8BB"/>
    <w:rsid w:val="348E7FCC"/>
    <w:rsid w:val="34945009"/>
    <w:rsid w:val="34C96157"/>
    <w:rsid w:val="352A51CE"/>
    <w:rsid w:val="35539823"/>
    <w:rsid w:val="3574385A"/>
    <w:rsid w:val="35FC1CD7"/>
    <w:rsid w:val="360C89D1"/>
    <w:rsid w:val="36692D65"/>
    <w:rsid w:val="36811FB0"/>
    <w:rsid w:val="3690AFD2"/>
    <w:rsid w:val="36E8972D"/>
    <w:rsid w:val="372212CA"/>
    <w:rsid w:val="372853ED"/>
    <w:rsid w:val="372BB701"/>
    <w:rsid w:val="372CE63A"/>
    <w:rsid w:val="373576C3"/>
    <w:rsid w:val="375050C9"/>
    <w:rsid w:val="37547815"/>
    <w:rsid w:val="3797ED38"/>
    <w:rsid w:val="37B047B8"/>
    <w:rsid w:val="37C83E25"/>
    <w:rsid w:val="37CEF3AB"/>
    <w:rsid w:val="37F9A81A"/>
    <w:rsid w:val="383C5FAA"/>
    <w:rsid w:val="3897377E"/>
    <w:rsid w:val="38BB12F9"/>
    <w:rsid w:val="390C339A"/>
    <w:rsid w:val="3933BD99"/>
    <w:rsid w:val="39418BFC"/>
    <w:rsid w:val="3994E847"/>
    <w:rsid w:val="399574E9"/>
    <w:rsid w:val="39C103D2"/>
    <w:rsid w:val="39FA82AB"/>
    <w:rsid w:val="3A339768"/>
    <w:rsid w:val="3A67955F"/>
    <w:rsid w:val="3A7A369B"/>
    <w:rsid w:val="3AC0035D"/>
    <w:rsid w:val="3ACF8DFA"/>
    <w:rsid w:val="3AEE899E"/>
    <w:rsid w:val="3B0294A0"/>
    <w:rsid w:val="3B3C5A0A"/>
    <w:rsid w:val="3B5C7739"/>
    <w:rsid w:val="3B96530C"/>
    <w:rsid w:val="3B989F46"/>
    <w:rsid w:val="3BA04818"/>
    <w:rsid w:val="3BA67564"/>
    <w:rsid w:val="3BAA1B3B"/>
    <w:rsid w:val="3BDE5229"/>
    <w:rsid w:val="3BE7B194"/>
    <w:rsid w:val="3C3F97B8"/>
    <w:rsid w:val="3C5EF4F7"/>
    <w:rsid w:val="3C6B5E5B"/>
    <w:rsid w:val="3C8D67EC"/>
    <w:rsid w:val="3CD82A6B"/>
    <w:rsid w:val="3D32236D"/>
    <w:rsid w:val="3D39E569"/>
    <w:rsid w:val="3D3B5EE5"/>
    <w:rsid w:val="3D4DA0FD"/>
    <w:rsid w:val="3D6D1838"/>
    <w:rsid w:val="3D7126F1"/>
    <w:rsid w:val="3DBF9107"/>
    <w:rsid w:val="3DC0F82F"/>
    <w:rsid w:val="3DC14949"/>
    <w:rsid w:val="3DCB36D6"/>
    <w:rsid w:val="3DE1F687"/>
    <w:rsid w:val="3DFAC558"/>
    <w:rsid w:val="3E072EBC"/>
    <w:rsid w:val="3E15EAD8"/>
    <w:rsid w:val="3E1F893C"/>
    <w:rsid w:val="3E1F9301"/>
    <w:rsid w:val="3E350554"/>
    <w:rsid w:val="3E48DB94"/>
    <w:rsid w:val="3E68E99E"/>
    <w:rsid w:val="3E6A045D"/>
    <w:rsid w:val="3E94B81F"/>
    <w:rsid w:val="3E97BA07"/>
    <w:rsid w:val="3EC70D80"/>
    <w:rsid w:val="3EDAFDCF"/>
    <w:rsid w:val="3EF5CD55"/>
    <w:rsid w:val="3F08E899"/>
    <w:rsid w:val="3F174BD2"/>
    <w:rsid w:val="3F35B908"/>
    <w:rsid w:val="3F526AAC"/>
    <w:rsid w:val="3F640891"/>
    <w:rsid w:val="3F6BC65D"/>
    <w:rsid w:val="3F7B751E"/>
    <w:rsid w:val="3F85C41E"/>
    <w:rsid w:val="3F9695B9"/>
    <w:rsid w:val="3FAC4238"/>
    <w:rsid w:val="3FB36C17"/>
    <w:rsid w:val="3FB6758F"/>
    <w:rsid w:val="3FBB599D"/>
    <w:rsid w:val="3FD06D5C"/>
    <w:rsid w:val="3FFBBD26"/>
    <w:rsid w:val="40192173"/>
    <w:rsid w:val="406AD3F7"/>
    <w:rsid w:val="407576C3"/>
    <w:rsid w:val="40930EE4"/>
    <w:rsid w:val="40942508"/>
    <w:rsid w:val="40B31C33"/>
    <w:rsid w:val="40E90B79"/>
    <w:rsid w:val="40EBBFAC"/>
    <w:rsid w:val="40F12E3B"/>
    <w:rsid w:val="4104F1C5"/>
    <w:rsid w:val="41193DBD"/>
    <w:rsid w:val="4132661A"/>
    <w:rsid w:val="4150EF48"/>
    <w:rsid w:val="415729FE"/>
    <w:rsid w:val="416B69C1"/>
    <w:rsid w:val="4173DC53"/>
    <w:rsid w:val="418D89DD"/>
    <w:rsid w:val="41A08A60"/>
    <w:rsid w:val="41C303BE"/>
    <w:rsid w:val="41E80959"/>
    <w:rsid w:val="4220C4EB"/>
    <w:rsid w:val="428280F6"/>
    <w:rsid w:val="42A7CA1F"/>
    <w:rsid w:val="42F2FA5F"/>
    <w:rsid w:val="430CE0DE"/>
    <w:rsid w:val="433C5AC1"/>
    <w:rsid w:val="43484CFA"/>
    <w:rsid w:val="43ACA546"/>
    <w:rsid w:val="43E4283B"/>
    <w:rsid w:val="43EABCF5"/>
    <w:rsid w:val="4400C40D"/>
    <w:rsid w:val="4439F55A"/>
    <w:rsid w:val="448ECAC0"/>
    <w:rsid w:val="44BFE70E"/>
    <w:rsid w:val="44C292BA"/>
    <w:rsid w:val="45079951"/>
    <w:rsid w:val="4530D656"/>
    <w:rsid w:val="45E531F3"/>
    <w:rsid w:val="4605D73D"/>
    <w:rsid w:val="46582AE6"/>
    <w:rsid w:val="46593A66"/>
    <w:rsid w:val="469BA9B0"/>
    <w:rsid w:val="46BEA099"/>
    <w:rsid w:val="46D2242F"/>
    <w:rsid w:val="46DE389C"/>
    <w:rsid w:val="46E9280B"/>
    <w:rsid w:val="4703E19E"/>
    <w:rsid w:val="471A95B0"/>
    <w:rsid w:val="4742D96A"/>
    <w:rsid w:val="47525610"/>
    <w:rsid w:val="47AD4325"/>
    <w:rsid w:val="47C8976B"/>
    <w:rsid w:val="48528509"/>
    <w:rsid w:val="4887DDBB"/>
    <w:rsid w:val="48E52FB5"/>
    <w:rsid w:val="490A7B9F"/>
    <w:rsid w:val="490CE707"/>
    <w:rsid w:val="493B1FA0"/>
    <w:rsid w:val="493B7AAF"/>
    <w:rsid w:val="4941C048"/>
    <w:rsid w:val="49C749A5"/>
    <w:rsid w:val="49FFCAAB"/>
    <w:rsid w:val="4A2108E0"/>
    <w:rsid w:val="4A372618"/>
    <w:rsid w:val="4A39F12A"/>
    <w:rsid w:val="4A3D9415"/>
    <w:rsid w:val="4ABE27C5"/>
    <w:rsid w:val="4B2E978C"/>
    <w:rsid w:val="4B7DB2E7"/>
    <w:rsid w:val="4B964200"/>
    <w:rsid w:val="4BC49620"/>
    <w:rsid w:val="4C3915AC"/>
    <w:rsid w:val="4C59F826"/>
    <w:rsid w:val="4C714CF4"/>
    <w:rsid w:val="4C7EEFF5"/>
    <w:rsid w:val="4CDBA593"/>
    <w:rsid w:val="4D014090"/>
    <w:rsid w:val="4D38F372"/>
    <w:rsid w:val="4D39743C"/>
    <w:rsid w:val="4D74A81D"/>
    <w:rsid w:val="4D8C3FAC"/>
    <w:rsid w:val="4D94210C"/>
    <w:rsid w:val="4DAB7830"/>
    <w:rsid w:val="4DBA92C0"/>
    <w:rsid w:val="4DD376E1"/>
    <w:rsid w:val="4E008F2D"/>
    <w:rsid w:val="4E15B1F5"/>
    <w:rsid w:val="4E338C8F"/>
    <w:rsid w:val="4E35AD06"/>
    <w:rsid w:val="4E4B8324"/>
    <w:rsid w:val="4E7ACBBD"/>
    <w:rsid w:val="4E9D10F1"/>
    <w:rsid w:val="4EB25775"/>
    <w:rsid w:val="4F4B35FF"/>
    <w:rsid w:val="4F7FF6A7"/>
    <w:rsid w:val="4F8737CF"/>
    <w:rsid w:val="4FAABC33"/>
    <w:rsid w:val="4FAC53B4"/>
    <w:rsid w:val="4FAFD0FC"/>
    <w:rsid w:val="4FCF5CF0"/>
    <w:rsid w:val="4FD17D67"/>
    <w:rsid w:val="500A597A"/>
    <w:rsid w:val="500F099D"/>
    <w:rsid w:val="5012CF56"/>
    <w:rsid w:val="5021299A"/>
    <w:rsid w:val="5022CB4F"/>
    <w:rsid w:val="50349639"/>
    <w:rsid w:val="5067DA73"/>
    <w:rsid w:val="50709434"/>
    <w:rsid w:val="5084A704"/>
    <w:rsid w:val="508AF3CD"/>
    <w:rsid w:val="50C3E06E"/>
    <w:rsid w:val="50CB917C"/>
    <w:rsid w:val="512F8E30"/>
    <w:rsid w:val="5138E736"/>
    <w:rsid w:val="5140C157"/>
    <w:rsid w:val="51455B16"/>
    <w:rsid w:val="515D062F"/>
    <w:rsid w:val="51601729"/>
    <w:rsid w:val="516D37C0"/>
    <w:rsid w:val="51A40520"/>
    <w:rsid w:val="51B1E8CD"/>
    <w:rsid w:val="51BCF9FB"/>
    <w:rsid w:val="51DCA91F"/>
    <w:rsid w:val="520C6495"/>
    <w:rsid w:val="52173811"/>
    <w:rsid w:val="5226FC89"/>
    <w:rsid w:val="52877CA9"/>
    <w:rsid w:val="529FAC10"/>
    <w:rsid w:val="52A8EB8A"/>
    <w:rsid w:val="52D15E4B"/>
    <w:rsid w:val="530FD9BF"/>
    <w:rsid w:val="5323FB67"/>
    <w:rsid w:val="53484A12"/>
    <w:rsid w:val="53657D3F"/>
    <w:rsid w:val="536C7211"/>
    <w:rsid w:val="53C2CCEA"/>
    <w:rsid w:val="53DB9B78"/>
    <w:rsid w:val="53DE35C6"/>
    <w:rsid w:val="53E9D245"/>
    <w:rsid w:val="541935E1"/>
    <w:rsid w:val="54249CF9"/>
    <w:rsid w:val="544B638D"/>
    <w:rsid w:val="54D55EDF"/>
    <w:rsid w:val="5501FF4A"/>
    <w:rsid w:val="55084272"/>
    <w:rsid w:val="551C3C36"/>
    <w:rsid w:val="554D2923"/>
    <w:rsid w:val="556660C3"/>
    <w:rsid w:val="55949CDF"/>
    <w:rsid w:val="55975191"/>
    <w:rsid w:val="56477A81"/>
    <w:rsid w:val="5658548B"/>
    <w:rsid w:val="56DB7502"/>
    <w:rsid w:val="56FF4BD5"/>
    <w:rsid w:val="57306D40"/>
    <w:rsid w:val="578C7E8C"/>
    <w:rsid w:val="57918B81"/>
    <w:rsid w:val="57962494"/>
    <w:rsid w:val="57E5E64B"/>
    <w:rsid w:val="57F1A00E"/>
    <w:rsid w:val="57FB955D"/>
    <w:rsid w:val="581A26E9"/>
    <w:rsid w:val="5825CEC1"/>
    <w:rsid w:val="5832D9C1"/>
    <w:rsid w:val="58537F7F"/>
    <w:rsid w:val="585F6A84"/>
    <w:rsid w:val="5879BF07"/>
    <w:rsid w:val="589B1C36"/>
    <w:rsid w:val="59008A44"/>
    <w:rsid w:val="5913E17A"/>
    <w:rsid w:val="59659474"/>
    <w:rsid w:val="597CB00B"/>
    <w:rsid w:val="598D3AA9"/>
    <w:rsid w:val="598D706F"/>
    <w:rsid w:val="59D6E9D2"/>
    <w:rsid w:val="59E280DA"/>
    <w:rsid w:val="5A2728B1"/>
    <w:rsid w:val="5A39D1E6"/>
    <w:rsid w:val="5A401A17"/>
    <w:rsid w:val="5A6A6BDE"/>
    <w:rsid w:val="5AA59F67"/>
    <w:rsid w:val="5AAC58EB"/>
    <w:rsid w:val="5AC778B1"/>
    <w:rsid w:val="5AD05C86"/>
    <w:rsid w:val="5AFED7F8"/>
    <w:rsid w:val="5B101134"/>
    <w:rsid w:val="5B6D90C4"/>
    <w:rsid w:val="5C40335E"/>
    <w:rsid w:val="5C4333FD"/>
    <w:rsid w:val="5C57A8A2"/>
    <w:rsid w:val="5C5F1834"/>
    <w:rsid w:val="5C8936B8"/>
    <w:rsid w:val="5CA72D42"/>
    <w:rsid w:val="5CAD578E"/>
    <w:rsid w:val="5CB9C303"/>
    <w:rsid w:val="5CEEF338"/>
    <w:rsid w:val="5D1998BF"/>
    <w:rsid w:val="5D1F51E0"/>
    <w:rsid w:val="5D4C27EA"/>
    <w:rsid w:val="5D4CAEC4"/>
    <w:rsid w:val="5D52A40C"/>
    <w:rsid w:val="5D631E27"/>
    <w:rsid w:val="5D6ABB8F"/>
    <w:rsid w:val="5D7D1BE8"/>
    <w:rsid w:val="5DCBE0A8"/>
    <w:rsid w:val="5DE8EC4C"/>
    <w:rsid w:val="5E0ABD88"/>
    <w:rsid w:val="5E20C88C"/>
    <w:rsid w:val="5E622BC1"/>
    <w:rsid w:val="5E63E182"/>
    <w:rsid w:val="5E69F524"/>
    <w:rsid w:val="5EE686E7"/>
    <w:rsid w:val="5EF2D523"/>
    <w:rsid w:val="5EF668FB"/>
    <w:rsid w:val="5F0D4309"/>
    <w:rsid w:val="5F15308F"/>
    <w:rsid w:val="5F1DF18B"/>
    <w:rsid w:val="5F5599DA"/>
    <w:rsid w:val="5F6BB874"/>
    <w:rsid w:val="5F8190F4"/>
    <w:rsid w:val="5FC0D77A"/>
    <w:rsid w:val="5FD6D718"/>
    <w:rsid w:val="608EA584"/>
    <w:rsid w:val="608F264E"/>
    <w:rsid w:val="609F21E9"/>
    <w:rsid w:val="60B100F0"/>
    <w:rsid w:val="60C3EBEB"/>
    <w:rsid w:val="610B9C29"/>
    <w:rsid w:val="610C35CB"/>
    <w:rsid w:val="613D18E2"/>
    <w:rsid w:val="61994D13"/>
    <w:rsid w:val="6199C76F"/>
    <w:rsid w:val="61D643E8"/>
    <w:rsid w:val="61F9F644"/>
    <w:rsid w:val="62086442"/>
    <w:rsid w:val="621E27A9"/>
    <w:rsid w:val="6223FBCB"/>
    <w:rsid w:val="624CD151"/>
    <w:rsid w:val="62518CDA"/>
    <w:rsid w:val="625E0C28"/>
    <w:rsid w:val="627B9352"/>
    <w:rsid w:val="62A09C74"/>
    <w:rsid w:val="62D23465"/>
    <w:rsid w:val="6305FAA1"/>
    <w:rsid w:val="630E744D"/>
    <w:rsid w:val="631C9912"/>
    <w:rsid w:val="633752A5"/>
    <w:rsid w:val="633BCD8E"/>
    <w:rsid w:val="634E51F5"/>
    <w:rsid w:val="63555786"/>
    <w:rsid w:val="6389B214"/>
    <w:rsid w:val="63C1E590"/>
    <w:rsid w:val="64B09893"/>
    <w:rsid w:val="64BDB32F"/>
    <w:rsid w:val="6519FF0B"/>
    <w:rsid w:val="655DB5F1"/>
    <w:rsid w:val="65758E8F"/>
    <w:rsid w:val="657EB642"/>
    <w:rsid w:val="6582F52E"/>
    <w:rsid w:val="65847213"/>
    <w:rsid w:val="658A3C6E"/>
    <w:rsid w:val="65E681B9"/>
    <w:rsid w:val="65F7F5B5"/>
    <w:rsid w:val="65FA80F7"/>
    <w:rsid w:val="6609ABF8"/>
    <w:rsid w:val="660B8D23"/>
    <w:rsid w:val="66AA9132"/>
    <w:rsid w:val="66C63426"/>
    <w:rsid w:val="66FF80AD"/>
    <w:rsid w:val="6726F461"/>
    <w:rsid w:val="6782CB33"/>
    <w:rsid w:val="679C0F11"/>
    <w:rsid w:val="67AC5A66"/>
    <w:rsid w:val="67E54392"/>
    <w:rsid w:val="67F00A35"/>
    <w:rsid w:val="67F38D9D"/>
    <w:rsid w:val="681E1E37"/>
    <w:rsid w:val="6823E052"/>
    <w:rsid w:val="682E7DE2"/>
    <w:rsid w:val="68406F88"/>
    <w:rsid w:val="685612CF"/>
    <w:rsid w:val="68620487"/>
    <w:rsid w:val="68808F0C"/>
    <w:rsid w:val="68B92D86"/>
    <w:rsid w:val="69001270"/>
    <w:rsid w:val="690EC4CE"/>
    <w:rsid w:val="695A8010"/>
    <w:rsid w:val="696E2E27"/>
    <w:rsid w:val="698113F3"/>
    <w:rsid w:val="69A4A395"/>
    <w:rsid w:val="69B1BBE4"/>
    <w:rsid w:val="69BCFC01"/>
    <w:rsid w:val="69E4F099"/>
    <w:rsid w:val="69E8A153"/>
    <w:rsid w:val="69F2656B"/>
    <w:rsid w:val="69F47C6D"/>
    <w:rsid w:val="6A01C9B0"/>
    <w:rsid w:val="6A1EF134"/>
    <w:rsid w:val="6A2F7A15"/>
    <w:rsid w:val="6A312714"/>
    <w:rsid w:val="6A3C0F96"/>
    <w:rsid w:val="6A56378B"/>
    <w:rsid w:val="6ABA6BF5"/>
    <w:rsid w:val="6ABC61A7"/>
    <w:rsid w:val="6AC6541B"/>
    <w:rsid w:val="6B43C837"/>
    <w:rsid w:val="6B49D229"/>
    <w:rsid w:val="6B6D561D"/>
    <w:rsid w:val="6B8471B4"/>
    <w:rsid w:val="6BC7022D"/>
    <w:rsid w:val="6BD78681"/>
    <w:rsid w:val="6C03C096"/>
    <w:rsid w:val="6C2C4115"/>
    <w:rsid w:val="6C33B637"/>
    <w:rsid w:val="6C51A96A"/>
    <w:rsid w:val="6C549AA1"/>
    <w:rsid w:val="6C6AA3CA"/>
    <w:rsid w:val="6C6F8034"/>
    <w:rsid w:val="6C8A1FF4"/>
    <w:rsid w:val="6C98BFAA"/>
    <w:rsid w:val="6CC1EE26"/>
    <w:rsid w:val="6CDDEA89"/>
    <w:rsid w:val="6D09267E"/>
    <w:rsid w:val="6D4A7429"/>
    <w:rsid w:val="6D5BD4BE"/>
    <w:rsid w:val="6D9E9E58"/>
    <w:rsid w:val="6DA728C6"/>
    <w:rsid w:val="6DD481FD"/>
    <w:rsid w:val="6DFD1DE5"/>
    <w:rsid w:val="6E0B5095"/>
    <w:rsid w:val="6E0D53C3"/>
    <w:rsid w:val="6E194914"/>
    <w:rsid w:val="6E2626A6"/>
    <w:rsid w:val="6E2FA97D"/>
    <w:rsid w:val="6E5721D3"/>
    <w:rsid w:val="6EB40DAB"/>
    <w:rsid w:val="6ECC4AB3"/>
    <w:rsid w:val="6EE95277"/>
    <w:rsid w:val="6F049837"/>
    <w:rsid w:val="6F286F0A"/>
    <w:rsid w:val="6F5FE4DC"/>
    <w:rsid w:val="6F6A5D25"/>
    <w:rsid w:val="6F731BFB"/>
    <w:rsid w:val="6F98EE46"/>
    <w:rsid w:val="6FA69A65"/>
    <w:rsid w:val="6FF2E748"/>
    <w:rsid w:val="700F60D1"/>
    <w:rsid w:val="7057E2D7"/>
    <w:rsid w:val="705D8ABD"/>
    <w:rsid w:val="709B2F89"/>
    <w:rsid w:val="709EBB99"/>
    <w:rsid w:val="70A06898"/>
    <w:rsid w:val="70CEE207"/>
    <w:rsid w:val="70D63F1A"/>
    <w:rsid w:val="7125C313"/>
    <w:rsid w:val="71280BC4"/>
    <w:rsid w:val="7132346B"/>
    <w:rsid w:val="7141BA07"/>
    <w:rsid w:val="71B99394"/>
    <w:rsid w:val="71C9AC74"/>
    <w:rsid w:val="71DD1B97"/>
    <w:rsid w:val="723C38F9"/>
    <w:rsid w:val="72957F28"/>
    <w:rsid w:val="72C3DC25"/>
    <w:rsid w:val="72C57DDA"/>
    <w:rsid w:val="72D08F08"/>
    <w:rsid w:val="72D7E2E9"/>
    <w:rsid w:val="72DA43EC"/>
    <w:rsid w:val="734480ED"/>
    <w:rsid w:val="734EB2F3"/>
    <w:rsid w:val="7388012D"/>
    <w:rsid w:val="73BF1818"/>
    <w:rsid w:val="73D92DA8"/>
    <w:rsid w:val="73DA0198"/>
    <w:rsid w:val="73F83BB6"/>
    <w:rsid w:val="74614E3B"/>
    <w:rsid w:val="74DBE376"/>
    <w:rsid w:val="74E644CB"/>
    <w:rsid w:val="74F8F0F4"/>
    <w:rsid w:val="75054825"/>
    <w:rsid w:val="75194FB4"/>
    <w:rsid w:val="752E95E7"/>
    <w:rsid w:val="75583CF4"/>
    <w:rsid w:val="7560CCE9"/>
    <w:rsid w:val="756C3BA8"/>
    <w:rsid w:val="7572014B"/>
    <w:rsid w:val="758CE94F"/>
    <w:rsid w:val="7592A857"/>
    <w:rsid w:val="75A26AD4"/>
    <w:rsid w:val="75A31D74"/>
    <w:rsid w:val="75D0F389"/>
    <w:rsid w:val="75D7A64B"/>
    <w:rsid w:val="75E38D39"/>
    <w:rsid w:val="762AB140"/>
    <w:rsid w:val="7630C364"/>
    <w:rsid w:val="7647DF28"/>
    <w:rsid w:val="765922C7"/>
    <w:rsid w:val="768D04B7"/>
    <w:rsid w:val="769E9FA5"/>
    <w:rsid w:val="76DC642F"/>
    <w:rsid w:val="76E5DF0C"/>
    <w:rsid w:val="76F741C1"/>
    <w:rsid w:val="7720D75E"/>
    <w:rsid w:val="772E78B8"/>
    <w:rsid w:val="773DD17C"/>
    <w:rsid w:val="773E3B35"/>
    <w:rsid w:val="77606820"/>
    <w:rsid w:val="7798EEFD"/>
    <w:rsid w:val="77A829F3"/>
    <w:rsid w:val="77C3B6C3"/>
    <w:rsid w:val="77CA6BB6"/>
    <w:rsid w:val="77DC3A7E"/>
    <w:rsid w:val="77EF0BFA"/>
    <w:rsid w:val="7827B459"/>
    <w:rsid w:val="7839CD78"/>
    <w:rsid w:val="78880108"/>
    <w:rsid w:val="789CF731"/>
    <w:rsid w:val="78B6624F"/>
    <w:rsid w:val="78C7B450"/>
    <w:rsid w:val="78CDAE08"/>
    <w:rsid w:val="78DA0B96"/>
    <w:rsid w:val="7914572F"/>
    <w:rsid w:val="7952C2E7"/>
    <w:rsid w:val="79663C17"/>
    <w:rsid w:val="79769864"/>
    <w:rsid w:val="79875795"/>
    <w:rsid w:val="79DE1611"/>
    <w:rsid w:val="7A090BBC"/>
    <w:rsid w:val="7A4E51B8"/>
    <w:rsid w:val="7A96BC07"/>
    <w:rsid w:val="7AA4688B"/>
    <w:rsid w:val="7AD110DD"/>
    <w:rsid w:val="7AF00315"/>
    <w:rsid w:val="7B020C78"/>
    <w:rsid w:val="7B074782"/>
    <w:rsid w:val="7B411A40"/>
    <w:rsid w:val="7B4D2C4C"/>
    <w:rsid w:val="7B575550"/>
    <w:rsid w:val="7BE44457"/>
    <w:rsid w:val="7C1B1E2B"/>
    <w:rsid w:val="7C3FB2FC"/>
    <w:rsid w:val="7CA48D78"/>
    <w:rsid w:val="7CC2168B"/>
    <w:rsid w:val="7CC29755"/>
    <w:rsid w:val="7CC52B8F"/>
    <w:rsid w:val="7CEDC0C5"/>
    <w:rsid w:val="7D03B3DA"/>
    <w:rsid w:val="7D154955"/>
    <w:rsid w:val="7D4A2E02"/>
    <w:rsid w:val="7D722913"/>
    <w:rsid w:val="7D889C82"/>
    <w:rsid w:val="7DA3874B"/>
    <w:rsid w:val="7DC72626"/>
    <w:rsid w:val="7DC9328B"/>
    <w:rsid w:val="7DD53557"/>
    <w:rsid w:val="7DDE807F"/>
    <w:rsid w:val="7E5B5AC0"/>
    <w:rsid w:val="7E7D5D09"/>
    <w:rsid w:val="7E9F843B"/>
    <w:rsid w:val="7EC16D72"/>
    <w:rsid w:val="7EE2CD1F"/>
    <w:rsid w:val="7EEE976C"/>
    <w:rsid w:val="7F0DCF06"/>
    <w:rsid w:val="7F1ABC01"/>
    <w:rsid w:val="7F615C16"/>
    <w:rsid w:val="7F6ED08A"/>
    <w:rsid w:val="7F7D852F"/>
    <w:rsid w:val="7F844F03"/>
    <w:rsid w:val="7F8FBB67"/>
    <w:rsid w:val="7F99C3EA"/>
    <w:rsid w:val="7FB883E1"/>
    <w:rsid w:val="7FBDF468"/>
    <w:rsid w:val="7FFA0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935E1"/>
  <w15:chartTrackingRefBased/>
  <w15:docId w15:val="{A58296C3-C6AE-40EE-A90A-066FD28B2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doi.org/10.1093/bjc/azy043" TargetMode="External" Id="R9fb60fe347134d71" /><Relationship Type="http://schemas.openxmlformats.org/officeDocument/2006/relationships/hyperlink" Target="https://www.legislation.gov.uk/UKpga/2003/42/section74" TargetMode="External" Id="R720e84b04f9e48c5" /><Relationship Type="http://schemas.openxmlformats.org/officeDocument/2006/relationships/hyperlink" Target="https://heinonline.org/HOL/LandingpAGE?handle=hein" TargetMode="External" Id="R4e05d0bbb91f49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Spiridon (2243361)</dc:creator>
  <keywords/>
  <dc:description/>
  <lastModifiedBy>Andreea Spiridon (2243361)</lastModifiedBy>
  <revision>7</revision>
  <dcterms:created xsi:type="dcterms:W3CDTF">2023-10-23T10:33:00.0000000Z</dcterms:created>
  <dcterms:modified xsi:type="dcterms:W3CDTF">2023-11-10T18:54:04.1771754Z</dcterms:modified>
</coreProperties>
</file>