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550372" w:rsidR="00A479F9" w:rsidRDefault="00000000" w14:paraId="79E342E6" w14:textId="77777777">
      <w:r w:rsidRPr="00550372">
        <w:drawing>
          <wp:inline distT="114300" distB="114300" distL="114300" distR="114300" wp14:anchorId="475F7155" wp14:editId="338B9D33">
            <wp:extent cx="2438400" cy="942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38400" cy="942975"/>
                    </a:xfrm>
                    <a:prstGeom prst="rect">
                      <a:avLst/>
                    </a:prstGeom>
                    <a:ln/>
                  </pic:spPr>
                </pic:pic>
              </a:graphicData>
            </a:graphic>
          </wp:inline>
        </w:drawing>
      </w:r>
    </w:p>
    <w:p w:rsidRPr="00550372" w:rsidR="00A479F9" w:rsidRDefault="00A479F9" w14:paraId="1E8A7249" w14:textId="77777777"/>
    <w:p w:rsidRPr="00550372" w:rsidR="00A479F9" w:rsidRDefault="00A479F9" w14:paraId="404F1065" w14:textId="77777777"/>
    <w:p w:rsidRPr="00550372" w:rsidR="00A479F9" w:rsidRDefault="00A479F9" w14:paraId="3434BD2C" w14:textId="77777777"/>
    <w:p w:rsidRPr="00550372" w:rsidR="00A479F9" w:rsidP="2FE446D6" w:rsidRDefault="00000000" w14:paraId="598806E5" w14:textId="0DB72185">
      <w:pPr>
        <w:jc w:val="center"/>
        <w:rPr>
          <w:b w:val="1"/>
          <w:bCs w:val="1"/>
          <w:sz w:val="40"/>
          <w:szCs w:val="40"/>
        </w:rPr>
      </w:pPr>
      <w:r w:rsidRPr="2FE446D6" w:rsidR="00000000">
        <w:rPr>
          <w:b w:val="1"/>
          <w:bCs w:val="1"/>
          <w:sz w:val="40"/>
          <w:szCs w:val="40"/>
        </w:rPr>
        <w:t xml:space="preserve">Student </w:t>
      </w:r>
      <w:r w:rsidRPr="2FE446D6" w:rsidR="00000000">
        <w:rPr>
          <w:b w:val="1"/>
          <w:bCs w:val="1"/>
          <w:sz w:val="40"/>
          <w:szCs w:val="40"/>
        </w:rPr>
        <w:t>name:</w:t>
      </w:r>
      <w:r w:rsidRPr="2FE446D6" w:rsidR="47B9F9C9">
        <w:rPr>
          <w:b w:val="1"/>
          <w:bCs w:val="1"/>
          <w:sz w:val="40"/>
          <w:szCs w:val="40"/>
        </w:rPr>
        <w:t xml:space="preserve"> </w:t>
      </w:r>
      <w:r w:rsidRPr="2FE446D6" w:rsidR="3A313776">
        <w:rPr>
          <w:b w:val="1"/>
          <w:bCs w:val="1"/>
          <w:sz w:val="40"/>
          <w:szCs w:val="40"/>
        </w:rPr>
        <w:t>Somerda</w:t>
      </w:r>
      <w:r w:rsidRPr="2FE446D6" w:rsidR="3A313776">
        <w:rPr>
          <w:b w:val="1"/>
          <w:bCs w:val="1"/>
          <w:sz w:val="40"/>
          <w:szCs w:val="40"/>
        </w:rPr>
        <w:t xml:space="preserve"> Iancu</w:t>
      </w:r>
      <w:r w:rsidRPr="2FE446D6" w:rsidR="00000000">
        <w:rPr>
          <w:b w:val="1"/>
          <w:bCs w:val="1"/>
          <w:sz w:val="40"/>
          <w:szCs w:val="40"/>
        </w:rPr>
        <w:t xml:space="preserve">       </w:t>
      </w:r>
    </w:p>
    <w:p w:rsidRPr="00550372" w:rsidR="00A479F9" w:rsidRDefault="00000000" w14:paraId="664A0996" w14:textId="59DE338F">
      <w:pPr>
        <w:jc w:val="center"/>
        <w:rPr>
          <w:b w:val="1"/>
          <w:bCs w:val="1"/>
          <w:sz w:val="40"/>
          <w:szCs w:val="40"/>
        </w:rPr>
      </w:pPr>
      <w:r w:rsidRPr="2FE446D6" w:rsidR="00000000">
        <w:rPr>
          <w:b w:val="1"/>
          <w:bCs w:val="1"/>
          <w:sz w:val="40"/>
          <w:szCs w:val="40"/>
        </w:rPr>
        <w:t>Student ID number:</w:t>
      </w:r>
      <w:r w:rsidRPr="2FE446D6" w:rsidR="30EFF240">
        <w:rPr>
          <w:b w:val="1"/>
          <w:bCs w:val="1"/>
          <w:sz w:val="40"/>
          <w:szCs w:val="40"/>
        </w:rPr>
        <w:t xml:space="preserve"> 2519996</w:t>
      </w:r>
    </w:p>
    <w:p w:rsidRPr="00550372" w:rsidR="00A479F9" w:rsidRDefault="00000000" w14:paraId="415EC012" w14:textId="77777777">
      <w:pPr>
        <w:jc w:val="center"/>
        <w:rPr>
          <w:b/>
          <w:bCs/>
          <w:sz w:val="40"/>
          <w:szCs w:val="40"/>
        </w:rPr>
      </w:pPr>
      <w:r w:rsidRPr="00550372">
        <w:rPr>
          <w:b/>
          <w:bCs/>
          <w:sz w:val="40"/>
          <w:szCs w:val="40"/>
        </w:rPr>
        <w:t>Programme: CERT HE Social Enterprise Management</w:t>
      </w:r>
    </w:p>
    <w:p w:rsidRPr="00550372" w:rsidR="00A479F9" w:rsidRDefault="00000000" w14:paraId="6AFB40B0" w14:textId="77777777">
      <w:pPr>
        <w:jc w:val="center"/>
        <w:rPr>
          <w:b/>
          <w:bCs/>
          <w:sz w:val="40"/>
          <w:szCs w:val="40"/>
        </w:rPr>
      </w:pPr>
      <w:r w:rsidRPr="00550372">
        <w:rPr>
          <w:b/>
          <w:bCs/>
          <w:sz w:val="40"/>
          <w:szCs w:val="40"/>
        </w:rPr>
        <w:t>Module: Social Enterprise: Theory and Practise</w:t>
      </w:r>
    </w:p>
    <w:p w:rsidRPr="00550372" w:rsidR="00A479F9" w:rsidRDefault="00000000" w14:paraId="43ED8B16" w14:textId="77777777">
      <w:pPr>
        <w:jc w:val="center"/>
        <w:rPr>
          <w:b/>
          <w:bCs/>
          <w:sz w:val="40"/>
          <w:szCs w:val="40"/>
        </w:rPr>
      </w:pPr>
      <w:r w:rsidRPr="00550372">
        <w:rPr>
          <w:b/>
          <w:bCs/>
          <w:sz w:val="40"/>
          <w:szCs w:val="40"/>
        </w:rPr>
        <w:t>Module code: BMSE4009D</w:t>
      </w:r>
    </w:p>
    <w:p w:rsidRPr="00550372" w:rsidR="00A479F9" w:rsidRDefault="00000000" w14:paraId="0AFD9B3E" w14:textId="77777777">
      <w:pPr>
        <w:jc w:val="center"/>
        <w:rPr>
          <w:b/>
          <w:bCs/>
          <w:sz w:val="40"/>
          <w:szCs w:val="40"/>
        </w:rPr>
      </w:pPr>
      <w:r w:rsidRPr="00550372">
        <w:rPr>
          <w:b/>
          <w:bCs/>
          <w:sz w:val="40"/>
          <w:szCs w:val="40"/>
        </w:rPr>
        <w:t>Assignment Title: Opportunities and Threats to Social Enterprise</w:t>
      </w:r>
    </w:p>
    <w:p w:rsidRPr="00550372" w:rsidR="00A479F9" w:rsidRDefault="00000000" w14:paraId="3E39619B" w14:textId="77777777">
      <w:r w:rsidRPr="00550372">
        <w:br w:type="page"/>
      </w:r>
    </w:p>
    <w:sdt>
      <w:sdtPr>
        <w:rPr>
          <w:lang w:val="en-GB"/>
        </w:rPr>
        <w:id w:val="510257383"/>
        <w:docPartObj>
          <w:docPartGallery w:val="Table of Contents"/>
          <w:docPartUnique/>
        </w:docPartObj>
      </w:sdtPr>
      <w:sdtEndPr>
        <w:rPr>
          <w:rFonts w:ascii="Times New Roman" w:hAnsi="Times New Roman" w:eastAsia="Times New Roman" w:cs="Times New Roman"/>
          <w:b w:val="1"/>
          <w:bCs w:val="1"/>
          <w:color w:val="auto"/>
          <w:sz w:val="24"/>
          <w:szCs w:val="24"/>
          <w:lang w:val="en-GB" w:eastAsia="en-IN" w:bidi="bn-IN"/>
        </w:rPr>
      </w:sdtEndPr>
      <w:sdtContent>
        <w:p w:rsidRPr="00550372" w:rsidR="00550372" w:rsidP="00550372" w:rsidRDefault="00550372" w14:paraId="0FF3FA34" w14:textId="13D28B3F">
          <w:pPr>
            <w:pStyle w:val="TOCHeading"/>
            <w:spacing w:line="360" w:lineRule="auto"/>
            <w:jc w:val="center"/>
            <w:rPr>
              <w:rFonts w:ascii="Times New Roman" w:hAnsi="Times New Roman" w:cs="Times New Roman"/>
              <w:b/>
              <w:bCs/>
              <w:color w:val="auto"/>
              <w:lang w:val="en-GB"/>
            </w:rPr>
          </w:pPr>
          <w:r w:rsidRPr="00550372">
            <w:rPr>
              <w:rFonts w:ascii="Times New Roman" w:hAnsi="Times New Roman" w:cs="Times New Roman"/>
              <w:b/>
              <w:bCs/>
              <w:color w:val="auto"/>
              <w:lang w:val="en-GB"/>
            </w:rPr>
            <w:t>Table of Contents</w:t>
          </w:r>
        </w:p>
        <w:p w:rsidRPr="00550372" w:rsidR="00550372" w:rsidRDefault="00550372" w14:paraId="224E4055" w14:textId="18B82392">
          <w:pPr>
            <w:pStyle w:val="TOC1"/>
            <w:tabs>
              <w:tab w:val="right" w:leader="dot" w:pos="9019"/>
            </w:tabs>
          </w:pPr>
          <w:r w:rsidRPr="00550372">
            <w:fldChar w:fldCharType="begin"/>
          </w:r>
          <w:r w:rsidRPr="00550372">
            <w:instrText xml:space="preserve"> TOC \o "1-3" \h \z \u </w:instrText>
          </w:r>
          <w:r w:rsidRPr="00550372">
            <w:fldChar w:fldCharType="separate"/>
          </w:r>
          <w:hyperlink w:history="1" w:anchor="_Toc224064505">
            <w:r w:rsidRPr="00550372">
              <w:rPr>
                <w:rStyle w:val="Hyperlink"/>
              </w:rPr>
              <w:t>Introduction</w:t>
            </w:r>
            <w:r w:rsidRPr="00550372">
              <w:rPr>
                <w:webHidden/>
              </w:rPr>
              <w:tab/>
            </w:r>
            <w:r w:rsidRPr="00550372">
              <w:rPr>
                <w:webHidden/>
              </w:rPr>
              <w:fldChar w:fldCharType="begin"/>
            </w:r>
            <w:r w:rsidRPr="00550372">
              <w:rPr>
                <w:webHidden/>
              </w:rPr>
              <w:instrText xml:space="preserve"> PAGEREF _Toc224064505 \h </w:instrText>
            </w:r>
            <w:r w:rsidRPr="00550372">
              <w:rPr>
                <w:webHidden/>
              </w:rPr>
            </w:r>
            <w:r w:rsidRPr="00550372">
              <w:rPr>
                <w:webHidden/>
              </w:rPr>
              <w:fldChar w:fldCharType="separate"/>
            </w:r>
            <w:r w:rsidRPr="00550372">
              <w:rPr>
                <w:webHidden/>
              </w:rPr>
              <w:t>3</w:t>
            </w:r>
            <w:r w:rsidRPr="00550372">
              <w:rPr>
                <w:webHidden/>
              </w:rPr>
              <w:fldChar w:fldCharType="end"/>
            </w:r>
          </w:hyperlink>
        </w:p>
        <w:p w:rsidRPr="00550372" w:rsidR="00550372" w:rsidRDefault="00550372" w14:paraId="2F06CB55" w14:textId="1473E631">
          <w:pPr>
            <w:pStyle w:val="TOC1"/>
            <w:tabs>
              <w:tab w:val="right" w:leader="dot" w:pos="9019"/>
            </w:tabs>
          </w:pPr>
          <w:hyperlink w:history="1" w:anchor="_Toc224064506">
            <w:r w:rsidRPr="00550372">
              <w:rPr>
                <w:rStyle w:val="Hyperlink"/>
              </w:rPr>
              <w:t>Main Body</w:t>
            </w:r>
            <w:r w:rsidRPr="00550372">
              <w:rPr>
                <w:webHidden/>
              </w:rPr>
              <w:tab/>
            </w:r>
            <w:r w:rsidRPr="00550372">
              <w:rPr>
                <w:webHidden/>
              </w:rPr>
              <w:fldChar w:fldCharType="begin"/>
            </w:r>
            <w:r w:rsidRPr="00550372">
              <w:rPr>
                <w:webHidden/>
              </w:rPr>
              <w:instrText xml:space="preserve"> PAGEREF _Toc224064506 \h </w:instrText>
            </w:r>
            <w:r w:rsidRPr="00550372">
              <w:rPr>
                <w:webHidden/>
              </w:rPr>
            </w:r>
            <w:r w:rsidRPr="00550372">
              <w:rPr>
                <w:webHidden/>
              </w:rPr>
              <w:fldChar w:fldCharType="separate"/>
            </w:r>
            <w:r w:rsidRPr="00550372">
              <w:rPr>
                <w:webHidden/>
              </w:rPr>
              <w:t>3</w:t>
            </w:r>
            <w:r w:rsidRPr="00550372">
              <w:rPr>
                <w:webHidden/>
              </w:rPr>
              <w:fldChar w:fldCharType="end"/>
            </w:r>
          </w:hyperlink>
        </w:p>
        <w:p w:rsidRPr="00550372" w:rsidR="00550372" w:rsidRDefault="00550372" w14:paraId="32B3362D" w14:textId="25590442">
          <w:pPr>
            <w:pStyle w:val="TOC1"/>
            <w:tabs>
              <w:tab w:val="right" w:leader="dot" w:pos="9019"/>
            </w:tabs>
          </w:pPr>
          <w:hyperlink w:history="1" w:anchor="_Toc224064507">
            <w:r w:rsidRPr="00550372">
              <w:rPr>
                <w:rStyle w:val="Hyperlink"/>
              </w:rPr>
              <w:t>Conclusion</w:t>
            </w:r>
            <w:r w:rsidRPr="00550372">
              <w:rPr>
                <w:webHidden/>
              </w:rPr>
              <w:tab/>
            </w:r>
            <w:r w:rsidRPr="00550372">
              <w:rPr>
                <w:webHidden/>
              </w:rPr>
              <w:fldChar w:fldCharType="begin"/>
            </w:r>
            <w:r w:rsidRPr="00550372">
              <w:rPr>
                <w:webHidden/>
              </w:rPr>
              <w:instrText xml:space="preserve"> PAGEREF _Toc224064507 \h </w:instrText>
            </w:r>
            <w:r w:rsidRPr="00550372">
              <w:rPr>
                <w:webHidden/>
              </w:rPr>
            </w:r>
            <w:r w:rsidRPr="00550372">
              <w:rPr>
                <w:webHidden/>
              </w:rPr>
              <w:fldChar w:fldCharType="separate"/>
            </w:r>
            <w:r w:rsidRPr="00550372">
              <w:rPr>
                <w:webHidden/>
              </w:rPr>
              <w:t>7</w:t>
            </w:r>
            <w:r w:rsidRPr="00550372">
              <w:rPr>
                <w:webHidden/>
              </w:rPr>
              <w:fldChar w:fldCharType="end"/>
            </w:r>
          </w:hyperlink>
        </w:p>
        <w:p w:rsidRPr="00550372" w:rsidR="00550372" w:rsidRDefault="00550372" w14:paraId="20321BF7" w14:textId="585DBBB8">
          <w:pPr>
            <w:pStyle w:val="TOC1"/>
            <w:tabs>
              <w:tab w:val="right" w:leader="dot" w:pos="9019"/>
            </w:tabs>
          </w:pPr>
          <w:hyperlink w:history="1" w:anchor="_Toc224064508">
            <w:r w:rsidRPr="00550372">
              <w:rPr>
                <w:rStyle w:val="Hyperlink"/>
              </w:rPr>
              <w:t>References</w:t>
            </w:r>
            <w:r w:rsidRPr="00550372">
              <w:rPr>
                <w:webHidden/>
              </w:rPr>
              <w:tab/>
            </w:r>
            <w:r w:rsidRPr="00550372">
              <w:rPr>
                <w:webHidden/>
              </w:rPr>
              <w:fldChar w:fldCharType="begin"/>
            </w:r>
            <w:r w:rsidRPr="00550372">
              <w:rPr>
                <w:webHidden/>
              </w:rPr>
              <w:instrText xml:space="preserve"> PAGEREF _Toc224064508 \h </w:instrText>
            </w:r>
            <w:r w:rsidRPr="00550372">
              <w:rPr>
                <w:webHidden/>
              </w:rPr>
            </w:r>
            <w:r w:rsidRPr="00550372">
              <w:rPr>
                <w:webHidden/>
              </w:rPr>
              <w:fldChar w:fldCharType="separate"/>
            </w:r>
            <w:r w:rsidRPr="00550372">
              <w:rPr>
                <w:webHidden/>
              </w:rPr>
              <w:t>8</w:t>
            </w:r>
            <w:r w:rsidRPr="00550372">
              <w:rPr>
                <w:webHidden/>
              </w:rPr>
              <w:fldChar w:fldCharType="end"/>
            </w:r>
          </w:hyperlink>
        </w:p>
        <w:p w:rsidRPr="00550372" w:rsidR="00550372" w:rsidRDefault="00550372" w14:paraId="1DD2535E" w14:textId="1EF76460">
          <w:r w:rsidRPr="00550372">
            <w:rPr>
              <w:b/>
              <w:bCs/>
            </w:rPr>
            <w:fldChar w:fldCharType="end"/>
          </w:r>
        </w:p>
      </w:sdtContent>
    </w:sdt>
    <w:p w:rsidRPr="00550372" w:rsidR="00A479F9" w:rsidRDefault="00000000" w14:paraId="3A62471C" w14:textId="77777777">
      <w:r w:rsidRPr="00550372">
        <w:br w:type="page"/>
      </w:r>
    </w:p>
    <w:p w:rsidRPr="00550372" w:rsidR="00A479F9" w:rsidRDefault="00000000" w14:paraId="674EC1CE" w14:textId="77777777">
      <w:pPr>
        <w:pStyle w:val="Heading1"/>
      </w:pPr>
      <w:bookmarkStart w:name="_ltzaptks2qzl" w:colFirst="0" w:colLast="0" w:id="0"/>
      <w:bookmarkStart w:name="_Toc224064505" w:id="1"/>
      <w:bookmarkEnd w:id="0"/>
      <w:r w:rsidRPr="00550372">
        <w:lastRenderedPageBreak/>
        <w:t>Introduction</w:t>
      </w:r>
      <w:bookmarkEnd w:id="1"/>
    </w:p>
    <w:p w:rsidRPr="00550372" w:rsidR="00A479F9" w:rsidRDefault="00A479F9" w14:paraId="536DE45C" w14:textId="77777777"/>
    <w:p w:rsidRPr="00550372" w:rsidR="00A479F9" w:rsidRDefault="00000000" w14:paraId="39DE862C" w14:textId="097032AA">
      <w:r w:rsidRPr="00550372">
        <w:t>Social enterprises have become significant organisations, whose main focus is to tackle social and environmental issues and still have financial sustainability operations. In contrast to conventional profit making organi</w:t>
      </w:r>
      <w:r w:rsidR="00550372">
        <w:t>s</w:t>
      </w:r>
      <w:r w:rsidRPr="00550372">
        <w:t>ations, social enterprises focus on creating social value and make money in the process of conducting business. These organisations are also vital in addressing the problems of poverty, unemployment, social exclusion and environmental problems. Social enterprises are receiving growing attention in governments, communities and even investors in recent decades due to the innovative approaches they provide to social problems that may be very complex (Powell and Berry, 2024).</w:t>
      </w:r>
    </w:p>
    <w:p w:rsidRPr="00550372" w:rsidR="00A479F9" w:rsidRDefault="00A479F9" w14:paraId="28CE1D47" w14:textId="77777777"/>
    <w:p w:rsidRPr="00550372" w:rsidR="00A479F9" w:rsidRDefault="00000000" w14:paraId="0645F7BA" w14:textId="77777777">
      <w:r w:rsidRPr="00550372">
        <w:t>The social enterprise is a blend of the non-profit and profit based sector. Defourny and Nyssens (2023) defined social enterprises as the organisations which have social mission and engage in entrepreneurial activities and reinvest profits to attain social goals. Because of this, they are working inside a distinct organisational structure that is financially sustainable and socially impactful. Nevertheless, even with their good intentions to the society, social enterprises have several opportunities and threats that affect their development and performance.</w:t>
      </w:r>
    </w:p>
    <w:p w:rsidRPr="00550372" w:rsidR="00A479F9" w:rsidRDefault="00A479F9" w14:paraId="453D4042" w14:textId="77777777"/>
    <w:p w:rsidRPr="00550372" w:rsidR="00A479F9" w:rsidRDefault="00000000" w14:paraId="59D70BD3" w14:textId="77777777">
      <w:r w:rsidRPr="00550372">
        <w:t>One of the ways to analyse these factors would be using the SWOT framework that looks at the strengths, weaknesses, opportunities and threats to organisations. Strengths and weaknesses are internal factors in the organisation whereas opportunities and threats are external environments (Karadzhov, 2025). The SWOT framework applied in this essay examines the opportunities and threats to the social enterprise and how they affect the capacity of the social enterprise to make a social and economic impact.</w:t>
      </w:r>
    </w:p>
    <w:p w:rsidRPr="00550372" w:rsidR="00A479F9" w:rsidRDefault="00A479F9" w14:paraId="29ED946A" w14:textId="77777777"/>
    <w:p w:rsidRPr="00550372" w:rsidR="00A479F9" w:rsidRDefault="00000000" w14:paraId="1A637C87" w14:textId="77777777">
      <w:pPr>
        <w:pStyle w:val="Heading1"/>
      </w:pPr>
      <w:bookmarkStart w:name="_qisyasr33h3z" w:colFirst="0" w:colLast="0" w:id="2"/>
      <w:bookmarkStart w:name="_Toc224064506" w:id="3"/>
      <w:bookmarkEnd w:id="2"/>
      <w:r w:rsidRPr="00550372">
        <w:t>Main Body</w:t>
      </w:r>
      <w:bookmarkEnd w:id="3"/>
    </w:p>
    <w:p w:rsidRPr="00550372" w:rsidR="00A479F9" w:rsidRDefault="00000000" w14:paraId="75AD0E99" w14:textId="77777777">
      <w:pPr>
        <w:rPr>
          <w:b/>
          <w:bCs/>
          <w:i/>
          <w:iCs/>
        </w:rPr>
      </w:pPr>
      <w:r w:rsidRPr="00550372">
        <w:rPr>
          <w:b/>
          <w:bCs/>
          <w:i/>
          <w:iCs/>
        </w:rPr>
        <w:t>The Strengths of Social Enterprises</w:t>
      </w:r>
    </w:p>
    <w:p w:rsidRPr="00550372" w:rsidR="00A479F9" w:rsidRDefault="00A479F9" w14:paraId="0B15EF55" w14:textId="77777777"/>
    <w:p w:rsidRPr="00550372" w:rsidR="00A479F9" w:rsidRDefault="00000000" w14:paraId="638B4B25" w14:textId="77777777">
      <w:r w:rsidRPr="00550372">
        <w:t xml:space="preserve">Social mission and purpose is also one of the strengths of social enterprises. In contrast to traditional companies that are focused on maximising profits, social enterprises strive to make a social change (Ghosh </w:t>
      </w:r>
      <w:r w:rsidRPr="00550372">
        <w:rPr>
          <w:i/>
          <w:iCs/>
        </w:rPr>
        <w:t xml:space="preserve">et al. </w:t>
      </w:r>
      <w:r w:rsidRPr="00550372">
        <w:t xml:space="preserve">2024). Such a clear mission is usually appealing to the community, ethical-minded volunteers and customers. Consequently, social enterprises are likely to enjoy high credibility and trust rates. Consumers are becoming more concerned about </w:t>
      </w:r>
      <w:r w:rsidRPr="00550372">
        <w:lastRenderedPageBreak/>
        <w:t>linking themselves to businesses that benefit the society and this has provided social businesses with a competitive edge in some markets (Goedertier, Weijters and Van den Bergh, 2024).</w:t>
      </w:r>
    </w:p>
    <w:p w:rsidRPr="00550372" w:rsidR="00A479F9" w:rsidRDefault="00A479F9" w14:paraId="71CEBE47" w14:textId="77777777"/>
    <w:p w:rsidRPr="00550372" w:rsidR="00A479F9" w:rsidRDefault="00000000" w14:paraId="2366A2F4" w14:textId="77777777">
      <w:r w:rsidRPr="00550372">
        <w:t>The other significant strength is that social enterprises have the capability to deal with social issues by incorporating innovative strategies (Hagedoorn</w:t>
      </w:r>
      <w:r w:rsidRPr="00550372">
        <w:rPr>
          <w:i/>
          <w:iCs/>
        </w:rPr>
        <w:t xml:space="preserve"> et al.</w:t>
      </w:r>
      <w:r w:rsidRPr="00550372">
        <w:t xml:space="preserve"> 2022). Social entrepreneurs can also come up with innovative solutions that the traditional institutions might not notice. Social enterprises are able to develop sustainable business models by integrating business strategies and social goals to create both financial and social value. As an example, The Big Issue in the United Kingdom offers people living in homelessness an opportunity to earn a living by selling magazines (Gupta, 2022). This model is also able to generate jobs as well as foster dignity and independence among the poor in the society.</w:t>
      </w:r>
    </w:p>
    <w:p w:rsidRPr="00550372" w:rsidR="00A479F9" w:rsidRDefault="00A479F9" w14:paraId="3386398B" w14:textId="77777777"/>
    <w:p w:rsidRPr="00550372" w:rsidR="00A479F9" w:rsidRDefault="00000000" w14:paraId="3F5A473D" w14:textId="77777777">
      <w:r w:rsidRPr="00550372">
        <w:t>Social enterprises also enjoy good community interaction. Most organisations work closely with the local communities and stakeholders and through them, they can be able to know the needs of the society and be able to create solutions that suit them (Nicolescu and Nicolescu, 2023). This intimate relationship with groups of people contributes to the social enterprises establishing powerful support and collaboration systems. Besides this, social enterprises can usually extend their reach by forming relationships with charities, local governments, and other organisations.</w:t>
      </w:r>
    </w:p>
    <w:p w:rsidRPr="00550372" w:rsidR="00A479F9" w:rsidRDefault="00A479F9" w14:paraId="056BBC6A" w14:textId="77777777"/>
    <w:p w:rsidRPr="00550372" w:rsidR="00A479F9" w:rsidRDefault="00000000" w14:paraId="1127EC67" w14:textId="77777777">
      <w:r w:rsidRPr="00550372">
        <w:t>Moreover, social enterprises are able to utilize different sources of funding. They can get grants, social investment funding and donations in addition to commercial revenue. Impact investors are more and more interested in backing organisations that are capable of creating quantifiable social outcomes as well as financial payoffs (Le, Aleem and Sandberg, 2024). This attraction towards impact investing offers social businesses some chances to acquire more funds for their operations.</w:t>
      </w:r>
    </w:p>
    <w:p w:rsidRPr="00550372" w:rsidR="00A479F9" w:rsidRDefault="00A479F9" w14:paraId="43A4E03E" w14:textId="77777777"/>
    <w:p w:rsidRPr="00550372" w:rsidR="00A479F9" w:rsidRDefault="00000000" w14:paraId="273B868A" w14:textId="77777777">
      <w:pPr>
        <w:rPr>
          <w:b/>
          <w:bCs/>
          <w:i/>
          <w:iCs/>
        </w:rPr>
      </w:pPr>
      <w:r w:rsidRPr="00550372">
        <w:rPr>
          <w:b/>
          <w:bCs/>
          <w:i/>
          <w:iCs/>
        </w:rPr>
        <w:t>Weaknesses of Social Enterprises</w:t>
      </w:r>
    </w:p>
    <w:p w:rsidRPr="00550372" w:rsidR="00A479F9" w:rsidRDefault="00A479F9" w14:paraId="31A511B5" w14:textId="77777777"/>
    <w:p w:rsidRPr="00550372" w:rsidR="00A479F9" w:rsidRDefault="00000000" w14:paraId="24A521B9" w14:textId="77777777">
      <w:r w:rsidRPr="00550372">
        <w:t xml:space="preserve">In spite of the above strengths, social enterprises have a number of internal problems that can hamper their performance. Financial sustainability is one of the greatest weaknesses. Most social enterprises do not serve in the business sectors that have relatively low profit margins and thus they find it hard to make enough income to meet the operational costs. Consequently, </w:t>
      </w:r>
      <w:r w:rsidRPr="00550372">
        <w:lastRenderedPageBreak/>
        <w:t>organisations can be very reliant on grants, donations or external funding which can make them financially unstable (World Economic Forum, 2024).</w:t>
      </w:r>
    </w:p>
    <w:p w:rsidRPr="00550372" w:rsidR="00A479F9" w:rsidRDefault="00A479F9" w14:paraId="6E0B8F4B" w14:textId="77777777"/>
    <w:p w:rsidRPr="00550372" w:rsidR="00A479F9" w:rsidRDefault="00000000" w14:paraId="4C852F53" w14:textId="77777777">
      <w:r w:rsidRPr="00550372">
        <w:t>The other problem is the inability to find the equilibrium between social and commercial goals. The social enterprises should also make sure that their operations produce enough revenue in addition to fulfilling the social mission. This balance can be complicated because sometimes by prioritizing social impact, it is possible to lower the financial profitability. On the other hand, emphasis placed on financial performance will result in organisations losing their initial social drive.</w:t>
      </w:r>
    </w:p>
    <w:p w:rsidRPr="00550372" w:rsidR="00A479F9" w:rsidRDefault="00A479F9" w14:paraId="2C755F64" w14:textId="77777777"/>
    <w:p w:rsidRPr="00550372" w:rsidR="00A479F9" w:rsidRDefault="00000000" w14:paraId="2DD949CF" w14:textId="77777777">
      <w:r w:rsidRPr="00550372">
        <w:t>Some social enterprises can also have a weakness of limited management and business expertise (Ratten, 2025). Social entrepreneurs tend to be passionate about social change, and they may not have experience in certain aspects including financial management, marketing or strategic planning. Organisations might also have a hard time growing their operation or compete with other traditional businesses without good management skills.</w:t>
      </w:r>
    </w:p>
    <w:p w:rsidRPr="00550372" w:rsidR="00A479F9" w:rsidRDefault="00A479F9" w14:paraId="03F152CF" w14:textId="77777777"/>
    <w:p w:rsidRPr="00550372" w:rsidR="00A479F9" w:rsidRDefault="00000000" w14:paraId="5C02830C" w14:textId="77777777">
      <w:r w:rsidRPr="00550372">
        <w:t>The other weakness is associated with organisational capacity (Lubis, 2022). A good number of social enterprises have few staff and resources, and this could limit their capacity to increase their operations. Social enterprises do not have access to extensive capital, high-tech or widespread marketing resources as compared to large corporations. Such drawbacks might hamper the growth of organisations and decrease competitiveness when it comes to particular industries.</w:t>
      </w:r>
    </w:p>
    <w:p w:rsidRPr="00550372" w:rsidR="00A479F9" w:rsidRDefault="00A479F9" w14:paraId="676A57DF" w14:textId="77777777"/>
    <w:p w:rsidRPr="00550372" w:rsidR="00A479F9" w:rsidRDefault="00000000" w14:paraId="75B9F128" w14:textId="77777777">
      <w:pPr>
        <w:rPr>
          <w:b/>
          <w:bCs/>
          <w:i/>
          <w:iCs/>
        </w:rPr>
      </w:pPr>
      <w:r w:rsidRPr="00550372">
        <w:rPr>
          <w:b/>
          <w:bCs/>
          <w:i/>
          <w:iCs/>
        </w:rPr>
        <w:t>Social Enterprise Opportunities</w:t>
      </w:r>
    </w:p>
    <w:p w:rsidRPr="00550372" w:rsidR="00A479F9" w:rsidRDefault="00A479F9" w14:paraId="796581FD" w14:textId="77777777"/>
    <w:p w:rsidRPr="00550372" w:rsidR="00A479F9" w:rsidRDefault="00000000" w14:paraId="4638CDDB" w14:textId="77777777">
      <w:r w:rsidRPr="00550372">
        <w:t>Nevertheless, the social enterprises are in an environment that can allow many opportunities to grow and develop despite such challenges. Growing awareness of consumers about social and environmental problems is one of the major opportunities. Contemporary consumers are increasingly conscious of ethical consumption and would like to use products and services that favour social causes (Kutaula</w:t>
      </w:r>
      <w:r w:rsidRPr="00550372">
        <w:rPr>
          <w:i/>
          <w:iCs/>
        </w:rPr>
        <w:t xml:space="preserve"> et al.</w:t>
      </w:r>
      <w:r w:rsidRPr="00550372">
        <w:t xml:space="preserve"> 2024). This is a tendency that offers the social enterprises a chance to lure customers who appreciate business ventures that are socially responsible.</w:t>
      </w:r>
    </w:p>
    <w:p w:rsidRPr="00550372" w:rsidR="00A479F9" w:rsidRDefault="00A479F9" w14:paraId="0C3E29A5" w14:textId="77777777"/>
    <w:p w:rsidRPr="00550372" w:rsidR="00A479F9" w:rsidRDefault="00000000" w14:paraId="47D065AC" w14:textId="77777777">
      <w:r w:rsidRPr="00550372">
        <w:t xml:space="preserve">Social enterprises also have an opportunity created by government policies and support programmes. Governments of most countries have realised the potential of social enterprises </w:t>
      </w:r>
      <w:r w:rsidRPr="00550372">
        <w:lastRenderedPageBreak/>
        <w:t>to solve social problems and lessen the burden on the public services. This has led to the introduction of policies and programmes to enhance the sector by providing funding programmes, training and legal provisions (World Economic Forum (WEF), 2024). Through these initiatives, social enterprises gain the ability to build the capacity and grow more.</w:t>
      </w:r>
    </w:p>
    <w:p w:rsidRPr="00550372" w:rsidR="00A479F9" w:rsidRDefault="00A479F9" w14:paraId="20D9634F" w14:textId="77777777"/>
    <w:p w:rsidRPr="00550372" w:rsidR="00A479F9" w:rsidRDefault="00000000" w14:paraId="4EC38FC9" w14:textId="77777777">
      <w:r w:rsidRPr="00550372">
        <w:t>The other valuable opportunity is in the development of impact investment (Berk and van Binsbergen, 2024). Impact investors are interested in investing in organisations that can bring social benefits as well as financial returns. This new area of investments gives the social enterprises access to capital that is in line with their mission. Social enterprises are becoming financially supported by impact investment funds, social banks and philanthropic foundations all over the world.</w:t>
      </w:r>
    </w:p>
    <w:p w:rsidRPr="00550372" w:rsidR="00A479F9" w:rsidRDefault="00A479F9" w14:paraId="3F6FF3CD" w14:textId="77777777"/>
    <w:p w:rsidRPr="00550372" w:rsidR="00A479F9" w:rsidRDefault="00000000" w14:paraId="44E8DAE3" w14:textId="77777777">
      <w:r w:rsidRPr="00550372">
        <w:t>More importantly, teamwork and relationships offer effective room to develop. This is because social enterprises can partner with the governments, corporations and non-profit organisations to help solve complicated social issues (Nicolescu and Nicolescu, 2023). Social enterprises can also use partnerships with a private company as an example through which it can access resources, knowledge and distribution networks which can amplify its effect.</w:t>
      </w:r>
    </w:p>
    <w:p w:rsidRPr="00550372" w:rsidR="00A479F9" w:rsidRDefault="00A479F9" w14:paraId="34220105" w14:textId="77777777"/>
    <w:p w:rsidRPr="00550372" w:rsidR="00A479F9" w:rsidRDefault="00000000" w14:paraId="178DEC65" w14:textId="77777777">
      <w:pPr>
        <w:rPr>
          <w:b/>
          <w:bCs/>
          <w:i/>
          <w:iCs/>
        </w:rPr>
      </w:pPr>
      <w:r w:rsidRPr="00550372">
        <w:rPr>
          <w:b/>
          <w:bCs/>
          <w:i/>
          <w:iCs/>
        </w:rPr>
        <w:t xml:space="preserve">Threats of Social Enterprise </w:t>
      </w:r>
    </w:p>
    <w:p w:rsidRPr="00550372" w:rsidR="00A479F9" w:rsidRDefault="00A479F9" w14:paraId="3AB28E6C" w14:textId="77777777"/>
    <w:p w:rsidRPr="00550372" w:rsidR="00A479F9" w:rsidRDefault="00000000" w14:paraId="6F0E93C2" w14:textId="77777777">
      <w:r w:rsidRPr="00550372">
        <w:t xml:space="preserve">Although social enterprises are associated with several opportunities, they also have external threats, which can influence their sustainability and success. Competition with conventional businesses is one of the major threats. Social enterprises in most industries have to compete with profit-driven firms that could possess more funds, superior technology and bigger marketing funds (Chaudhary </w:t>
      </w:r>
      <w:r w:rsidRPr="00550372">
        <w:rPr>
          <w:i/>
          <w:iCs/>
        </w:rPr>
        <w:t>et al.</w:t>
      </w:r>
      <w:r w:rsidRPr="00550372">
        <w:t xml:space="preserve"> 2021). Social enterprises may find it hard to retain market share in such a competitive environment.</w:t>
      </w:r>
    </w:p>
    <w:p w:rsidRPr="00550372" w:rsidR="00A479F9" w:rsidRDefault="00A479F9" w14:paraId="1D47611B" w14:textId="77777777"/>
    <w:p w:rsidRPr="00550372" w:rsidR="00A479F9" w:rsidRDefault="00000000" w14:paraId="56650460" w14:textId="77777777">
      <w:r w:rsidRPr="00550372">
        <w:t>The economic turmoil is also a major threat. In times of economic recession, consumers may reduce their expenditure and funding sources may be constrained. Social enterprises that are fuelled by donations, grants or social investment may suffer economically as economic situations deteriorate.</w:t>
      </w:r>
    </w:p>
    <w:p w:rsidRPr="00550372" w:rsidR="00A479F9" w:rsidRDefault="00A479F9" w14:paraId="7C65C039" w14:textId="77777777"/>
    <w:p w:rsidRPr="00550372" w:rsidR="00A479F9" w:rsidRDefault="00000000" w14:paraId="668C3361" w14:textId="77777777">
      <w:r w:rsidRPr="00550372">
        <w:t xml:space="preserve">Altering government policies and regulations is another threat that may occur (Powell and Berry, 2024). Most social businesses enjoy favourable policies and financial grant schemes. </w:t>
      </w:r>
      <w:r w:rsidRPr="00550372">
        <w:lastRenderedPageBreak/>
        <w:t>Nonetheless, the fluctuations in political interests or financial resources can decrease the support of the sector by the government. This kind of shifting of policy may cause financial problems to organisations, which rely on the funding provided by the government.</w:t>
      </w:r>
    </w:p>
    <w:p w:rsidRPr="00550372" w:rsidR="00A479F9" w:rsidRDefault="00A479F9" w14:paraId="2B9C0700" w14:textId="77777777"/>
    <w:p w:rsidRPr="00550372" w:rsidR="00A479F9" w:rsidRDefault="00000000" w14:paraId="1BC56105" w14:textId="77777777">
      <w:r w:rsidRPr="00550372">
        <w:t>The threat might also be the public misconception about social enterprises. The model of the business of social enterprises might not be well understood by some consumers and some stakeholders, and this will create confusion with regards to whether businesses or organisations are operating as a charity or as a business (Samuel, 2025). This unawareness may influence customer confidence, financial provisions and policy patronage.</w:t>
      </w:r>
    </w:p>
    <w:p w:rsidRPr="00550372" w:rsidR="00A479F9" w:rsidRDefault="00A479F9" w14:paraId="7E27C45F" w14:textId="77777777"/>
    <w:p w:rsidRPr="00550372" w:rsidR="00A479F9" w:rsidRDefault="00000000" w14:paraId="56A55C42" w14:textId="77777777">
      <w:pPr>
        <w:pStyle w:val="Heading1"/>
      </w:pPr>
      <w:bookmarkStart w:name="_jq3i096tmzzk" w:colFirst="0" w:colLast="0" w:id="4"/>
      <w:bookmarkStart w:name="_Toc224064507" w:id="5"/>
      <w:bookmarkEnd w:id="4"/>
      <w:r w:rsidRPr="00550372">
        <w:t>Conclusion</w:t>
      </w:r>
      <w:bookmarkEnd w:id="5"/>
    </w:p>
    <w:p w:rsidRPr="00550372" w:rsidR="00A479F9" w:rsidRDefault="00A479F9" w14:paraId="20D1319C" w14:textId="77777777"/>
    <w:p w:rsidRPr="00550372" w:rsidR="00A479F9" w:rsidRDefault="00000000" w14:paraId="1468FB27" w14:textId="77777777">
      <w:r w:rsidRPr="00550372">
        <w:t>Social enterprises have a crucial role to play in terms of solving social and environmental problems and enhancing sustainable economic progress. These organisations offer creative solutions to the complicated societal challenges by incorporating entrepreneurial strategies and social goals. The SWOT analysis in the current essay has identified the strengths, weaknesses, opportunities, and threats that influence the growth of social enterprises.</w:t>
      </w:r>
    </w:p>
    <w:p w:rsidRPr="00550372" w:rsidR="00A479F9" w:rsidRDefault="00A479F9" w14:paraId="1A77B39A" w14:textId="77777777"/>
    <w:p w:rsidRPr="00550372" w:rsidR="00A479F9" w:rsidRDefault="00000000" w14:paraId="7D31E9C4" w14:textId="408AC337">
      <w:r w:rsidRPr="00550372">
        <w:t xml:space="preserve">Based on its analysis, it is established that social enterprises enjoy good social missions, support of communities and creative ways of addressing social issues. Nonetheless, they are also troubled by internal issues like financial sustainability, little resources and balancing between social and commercial goals. Simultaneously, the sector is </w:t>
      </w:r>
      <w:r w:rsidRPr="00550372" w:rsidR="00550372">
        <w:t>favoured</w:t>
      </w:r>
      <w:r w:rsidRPr="00550372">
        <w:t xml:space="preserve"> by the rising consumer interest in ethical companies, governmental support programs and rise in impact investment.</w:t>
      </w:r>
    </w:p>
    <w:p w:rsidRPr="00550372" w:rsidR="00A479F9" w:rsidRDefault="00A479F9" w14:paraId="7EE207B3" w14:textId="77777777"/>
    <w:p w:rsidRPr="00550372" w:rsidR="00A479F9" w:rsidRDefault="00000000" w14:paraId="404E55D7" w14:textId="2FF8B6A7">
      <w:r w:rsidRPr="00550372">
        <w:t xml:space="preserve">In general, social enterprises can be seen as a significant element of the contemporary economy and </w:t>
      </w:r>
      <w:r w:rsidR="00550372">
        <w:t>civilisation</w:t>
      </w:r>
      <w:r w:rsidRPr="00550372">
        <w:t>. With challenges solved and the use of the available opportunities, these organisations could keep up to increasing their influence and participate in building a more inclusive and sustainable future.</w:t>
      </w:r>
      <w:r w:rsidRPr="00550372">
        <w:br w:type="page"/>
      </w:r>
    </w:p>
    <w:p w:rsidRPr="00550372" w:rsidR="00A479F9" w:rsidRDefault="00000000" w14:paraId="183FDDAB" w14:textId="77777777">
      <w:pPr>
        <w:pStyle w:val="Heading1"/>
      </w:pPr>
      <w:bookmarkStart w:name="_kfggdqa3kme4" w:colFirst="0" w:colLast="0" w:id="6"/>
      <w:bookmarkStart w:name="_Toc224064508" w:id="7"/>
      <w:bookmarkEnd w:id="6"/>
      <w:r w:rsidRPr="00550372">
        <w:lastRenderedPageBreak/>
        <w:t>References</w:t>
      </w:r>
      <w:bookmarkEnd w:id="7"/>
    </w:p>
    <w:p w:rsidRPr="00550372" w:rsidR="00A479F9" w:rsidRDefault="00000000" w14:paraId="6527A450" w14:textId="77777777">
      <w:pPr>
        <w:spacing w:after="240"/>
      </w:pPr>
      <w:r w:rsidRPr="00550372">
        <w:t xml:space="preserve">Berk, J.B. and van Binsbergen, J.H. (2024). The impact of impact investing. </w:t>
      </w:r>
      <w:r w:rsidRPr="00550372">
        <w:rPr>
          <w:i/>
          <w:iCs/>
        </w:rPr>
        <w:t>Journal of Financial Economics</w:t>
      </w:r>
      <w:r w:rsidRPr="00550372">
        <w:t xml:space="preserve">, 164, p.103972. Available at: </w:t>
      </w:r>
      <w:hyperlink r:id="rId8">
        <w:r w:rsidRPr="00550372">
          <w:rPr>
            <w:color w:val="1155CC"/>
            <w:u w:val="single"/>
          </w:rPr>
          <w:t>https://doi.org/10.1016/j.jfineco.2024.103972</w:t>
        </w:r>
      </w:hyperlink>
      <w:r w:rsidRPr="00550372">
        <w:t xml:space="preserve"> [Accessed: 10 March 2026].</w:t>
      </w:r>
    </w:p>
    <w:p w:rsidRPr="00550372" w:rsidR="00A479F9" w:rsidRDefault="00000000" w14:paraId="3CD77DEF" w14:textId="77777777">
      <w:pPr>
        <w:spacing w:after="240"/>
      </w:pPr>
      <w:r w:rsidRPr="00550372">
        <w:t xml:space="preserve">Chaudhary, V., Abidi, N.A., Barman, R.D., Bansal, R., Bania, S.S. and Gupta, N. (2021). Impact of social entrepreneurship on different industries, work systems, and organizations. </w:t>
      </w:r>
      <w:r w:rsidRPr="00550372">
        <w:rPr>
          <w:i/>
          <w:iCs/>
        </w:rPr>
        <w:t>Materials Today: Proceedings</w:t>
      </w:r>
      <w:r w:rsidRPr="00550372">
        <w:t xml:space="preserve">. [online] Available at: </w:t>
      </w:r>
      <w:hyperlink r:id="rId9">
        <w:r w:rsidRPr="00550372">
          <w:rPr>
            <w:color w:val="1155CC"/>
            <w:u w:val="single"/>
          </w:rPr>
          <w:t>https://doi.org/10.1016/j.matpr.2021.06.270</w:t>
        </w:r>
      </w:hyperlink>
      <w:r w:rsidRPr="00550372">
        <w:t xml:space="preserve"> [Accessed: 10 March 2026].</w:t>
      </w:r>
    </w:p>
    <w:p w:rsidRPr="00550372" w:rsidR="00A479F9" w:rsidRDefault="00000000" w14:paraId="320710BE" w14:textId="77777777">
      <w:pPr>
        <w:spacing w:after="240"/>
      </w:pPr>
      <w:r w:rsidRPr="00550372">
        <w:t xml:space="preserve">Defourny, J. and Nyssens, M. (2023). Social Enterprises. In: </w:t>
      </w:r>
      <w:r w:rsidRPr="00550372">
        <w:rPr>
          <w:i/>
          <w:iCs/>
        </w:rPr>
        <w:t>Encyclopedia of the Social and Solidarity Economy</w:t>
      </w:r>
      <w:r w:rsidRPr="00550372">
        <w:t>. Edward Elgar Publishing.</w:t>
      </w:r>
    </w:p>
    <w:p w:rsidRPr="00550372" w:rsidR="00A479F9" w:rsidRDefault="00000000" w14:paraId="541A1779" w14:textId="77777777">
      <w:pPr>
        <w:spacing w:after="240"/>
      </w:pPr>
      <w:r w:rsidRPr="00550372">
        <w:t xml:space="preserve">Ghosh, S., Ray , S., Nair, R., Nath, S. and Bishu, R. (2024). Exploring the Sustainability of Social Enterprises: A Scoping Review. </w:t>
      </w:r>
      <w:r w:rsidRPr="00550372">
        <w:rPr>
          <w:i/>
          <w:iCs/>
        </w:rPr>
        <w:t>Journal of Sustainability Research</w:t>
      </w:r>
      <w:r w:rsidRPr="00550372">
        <w:t xml:space="preserve">, 6(3). Available at: </w:t>
      </w:r>
      <w:hyperlink r:id="rId10">
        <w:r w:rsidRPr="00550372">
          <w:rPr>
            <w:color w:val="1155CC"/>
            <w:u w:val="single"/>
          </w:rPr>
          <w:t>https://doi.org/10.20900/jsr20240044</w:t>
        </w:r>
      </w:hyperlink>
      <w:r w:rsidRPr="00550372">
        <w:t xml:space="preserve"> [Accessed: 10 March 2026].</w:t>
      </w:r>
    </w:p>
    <w:p w:rsidRPr="00550372" w:rsidR="00A479F9" w:rsidRDefault="00000000" w14:paraId="08035D9E" w14:textId="77777777">
      <w:pPr>
        <w:spacing w:after="240"/>
      </w:pPr>
      <w:r w:rsidRPr="00550372">
        <w:t xml:space="preserve">Goedertier, F., Weijters, B. and Van den Bergh, J. (2024). Are Consumers Equally Willing to Pay More for Brands That Aim for Sustainability, Positive Societal Contribution, and Inclusivity as for Brands That Are Perceived as Exclusive? Generational, Gender, and Country Differences. </w:t>
      </w:r>
      <w:r w:rsidRPr="00550372">
        <w:rPr>
          <w:i/>
          <w:iCs/>
        </w:rPr>
        <w:t>Sustainability</w:t>
      </w:r>
      <w:r w:rsidRPr="00550372">
        <w:t xml:space="preserve">, [online] 16(9), p.3879. Available at: </w:t>
      </w:r>
      <w:hyperlink r:id="rId11">
        <w:r w:rsidRPr="00550372">
          <w:rPr>
            <w:color w:val="1155CC"/>
            <w:u w:val="single"/>
          </w:rPr>
          <w:t>https://doi.org/10.3390/su16093879</w:t>
        </w:r>
      </w:hyperlink>
      <w:r w:rsidRPr="00550372">
        <w:t xml:space="preserve"> [Accessed: 10 March 2026].</w:t>
      </w:r>
    </w:p>
    <w:p w:rsidRPr="00550372" w:rsidR="00A479F9" w:rsidRDefault="00000000" w14:paraId="042B3604" w14:textId="77777777">
      <w:pPr>
        <w:spacing w:after="240"/>
      </w:pPr>
      <w:r w:rsidRPr="00550372">
        <w:t xml:space="preserve">Gupta, S. (2022). The Logic of ‘Social Enterprise’: The Big Issue Organization and New Labour Policy at the Millennial Juncture. </w:t>
      </w:r>
      <w:r w:rsidRPr="00550372">
        <w:rPr>
          <w:i/>
          <w:iCs/>
        </w:rPr>
        <w:t>CLCWeb: Comparative Literature and Culture</w:t>
      </w:r>
      <w:r w:rsidRPr="00550372">
        <w:t xml:space="preserve">, 23(2). Available at: </w:t>
      </w:r>
      <w:hyperlink r:id="rId12">
        <w:r w:rsidRPr="00550372">
          <w:rPr>
            <w:color w:val="1155CC"/>
            <w:u w:val="single"/>
          </w:rPr>
          <w:t>https://doi.org/10.7771/1481-4374.3780</w:t>
        </w:r>
      </w:hyperlink>
      <w:r w:rsidRPr="00550372">
        <w:t xml:space="preserve"> [Accessed: 10 March 2026]. </w:t>
      </w:r>
    </w:p>
    <w:p w:rsidRPr="00550372" w:rsidR="00A479F9" w:rsidRDefault="00000000" w14:paraId="08C3F31A" w14:textId="77777777">
      <w:pPr>
        <w:spacing w:after="240"/>
      </w:pPr>
      <w:r w:rsidRPr="00550372">
        <w:t xml:space="preserve">Hagedoorn, J., Haugh, H., Robson, P. and Sugar, K. (2022). Social innovation, goal orientation, and openness: insights from social enterprise hybrids. </w:t>
      </w:r>
      <w:r w:rsidRPr="00550372">
        <w:rPr>
          <w:i/>
          <w:iCs/>
        </w:rPr>
        <w:t>Small Business Economics</w:t>
      </w:r>
      <w:r w:rsidRPr="00550372">
        <w:t xml:space="preserve">. Available at: </w:t>
      </w:r>
      <w:hyperlink r:id="rId13">
        <w:r w:rsidRPr="00550372">
          <w:rPr>
            <w:color w:val="1155CC"/>
            <w:u w:val="single"/>
          </w:rPr>
          <w:t>https://doi.org/10.1007/s11187-022-00643-4</w:t>
        </w:r>
      </w:hyperlink>
      <w:r w:rsidRPr="00550372">
        <w:t xml:space="preserve"> [Accessed: 10 March 2026].</w:t>
      </w:r>
    </w:p>
    <w:p w:rsidRPr="00550372" w:rsidR="00A479F9" w:rsidRDefault="00000000" w14:paraId="6051D009" w14:textId="77777777">
      <w:pPr>
        <w:spacing w:after="240"/>
      </w:pPr>
      <w:r w:rsidRPr="00550372">
        <w:t xml:space="preserve">Karadzhov, V. (2025). How to create the best SWOT analysis. </w:t>
      </w:r>
      <w:r w:rsidRPr="00550372">
        <w:rPr>
          <w:i/>
          <w:iCs/>
        </w:rPr>
        <w:t>International Journal of Research and Review</w:t>
      </w:r>
      <w:r w:rsidRPr="00550372">
        <w:t xml:space="preserve">, [online] 12(1), pp.66–75. Available at: </w:t>
      </w:r>
      <w:hyperlink r:id="rId14">
        <w:r w:rsidRPr="00550372">
          <w:rPr>
            <w:color w:val="1155CC"/>
            <w:u w:val="single"/>
          </w:rPr>
          <w:t>https://doi.org/10.52403/ijrr.20250110</w:t>
        </w:r>
      </w:hyperlink>
      <w:r w:rsidRPr="00550372">
        <w:t xml:space="preserve"> [Accessed: 10 March 2026].</w:t>
      </w:r>
    </w:p>
    <w:p w:rsidRPr="00550372" w:rsidR="00A479F9" w:rsidRDefault="00000000" w14:paraId="3DA6CDD3" w14:textId="77777777">
      <w:pPr>
        <w:spacing w:after="240"/>
      </w:pPr>
      <w:r w:rsidRPr="00550372">
        <w:lastRenderedPageBreak/>
        <w:t xml:space="preserve">Kutaula, S., Gillani, A., Gregory-Smith, D. and Bartikowski, B. (2024). Ethical Consumerism in Emerging Markets: Opportunities and Challenges. </w:t>
      </w:r>
      <w:r w:rsidRPr="00550372">
        <w:rPr>
          <w:i/>
          <w:iCs/>
        </w:rPr>
        <w:t>Journal of business ethics</w:t>
      </w:r>
      <w:r w:rsidRPr="00550372">
        <w:t xml:space="preserve">, 191(4). Available at: </w:t>
      </w:r>
      <w:hyperlink r:id="rId15">
        <w:r w:rsidRPr="00550372">
          <w:rPr>
            <w:color w:val="1155CC"/>
            <w:u w:val="single"/>
          </w:rPr>
          <w:t>https://doi.org/10.1007/s10551-024-05657-4</w:t>
        </w:r>
      </w:hyperlink>
      <w:r w:rsidRPr="00550372">
        <w:t xml:space="preserve"> [Accessed: 10 March 2026].</w:t>
      </w:r>
    </w:p>
    <w:p w:rsidRPr="00550372" w:rsidR="00A479F9" w:rsidRDefault="00000000" w14:paraId="4332E85A" w14:textId="77777777">
      <w:pPr>
        <w:spacing w:after="240"/>
      </w:pPr>
      <w:r w:rsidRPr="00550372">
        <w:t xml:space="preserve">Le, D.H., Aleem, M. and Sandberg, B. (2024). Financing social enterprises serving base-of-the-pyramid markets: Towards an integrative financing model. </w:t>
      </w:r>
      <w:r w:rsidRPr="00550372">
        <w:rPr>
          <w:i/>
          <w:iCs/>
        </w:rPr>
        <w:t>Journal of Social Entrepreneurship</w:t>
      </w:r>
      <w:r w:rsidRPr="00550372">
        <w:t xml:space="preserve">, pp.1–34. Available at: </w:t>
      </w:r>
      <w:hyperlink r:id="rId16">
        <w:r w:rsidRPr="00550372">
          <w:rPr>
            <w:color w:val="1155CC"/>
            <w:u w:val="single"/>
          </w:rPr>
          <w:t>https://doi.org/10.1080/19420676.2024.2363797</w:t>
        </w:r>
      </w:hyperlink>
      <w:r w:rsidRPr="00550372">
        <w:t xml:space="preserve"> [Accessed: 10 March 2026].</w:t>
      </w:r>
    </w:p>
    <w:p w:rsidRPr="00550372" w:rsidR="00A479F9" w:rsidRDefault="00000000" w14:paraId="1308903A" w14:textId="77777777">
      <w:pPr>
        <w:spacing w:after="240"/>
      </w:pPr>
      <w:r w:rsidRPr="00550372">
        <w:t xml:space="preserve">Lubis, N.W. (2022). Resource Based View (RBV) in Improving Company Strategic Capacity. </w:t>
      </w:r>
      <w:r w:rsidRPr="00550372">
        <w:rPr>
          <w:i/>
          <w:iCs/>
        </w:rPr>
        <w:t>Research Horizon</w:t>
      </w:r>
      <w:r w:rsidRPr="00550372">
        <w:t xml:space="preserve">, 2(6), pp.587–596. Available at: </w:t>
      </w:r>
      <w:hyperlink r:id="rId17">
        <w:r w:rsidRPr="00550372">
          <w:rPr>
            <w:color w:val="1155CC"/>
            <w:u w:val="single"/>
          </w:rPr>
          <w:t>https://doi.org/10.54518/rh.2.6.2022.587-596</w:t>
        </w:r>
      </w:hyperlink>
      <w:r w:rsidRPr="00550372">
        <w:t xml:space="preserve"> [Accessed: 10 March 2026].</w:t>
      </w:r>
    </w:p>
    <w:p w:rsidRPr="00550372" w:rsidR="00A479F9" w:rsidRDefault="00000000" w14:paraId="4A91B824" w14:textId="77777777">
      <w:pPr>
        <w:spacing w:after="240"/>
      </w:pPr>
      <w:r w:rsidRPr="00550372">
        <w:t xml:space="preserve">Nicolescu, O. and Nicolescu, C. (2023). </w:t>
      </w:r>
      <w:r w:rsidRPr="00550372">
        <w:rPr>
          <w:i/>
          <w:iCs/>
        </w:rPr>
        <w:t>Stakeholder Management and Social Responsibility</w:t>
      </w:r>
      <w:r w:rsidRPr="00550372">
        <w:t>. Routledge.</w:t>
      </w:r>
    </w:p>
    <w:p w:rsidRPr="00550372" w:rsidR="00A479F9" w:rsidRDefault="00000000" w14:paraId="53522A53" w14:textId="77777777">
      <w:pPr>
        <w:spacing w:after="240"/>
      </w:pPr>
      <w:r w:rsidRPr="00550372">
        <w:t xml:space="preserve">Powell, M. and Berry, F.S. (2024). </w:t>
      </w:r>
      <w:r w:rsidRPr="00550372">
        <w:rPr>
          <w:i/>
          <w:iCs/>
        </w:rPr>
        <w:t>The Third Sector, Social Enterprise and Public Service Delivery</w:t>
      </w:r>
      <w:r w:rsidRPr="00550372">
        <w:t>. Taylor &amp; Francis.</w:t>
      </w:r>
    </w:p>
    <w:p w:rsidRPr="00550372" w:rsidR="00A479F9" w:rsidRDefault="00000000" w14:paraId="122E858D" w14:textId="77777777">
      <w:pPr>
        <w:spacing w:after="240"/>
      </w:pPr>
      <w:r w:rsidRPr="00550372">
        <w:t xml:space="preserve">Ratten, V. (2025). </w:t>
      </w:r>
      <w:r w:rsidRPr="00550372">
        <w:rPr>
          <w:i/>
          <w:iCs/>
        </w:rPr>
        <w:t>International Encyclopedia of Business Management</w:t>
      </w:r>
      <w:r w:rsidRPr="00550372">
        <w:t xml:space="preserve">. </w:t>
      </w:r>
      <w:r w:rsidRPr="00550372">
        <w:rPr>
          <w:i/>
          <w:iCs/>
        </w:rPr>
        <w:t>International Encyclopedia of Business Management</w:t>
      </w:r>
      <w:r w:rsidRPr="00550372">
        <w:t>. Academic Press.</w:t>
      </w:r>
    </w:p>
    <w:p w:rsidRPr="00550372" w:rsidR="00A479F9" w:rsidRDefault="00000000" w14:paraId="1DC62C12" w14:textId="77777777">
      <w:pPr>
        <w:spacing w:after="240"/>
      </w:pPr>
      <w:r w:rsidRPr="00550372">
        <w:t xml:space="preserve">Samuel, K. (2025). Social Entrepreneurship: Balancing Profit and Purpose. [online] 5(1), pp.15–21. Available at: </w:t>
      </w:r>
      <w:hyperlink r:id="rId18">
        <w:r w:rsidRPr="00550372">
          <w:rPr>
            <w:color w:val="1155CC"/>
            <w:u w:val="single"/>
          </w:rPr>
          <w:t>https://doi.org/10.59298/RIJRE/2025/511521</w:t>
        </w:r>
      </w:hyperlink>
      <w:r w:rsidRPr="00550372">
        <w:t xml:space="preserve"> [Accessed: 10 March 2026].</w:t>
      </w:r>
    </w:p>
    <w:p w:rsidRPr="00550372" w:rsidR="00A479F9" w:rsidRDefault="00000000" w14:paraId="56956AB5" w14:textId="77777777">
      <w:pPr>
        <w:spacing w:after="240"/>
      </w:pPr>
      <w:r w:rsidRPr="00550372">
        <w:t xml:space="preserve">World Economic Forum (WEF) (2024). </w:t>
      </w:r>
      <w:r w:rsidRPr="00550372">
        <w:rPr>
          <w:i/>
          <w:iCs/>
        </w:rPr>
        <w:t xml:space="preserve">The State of Social Enterprise: A Review of Global Data </w:t>
      </w:r>
      <w:r w:rsidRPr="00550372">
        <w:t xml:space="preserve">. [online] Available at: </w:t>
      </w:r>
      <w:hyperlink r:id="rId19">
        <w:r w:rsidRPr="00550372">
          <w:rPr>
            <w:color w:val="1155CC"/>
            <w:u w:val="single"/>
          </w:rPr>
          <w:t>https://www3.weforum.org/docs/WEF_The_State_of_Social_Enterprise_2024.pdf</w:t>
        </w:r>
      </w:hyperlink>
      <w:r w:rsidRPr="00550372">
        <w:t xml:space="preserve"> [Accessed: 10 March 2026].</w:t>
      </w:r>
    </w:p>
    <w:p w:rsidR="00A479F9" w:rsidRDefault="00A479F9" w14:paraId="3D2B7620" w14:textId="77777777"/>
    <w:sectPr w:rsidR="00A479F9" w:rsidSect="00550372">
      <w:footerReference w:type="default" r:id="rId20"/>
      <w:pgSz w:w="11909" w:h="16834"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550372" w:rsidR="001320E9" w:rsidRDefault="001320E9" w14:paraId="15FAEB3A" w14:textId="77777777">
      <w:pPr>
        <w:spacing w:line="240" w:lineRule="auto"/>
      </w:pPr>
      <w:r w:rsidRPr="00550372">
        <w:separator/>
      </w:r>
    </w:p>
  </w:endnote>
  <w:endnote w:type="continuationSeparator" w:id="0">
    <w:p w:rsidRPr="00550372" w:rsidR="001320E9" w:rsidRDefault="001320E9" w14:paraId="755D623C" w14:textId="77777777">
      <w:pPr>
        <w:spacing w:line="240" w:lineRule="auto"/>
      </w:pPr>
      <w:r w:rsidRPr="0055037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99A28C02-A40F-4565-9AAC-754823D00459}" r:id="rId1"/>
  </w:font>
  <w:font w:name="Vrinda">
    <w:panose1 w:val="00000400000000000000"/>
    <w:charset w:val="00"/>
    <w:family w:val="swiss"/>
    <w:pitch w:val="variable"/>
    <w:sig w:usb0="00010003" w:usb1="00000000" w:usb2="00000000" w:usb3="00000000" w:csb0="00000001" w:csb1="00000000"/>
    <w:embedRegular w:fontKey="{C7B5B0EE-9B28-45DB-866C-29CB11707ADB}" r:id="rId2"/>
  </w:font>
  <w:font w:name="Cambria">
    <w:panose1 w:val="02040503050406030204"/>
    <w:charset w:val="00"/>
    <w:family w:val="roman"/>
    <w:pitch w:val="variable"/>
    <w:sig w:usb0="E00006FF" w:usb1="420024FF" w:usb2="02000000" w:usb3="00000000" w:csb0="0000019F" w:csb1="00000000"/>
    <w:embedRegular w:fontKey="{79BCD4F2-62E6-420F-B727-F9FD041696D9}"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76256"/>
      <w:docPartObj>
        <w:docPartGallery w:val="Page Numbers (Bottom of Page)"/>
        <w:docPartUnique/>
      </w:docPartObj>
    </w:sdtPr>
    <w:sdtContent>
      <w:sdt>
        <w:sdtPr>
          <w:id w:val="-1769616900"/>
          <w:docPartObj>
            <w:docPartGallery w:val="Page Numbers (Top of Page)"/>
            <w:docPartUnique/>
          </w:docPartObj>
        </w:sdtPr>
        <w:sdtContent>
          <w:p w:rsidRPr="00550372" w:rsidR="00550372" w:rsidRDefault="00550372" w14:paraId="01CFD02F" w14:textId="671CD5D4">
            <w:pPr>
              <w:pStyle w:val="Footer"/>
              <w:jc w:val="right"/>
            </w:pPr>
            <w:r w:rsidRPr="00550372">
              <w:t xml:space="preserve">Page </w:t>
            </w:r>
            <w:r w:rsidRPr="00550372">
              <w:rPr>
                <w:b/>
                <w:bCs/>
                <w:szCs w:val="24"/>
              </w:rPr>
              <w:fldChar w:fldCharType="begin"/>
            </w:r>
            <w:r w:rsidRPr="00550372">
              <w:rPr>
                <w:b/>
                <w:bCs/>
              </w:rPr>
              <w:instrText xml:space="preserve"> PAGE </w:instrText>
            </w:r>
            <w:r w:rsidRPr="00550372">
              <w:rPr>
                <w:b/>
                <w:bCs/>
                <w:szCs w:val="24"/>
              </w:rPr>
              <w:fldChar w:fldCharType="separate"/>
            </w:r>
            <w:r w:rsidRPr="00550372">
              <w:rPr>
                <w:b/>
                <w:bCs/>
              </w:rPr>
              <w:t>2</w:t>
            </w:r>
            <w:r w:rsidRPr="00550372">
              <w:rPr>
                <w:b/>
                <w:bCs/>
                <w:szCs w:val="24"/>
              </w:rPr>
              <w:fldChar w:fldCharType="end"/>
            </w:r>
            <w:r w:rsidRPr="00550372">
              <w:t xml:space="preserve"> of </w:t>
            </w:r>
            <w:r w:rsidRPr="00550372">
              <w:rPr>
                <w:b/>
                <w:bCs/>
                <w:szCs w:val="24"/>
              </w:rPr>
              <w:fldChar w:fldCharType="begin"/>
            </w:r>
            <w:r w:rsidRPr="00550372">
              <w:rPr>
                <w:b/>
                <w:bCs/>
              </w:rPr>
              <w:instrText xml:space="preserve"> NUMPAGES  </w:instrText>
            </w:r>
            <w:r w:rsidRPr="00550372">
              <w:rPr>
                <w:b/>
                <w:bCs/>
                <w:szCs w:val="24"/>
              </w:rPr>
              <w:fldChar w:fldCharType="separate"/>
            </w:r>
            <w:r w:rsidRPr="00550372">
              <w:rPr>
                <w:b/>
                <w:bCs/>
              </w:rPr>
              <w:t>2</w:t>
            </w:r>
            <w:r w:rsidRPr="00550372">
              <w:rPr>
                <w:b/>
                <w:bCs/>
                <w:szCs w:val="24"/>
              </w:rPr>
              <w:fldChar w:fldCharType="end"/>
            </w:r>
          </w:p>
        </w:sdtContent>
      </w:sdt>
    </w:sdtContent>
  </w:sdt>
  <w:p w:rsidRPr="00550372" w:rsidR="00550372" w:rsidRDefault="00550372" w14:paraId="21A187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550372" w:rsidR="001320E9" w:rsidRDefault="001320E9" w14:paraId="515E9D69" w14:textId="77777777">
      <w:pPr>
        <w:spacing w:line="240" w:lineRule="auto"/>
      </w:pPr>
      <w:r w:rsidRPr="00550372">
        <w:separator/>
      </w:r>
    </w:p>
  </w:footnote>
  <w:footnote w:type="continuationSeparator" w:id="0">
    <w:p w:rsidRPr="00550372" w:rsidR="001320E9" w:rsidRDefault="001320E9" w14:paraId="14ED43D0" w14:textId="77777777">
      <w:pPr>
        <w:spacing w:line="240" w:lineRule="auto"/>
      </w:pPr>
      <w:r w:rsidRPr="0055037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9F9"/>
    <w:rsid w:val="00000000"/>
    <w:rsid w:val="001320E9"/>
    <w:rsid w:val="00550372"/>
    <w:rsid w:val="00A479F9"/>
    <w:rsid w:val="00CE5400"/>
    <w:rsid w:val="2FE446D6"/>
    <w:rsid w:val="30EFF240"/>
    <w:rsid w:val="3A313776"/>
    <w:rsid w:val="402E99E3"/>
    <w:rsid w:val="47B9F9C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313E"/>
  <w15:docId w15:val="{BC2BC007-D322-4EDC-A004-8EA34DA2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outlineLvl w:val="0"/>
    </w:pPr>
    <w:rPr>
      <w:b/>
      <w:bCs/>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550372"/>
    <w:pPr>
      <w:tabs>
        <w:tab w:val="center" w:pos="4513"/>
        <w:tab w:val="right" w:pos="9026"/>
      </w:tabs>
      <w:spacing w:line="240" w:lineRule="auto"/>
    </w:pPr>
    <w:rPr>
      <w:szCs w:val="30"/>
    </w:rPr>
  </w:style>
  <w:style w:type="character" w:styleId="HeaderChar" w:customStyle="1">
    <w:name w:val="Header Char"/>
    <w:basedOn w:val="DefaultParagraphFont"/>
    <w:link w:val="Header"/>
    <w:uiPriority w:val="99"/>
    <w:rsid w:val="00550372"/>
    <w:rPr>
      <w:szCs w:val="30"/>
    </w:rPr>
  </w:style>
  <w:style w:type="paragraph" w:styleId="Footer">
    <w:name w:val="footer"/>
    <w:basedOn w:val="Normal"/>
    <w:link w:val="FooterChar"/>
    <w:uiPriority w:val="99"/>
    <w:unhideWhenUsed/>
    <w:rsid w:val="00550372"/>
    <w:pPr>
      <w:tabs>
        <w:tab w:val="center" w:pos="4513"/>
        <w:tab w:val="right" w:pos="9026"/>
      </w:tabs>
      <w:spacing w:line="240" w:lineRule="auto"/>
    </w:pPr>
    <w:rPr>
      <w:szCs w:val="30"/>
    </w:rPr>
  </w:style>
  <w:style w:type="character" w:styleId="FooterChar" w:customStyle="1">
    <w:name w:val="Footer Char"/>
    <w:basedOn w:val="DefaultParagraphFont"/>
    <w:link w:val="Footer"/>
    <w:uiPriority w:val="99"/>
    <w:rsid w:val="00550372"/>
    <w:rPr>
      <w:szCs w:val="30"/>
    </w:rPr>
  </w:style>
  <w:style w:type="paragraph" w:styleId="TOCHeading">
    <w:name w:val="TOC Heading"/>
    <w:basedOn w:val="Heading1"/>
    <w:next w:val="Normal"/>
    <w:uiPriority w:val="39"/>
    <w:unhideWhenUsed/>
    <w:qFormat/>
    <w:rsid w:val="00550372"/>
    <w:pPr>
      <w:spacing w:before="240" w:line="259" w:lineRule="auto"/>
      <w:jc w:val="left"/>
      <w:outlineLvl w:val="9"/>
    </w:pPr>
    <w:rPr>
      <w:rFonts w:asciiTheme="majorHAnsi" w:hAnsiTheme="majorHAnsi" w:eastAsiaTheme="majorEastAsia" w:cstheme="majorBidi"/>
      <w:b w:val="0"/>
      <w:bCs w:val="0"/>
      <w:color w:val="365F91" w:themeColor="accent1" w:themeShade="BF"/>
      <w:lang w:val="en-US" w:eastAsia="en-US" w:bidi="ar-SA"/>
    </w:rPr>
  </w:style>
  <w:style w:type="paragraph" w:styleId="TOC1">
    <w:name w:val="toc 1"/>
    <w:basedOn w:val="Normal"/>
    <w:next w:val="Normal"/>
    <w:autoRedefine/>
    <w:uiPriority w:val="39"/>
    <w:unhideWhenUsed/>
    <w:rsid w:val="00550372"/>
    <w:pPr>
      <w:spacing w:after="100"/>
    </w:pPr>
    <w:rPr>
      <w:szCs w:val="30"/>
    </w:rPr>
  </w:style>
  <w:style w:type="character" w:styleId="Hyperlink">
    <w:name w:val="Hyperlink"/>
    <w:basedOn w:val="DefaultParagraphFont"/>
    <w:uiPriority w:val="99"/>
    <w:unhideWhenUsed/>
    <w:rsid w:val="005503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hyperlink" Target="https://doi.org/10.1016/j.jfineco.2024.103972" TargetMode="External" Id="rId8" /><Relationship Type="http://schemas.openxmlformats.org/officeDocument/2006/relationships/hyperlink" Target="https://doi.org/10.1007/s11187-022-00643-4" TargetMode="External" Id="rId13" /><Relationship Type="http://schemas.openxmlformats.org/officeDocument/2006/relationships/hyperlink" Target="https://doi.org/10.59298/RIJRE/2025/511521"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hyperlink" Target="https://doi.org/10.7771/1481-4374.3780" TargetMode="External" Id="rId12" /><Relationship Type="http://schemas.openxmlformats.org/officeDocument/2006/relationships/hyperlink" Target="https://doi.org/10.54518/rh.2.6.2022.587-596" TargetMode="External" Id="rId17" /><Relationship Type="http://schemas.openxmlformats.org/officeDocument/2006/relationships/styles" Target="styles.xml" Id="rId2" /><Relationship Type="http://schemas.openxmlformats.org/officeDocument/2006/relationships/hyperlink" Target="https://doi.org/10.1080/19420676.2024.2363797"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3390/su16093879" TargetMode="External" Id="rId11" /><Relationship Type="http://schemas.openxmlformats.org/officeDocument/2006/relationships/footnotes" Target="footnotes.xml" Id="rId5" /><Relationship Type="http://schemas.openxmlformats.org/officeDocument/2006/relationships/hyperlink" Target="https://doi.org/10.1007/s10551-024-05657-4" TargetMode="External" Id="rId15" /><Relationship Type="http://schemas.openxmlformats.org/officeDocument/2006/relationships/hyperlink" Target="https://doi.org/10.20900/jsr20240044" TargetMode="External" Id="rId10" /><Relationship Type="http://schemas.openxmlformats.org/officeDocument/2006/relationships/hyperlink" Target="https://www3.weforum.org/docs/WEF_The_State_of_Social_Enterprise_2024.pdf" TargetMode="External" Id="rId19" /><Relationship Type="http://schemas.openxmlformats.org/officeDocument/2006/relationships/webSettings" Target="webSettings.xml" Id="rId4" /><Relationship Type="http://schemas.openxmlformats.org/officeDocument/2006/relationships/hyperlink" Target="https://doi.org/10.1016/j.matpr.2021.06.270" TargetMode="External" Id="rId9" /><Relationship Type="http://schemas.openxmlformats.org/officeDocument/2006/relationships/hyperlink" Target="https://doi.org/10.52403/ijrr.20250110" TargetMode="External" Id="rId14" /><Relationship Type="http://schemas.openxmlformats.org/officeDocument/2006/relationships/theme" Target="theme/theme1.xml" Id="rId22"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972B0-3492-4990-BC14-82A955EC7AE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2026-03-10T14:17:00.0000000Z</dcterms:created>
  <dcterms:modified xsi:type="dcterms:W3CDTF">2026-03-19T22:00:06.3368848Z</dcterms:modified>
  <lastModifiedBy>Laris Ruset</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240e3b47-7f0e-482e-901d-f36ff95a919c</vt:lpwstr>
  </property>
</Properties>
</file>