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89C50" w14:textId="77777777" w:rsidR="002A7A9E" w:rsidRDefault="002A7A9E" w:rsidP="002A7A9E">
      <w:pPr>
        <w:spacing w:line="360" w:lineRule="auto"/>
        <w:contextualSpacing/>
        <w:jc w:val="center"/>
        <w:rPr>
          <w:rFonts w:ascii="Arial" w:hAnsi="Arial" w:cs="Arial"/>
          <w:b/>
          <w:bCs/>
          <w:sz w:val="32"/>
          <w:szCs w:val="32"/>
        </w:rPr>
      </w:pPr>
    </w:p>
    <w:p w14:paraId="65BB885E" w14:textId="77777777" w:rsidR="002A7A9E" w:rsidRDefault="002A7A9E" w:rsidP="002A7A9E">
      <w:pPr>
        <w:spacing w:line="360" w:lineRule="auto"/>
        <w:contextualSpacing/>
        <w:jc w:val="center"/>
        <w:rPr>
          <w:rFonts w:ascii="Arial" w:hAnsi="Arial" w:cs="Arial"/>
          <w:b/>
          <w:bCs/>
          <w:sz w:val="32"/>
          <w:szCs w:val="32"/>
        </w:rPr>
      </w:pPr>
    </w:p>
    <w:p w14:paraId="41EA0A2B" w14:textId="6AE17111" w:rsidR="002A7A9E" w:rsidRPr="002A7A9E" w:rsidRDefault="002A7A9E" w:rsidP="002A7A9E">
      <w:pPr>
        <w:spacing w:line="360" w:lineRule="auto"/>
        <w:contextualSpacing/>
        <w:jc w:val="center"/>
        <w:rPr>
          <w:rFonts w:ascii="Arial" w:hAnsi="Arial" w:cs="Arial"/>
          <w:b/>
          <w:bCs/>
          <w:sz w:val="32"/>
          <w:szCs w:val="32"/>
        </w:rPr>
      </w:pPr>
      <w:r w:rsidRPr="002A7A9E">
        <w:rPr>
          <w:rFonts w:ascii="Arial" w:hAnsi="Arial" w:cs="Arial"/>
          <w:b/>
          <w:bCs/>
          <w:sz w:val="32"/>
          <w:szCs w:val="32"/>
        </w:rPr>
        <w:t>FINANCIAL PERFORMANCE ANALYSIS AND COMPARISON BETWEEN MARRIOTT INTERNATIONAL AND HYATT HOTELS</w:t>
      </w:r>
    </w:p>
    <w:p w14:paraId="0015F82A" w14:textId="33667B04" w:rsidR="007E5FC2" w:rsidRDefault="00000000"/>
    <w:p w14:paraId="7A26A378" w14:textId="77777777" w:rsidR="002A7A9E" w:rsidRDefault="002A7A9E"/>
    <w:p w14:paraId="17AC8CB1" w14:textId="77777777" w:rsidR="002A7A9E" w:rsidRDefault="002A7A9E"/>
    <w:p w14:paraId="424BB1DB" w14:textId="77777777" w:rsidR="002A7A9E" w:rsidRDefault="002A7A9E"/>
    <w:p w14:paraId="3D339521" w14:textId="77777777" w:rsidR="002A7A9E" w:rsidRDefault="002A7A9E"/>
    <w:p w14:paraId="3C84B920" w14:textId="173BE54B" w:rsidR="002A7A9E" w:rsidRPr="002A7A9E" w:rsidRDefault="002A7A9E" w:rsidP="002A7A9E">
      <w:pPr>
        <w:spacing w:line="360" w:lineRule="auto"/>
        <w:jc w:val="both"/>
        <w:rPr>
          <w:rFonts w:ascii="Arial" w:hAnsi="Arial" w:cs="Arial"/>
          <w:sz w:val="24"/>
          <w:szCs w:val="24"/>
        </w:rPr>
      </w:pPr>
      <w:r w:rsidRPr="002A7A9E">
        <w:rPr>
          <w:rFonts w:ascii="Arial" w:hAnsi="Arial" w:cs="Arial"/>
          <w:sz w:val="24"/>
          <w:szCs w:val="24"/>
        </w:rPr>
        <w:t>Student name: Cristina Cornea</w:t>
      </w:r>
    </w:p>
    <w:p w14:paraId="54B5F3BB" w14:textId="0D80E23A" w:rsidR="002A7A9E" w:rsidRPr="002A7A9E" w:rsidRDefault="002A7A9E" w:rsidP="002A7A9E">
      <w:pPr>
        <w:spacing w:line="360" w:lineRule="auto"/>
        <w:jc w:val="both"/>
        <w:rPr>
          <w:rFonts w:ascii="Arial" w:hAnsi="Arial" w:cs="Arial"/>
          <w:sz w:val="24"/>
          <w:szCs w:val="24"/>
        </w:rPr>
      </w:pPr>
      <w:r w:rsidRPr="002A7A9E">
        <w:rPr>
          <w:rFonts w:ascii="Arial" w:hAnsi="Arial" w:cs="Arial"/>
          <w:sz w:val="24"/>
          <w:szCs w:val="24"/>
        </w:rPr>
        <w:t>Student ID</w:t>
      </w:r>
      <w:r w:rsidR="008A231C">
        <w:rPr>
          <w:rFonts w:ascii="Arial" w:hAnsi="Arial" w:cs="Arial"/>
          <w:sz w:val="24"/>
          <w:szCs w:val="24"/>
        </w:rPr>
        <w:t xml:space="preserve">:       </w:t>
      </w:r>
      <w:r w:rsidRPr="002A7A9E">
        <w:rPr>
          <w:rFonts w:ascii="Arial" w:hAnsi="Arial" w:cs="Arial"/>
          <w:sz w:val="24"/>
          <w:szCs w:val="24"/>
        </w:rPr>
        <w:t>2117591</w:t>
      </w:r>
    </w:p>
    <w:p w14:paraId="520725F9" w14:textId="30FCF5B6" w:rsidR="002A7A9E" w:rsidRPr="002A7A9E" w:rsidRDefault="002A7A9E" w:rsidP="002A7A9E">
      <w:pPr>
        <w:spacing w:line="360" w:lineRule="auto"/>
        <w:jc w:val="both"/>
        <w:rPr>
          <w:rFonts w:ascii="Arial" w:hAnsi="Arial" w:cs="Arial"/>
          <w:sz w:val="24"/>
          <w:szCs w:val="24"/>
        </w:rPr>
      </w:pPr>
      <w:r w:rsidRPr="002A7A9E">
        <w:rPr>
          <w:rFonts w:ascii="Arial" w:hAnsi="Arial" w:cs="Arial"/>
          <w:sz w:val="24"/>
          <w:szCs w:val="24"/>
        </w:rPr>
        <w:t xml:space="preserve">Module: </w:t>
      </w:r>
      <w:r w:rsidR="008A231C">
        <w:rPr>
          <w:rFonts w:ascii="Arial" w:hAnsi="Arial" w:cs="Arial"/>
          <w:sz w:val="24"/>
          <w:szCs w:val="24"/>
        </w:rPr>
        <w:t xml:space="preserve">           </w:t>
      </w:r>
      <w:r w:rsidRPr="002A7A9E">
        <w:rPr>
          <w:rFonts w:ascii="Arial" w:hAnsi="Arial" w:cs="Arial"/>
          <w:sz w:val="24"/>
          <w:szCs w:val="24"/>
        </w:rPr>
        <w:t>Financial Management for the Hotel Industry</w:t>
      </w:r>
    </w:p>
    <w:p w14:paraId="13526AB2" w14:textId="4C1D5A3F" w:rsidR="002A7A9E" w:rsidRPr="002A7A9E" w:rsidRDefault="002A7A9E" w:rsidP="002A7A9E">
      <w:pPr>
        <w:spacing w:line="360" w:lineRule="auto"/>
        <w:jc w:val="both"/>
        <w:rPr>
          <w:rFonts w:ascii="Arial" w:hAnsi="Arial" w:cs="Arial"/>
          <w:sz w:val="24"/>
          <w:szCs w:val="24"/>
        </w:rPr>
      </w:pPr>
      <w:r w:rsidRPr="002A7A9E">
        <w:rPr>
          <w:rFonts w:ascii="Arial" w:hAnsi="Arial" w:cs="Arial"/>
          <w:sz w:val="24"/>
          <w:szCs w:val="24"/>
        </w:rPr>
        <w:t xml:space="preserve">Lecturer: </w:t>
      </w:r>
      <w:r w:rsidR="008A231C">
        <w:rPr>
          <w:rFonts w:ascii="Arial" w:hAnsi="Arial" w:cs="Arial"/>
          <w:sz w:val="24"/>
          <w:szCs w:val="24"/>
        </w:rPr>
        <w:t xml:space="preserve">         </w:t>
      </w:r>
      <w:r w:rsidRPr="002A7A9E">
        <w:rPr>
          <w:rFonts w:ascii="Arial" w:hAnsi="Arial" w:cs="Arial"/>
          <w:sz w:val="24"/>
          <w:szCs w:val="24"/>
        </w:rPr>
        <w:t>Dale Clarke</w:t>
      </w:r>
    </w:p>
    <w:p w14:paraId="55D3EC85" w14:textId="6470C223" w:rsidR="002A7A9E" w:rsidRPr="002A7A9E" w:rsidRDefault="002A7A9E" w:rsidP="002A7A9E">
      <w:pPr>
        <w:spacing w:line="360" w:lineRule="auto"/>
        <w:jc w:val="both"/>
        <w:rPr>
          <w:rFonts w:ascii="Arial" w:hAnsi="Arial" w:cs="Arial"/>
          <w:sz w:val="24"/>
          <w:szCs w:val="24"/>
        </w:rPr>
      </w:pPr>
      <w:r w:rsidRPr="002A7A9E">
        <w:rPr>
          <w:rFonts w:ascii="Arial" w:hAnsi="Arial" w:cs="Arial"/>
          <w:sz w:val="24"/>
          <w:szCs w:val="24"/>
        </w:rPr>
        <w:t xml:space="preserve">              </w:t>
      </w:r>
      <w:r w:rsidR="008A231C">
        <w:rPr>
          <w:rFonts w:ascii="Arial" w:hAnsi="Arial" w:cs="Arial"/>
          <w:sz w:val="24"/>
          <w:szCs w:val="24"/>
        </w:rPr>
        <w:t xml:space="preserve">         </w:t>
      </w:r>
      <w:r w:rsidRPr="002A7A9E">
        <w:rPr>
          <w:rFonts w:ascii="Arial" w:hAnsi="Arial" w:cs="Arial"/>
          <w:sz w:val="24"/>
          <w:szCs w:val="24"/>
        </w:rPr>
        <w:t xml:space="preserve"> Chris Wilkin</w:t>
      </w:r>
    </w:p>
    <w:p w14:paraId="160FDE07" w14:textId="34BF7BCB" w:rsidR="002A7A9E" w:rsidRDefault="002A7A9E" w:rsidP="002A7A9E">
      <w:pPr>
        <w:spacing w:line="360" w:lineRule="auto"/>
        <w:jc w:val="both"/>
        <w:rPr>
          <w:rFonts w:ascii="Arial" w:hAnsi="Arial" w:cs="Arial"/>
          <w:sz w:val="24"/>
          <w:szCs w:val="24"/>
        </w:rPr>
      </w:pPr>
      <w:r w:rsidRPr="002A7A9E">
        <w:rPr>
          <w:rFonts w:ascii="Arial" w:hAnsi="Arial" w:cs="Arial"/>
          <w:sz w:val="24"/>
          <w:szCs w:val="24"/>
        </w:rPr>
        <w:t xml:space="preserve">              </w:t>
      </w:r>
      <w:r w:rsidR="008A231C">
        <w:rPr>
          <w:rFonts w:ascii="Arial" w:hAnsi="Arial" w:cs="Arial"/>
          <w:sz w:val="24"/>
          <w:szCs w:val="24"/>
        </w:rPr>
        <w:t xml:space="preserve">         </w:t>
      </w:r>
      <w:r w:rsidRPr="002A7A9E">
        <w:rPr>
          <w:rFonts w:ascii="Arial" w:hAnsi="Arial" w:cs="Arial"/>
          <w:sz w:val="24"/>
          <w:szCs w:val="24"/>
        </w:rPr>
        <w:t xml:space="preserve"> Katheryn Roberts</w:t>
      </w:r>
    </w:p>
    <w:p w14:paraId="44BFF70E" w14:textId="77777777" w:rsidR="002A7A9E" w:rsidRDefault="002A7A9E" w:rsidP="002A7A9E">
      <w:pPr>
        <w:spacing w:line="360" w:lineRule="auto"/>
        <w:jc w:val="both"/>
        <w:rPr>
          <w:rFonts w:ascii="Arial" w:hAnsi="Arial" w:cs="Arial"/>
          <w:sz w:val="24"/>
          <w:szCs w:val="24"/>
        </w:rPr>
      </w:pPr>
    </w:p>
    <w:p w14:paraId="2516E957" w14:textId="77777777" w:rsidR="002A7A9E" w:rsidRDefault="002A7A9E" w:rsidP="002A7A9E">
      <w:pPr>
        <w:spacing w:line="360" w:lineRule="auto"/>
        <w:jc w:val="both"/>
        <w:rPr>
          <w:rFonts w:ascii="Arial" w:hAnsi="Arial" w:cs="Arial"/>
          <w:sz w:val="24"/>
          <w:szCs w:val="24"/>
        </w:rPr>
      </w:pPr>
    </w:p>
    <w:p w14:paraId="2836F1BF" w14:textId="77777777" w:rsidR="002A7A9E" w:rsidRDefault="002A7A9E" w:rsidP="002A7A9E">
      <w:pPr>
        <w:spacing w:line="360" w:lineRule="auto"/>
        <w:jc w:val="both"/>
        <w:rPr>
          <w:rFonts w:ascii="Arial" w:hAnsi="Arial" w:cs="Arial"/>
          <w:sz w:val="24"/>
          <w:szCs w:val="24"/>
        </w:rPr>
      </w:pPr>
    </w:p>
    <w:p w14:paraId="11EABF3B" w14:textId="77777777" w:rsidR="002A7A9E" w:rsidRDefault="002A7A9E" w:rsidP="002A7A9E">
      <w:pPr>
        <w:spacing w:line="360" w:lineRule="auto"/>
        <w:jc w:val="both"/>
        <w:rPr>
          <w:rFonts w:ascii="Arial" w:hAnsi="Arial" w:cs="Arial"/>
          <w:sz w:val="24"/>
          <w:szCs w:val="24"/>
        </w:rPr>
      </w:pPr>
    </w:p>
    <w:p w14:paraId="05EE9407" w14:textId="77777777" w:rsidR="002A7A9E" w:rsidRDefault="002A7A9E" w:rsidP="002A7A9E">
      <w:pPr>
        <w:spacing w:line="360" w:lineRule="auto"/>
        <w:jc w:val="both"/>
        <w:rPr>
          <w:rFonts w:ascii="Arial" w:hAnsi="Arial" w:cs="Arial"/>
          <w:sz w:val="24"/>
          <w:szCs w:val="24"/>
        </w:rPr>
      </w:pPr>
    </w:p>
    <w:p w14:paraId="30A40B2E" w14:textId="77777777" w:rsidR="002A7A9E" w:rsidRDefault="002A7A9E" w:rsidP="002A7A9E">
      <w:pPr>
        <w:spacing w:line="360" w:lineRule="auto"/>
        <w:jc w:val="both"/>
        <w:rPr>
          <w:rFonts w:ascii="Arial" w:hAnsi="Arial" w:cs="Arial"/>
          <w:sz w:val="24"/>
          <w:szCs w:val="24"/>
        </w:rPr>
      </w:pPr>
    </w:p>
    <w:p w14:paraId="5FC9EEC6" w14:textId="77777777" w:rsidR="002A7A9E" w:rsidRDefault="002A7A9E" w:rsidP="002A7A9E">
      <w:pPr>
        <w:spacing w:line="360" w:lineRule="auto"/>
        <w:jc w:val="both"/>
        <w:rPr>
          <w:rFonts w:ascii="Arial" w:hAnsi="Arial" w:cs="Arial"/>
          <w:sz w:val="24"/>
          <w:szCs w:val="24"/>
        </w:rPr>
      </w:pPr>
    </w:p>
    <w:p w14:paraId="297959C0" w14:textId="77777777" w:rsidR="002A7A9E" w:rsidRDefault="002A7A9E" w:rsidP="002A7A9E">
      <w:pPr>
        <w:spacing w:line="360" w:lineRule="auto"/>
        <w:jc w:val="both"/>
        <w:rPr>
          <w:rFonts w:ascii="Arial" w:hAnsi="Arial" w:cs="Arial"/>
          <w:sz w:val="24"/>
          <w:szCs w:val="24"/>
        </w:rPr>
      </w:pPr>
    </w:p>
    <w:p w14:paraId="350BD433" w14:textId="77777777" w:rsidR="002A7A9E" w:rsidRDefault="002A7A9E" w:rsidP="002A7A9E">
      <w:pPr>
        <w:spacing w:line="360" w:lineRule="auto"/>
        <w:jc w:val="both"/>
        <w:rPr>
          <w:rFonts w:ascii="Arial" w:hAnsi="Arial" w:cs="Arial"/>
          <w:sz w:val="24"/>
          <w:szCs w:val="24"/>
        </w:rPr>
      </w:pPr>
    </w:p>
    <w:p w14:paraId="0A5E9E34" w14:textId="77777777" w:rsidR="002A7A9E" w:rsidRDefault="002A7A9E" w:rsidP="002A7A9E">
      <w:pPr>
        <w:spacing w:line="360" w:lineRule="auto"/>
        <w:jc w:val="both"/>
        <w:rPr>
          <w:rFonts w:ascii="Arial" w:hAnsi="Arial" w:cs="Arial"/>
          <w:sz w:val="24"/>
          <w:szCs w:val="24"/>
        </w:rPr>
      </w:pPr>
    </w:p>
    <w:p w14:paraId="6D1A738B" w14:textId="77777777" w:rsidR="002A7A9E" w:rsidRPr="002A7A9E" w:rsidRDefault="002A7A9E" w:rsidP="002A7A9E">
      <w:pPr>
        <w:spacing w:line="360" w:lineRule="auto"/>
        <w:contextualSpacing/>
        <w:jc w:val="center"/>
        <w:rPr>
          <w:rFonts w:ascii="Arial" w:hAnsi="Arial" w:cs="Arial"/>
          <w:b/>
          <w:bCs/>
          <w:sz w:val="24"/>
          <w:szCs w:val="24"/>
        </w:rPr>
      </w:pPr>
      <w:r w:rsidRPr="002A7A9E">
        <w:rPr>
          <w:rFonts w:ascii="Arial" w:hAnsi="Arial" w:cs="Arial"/>
          <w:b/>
          <w:bCs/>
          <w:sz w:val="24"/>
          <w:szCs w:val="24"/>
        </w:rPr>
        <w:lastRenderedPageBreak/>
        <w:t>Executive Summary</w:t>
      </w:r>
    </w:p>
    <w:p w14:paraId="67AB1061" w14:textId="77777777" w:rsidR="002A7A9E" w:rsidRDefault="002A7A9E" w:rsidP="002A7A9E">
      <w:pPr>
        <w:spacing w:line="360" w:lineRule="auto"/>
        <w:ind w:firstLine="720"/>
        <w:contextualSpacing/>
        <w:jc w:val="both"/>
        <w:rPr>
          <w:rFonts w:ascii="Arial" w:hAnsi="Arial" w:cs="Arial"/>
          <w:sz w:val="24"/>
          <w:szCs w:val="24"/>
        </w:rPr>
      </w:pPr>
    </w:p>
    <w:p w14:paraId="2ACF9555" w14:textId="63D5AECA" w:rsidR="002A7A9E" w:rsidRPr="002A7A9E" w:rsidRDefault="002A7A9E" w:rsidP="002A7A9E">
      <w:pPr>
        <w:spacing w:line="360" w:lineRule="auto"/>
        <w:ind w:firstLine="720"/>
        <w:contextualSpacing/>
        <w:jc w:val="both"/>
        <w:rPr>
          <w:rFonts w:ascii="Arial" w:hAnsi="Arial" w:cs="Arial"/>
          <w:sz w:val="24"/>
          <w:szCs w:val="24"/>
        </w:rPr>
      </w:pPr>
      <w:r w:rsidRPr="002A7A9E">
        <w:rPr>
          <w:rFonts w:ascii="Arial" w:hAnsi="Arial" w:cs="Arial"/>
          <w:sz w:val="24"/>
          <w:szCs w:val="24"/>
        </w:rPr>
        <w:t>This report presents a detailed financial performance examination and juxtaposition of Marriott International and Hyatt Hotels, which are prominent hospitality industry</w:t>
      </w:r>
      <w:r>
        <w:rPr>
          <w:rFonts w:ascii="Arial" w:hAnsi="Arial" w:cs="Arial"/>
          <w:sz w:val="24"/>
          <w:szCs w:val="24"/>
        </w:rPr>
        <w:t xml:space="preserve"> </w:t>
      </w:r>
      <w:r w:rsidRPr="002A7A9E">
        <w:rPr>
          <w:rFonts w:ascii="Arial" w:hAnsi="Arial" w:cs="Arial"/>
          <w:sz w:val="24"/>
          <w:szCs w:val="24"/>
        </w:rPr>
        <w:t>conglomerates. The assessment centers on significant financial facets, including overall revenue, market standing, stability, the potential for growth, and financial dedication to Corporate Social Responsibility (CSR). The analysis is substantiated by contemporary examples and evidence from diverse sources. According to the results, suggestions have been put forward for each company. Marriott International is advised to utilise its strong market position for diversification and expansion into emerging markets, while Hyatt Hotels is encouraged to investigate strategic partnerships or acquisitions to reinforce its market position and improve its brand portfolio.</w:t>
      </w:r>
    </w:p>
    <w:p w14:paraId="78A09ED7" w14:textId="77777777" w:rsidR="002A7A9E" w:rsidRPr="002A7A9E" w:rsidRDefault="002A7A9E" w:rsidP="002A7A9E">
      <w:pPr>
        <w:spacing w:line="360" w:lineRule="auto"/>
        <w:contextualSpacing/>
        <w:jc w:val="center"/>
        <w:rPr>
          <w:rFonts w:ascii="Arial" w:hAnsi="Arial" w:cs="Arial"/>
          <w:b/>
          <w:bCs/>
          <w:sz w:val="24"/>
          <w:szCs w:val="24"/>
        </w:rPr>
      </w:pPr>
      <w:r w:rsidRPr="002A7A9E">
        <w:rPr>
          <w:rFonts w:ascii="Arial" w:hAnsi="Arial" w:cs="Arial"/>
          <w:b/>
          <w:bCs/>
          <w:sz w:val="24"/>
          <w:szCs w:val="24"/>
        </w:rPr>
        <w:t>Introduction</w:t>
      </w:r>
    </w:p>
    <w:p w14:paraId="383CE179" w14:textId="77777777" w:rsidR="002A7A9E" w:rsidRDefault="002A7A9E" w:rsidP="002A7A9E">
      <w:pPr>
        <w:spacing w:line="360" w:lineRule="auto"/>
        <w:ind w:firstLine="720"/>
        <w:contextualSpacing/>
        <w:jc w:val="both"/>
        <w:rPr>
          <w:rFonts w:ascii="Arial" w:hAnsi="Arial" w:cs="Arial"/>
          <w:sz w:val="24"/>
          <w:szCs w:val="24"/>
        </w:rPr>
      </w:pPr>
    </w:p>
    <w:p w14:paraId="44FA8A74" w14:textId="1B02F120" w:rsidR="002A7A9E" w:rsidRDefault="002A7A9E" w:rsidP="002A7A9E">
      <w:pPr>
        <w:spacing w:line="360" w:lineRule="auto"/>
        <w:ind w:firstLine="720"/>
        <w:contextualSpacing/>
        <w:jc w:val="both"/>
        <w:rPr>
          <w:rFonts w:ascii="Arial" w:hAnsi="Arial" w:cs="Arial"/>
          <w:sz w:val="24"/>
          <w:szCs w:val="24"/>
        </w:rPr>
      </w:pPr>
      <w:r w:rsidRPr="002A7A9E">
        <w:rPr>
          <w:rFonts w:ascii="Arial" w:hAnsi="Arial" w:cs="Arial"/>
          <w:sz w:val="24"/>
          <w:szCs w:val="24"/>
        </w:rPr>
        <w:t>Major hotel groups have expanded their operations and adjusted to shifting market conditions, leading to tremendous expansion and development in the hospitality sector in recent years (</w:t>
      </w:r>
      <w:r w:rsidRPr="002A7A9E">
        <w:rPr>
          <w:rFonts w:ascii="Arial" w:hAnsi="Arial" w:cs="Arial"/>
          <w:color w:val="222222"/>
          <w:sz w:val="24"/>
          <w:szCs w:val="24"/>
          <w:shd w:val="clear" w:color="auto" w:fill="FFFFFF"/>
        </w:rPr>
        <w:t>Liu-Lastres et al., 2023</w:t>
      </w:r>
      <w:r w:rsidRPr="002A7A9E">
        <w:rPr>
          <w:rFonts w:ascii="Arial" w:hAnsi="Arial" w:cs="Arial"/>
          <w:sz w:val="24"/>
          <w:szCs w:val="24"/>
        </w:rPr>
        <w:t xml:space="preserve">). Organisations must employ efficient financial management strategies to secure long-term profitability and sustainability in this quickly changing environment. This paper compares Marriott International and Hyatt Hotels, two significant participants in the hospitality sector, in terms of their financial performance and managerial strategies. The second largest hotel chain in the world, Marriott International, was founded in 1927 and has more than 7,600 locations spread across 133 countries and territories (Ejaz, 2023). Offering a wide range of services and experiences, it manages a diverse portfolio of brands that appeal to different customer categories. In contrast, Hyatt Hotels was founded in 1957 and </w:t>
      </w:r>
      <w:r w:rsidR="007162D5" w:rsidRPr="002A7A9E">
        <w:rPr>
          <w:rFonts w:ascii="Arial" w:hAnsi="Arial" w:cs="Arial"/>
          <w:sz w:val="24"/>
          <w:szCs w:val="24"/>
        </w:rPr>
        <w:t xml:space="preserve">operates </w:t>
      </w:r>
      <w:r w:rsidRPr="002A7A9E">
        <w:rPr>
          <w:rFonts w:ascii="Arial" w:hAnsi="Arial" w:cs="Arial"/>
          <w:sz w:val="24"/>
          <w:szCs w:val="24"/>
        </w:rPr>
        <w:t xml:space="preserve">almost 1150 hotels throughout 70 nations (Qubein, 2023). It offers genuine hospitality experiences and unique services under 26 well-known brands. </w:t>
      </w:r>
    </w:p>
    <w:p w14:paraId="6D852B6E" w14:textId="77777777" w:rsidR="007162D5" w:rsidRDefault="007162D5" w:rsidP="007162D5">
      <w:pPr>
        <w:spacing w:line="360" w:lineRule="auto"/>
        <w:ind w:firstLine="720"/>
        <w:contextualSpacing/>
        <w:jc w:val="both"/>
        <w:rPr>
          <w:rFonts w:ascii="Arial" w:hAnsi="Arial" w:cs="Arial"/>
          <w:sz w:val="24"/>
          <w:szCs w:val="24"/>
        </w:rPr>
      </w:pPr>
      <w:r w:rsidRPr="007162D5">
        <w:rPr>
          <w:rFonts w:ascii="Arial" w:hAnsi="Arial" w:cs="Arial"/>
          <w:sz w:val="24"/>
          <w:szCs w:val="24"/>
        </w:rPr>
        <w:t>The research is set up to analyse both businesses thoroughly, looking at their overall revenue, market share, potential for expansion, and financial commitment to CSR through in-depth analyses and comparisons. Following this in-depth investigation, suggestions are made</w:t>
      </w:r>
      <w:r>
        <w:rPr>
          <w:rFonts w:ascii="Times New Roman" w:hAnsi="Times New Roman" w:cs="Times New Roman"/>
          <w:sz w:val="24"/>
          <w:szCs w:val="24"/>
        </w:rPr>
        <w:t xml:space="preserve"> </w:t>
      </w:r>
      <w:r w:rsidRPr="007162D5">
        <w:rPr>
          <w:rFonts w:ascii="Arial" w:hAnsi="Arial" w:cs="Arial"/>
          <w:sz w:val="24"/>
          <w:szCs w:val="24"/>
        </w:rPr>
        <w:t>for each organisation in light of the data. The key insights and findings are summarised in the report's conclusion.</w:t>
      </w:r>
    </w:p>
    <w:p w14:paraId="6E6D3885" w14:textId="77777777" w:rsidR="00CC30EC" w:rsidRDefault="00CC30EC" w:rsidP="00CC30EC">
      <w:pPr>
        <w:spacing w:line="480" w:lineRule="auto"/>
        <w:contextualSpacing/>
        <w:jc w:val="center"/>
        <w:rPr>
          <w:rFonts w:ascii="Times New Roman" w:hAnsi="Times New Roman" w:cs="Times New Roman"/>
          <w:sz w:val="24"/>
          <w:szCs w:val="24"/>
        </w:rPr>
      </w:pPr>
    </w:p>
    <w:p w14:paraId="52D7E9DC" w14:textId="10999170" w:rsidR="00CC30EC" w:rsidRPr="00CC30EC" w:rsidRDefault="00CC30EC" w:rsidP="00CC30EC">
      <w:pPr>
        <w:spacing w:line="360" w:lineRule="auto"/>
        <w:contextualSpacing/>
        <w:jc w:val="center"/>
        <w:rPr>
          <w:rFonts w:ascii="Arial" w:hAnsi="Arial" w:cs="Arial"/>
          <w:b/>
          <w:bCs/>
          <w:sz w:val="24"/>
          <w:szCs w:val="24"/>
        </w:rPr>
      </w:pPr>
      <w:r w:rsidRPr="00CC30EC">
        <w:rPr>
          <w:rFonts w:ascii="Arial" w:hAnsi="Arial" w:cs="Arial"/>
          <w:b/>
          <w:bCs/>
          <w:sz w:val="24"/>
          <w:szCs w:val="24"/>
        </w:rPr>
        <w:lastRenderedPageBreak/>
        <w:t>Scope and Objectives of the Report</w:t>
      </w:r>
    </w:p>
    <w:p w14:paraId="77CD0A16" w14:textId="77777777" w:rsidR="00CC30EC" w:rsidRDefault="00CC30EC" w:rsidP="00CC30EC">
      <w:pPr>
        <w:spacing w:line="480" w:lineRule="auto"/>
        <w:ind w:firstLine="720"/>
        <w:contextualSpacing/>
        <w:rPr>
          <w:rFonts w:ascii="Times New Roman" w:hAnsi="Times New Roman" w:cs="Times New Roman"/>
          <w:sz w:val="24"/>
          <w:szCs w:val="24"/>
        </w:rPr>
      </w:pPr>
    </w:p>
    <w:p w14:paraId="40337197" w14:textId="45631153" w:rsidR="00CC30EC" w:rsidRPr="00CC30EC" w:rsidRDefault="00CC30EC" w:rsidP="00CC30EC">
      <w:pPr>
        <w:spacing w:line="360" w:lineRule="auto"/>
        <w:ind w:firstLine="720"/>
        <w:contextualSpacing/>
        <w:jc w:val="both"/>
        <w:rPr>
          <w:rFonts w:ascii="Arial" w:hAnsi="Arial" w:cs="Arial"/>
          <w:sz w:val="24"/>
          <w:szCs w:val="24"/>
        </w:rPr>
      </w:pPr>
      <w:r w:rsidRPr="00CC30EC">
        <w:rPr>
          <w:rFonts w:ascii="Arial" w:hAnsi="Arial" w:cs="Arial"/>
          <w:sz w:val="24"/>
          <w:szCs w:val="24"/>
        </w:rPr>
        <w:t>The primary objective of this report is to evaluate and contrast the financial results of Hyatt Hotels and Marriott International. The examination is centered on total revenue, market position, stability, the potential for growth, and financial support for Corporate Social Responsibility (CSR). The report attempts to offer insights into the financial management strategies used by both firms and their implications for upcoming performance. Additionally, each organisation's potential growth possibilities and areas for improvement have been addressed by the report. The research seeks to offer a comprehensive and knowledgeable perspective on the financial performance of these two top hospitality industry businesses by examining current examples and facts from numerous sources.</w:t>
      </w:r>
    </w:p>
    <w:p w14:paraId="2060F2A3" w14:textId="049C78DE" w:rsidR="00CC30EC" w:rsidRDefault="00CC30EC" w:rsidP="007162D5">
      <w:pPr>
        <w:spacing w:line="36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 </w:t>
      </w:r>
    </w:p>
    <w:p w14:paraId="506CB156" w14:textId="77777777" w:rsidR="00CC30EC" w:rsidRDefault="00CC30EC" w:rsidP="00CC30EC">
      <w:pPr>
        <w:spacing w:line="480" w:lineRule="auto"/>
        <w:contextualSpacing/>
        <w:jc w:val="center"/>
        <w:rPr>
          <w:rFonts w:ascii="Arial" w:hAnsi="Arial" w:cs="Arial"/>
          <w:b/>
          <w:bCs/>
          <w:sz w:val="24"/>
          <w:szCs w:val="24"/>
        </w:rPr>
      </w:pPr>
      <w:r w:rsidRPr="00CC30EC">
        <w:rPr>
          <w:rFonts w:ascii="Arial" w:hAnsi="Arial" w:cs="Arial"/>
          <w:b/>
          <w:bCs/>
          <w:sz w:val="24"/>
          <w:szCs w:val="24"/>
        </w:rPr>
        <w:t>Total Revenue</w:t>
      </w:r>
    </w:p>
    <w:p w14:paraId="14279A62" w14:textId="77777777" w:rsidR="00CC30EC" w:rsidRPr="00CC30EC" w:rsidRDefault="00CC30EC" w:rsidP="00CC30EC">
      <w:pPr>
        <w:spacing w:line="360" w:lineRule="auto"/>
        <w:ind w:firstLine="720"/>
        <w:contextualSpacing/>
        <w:jc w:val="both"/>
        <w:rPr>
          <w:rFonts w:ascii="Arial" w:hAnsi="Arial" w:cs="Arial"/>
          <w:sz w:val="24"/>
          <w:szCs w:val="24"/>
        </w:rPr>
      </w:pPr>
      <w:r w:rsidRPr="00CC30EC">
        <w:rPr>
          <w:rFonts w:ascii="Arial" w:hAnsi="Arial" w:cs="Arial"/>
          <w:sz w:val="24"/>
          <w:szCs w:val="24"/>
        </w:rPr>
        <w:t xml:space="preserve">Over the years, Marriott International has continually shown strong revenue growth, securing its position as a market leader in the hospitality industry. The company recorded overall revenue of approximately $20.77 billion in 2022, with increasing demand, strong RevPAR (Revenue per Available Room), and successful brand expansions being the main contributors (Statista Research Department, 2023). Marriott International created $10.6 billion in total revenue in 2020 despite the difficulties caused by the COVID-19 pandemic, demonstrating its adaptation and resilience. The company's extensive global presence and diverse brand portfolio have made a substantial impact on its revenue growth. Additionally, Marriott International's strategic emphasis on utilising technology to improve guest experiences, streamline operations, and generate additional revenue has been essential in preserving its position as the leader in the industry (Roy, 2019). Similarly to Marriott International, Hyatt Hotels has had consistent revenue growth over the years, albeit not to the same extent. The robust demand for its distinctive brands, rising occupancy rates, and increasing average daily rates were the main drivers of Hyatt Hotels' $5.891 billion total revenue in 2022. Hyatt's operations were heavily disrupted by the COVID-19 pandemic, which caused a drop in total revenue to $2.07 billion in 2020 (Lehtonen, 2023). Despite the difficulties, Hyatt Hotels has persisted in investing in strategic growth projects like expansions of the brand and property upgrades to boost the value </w:t>
      </w:r>
      <w:r w:rsidRPr="00CC30EC">
        <w:rPr>
          <w:rFonts w:ascii="Arial" w:hAnsi="Arial" w:cs="Arial"/>
          <w:sz w:val="24"/>
          <w:szCs w:val="24"/>
        </w:rPr>
        <w:lastRenderedPageBreak/>
        <w:t>of its brand and spur future revenue growth (Hospitality On, 2023). The company has also concentrated on utilising cutting-edge technologies and putting them into practice to increase operational effectiveness and produce customised customer experiences.</w:t>
      </w:r>
    </w:p>
    <w:p w14:paraId="4E5A5035" w14:textId="77777777" w:rsidR="00CC30EC" w:rsidRDefault="00CC30EC" w:rsidP="00CC30EC">
      <w:pPr>
        <w:spacing w:line="360" w:lineRule="auto"/>
        <w:ind w:firstLine="720"/>
        <w:contextualSpacing/>
        <w:jc w:val="both"/>
        <w:rPr>
          <w:rFonts w:ascii="Arial" w:hAnsi="Arial" w:cs="Arial"/>
          <w:sz w:val="24"/>
          <w:szCs w:val="24"/>
        </w:rPr>
      </w:pPr>
      <w:r w:rsidRPr="00CC30EC">
        <w:rPr>
          <w:rFonts w:ascii="Arial" w:hAnsi="Arial" w:cs="Arial"/>
          <w:sz w:val="24"/>
          <w:szCs w:val="24"/>
        </w:rPr>
        <w:t>Comparing the two companies' income, Marriott International generates substantially greater revenues than Hyatt Hotels. The company's wide-ranging worldwide presence has facilitated strong revenue growth, a varied brand portfolio, and a strategic focus on technology. Despite having a lower income than Marriott International, Hyatt Hotels has shown consistent growth and a dedication to raising the value of its brand (Zacks, 2018). The company has maintained a competitive advantage in the market attributable to its focus on providing exceptional services and real-world hospitality experiences. In conclusion, though on different scales, both Marriott International and Hyatt Hotels have seen increases in income over time. Utilising technology, improving customer service, and diversifying their brand portfolios are just a few of each company's distinctive revenue-generating techniques. While both companies have demonstrated resiliency in the face of market obstacles like the COVID-19 epidemic and continue to engage in programs to spur future growth, Marriott International has a substantial advantage in total revenue growth. Both Marriott International and Hyatt Hotels have experienced revenue growth through distinctive business models, with Marriott International holding a competitive edge. Despite this, both businesses have proven resilient in the face of adversity and are dedicated to maintaining their growth strategy.</w:t>
      </w:r>
    </w:p>
    <w:p w14:paraId="4721C1F8" w14:textId="77777777" w:rsidR="00A273C4" w:rsidRDefault="00A273C4" w:rsidP="00CC30EC">
      <w:pPr>
        <w:spacing w:line="360" w:lineRule="auto"/>
        <w:ind w:firstLine="720"/>
        <w:contextualSpacing/>
        <w:jc w:val="both"/>
        <w:rPr>
          <w:rFonts w:ascii="Arial" w:hAnsi="Arial" w:cs="Arial"/>
          <w:sz w:val="24"/>
          <w:szCs w:val="24"/>
        </w:rPr>
      </w:pPr>
    </w:p>
    <w:p w14:paraId="49AA255B" w14:textId="77777777" w:rsidR="00A273C4" w:rsidRDefault="00A273C4" w:rsidP="00A273C4">
      <w:pPr>
        <w:spacing w:line="360" w:lineRule="auto"/>
        <w:contextualSpacing/>
        <w:jc w:val="center"/>
        <w:rPr>
          <w:rFonts w:ascii="Arial" w:hAnsi="Arial" w:cs="Arial"/>
          <w:b/>
          <w:bCs/>
          <w:sz w:val="24"/>
          <w:szCs w:val="24"/>
        </w:rPr>
      </w:pPr>
      <w:r w:rsidRPr="00A273C4">
        <w:rPr>
          <w:rFonts w:ascii="Arial" w:hAnsi="Arial" w:cs="Arial"/>
          <w:b/>
          <w:bCs/>
          <w:sz w:val="24"/>
          <w:szCs w:val="24"/>
        </w:rPr>
        <w:t>Market Position and Stability</w:t>
      </w:r>
    </w:p>
    <w:p w14:paraId="478F734A" w14:textId="77777777" w:rsidR="00A273C4" w:rsidRDefault="00A273C4" w:rsidP="00A273C4">
      <w:pPr>
        <w:spacing w:line="360" w:lineRule="auto"/>
        <w:contextualSpacing/>
        <w:jc w:val="center"/>
        <w:rPr>
          <w:rFonts w:ascii="Arial" w:hAnsi="Arial" w:cs="Arial"/>
          <w:b/>
          <w:bCs/>
          <w:sz w:val="24"/>
          <w:szCs w:val="24"/>
        </w:rPr>
      </w:pPr>
    </w:p>
    <w:p w14:paraId="7CFC02D4" w14:textId="0DD7FDE4" w:rsidR="00A273C4" w:rsidRPr="00A273C4" w:rsidRDefault="00A273C4" w:rsidP="00A273C4">
      <w:pPr>
        <w:spacing w:line="360" w:lineRule="auto"/>
        <w:ind w:firstLine="720"/>
        <w:contextualSpacing/>
        <w:jc w:val="both"/>
        <w:rPr>
          <w:rFonts w:ascii="Arial" w:hAnsi="Arial" w:cs="Arial"/>
          <w:sz w:val="24"/>
          <w:szCs w:val="24"/>
        </w:rPr>
      </w:pPr>
      <w:r w:rsidRPr="00A273C4">
        <w:rPr>
          <w:rFonts w:ascii="Arial" w:hAnsi="Arial" w:cs="Arial"/>
          <w:sz w:val="24"/>
          <w:szCs w:val="24"/>
        </w:rPr>
        <w:t xml:space="preserve">As the world's second-largest hospitality group, Marriott has acquired this dominant market position due to its diverse brand portfolio, extensive global presence, and innovative customer-centric strategies (Xaif, 2023). The organisation holds a strong market position in various segments, encompassing luxury and select-service hotels. Due to the diversification strategy used by the corporation, they can ensure a consistent and reliable source of revenue as they effectively serve an extensive spectrum of customers as Qubein (2023) outlines. The corporation's emphasis on cost management, operational effectiveness, and strategic investments has aided in sustaining profitability and guaranteeing long-term expansion. Marriott's notable brand </w:t>
      </w:r>
      <w:r w:rsidRPr="00A273C4">
        <w:rPr>
          <w:rFonts w:ascii="Arial" w:hAnsi="Arial" w:cs="Arial"/>
          <w:sz w:val="24"/>
          <w:szCs w:val="24"/>
        </w:rPr>
        <w:lastRenderedPageBreak/>
        <w:t>recognition, coupled with its dedication to providing outstanding guest experiences and utilising technology, reinforces its strong market position and stability.</w:t>
      </w:r>
    </w:p>
    <w:p w14:paraId="6B058283" w14:textId="77777777" w:rsidR="00A273C4" w:rsidRPr="00A273C4" w:rsidRDefault="00A273C4" w:rsidP="00A273C4">
      <w:pPr>
        <w:spacing w:line="360" w:lineRule="auto"/>
        <w:ind w:firstLine="720"/>
        <w:contextualSpacing/>
        <w:jc w:val="both"/>
        <w:rPr>
          <w:rFonts w:ascii="Arial" w:hAnsi="Arial" w:cs="Arial"/>
          <w:sz w:val="24"/>
          <w:szCs w:val="24"/>
        </w:rPr>
      </w:pPr>
      <w:r w:rsidRPr="00A273C4">
        <w:rPr>
          <w:rFonts w:ascii="Arial" w:hAnsi="Arial" w:cs="Arial"/>
          <w:sz w:val="24"/>
          <w:szCs w:val="24"/>
        </w:rPr>
        <w:t>Despite being smaller in scale compared to Marriott International, Hyatt Hotels has established itself as a reputable player in the hospitality industry. Hyatt has effectively established a unique position in the market by providing genuine hospitality experiences and customised services through its portfolio of distinctive brands (Qubein, 2023). The corporation possesses a strong presence in various significant markets worldwide, which enhances its market position and stability. Hyatt Hotels has demonstrated financial resilience amid industry challenges, including the COVID-19 pandemic. Hyatt has sustained its profitability and secured future growth by prioritising strategic growth initiatives, such as brand expansions, property and resource renovations, and technology integration. The company's commitment to generating value for its guests, owners, and stakeholders further strengthens its market position and stability (Hyatt).</w:t>
      </w:r>
    </w:p>
    <w:p w14:paraId="4D6CD366" w14:textId="509D6925" w:rsidR="00A273C4" w:rsidRPr="00A273C4" w:rsidRDefault="00A273C4" w:rsidP="00A273C4">
      <w:pPr>
        <w:spacing w:line="360" w:lineRule="auto"/>
        <w:ind w:firstLine="720"/>
        <w:contextualSpacing/>
        <w:jc w:val="both"/>
        <w:rPr>
          <w:rFonts w:ascii="Arial" w:hAnsi="Arial" w:cs="Arial"/>
          <w:sz w:val="24"/>
          <w:szCs w:val="24"/>
        </w:rPr>
      </w:pPr>
      <w:r w:rsidRPr="00A273C4">
        <w:rPr>
          <w:rFonts w:ascii="Arial" w:hAnsi="Arial" w:cs="Arial"/>
          <w:sz w:val="24"/>
          <w:szCs w:val="24"/>
        </w:rPr>
        <w:t xml:space="preserve">Upon analysing the market position and stability of Marriott International and Hyatt Hotels, it becomes apparent that Marriott possesses a distinct advantage owing to its extensive size, worldwide reach, and varied brand portfolio. Nevertheless, Hyatt Hotels has succeeded in establishing a solid market position independently by providing exceptional services and experiences through </w:t>
      </w:r>
      <w:r w:rsidR="00431FD0" w:rsidRPr="00A273C4">
        <w:rPr>
          <w:rFonts w:ascii="Arial" w:hAnsi="Arial" w:cs="Arial"/>
          <w:sz w:val="24"/>
          <w:szCs w:val="24"/>
        </w:rPr>
        <w:t>their</w:t>
      </w:r>
      <w:r w:rsidRPr="00A273C4">
        <w:rPr>
          <w:rFonts w:ascii="Arial" w:hAnsi="Arial" w:cs="Arial"/>
          <w:sz w:val="24"/>
          <w:szCs w:val="24"/>
        </w:rPr>
        <w:t xml:space="preserve"> exclusive brands. Regarding financial stability, both corporations have exhibited resilience and adaptability when confronted with industry challenges. The dedication to managing expenses, optimising operations, and making prudent investments have contributed to sustaining profitability and securing sustainable expansion (Wood, 2022). Marriott International holds a prominent market position and exhibits superior financial stability. However, Hyatt Hotels is also a noteworthy contender in the hospitality industry, providing authentic experiences and striving for continuous improvements. Both entities are adequately positioned to navigate upcoming challenges and capitali</w:t>
      </w:r>
      <w:r w:rsidR="00431FD0">
        <w:rPr>
          <w:rFonts w:ascii="Arial" w:hAnsi="Arial" w:cs="Arial"/>
          <w:sz w:val="24"/>
          <w:szCs w:val="24"/>
        </w:rPr>
        <w:t>s</w:t>
      </w:r>
      <w:r w:rsidRPr="00A273C4">
        <w:rPr>
          <w:rFonts w:ascii="Arial" w:hAnsi="Arial" w:cs="Arial"/>
          <w:sz w:val="24"/>
          <w:szCs w:val="24"/>
        </w:rPr>
        <w:t>e on growth prospects.</w:t>
      </w:r>
    </w:p>
    <w:p w14:paraId="6630D84C" w14:textId="77777777" w:rsidR="00A273C4" w:rsidRDefault="00A273C4" w:rsidP="00A273C4">
      <w:pPr>
        <w:spacing w:line="360" w:lineRule="auto"/>
        <w:contextualSpacing/>
        <w:jc w:val="center"/>
        <w:rPr>
          <w:rFonts w:ascii="Arial" w:hAnsi="Arial" w:cs="Arial"/>
          <w:b/>
          <w:bCs/>
          <w:sz w:val="24"/>
          <w:szCs w:val="24"/>
        </w:rPr>
      </w:pPr>
    </w:p>
    <w:p w14:paraId="6DF6F900" w14:textId="77777777" w:rsidR="00431FD0" w:rsidRDefault="00431FD0" w:rsidP="00431FD0">
      <w:pPr>
        <w:spacing w:line="360" w:lineRule="auto"/>
        <w:contextualSpacing/>
        <w:jc w:val="center"/>
        <w:rPr>
          <w:rFonts w:ascii="Arial" w:hAnsi="Arial" w:cs="Arial"/>
          <w:b/>
          <w:bCs/>
          <w:sz w:val="24"/>
          <w:szCs w:val="24"/>
        </w:rPr>
      </w:pPr>
      <w:r w:rsidRPr="00431FD0">
        <w:rPr>
          <w:rFonts w:ascii="Arial" w:hAnsi="Arial" w:cs="Arial"/>
          <w:b/>
          <w:bCs/>
          <w:sz w:val="24"/>
          <w:szCs w:val="24"/>
        </w:rPr>
        <w:t>Growth Potential</w:t>
      </w:r>
    </w:p>
    <w:p w14:paraId="0AD96634" w14:textId="77777777" w:rsidR="00431FD0" w:rsidRDefault="00431FD0" w:rsidP="00431FD0">
      <w:pPr>
        <w:spacing w:line="360" w:lineRule="auto"/>
        <w:contextualSpacing/>
        <w:jc w:val="center"/>
        <w:rPr>
          <w:rFonts w:ascii="Arial" w:hAnsi="Arial" w:cs="Arial"/>
          <w:b/>
          <w:bCs/>
          <w:sz w:val="24"/>
          <w:szCs w:val="24"/>
        </w:rPr>
      </w:pPr>
    </w:p>
    <w:p w14:paraId="00DEADBB" w14:textId="5A63066D" w:rsidR="00431FD0" w:rsidRPr="00431FD0" w:rsidRDefault="00431FD0" w:rsidP="00431FD0">
      <w:pPr>
        <w:spacing w:line="360" w:lineRule="auto"/>
        <w:ind w:firstLine="720"/>
        <w:contextualSpacing/>
        <w:jc w:val="both"/>
        <w:rPr>
          <w:rFonts w:ascii="Arial" w:hAnsi="Arial" w:cs="Arial"/>
          <w:sz w:val="24"/>
          <w:szCs w:val="24"/>
        </w:rPr>
      </w:pPr>
      <w:r w:rsidRPr="00431FD0">
        <w:rPr>
          <w:rFonts w:ascii="Arial" w:hAnsi="Arial" w:cs="Arial"/>
          <w:sz w:val="24"/>
          <w:szCs w:val="24"/>
        </w:rPr>
        <w:t xml:space="preserve">Due to its robust brand portfolio, extensive global presence, and cutting-edge business practices, Cypert (2023) elaborates that Marriott International offers enormous development potential. The business is steadily growing its presence in </w:t>
      </w:r>
      <w:r w:rsidRPr="00431FD0">
        <w:rPr>
          <w:rFonts w:ascii="Arial" w:hAnsi="Arial" w:cs="Arial"/>
          <w:sz w:val="24"/>
          <w:szCs w:val="24"/>
        </w:rPr>
        <w:lastRenderedPageBreak/>
        <w:t>both developed and developing markets, with a focus on high-potential areas including Asia-Pacific, the Middle East, and Africa. Marriott can access new markets and consumer groups because of its wide range of brand offerings catering to different customer segments. Marriott's growth potential is significantly influenced by innovation. The organisation aggressively invests in digital solutions and technology to improve the customer experience, streamline operations, and increase income. Marriott's dedication to sustainability and CSR is vital to the company's growth potential since it satisfies the growing demand from customers for sustainable and ethical travel experiences (User, 2018).</w:t>
      </w:r>
    </w:p>
    <w:p w14:paraId="79BB92DB" w14:textId="5B491088" w:rsidR="00431FD0" w:rsidRPr="00431FD0" w:rsidRDefault="00431FD0" w:rsidP="00431FD0">
      <w:pPr>
        <w:spacing w:line="360" w:lineRule="auto"/>
        <w:ind w:firstLine="720"/>
        <w:contextualSpacing/>
        <w:jc w:val="both"/>
        <w:rPr>
          <w:rFonts w:ascii="Arial" w:hAnsi="Arial" w:cs="Arial"/>
          <w:sz w:val="24"/>
          <w:szCs w:val="24"/>
        </w:rPr>
      </w:pPr>
      <w:r w:rsidRPr="00431FD0">
        <w:rPr>
          <w:rFonts w:ascii="Arial" w:hAnsi="Arial" w:cs="Arial"/>
          <w:sz w:val="24"/>
          <w:szCs w:val="24"/>
        </w:rPr>
        <w:t>With a focus on growing its distinctive brands and boosting its brand value, Hyatt Hotels also offers great development potential. The company strategically focuses on essential markets and areas like Europe and Asia-Pacific to increase its global footprint. Hyatt also invests in property improvements and development initiatives to enhance its current assets and spur expansion (Hyatt, 2022). The potential for success at Hyatt is greatly influenced by technology and innovation. The organisation is implementing innovative solutions to increase operational effectiveness, enhance customer experience, and spur revenue development. Hyatt's dedication to sustainability and ethical business practices also aligns with the growing consumer desire for environmentally friendly travel options, increasing its growth potential (Luiten, 2020).</w:t>
      </w:r>
    </w:p>
    <w:p w14:paraId="2BFDD70B" w14:textId="77777777" w:rsidR="00431FD0" w:rsidRPr="00431FD0" w:rsidRDefault="00431FD0" w:rsidP="00431FD0">
      <w:pPr>
        <w:spacing w:line="360" w:lineRule="auto"/>
        <w:ind w:firstLine="720"/>
        <w:contextualSpacing/>
        <w:jc w:val="both"/>
        <w:rPr>
          <w:rFonts w:ascii="Arial" w:hAnsi="Arial" w:cs="Arial"/>
          <w:sz w:val="24"/>
          <w:szCs w:val="24"/>
        </w:rPr>
      </w:pPr>
      <w:r w:rsidRPr="00431FD0">
        <w:rPr>
          <w:rFonts w:ascii="Arial" w:hAnsi="Arial" w:cs="Arial"/>
          <w:sz w:val="24"/>
          <w:szCs w:val="24"/>
        </w:rPr>
        <w:t>Due to their different brand portfolios, global expansion plans, and emphasis on innovation, Marriott International and Hyatt Hotels have significant growth potential. Hyatt's concentration on providing outstanding services and experiences through its different brands positions it well for growth in specific markets according to Bhasin (2018). However, Marriott's greater size and more varied brand offerings have broader growth potential. As they adapt to changing consumer expectations and market trends, innovation, technology, and sustainability are significant factors that could propel success for both businesses. Despite Marriott International's apparent scale and worldwide presence advantages, Hyatt Hotels is still competitive in the hospitality sector with considerable development potential (Thomas, 2022). This is attributed to its organised market expansion and ongoing improvement programs.</w:t>
      </w:r>
    </w:p>
    <w:p w14:paraId="1BD25D3A" w14:textId="77777777" w:rsidR="00431FD0" w:rsidRDefault="00431FD0" w:rsidP="00431FD0">
      <w:pPr>
        <w:spacing w:line="360" w:lineRule="auto"/>
        <w:contextualSpacing/>
        <w:jc w:val="center"/>
        <w:rPr>
          <w:rFonts w:ascii="Arial" w:hAnsi="Arial" w:cs="Arial"/>
          <w:b/>
          <w:bCs/>
          <w:sz w:val="24"/>
          <w:szCs w:val="24"/>
        </w:rPr>
      </w:pPr>
    </w:p>
    <w:p w14:paraId="49C6BA60" w14:textId="77777777" w:rsidR="00431FD0" w:rsidRDefault="00431FD0" w:rsidP="00431FD0">
      <w:pPr>
        <w:spacing w:line="480" w:lineRule="auto"/>
        <w:contextualSpacing/>
        <w:jc w:val="center"/>
        <w:rPr>
          <w:rFonts w:ascii="Times New Roman" w:hAnsi="Times New Roman" w:cs="Times New Roman"/>
          <w:sz w:val="24"/>
          <w:szCs w:val="24"/>
        </w:rPr>
      </w:pPr>
    </w:p>
    <w:p w14:paraId="7B155B32" w14:textId="7D58912F" w:rsidR="00431FD0" w:rsidRDefault="00431FD0" w:rsidP="00431FD0">
      <w:pPr>
        <w:spacing w:line="360" w:lineRule="auto"/>
        <w:contextualSpacing/>
        <w:jc w:val="center"/>
        <w:rPr>
          <w:rFonts w:ascii="Arial" w:hAnsi="Arial" w:cs="Arial"/>
          <w:b/>
          <w:bCs/>
          <w:sz w:val="24"/>
          <w:szCs w:val="24"/>
        </w:rPr>
      </w:pPr>
      <w:r w:rsidRPr="00431FD0">
        <w:rPr>
          <w:rFonts w:ascii="Arial" w:hAnsi="Arial" w:cs="Arial"/>
          <w:b/>
          <w:bCs/>
          <w:sz w:val="24"/>
          <w:szCs w:val="24"/>
        </w:rPr>
        <w:lastRenderedPageBreak/>
        <w:t>Financial Commitment to CSR</w:t>
      </w:r>
    </w:p>
    <w:p w14:paraId="1E686057" w14:textId="77777777" w:rsidR="00431FD0" w:rsidRDefault="00431FD0" w:rsidP="00431FD0">
      <w:pPr>
        <w:spacing w:line="360" w:lineRule="auto"/>
        <w:contextualSpacing/>
        <w:jc w:val="center"/>
        <w:rPr>
          <w:rFonts w:ascii="Arial" w:hAnsi="Arial" w:cs="Arial"/>
          <w:b/>
          <w:bCs/>
          <w:sz w:val="24"/>
          <w:szCs w:val="24"/>
        </w:rPr>
      </w:pPr>
    </w:p>
    <w:p w14:paraId="49B43AC5" w14:textId="52CA4CA4" w:rsidR="00431FD0" w:rsidRPr="00431FD0" w:rsidRDefault="00431FD0" w:rsidP="00431FD0">
      <w:pPr>
        <w:spacing w:line="360" w:lineRule="auto"/>
        <w:ind w:firstLine="720"/>
        <w:contextualSpacing/>
        <w:jc w:val="both"/>
        <w:rPr>
          <w:rFonts w:ascii="Arial" w:hAnsi="Arial" w:cs="Arial"/>
          <w:sz w:val="24"/>
          <w:szCs w:val="24"/>
        </w:rPr>
      </w:pPr>
      <w:r w:rsidRPr="00431FD0">
        <w:rPr>
          <w:rFonts w:ascii="Arial" w:hAnsi="Arial" w:cs="Arial"/>
          <w:sz w:val="24"/>
          <w:szCs w:val="24"/>
        </w:rPr>
        <w:t>Marriott International has made a noteworthy financial pledge to corporate social responsibility (CSR), concentrating on crucial areas such as environmental sustainability, social impact, and responsible sourcing (Marriott, 2022). The corporation has established lofty objectives, including reducing carbon emissions, minimising waste, and augmentation renewable energy utilisation. Marriott has additionally instituted diverse initiatives and collaborations to advance sustainable tourism, bolster indigenous communities, and foster economic prospects. The Serve 360 initiative of Marriott is a prime example of its dedication to Corporate Social Responsibility (CSR). Jacques (2019) establishes that this all-encompassing program endeavors to attain favorable and enduring outcomes globally by concentrating on four fundamental principles: Cultivate Our Planet, Maintain Accountable Practices, Enable Through Opportunities, and Embrace All and Promote Human Rights. Marriott invests in various projects and partnerships through Serve 360, which aims to support the United Nations Sustainable Development Goals (SDGs).</w:t>
      </w:r>
    </w:p>
    <w:p w14:paraId="223F8078" w14:textId="0AB0659B" w:rsidR="00431FD0" w:rsidRPr="00431FD0" w:rsidRDefault="00431FD0" w:rsidP="00431FD0">
      <w:pPr>
        <w:spacing w:line="360" w:lineRule="auto"/>
        <w:ind w:firstLine="720"/>
        <w:contextualSpacing/>
        <w:jc w:val="both"/>
        <w:rPr>
          <w:rFonts w:ascii="Arial" w:hAnsi="Arial" w:cs="Arial"/>
          <w:sz w:val="24"/>
          <w:szCs w:val="24"/>
        </w:rPr>
      </w:pPr>
      <w:r w:rsidRPr="00431FD0">
        <w:rPr>
          <w:rFonts w:ascii="Arial" w:hAnsi="Arial" w:cs="Arial"/>
          <w:sz w:val="24"/>
          <w:szCs w:val="24"/>
        </w:rPr>
        <w:t>On the contrary, Hyatt Hotels demonstrates a commitment to Corporate Social Responsibility (CSR) by emphasising more on community engagement, environmental sustainability, and responsible business practices (Hyatt, 2022). By implementing various initiatives, such as endeavors to minimise waste, preserve water, and enhance the utilisation of clean energy, the business has managed to reduce any environmental impact. Hyatt also actively engages with local communities to support education, health, and well-being initiatives. The Hyatt Thrive platform showcases Hyatt's dedication to Corporate Social Responsibility (CSR). Hyatt Thrive comprises diverse programs and initiatives that foster the welfare of communities, the environment, and Hyatt's workforce according to Hospitality On (2022). Hyatt Thrive is a program through which the company collaborates with diverse stakeholders, such as guests, owners, and suppliers, to establish enduring positive outcomes.</w:t>
      </w:r>
    </w:p>
    <w:p w14:paraId="79303A75" w14:textId="48703FEE" w:rsidR="00431FD0" w:rsidRDefault="00431FD0" w:rsidP="00431FD0">
      <w:pPr>
        <w:spacing w:line="360" w:lineRule="auto"/>
        <w:ind w:firstLine="720"/>
        <w:contextualSpacing/>
        <w:jc w:val="both"/>
        <w:rPr>
          <w:rFonts w:ascii="Arial" w:hAnsi="Arial" w:cs="Arial"/>
          <w:sz w:val="24"/>
          <w:szCs w:val="24"/>
        </w:rPr>
      </w:pPr>
      <w:r w:rsidRPr="00431FD0">
        <w:rPr>
          <w:rFonts w:ascii="Arial" w:hAnsi="Arial" w:cs="Arial"/>
          <w:sz w:val="24"/>
          <w:szCs w:val="24"/>
        </w:rPr>
        <w:t xml:space="preserve">Marriott International and Hyatt Hotels exhibit a robust financial dedication to Corporate Social Responsibility (CSR), particularly emphasising environmental sustainability, social impact, and responsible business practices. Marriott's Serve 360 initiative and Hyatt's Thrive platform exemplify their commitment to generating positive impact through comprehensive CSR programs (Comparably, n.d). Marriott's extensive size enables it to have a more substantial worldwide influence. In contrast, Hyatt's </w:t>
      </w:r>
      <w:r w:rsidRPr="00431FD0">
        <w:rPr>
          <w:rFonts w:ascii="Arial" w:hAnsi="Arial" w:cs="Arial"/>
          <w:sz w:val="24"/>
          <w:szCs w:val="24"/>
        </w:rPr>
        <w:lastRenderedPageBreak/>
        <w:t>focused strategy towards CSR initiatives guarantees that it stays competitive and responsive to the specific requirements of local communities. Both corporations acknowledge the significance of aligning their Corporate Social Responsibility endeavors with broader industry patterns and the United Nations Sustainable Development Goals, showcasing their dedication to ethical business practices and enduring sustainability.</w:t>
      </w:r>
    </w:p>
    <w:p w14:paraId="769070A3" w14:textId="77777777" w:rsidR="00431FD0" w:rsidRDefault="00431FD0" w:rsidP="00431FD0">
      <w:pPr>
        <w:spacing w:line="360" w:lineRule="auto"/>
        <w:ind w:firstLine="720"/>
        <w:contextualSpacing/>
        <w:jc w:val="both"/>
        <w:rPr>
          <w:rFonts w:ascii="Arial" w:hAnsi="Arial" w:cs="Arial"/>
          <w:sz w:val="24"/>
          <w:szCs w:val="24"/>
        </w:rPr>
      </w:pPr>
    </w:p>
    <w:p w14:paraId="05A1E6CD" w14:textId="77777777" w:rsidR="00431FD0" w:rsidRDefault="00431FD0" w:rsidP="00431FD0">
      <w:pPr>
        <w:spacing w:line="360" w:lineRule="auto"/>
        <w:contextualSpacing/>
        <w:jc w:val="center"/>
        <w:rPr>
          <w:rFonts w:ascii="Arial" w:hAnsi="Arial" w:cs="Arial"/>
          <w:b/>
          <w:bCs/>
          <w:sz w:val="24"/>
          <w:szCs w:val="24"/>
        </w:rPr>
      </w:pPr>
      <w:r w:rsidRPr="00431FD0">
        <w:rPr>
          <w:rFonts w:ascii="Arial" w:hAnsi="Arial" w:cs="Arial"/>
          <w:b/>
          <w:bCs/>
          <w:sz w:val="24"/>
          <w:szCs w:val="24"/>
        </w:rPr>
        <w:t>Recommendations</w:t>
      </w:r>
    </w:p>
    <w:p w14:paraId="2ECED78F" w14:textId="77777777" w:rsidR="00431FD0" w:rsidRDefault="00431FD0" w:rsidP="00431FD0">
      <w:pPr>
        <w:spacing w:line="360" w:lineRule="auto"/>
        <w:contextualSpacing/>
        <w:jc w:val="center"/>
        <w:rPr>
          <w:rFonts w:ascii="Arial" w:hAnsi="Arial" w:cs="Arial"/>
          <w:b/>
          <w:bCs/>
          <w:sz w:val="24"/>
          <w:szCs w:val="24"/>
        </w:rPr>
      </w:pPr>
    </w:p>
    <w:p w14:paraId="59D71453" w14:textId="77777777" w:rsidR="00431FD0" w:rsidRPr="00431FD0" w:rsidRDefault="00431FD0" w:rsidP="00431FD0">
      <w:pPr>
        <w:spacing w:line="360" w:lineRule="auto"/>
        <w:ind w:firstLine="720"/>
        <w:contextualSpacing/>
        <w:jc w:val="both"/>
        <w:rPr>
          <w:rFonts w:ascii="Arial" w:hAnsi="Arial" w:cs="Arial"/>
          <w:sz w:val="24"/>
          <w:szCs w:val="24"/>
        </w:rPr>
      </w:pPr>
      <w:r w:rsidRPr="00431FD0">
        <w:rPr>
          <w:rFonts w:ascii="Arial" w:hAnsi="Arial" w:cs="Arial"/>
          <w:sz w:val="24"/>
          <w:szCs w:val="24"/>
        </w:rPr>
        <w:t>Marriott International should focus on developing its footprint in emerging markets and diversifying its portfolio of brands. Marriott should invest in cutting-edge solutions that streamline its operations and offer distinctive guest experiences to increase its growth potential. Marriott should also increase its CSR efforts by establishing more challenging sustainability goals and actively interacting with regional communities to solve their unique needs and issues.</w:t>
      </w:r>
    </w:p>
    <w:p w14:paraId="2B339B68" w14:textId="77777777" w:rsidR="00431FD0" w:rsidRDefault="00431FD0" w:rsidP="00431FD0">
      <w:pPr>
        <w:spacing w:line="360" w:lineRule="auto"/>
        <w:ind w:firstLine="720"/>
        <w:contextualSpacing/>
        <w:jc w:val="both"/>
        <w:rPr>
          <w:rFonts w:ascii="Arial" w:hAnsi="Arial" w:cs="Arial"/>
          <w:sz w:val="24"/>
          <w:szCs w:val="24"/>
        </w:rPr>
      </w:pPr>
      <w:r w:rsidRPr="00431FD0">
        <w:rPr>
          <w:rFonts w:ascii="Arial" w:hAnsi="Arial" w:cs="Arial"/>
          <w:sz w:val="24"/>
          <w:szCs w:val="24"/>
        </w:rPr>
        <w:t>Hyatt Hotels should prioritise improving its brand's value by highlighting its broad portfolio's unique services and experiences. The business should keep pursuing strategic expansion in essential markets, concentrating on areas with strong growth prospects. Hyatt should invest in cutting-edge technologies that enhance guest experiences and encourage sustainable practices throughout its operations to stand out from rivals.</w:t>
      </w:r>
    </w:p>
    <w:p w14:paraId="77E087A8" w14:textId="77777777" w:rsidR="00C25336" w:rsidRPr="00C25336" w:rsidRDefault="00C25336" w:rsidP="00C25336">
      <w:pPr>
        <w:spacing w:line="360" w:lineRule="auto"/>
        <w:ind w:firstLine="720"/>
        <w:contextualSpacing/>
        <w:jc w:val="both"/>
        <w:rPr>
          <w:rFonts w:ascii="Arial" w:hAnsi="Arial" w:cs="Arial"/>
          <w:b/>
          <w:bCs/>
          <w:sz w:val="24"/>
          <w:szCs w:val="24"/>
        </w:rPr>
      </w:pPr>
    </w:p>
    <w:p w14:paraId="31B8E29D" w14:textId="77777777" w:rsidR="00C25336" w:rsidRPr="00C25336" w:rsidRDefault="00C25336" w:rsidP="00C25336">
      <w:pPr>
        <w:spacing w:line="360" w:lineRule="auto"/>
        <w:contextualSpacing/>
        <w:jc w:val="center"/>
        <w:rPr>
          <w:rFonts w:ascii="Arial" w:hAnsi="Arial" w:cs="Arial"/>
          <w:b/>
          <w:bCs/>
          <w:sz w:val="24"/>
          <w:szCs w:val="24"/>
        </w:rPr>
      </w:pPr>
      <w:r w:rsidRPr="00C25336">
        <w:rPr>
          <w:rFonts w:ascii="Arial" w:hAnsi="Arial" w:cs="Arial"/>
          <w:b/>
          <w:bCs/>
          <w:sz w:val="24"/>
          <w:szCs w:val="24"/>
        </w:rPr>
        <w:t>Conclusion</w:t>
      </w:r>
    </w:p>
    <w:p w14:paraId="3B7DCB3D" w14:textId="77777777" w:rsidR="00C25336" w:rsidRDefault="00C25336" w:rsidP="00431FD0">
      <w:pPr>
        <w:spacing w:line="360" w:lineRule="auto"/>
        <w:ind w:firstLine="720"/>
        <w:contextualSpacing/>
        <w:jc w:val="both"/>
        <w:rPr>
          <w:rFonts w:ascii="Arial" w:hAnsi="Arial" w:cs="Arial"/>
          <w:sz w:val="24"/>
          <w:szCs w:val="24"/>
        </w:rPr>
      </w:pPr>
    </w:p>
    <w:p w14:paraId="314FC004" w14:textId="77777777" w:rsidR="00C25336" w:rsidRDefault="00C25336" w:rsidP="00C25336">
      <w:pPr>
        <w:spacing w:line="360" w:lineRule="auto"/>
        <w:ind w:firstLine="720"/>
        <w:contextualSpacing/>
        <w:jc w:val="both"/>
        <w:rPr>
          <w:rFonts w:ascii="Arial" w:hAnsi="Arial" w:cs="Arial"/>
          <w:sz w:val="24"/>
          <w:szCs w:val="24"/>
        </w:rPr>
      </w:pPr>
      <w:r w:rsidRPr="00C25336">
        <w:rPr>
          <w:rFonts w:ascii="Arial" w:hAnsi="Arial" w:cs="Arial"/>
          <w:sz w:val="24"/>
          <w:szCs w:val="24"/>
        </w:rPr>
        <w:t>The report has critically compared and evaluated Marriott International and Hyatt Hotels' financial results. Both firms have shown resiliency and development potential in the face of market constraints, although Marriott has a distinct size and overall revenue advantage. However, Hyatt is well-positioned for growth in specialised areas because it focuses on providing unique services and experiences. The recommendations given for each business focus on how crucial innovation, strategic development, and dedication to CSR are for long-term success and sustainability in the hospitality industry.</w:t>
      </w:r>
    </w:p>
    <w:p w14:paraId="46BEDE16" w14:textId="77777777" w:rsidR="00C25336" w:rsidRDefault="00C25336" w:rsidP="00C25336">
      <w:pPr>
        <w:spacing w:line="360" w:lineRule="auto"/>
        <w:ind w:firstLine="720"/>
        <w:contextualSpacing/>
        <w:jc w:val="both"/>
        <w:rPr>
          <w:rFonts w:ascii="Arial" w:hAnsi="Arial" w:cs="Arial"/>
          <w:sz w:val="24"/>
          <w:szCs w:val="24"/>
        </w:rPr>
      </w:pPr>
    </w:p>
    <w:p w14:paraId="6C7005E1" w14:textId="77777777" w:rsidR="00C25336" w:rsidRDefault="00C25336" w:rsidP="00C25336">
      <w:pPr>
        <w:spacing w:line="360" w:lineRule="auto"/>
        <w:ind w:firstLine="720"/>
        <w:contextualSpacing/>
        <w:jc w:val="both"/>
        <w:rPr>
          <w:rFonts w:ascii="Arial" w:hAnsi="Arial" w:cs="Arial"/>
          <w:sz w:val="24"/>
          <w:szCs w:val="24"/>
        </w:rPr>
      </w:pPr>
    </w:p>
    <w:p w14:paraId="4281BE48" w14:textId="77777777" w:rsidR="00C25336" w:rsidRPr="00C25336" w:rsidRDefault="00C25336" w:rsidP="00C25336">
      <w:pPr>
        <w:spacing w:line="360" w:lineRule="auto"/>
        <w:contextualSpacing/>
        <w:jc w:val="center"/>
        <w:rPr>
          <w:rFonts w:ascii="Arial" w:hAnsi="Arial" w:cs="Arial"/>
          <w:b/>
          <w:bCs/>
          <w:sz w:val="24"/>
          <w:szCs w:val="24"/>
        </w:rPr>
      </w:pPr>
      <w:r w:rsidRPr="00C25336">
        <w:rPr>
          <w:rFonts w:ascii="Arial" w:hAnsi="Arial" w:cs="Arial"/>
          <w:b/>
          <w:bCs/>
          <w:sz w:val="24"/>
          <w:szCs w:val="24"/>
        </w:rPr>
        <w:lastRenderedPageBreak/>
        <w:t>Reference List</w:t>
      </w:r>
    </w:p>
    <w:p w14:paraId="7818CF6C" w14:textId="77777777" w:rsidR="00C25336" w:rsidRPr="00C25336" w:rsidRDefault="00C25336" w:rsidP="00C25336">
      <w:pPr>
        <w:spacing w:line="360" w:lineRule="auto"/>
        <w:ind w:firstLine="720"/>
        <w:contextualSpacing/>
        <w:jc w:val="both"/>
        <w:rPr>
          <w:rFonts w:ascii="Arial" w:hAnsi="Arial" w:cs="Arial"/>
          <w:sz w:val="24"/>
          <w:szCs w:val="24"/>
        </w:rPr>
      </w:pPr>
    </w:p>
    <w:p w14:paraId="7836CF92" w14:textId="77777777" w:rsidR="00C25336" w:rsidRPr="00C25336" w:rsidRDefault="00C25336" w:rsidP="00C25336">
      <w:pPr>
        <w:pStyle w:val="NormalWeb"/>
        <w:spacing w:before="0" w:beforeAutospacing="0" w:after="0" w:afterAutospacing="0" w:line="360" w:lineRule="auto"/>
        <w:ind w:left="1080" w:hanging="720"/>
        <w:contextualSpacing/>
        <w:jc w:val="both"/>
        <w:rPr>
          <w:rFonts w:ascii="Arial" w:hAnsi="Arial" w:cs="Arial"/>
        </w:rPr>
      </w:pPr>
      <w:r w:rsidRPr="00C25336">
        <w:rPr>
          <w:rFonts w:ascii="Arial" w:hAnsi="Arial" w:cs="Arial"/>
        </w:rPr>
        <w:t xml:space="preserve">Bhasin, H. (2018) </w:t>
      </w:r>
      <w:r w:rsidRPr="00C25336">
        <w:rPr>
          <w:rFonts w:ascii="Arial" w:hAnsi="Arial" w:cs="Arial"/>
          <w:i/>
          <w:iCs/>
        </w:rPr>
        <w:t>Marketing strategy of Hyatt</w:t>
      </w:r>
      <w:r w:rsidRPr="00C25336">
        <w:rPr>
          <w:rFonts w:ascii="Arial" w:hAnsi="Arial" w:cs="Arial"/>
        </w:rPr>
        <w:t xml:space="preserve">, </w:t>
      </w:r>
      <w:r w:rsidRPr="00C25336">
        <w:rPr>
          <w:rFonts w:ascii="Arial" w:hAnsi="Arial" w:cs="Arial"/>
          <w:i/>
          <w:iCs/>
        </w:rPr>
        <w:t>Marketing91</w:t>
      </w:r>
      <w:r w:rsidRPr="00C25336">
        <w:rPr>
          <w:rFonts w:ascii="Arial" w:hAnsi="Arial" w:cs="Arial"/>
        </w:rPr>
        <w:t xml:space="preserve">. Available at: https://www.marketing91.com/marketing-strategy-of-hyatt/ (Accessed: 11 May 2023). </w:t>
      </w:r>
    </w:p>
    <w:p w14:paraId="69C6185C" w14:textId="77777777" w:rsidR="00C25336" w:rsidRPr="00C25336" w:rsidRDefault="00C25336" w:rsidP="00C25336">
      <w:pPr>
        <w:pStyle w:val="NormalWeb"/>
        <w:spacing w:before="0" w:beforeAutospacing="0" w:after="0" w:afterAutospacing="0" w:line="360" w:lineRule="auto"/>
        <w:ind w:left="1080" w:hanging="720"/>
        <w:contextualSpacing/>
        <w:jc w:val="both"/>
        <w:rPr>
          <w:rFonts w:ascii="Arial" w:hAnsi="Arial" w:cs="Arial"/>
        </w:rPr>
      </w:pPr>
      <w:r w:rsidRPr="00C25336">
        <w:rPr>
          <w:rFonts w:ascii="Arial" w:hAnsi="Arial" w:cs="Arial"/>
        </w:rPr>
        <w:t xml:space="preserve">Comparably (no date) </w:t>
      </w:r>
      <w:r w:rsidRPr="00C25336">
        <w:rPr>
          <w:rFonts w:ascii="Arial" w:hAnsi="Arial" w:cs="Arial"/>
          <w:i/>
          <w:iCs/>
        </w:rPr>
        <w:t>Hyatt vs Marriott | comparably</w:t>
      </w:r>
      <w:r w:rsidRPr="00C25336">
        <w:rPr>
          <w:rFonts w:ascii="Arial" w:hAnsi="Arial" w:cs="Arial"/>
        </w:rPr>
        <w:t xml:space="preserve">. Available at: https://www.comparably.com/competitors/hyatt-vs-marriott (Accessed: 11 May 2023). </w:t>
      </w:r>
    </w:p>
    <w:p w14:paraId="6FA1793B" w14:textId="33623F2B" w:rsidR="00C25336" w:rsidRPr="00C25336" w:rsidRDefault="00C25336" w:rsidP="00C25336">
      <w:pPr>
        <w:pStyle w:val="NormalWeb"/>
        <w:spacing w:before="0" w:beforeAutospacing="0" w:after="0" w:afterAutospacing="0" w:line="360" w:lineRule="auto"/>
        <w:ind w:left="1080" w:hanging="720"/>
        <w:contextualSpacing/>
        <w:jc w:val="both"/>
        <w:rPr>
          <w:rFonts w:ascii="Arial" w:hAnsi="Arial" w:cs="Arial"/>
        </w:rPr>
      </w:pPr>
      <w:r w:rsidRPr="00C25336">
        <w:rPr>
          <w:rFonts w:ascii="Arial" w:hAnsi="Arial" w:cs="Arial"/>
        </w:rPr>
        <w:t xml:space="preserve">Cypert, C. (2023) </w:t>
      </w:r>
      <w:r w:rsidRPr="00C25336">
        <w:rPr>
          <w:rFonts w:ascii="Arial" w:hAnsi="Arial" w:cs="Arial"/>
          <w:i/>
          <w:iCs/>
        </w:rPr>
        <w:t>Marriott International announces planned expansion in Greater China and anticipates surpassing 500 hotels in 2023</w:t>
      </w:r>
      <w:r w:rsidRPr="00C25336">
        <w:rPr>
          <w:rFonts w:ascii="Arial" w:hAnsi="Arial" w:cs="Arial"/>
        </w:rPr>
        <w:t xml:space="preserve">, </w:t>
      </w:r>
      <w:r w:rsidRPr="00C25336">
        <w:rPr>
          <w:rFonts w:ascii="Arial" w:hAnsi="Arial" w:cs="Arial"/>
          <w:i/>
          <w:iCs/>
        </w:rPr>
        <w:t>Marriott International Newscenter(US)</w:t>
      </w:r>
      <w:r w:rsidRPr="00C25336">
        <w:rPr>
          <w:rFonts w:ascii="Arial" w:hAnsi="Arial" w:cs="Arial"/>
        </w:rPr>
        <w:t>.</w:t>
      </w:r>
      <w:r>
        <w:rPr>
          <w:rFonts w:ascii="Arial" w:hAnsi="Arial" w:cs="Arial"/>
        </w:rPr>
        <w:t xml:space="preserve"> </w:t>
      </w:r>
      <w:r w:rsidRPr="00C25336">
        <w:rPr>
          <w:rFonts w:ascii="Arial" w:hAnsi="Arial" w:cs="Arial"/>
        </w:rPr>
        <w:t>Available</w:t>
      </w:r>
      <w:r>
        <w:rPr>
          <w:rFonts w:ascii="Arial" w:hAnsi="Arial" w:cs="Arial"/>
        </w:rPr>
        <w:t xml:space="preserve"> </w:t>
      </w:r>
      <w:r w:rsidRPr="00C25336">
        <w:rPr>
          <w:rFonts w:ascii="Arial" w:hAnsi="Arial" w:cs="Arial"/>
        </w:rPr>
        <w:t xml:space="preserve">at: https://news.marriott.com/news/2023/03/28/marriott-international-announces-planned-expansion-in-greater-china-and-anticpates-surpassing-500-hotels-in-2023 (Accessed: 11 May 2023). </w:t>
      </w:r>
    </w:p>
    <w:p w14:paraId="20B4B749" w14:textId="2803C4A0" w:rsidR="00C25336" w:rsidRPr="00C25336" w:rsidRDefault="00C25336" w:rsidP="00C25336">
      <w:pPr>
        <w:pStyle w:val="NormalWeb"/>
        <w:spacing w:before="0" w:beforeAutospacing="0" w:after="0" w:afterAutospacing="0" w:line="360" w:lineRule="auto"/>
        <w:ind w:left="1080" w:hanging="720"/>
        <w:contextualSpacing/>
        <w:jc w:val="both"/>
        <w:rPr>
          <w:rFonts w:ascii="Arial" w:hAnsi="Arial" w:cs="Arial"/>
        </w:rPr>
      </w:pPr>
      <w:r w:rsidRPr="00C25336">
        <w:rPr>
          <w:rFonts w:ascii="Arial" w:hAnsi="Arial" w:cs="Arial"/>
        </w:rPr>
        <w:t xml:space="preserve">Ejaz, N. (2023) </w:t>
      </w:r>
      <w:r w:rsidRPr="00C25336">
        <w:rPr>
          <w:rFonts w:ascii="Arial" w:hAnsi="Arial" w:cs="Arial"/>
          <w:i/>
          <w:iCs/>
        </w:rPr>
        <w:t>Marriott International: The 2nd largest hotel chain in the world -</w:t>
      </w:r>
      <w:r w:rsidRPr="00C25336">
        <w:rPr>
          <w:rFonts w:ascii="Arial" w:hAnsi="Arial" w:cs="Arial"/>
        </w:rPr>
        <w:t xml:space="preserve">, </w:t>
      </w:r>
      <w:r w:rsidRPr="00C25336">
        <w:rPr>
          <w:rFonts w:ascii="Arial" w:hAnsi="Arial" w:cs="Arial"/>
          <w:i/>
          <w:iCs/>
        </w:rPr>
        <w:t>trek&amp;tours</w:t>
      </w:r>
      <w:r w:rsidRPr="00C25336">
        <w:rPr>
          <w:rFonts w:ascii="Arial" w:hAnsi="Arial" w:cs="Arial"/>
        </w:rPr>
        <w:t xml:space="preserve">. Available at: https://trekkersnow.com/marriott-international/ (Accessed: 11 May 2023). </w:t>
      </w:r>
    </w:p>
    <w:p w14:paraId="4FE81FE5" w14:textId="77777777" w:rsidR="00C25336" w:rsidRPr="00C25336" w:rsidRDefault="00C25336" w:rsidP="00C25336">
      <w:pPr>
        <w:pStyle w:val="NormalWeb"/>
        <w:spacing w:before="0" w:beforeAutospacing="0" w:after="0" w:afterAutospacing="0" w:line="360" w:lineRule="auto"/>
        <w:ind w:left="1080" w:hanging="720"/>
        <w:contextualSpacing/>
        <w:jc w:val="both"/>
        <w:rPr>
          <w:rFonts w:ascii="Arial" w:hAnsi="Arial" w:cs="Arial"/>
        </w:rPr>
      </w:pPr>
      <w:r w:rsidRPr="00C25336">
        <w:rPr>
          <w:rFonts w:ascii="Arial" w:hAnsi="Arial" w:cs="Arial"/>
        </w:rPr>
        <w:t xml:space="preserve">Hospitality On (2022) </w:t>
      </w:r>
      <w:r w:rsidRPr="00C25336">
        <w:rPr>
          <w:rFonts w:ascii="Arial" w:hAnsi="Arial" w:cs="Arial"/>
          <w:i/>
          <w:iCs/>
        </w:rPr>
        <w:t>Hyatt unveils Global Corporate Responsibility Program, ‘thrive’</w:t>
      </w:r>
      <w:r w:rsidRPr="00C25336">
        <w:rPr>
          <w:rFonts w:ascii="Arial" w:hAnsi="Arial" w:cs="Arial"/>
        </w:rPr>
        <w:t xml:space="preserve">, </w:t>
      </w:r>
      <w:r w:rsidRPr="00C25336">
        <w:rPr>
          <w:rFonts w:ascii="Arial" w:hAnsi="Arial" w:cs="Arial"/>
          <w:i/>
          <w:iCs/>
        </w:rPr>
        <w:t>Hospitality ON</w:t>
      </w:r>
      <w:r w:rsidRPr="00C25336">
        <w:rPr>
          <w:rFonts w:ascii="Arial" w:hAnsi="Arial" w:cs="Arial"/>
        </w:rPr>
        <w:t xml:space="preserve">. Available at: https://hospitality-on.com/en/statistics-trends/hyatt-unveils-global-corporate-responsibility-program-thrive#:~:text=Hyatt%20Thrive%20is%20grounded%20in,the%20communities%20where%20they%20operate. (Accessed: 11 May 2023). </w:t>
      </w:r>
    </w:p>
    <w:p w14:paraId="171C6CC2" w14:textId="77777777" w:rsidR="00C25336" w:rsidRPr="00C25336" w:rsidRDefault="00C25336" w:rsidP="00C25336">
      <w:pPr>
        <w:pStyle w:val="NormalWeb"/>
        <w:spacing w:before="0" w:beforeAutospacing="0" w:after="0" w:afterAutospacing="0" w:line="360" w:lineRule="auto"/>
        <w:ind w:left="1080" w:hanging="720"/>
        <w:contextualSpacing/>
        <w:jc w:val="both"/>
        <w:rPr>
          <w:rFonts w:ascii="Arial" w:hAnsi="Arial" w:cs="Arial"/>
        </w:rPr>
      </w:pPr>
      <w:r w:rsidRPr="00C25336">
        <w:rPr>
          <w:rFonts w:ascii="Arial" w:hAnsi="Arial" w:cs="Arial"/>
        </w:rPr>
        <w:t xml:space="preserve">Hospitality On (2023) </w:t>
      </w:r>
      <w:r w:rsidRPr="00C25336">
        <w:rPr>
          <w:rFonts w:ascii="Arial" w:hAnsi="Arial" w:cs="Arial"/>
          <w:i/>
          <w:iCs/>
        </w:rPr>
        <w:t>Hyatt continues its worldwide expansion in 2023</w:t>
      </w:r>
      <w:r w:rsidRPr="00C25336">
        <w:rPr>
          <w:rFonts w:ascii="Arial" w:hAnsi="Arial" w:cs="Arial"/>
        </w:rPr>
        <w:t xml:space="preserve">, </w:t>
      </w:r>
      <w:r w:rsidRPr="00C25336">
        <w:rPr>
          <w:rFonts w:ascii="Arial" w:hAnsi="Arial" w:cs="Arial"/>
          <w:i/>
          <w:iCs/>
        </w:rPr>
        <w:t>Hospitality ON</w:t>
      </w:r>
      <w:r w:rsidRPr="00C25336">
        <w:rPr>
          <w:rFonts w:ascii="Arial" w:hAnsi="Arial" w:cs="Arial"/>
        </w:rPr>
        <w:t xml:space="preserve">. Available at: https://hospitality-on.com/en/opening/hyatt-continues-its-worldwide-expansion-2023 (Accessed: 11 May 2023). </w:t>
      </w:r>
    </w:p>
    <w:p w14:paraId="38851CC7" w14:textId="77777777" w:rsidR="00C25336" w:rsidRPr="00C25336" w:rsidRDefault="00C25336" w:rsidP="00C25336">
      <w:pPr>
        <w:pStyle w:val="NormalWeb"/>
        <w:spacing w:before="0" w:beforeAutospacing="0" w:after="0" w:afterAutospacing="0" w:line="360" w:lineRule="auto"/>
        <w:ind w:left="1080" w:hanging="720"/>
        <w:contextualSpacing/>
        <w:jc w:val="both"/>
        <w:rPr>
          <w:rFonts w:ascii="Arial" w:hAnsi="Arial" w:cs="Arial"/>
        </w:rPr>
      </w:pPr>
      <w:bookmarkStart w:id="0" w:name="_Hlk134701220"/>
      <w:r w:rsidRPr="00C25336">
        <w:rPr>
          <w:rFonts w:ascii="Arial" w:hAnsi="Arial" w:cs="Arial"/>
        </w:rPr>
        <w:t xml:space="preserve">Hyatt (2022) </w:t>
      </w:r>
      <w:bookmarkEnd w:id="0"/>
      <w:r w:rsidRPr="00C25336">
        <w:rPr>
          <w:rFonts w:ascii="Arial" w:hAnsi="Arial" w:cs="Arial"/>
          <w:i/>
          <w:iCs/>
        </w:rPr>
        <w:t>Hyatt to accelerate growth of its luxury and lifestyle brands in Asia Pacific</w:t>
      </w:r>
      <w:r w:rsidRPr="00C25336">
        <w:rPr>
          <w:rFonts w:ascii="Arial" w:hAnsi="Arial" w:cs="Arial"/>
        </w:rPr>
        <w:t xml:space="preserve">, </w:t>
      </w:r>
      <w:r w:rsidRPr="00C25336">
        <w:rPr>
          <w:rFonts w:ascii="Arial" w:hAnsi="Arial" w:cs="Arial"/>
          <w:i/>
          <w:iCs/>
        </w:rPr>
        <w:t>Hospitality Net</w:t>
      </w:r>
      <w:r w:rsidRPr="00C25336">
        <w:rPr>
          <w:rFonts w:ascii="Arial" w:hAnsi="Arial" w:cs="Arial"/>
        </w:rPr>
        <w:t xml:space="preserve">. Available at: https://www.hospitalitynet.org/news/4108558.html (Accessed: 11 May 2023). </w:t>
      </w:r>
    </w:p>
    <w:p w14:paraId="65ADD103" w14:textId="77777777" w:rsidR="00C25336" w:rsidRPr="00C25336" w:rsidRDefault="00C25336" w:rsidP="00C25336">
      <w:pPr>
        <w:pStyle w:val="NormalWeb"/>
        <w:spacing w:before="0" w:beforeAutospacing="0" w:after="0" w:afterAutospacing="0" w:line="360" w:lineRule="auto"/>
        <w:ind w:left="1080" w:hanging="720"/>
        <w:contextualSpacing/>
        <w:jc w:val="both"/>
        <w:rPr>
          <w:rFonts w:ascii="Arial" w:hAnsi="Arial" w:cs="Arial"/>
        </w:rPr>
      </w:pPr>
      <w:r w:rsidRPr="00C25336">
        <w:rPr>
          <w:rFonts w:ascii="Arial" w:hAnsi="Arial" w:cs="Arial"/>
        </w:rPr>
        <w:t xml:space="preserve">Hyatt (no date) </w:t>
      </w:r>
      <w:r w:rsidRPr="00C25336">
        <w:rPr>
          <w:rFonts w:ascii="Arial" w:hAnsi="Arial" w:cs="Arial"/>
          <w:i/>
          <w:iCs/>
        </w:rPr>
        <w:t>Hyatt strengthens position as leader in luxury, lifestyle and leisure in 2023 and beyond with record global pipeline</w:t>
      </w:r>
      <w:r w:rsidRPr="00C25336">
        <w:rPr>
          <w:rFonts w:ascii="Arial" w:hAnsi="Arial" w:cs="Arial"/>
        </w:rPr>
        <w:t xml:space="preserve">, </w:t>
      </w:r>
      <w:r w:rsidRPr="00C25336">
        <w:rPr>
          <w:rFonts w:ascii="Arial" w:hAnsi="Arial" w:cs="Arial"/>
          <w:i/>
          <w:iCs/>
        </w:rPr>
        <w:t>Hyatt Hotels Corporation - Hyatt Strengthens Position as Leader in Luxury, Lifestyle and Leisure in 2023 and Beyond with Record Global Pipeline</w:t>
      </w:r>
      <w:r w:rsidRPr="00C25336">
        <w:rPr>
          <w:rFonts w:ascii="Arial" w:hAnsi="Arial" w:cs="Arial"/>
        </w:rPr>
        <w:t xml:space="preserve">. Available at: </w:t>
      </w:r>
      <w:r w:rsidRPr="00C25336">
        <w:rPr>
          <w:rFonts w:ascii="Arial" w:hAnsi="Arial" w:cs="Arial"/>
        </w:rPr>
        <w:lastRenderedPageBreak/>
        <w:t xml:space="preserve">https://investors.hyatt.com/investor-relations/news-and-events/financial-news/financial-news-details/2023/Hyatt-Strengthens-Position-as-Leader-in-Luxury-Lifestyle-and-Leisure-in-2023-and-Beyond-with-Record-Global-Pipeline/default.aspx (Accessed: 11 May 2023). </w:t>
      </w:r>
    </w:p>
    <w:p w14:paraId="58384E4F" w14:textId="77777777" w:rsidR="00C25336" w:rsidRPr="00C25336" w:rsidRDefault="00C25336" w:rsidP="00C25336">
      <w:pPr>
        <w:pStyle w:val="NormalWeb"/>
        <w:spacing w:before="0" w:beforeAutospacing="0" w:after="0" w:afterAutospacing="0" w:line="360" w:lineRule="auto"/>
        <w:ind w:left="1080" w:hanging="720"/>
        <w:contextualSpacing/>
        <w:jc w:val="both"/>
        <w:rPr>
          <w:rFonts w:ascii="Arial" w:hAnsi="Arial" w:cs="Arial"/>
        </w:rPr>
      </w:pPr>
      <w:r w:rsidRPr="00C25336">
        <w:rPr>
          <w:rFonts w:ascii="Arial" w:hAnsi="Arial" w:cs="Arial"/>
        </w:rPr>
        <w:t xml:space="preserve">Jacques, K. (2019) </w:t>
      </w:r>
      <w:r w:rsidRPr="00C25336">
        <w:rPr>
          <w:rFonts w:ascii="Arial" w:hAnsi="Arial" w:cs="Arial"/>
          <w:i/>
          <w:iCs/>
        </w:rPr>
        <w:t>Marriott’s sustainability and Social Impact Program aims for large-scale change</w:t>
      </w:r>
      <w:r w:rsidRPr="00C25336">
        <w:rPr>
          <w:rFonts w:ascii="Arial" w:hAnsi="Arial" w:cs="Arial"/>
        </w:rPr>
        <w:t xml:space="preserve">, </w:t>
      </w:r>
      <w:r w:rsidRPr="00C25336">
        <w:rPr>
          <w:rFonts w:ascii="Arial" w:hAnsi="Arial" w:cs="Arial"/>
          <w:i/>
          <w:iCs/>
        </w:rPr>
        <w:t>U.S. Green Building Council</w:t>
      </w:r>
      <w:r w:rsidRPr="00C25336">
        <w:rPr>
          <w:rFonts w:ascii="Arial" w:hAnsi="Arial" w:cs="Arial"/>
        </w:rPr>
        <w:t xml:space="preserve">. Available at: https://www.usgbc.org/articles/marriott-s-sustainability-and-social-impact-program-aims-large-scale-change (Accessed: 11 May 2023). </w:t>
      </w:r>
    </w:p>
    <w:p w14:paraId="03210DF6" w14:textId="77777777" w:rsidR="00C25336" w:rsidRPr="00C25336" w:rsidRDefault="00C25336" w:rsidP="00C25336">
      <w:pPr>
        <w:pStyle w:val="NormalWeb"/>
        <w:spacing w:before="0" w:beforeAutospacing="0" w:after="0" w:afterAutospacing="0" w:line="360" w:lineRule="auto"/>
        <w:ind w:left="1080" w:hanging="720"/>
        <w:contextualSpacing/>
        <w:jc w:val="both"/>
        <w:rPr>
          <w:rFonts w:ascii="Arial" w:hAnsi="Arial" w:cs="Arial"/>
        </w:rPr>
      </w:pPr>
      <w:r w:rsidRPr="00C25336">
        <w:rPr>
          <w:rFonts w:ascii="Arial" w:hAnsi="Arial" w:cs="Arial"/>
        </w:rPr>
        <w:t xml:space="preserve">Lehtonen, S. (2023) </w:t>
      </w:r>
      <w:r w:rsidRPr="00C25336">
        <w:rPr>
          <w:rFonts w:ascii="Arial" w:hAnsi="Arial" w:cs="Arial"/>
          <w:i/>
          <w:iCs/>
        </w:rPr>
        <w:t>IBD 50 stocks to watch: After blowout gains, hotel leader Hyatt’s revenue seen slowing further</w:t>
      </w:r>
      <w:r w:rsidRPr="00C25336">
        <w:rPr>
          <w:rFonts w:ascii="Arial" w:hAnsi="Arial" w:cs="Arial"/>
        </w:rPr>
        <w:t xml:space="preserve">, </w:t>
      </w:r>
      <w:r w:rsidRPr="00C25336">
        <w:rPr>
          <w:rFonts w:ascii="Arial" w:hAnsi="Arial" w:cs="Arial"/>
          <w:i/>
          <w:iCs/>
        </w:rPr>
        <w:t>Investor’s Business Daily</w:t>
      </w:r>
      <w:r w:rsidRPr="00C25336">
        <w:rPr>
          <w:rFonts w:ascii="Arial" w:hAnsi="Arial" w:cs="Arial"/>
        </w:rPr>
        <w:t xml:space="preserve">. Available at: https://www.investors.com/research/hyatt-stock-after-blowout-gains-hotel-leaders-revenue-seen-slowing-further/ (Accessed: 11 May 2023). </w:t>
      </w:r>
    </w:p>
    <w:p w14:paraId="26214101" w14:textId="77777777" w:rsidR="00C25336" w:rsidRPr="00C25336" w:rsidRDefault="00C25336" w:rsidP="00C25336">
      <w:pPr>
        <w:spacing w:after="0" w:line="360" w:lineRule="auto"/>
        <w:ind w:left="1080" w:hanging="720"/>
        <w:contextualSpacing/>
        <w:jc w:val="both"/>
        <w:rPr>
          <w:rFonts w:ascii="Arial" w:hAnsi="Arial" w:cs="Arial"/>
          <w:color w:val="222222"/>
          <w:sz w:val="24"/>
          <w:szCs w:val="24"/>
          <w:shd w:val="clear" w:color="auto" w:fill="FFFFFF"/>
        </w:rPr>
      </w:pPr>
      <w:r w:rsidRPr="00C25336">
        <w:rPr>
          <w:rFonts w:ascii="Arial" w:hAnsi="Arial" w:cs="Arial"/>
          <w:color w:val="222222"/>
          <w:sz w:val="24"/>
          <w:szCs w:val="24"/>
          <w:shd w:val="clear" w:color="auto" w:fill="FFFFFF"/>
        </w:rPr>
        <w:t xml:space="preserve">Liu-Lastres, B., Wen, </w:t>
      </w:r>
      <w:proofErr w:type="gramStart"/>
      <w:r w:rsidRPr="00C25336">
        <w:rPr>
          <w:rFonts w:ascii="Arial" w:hAnsi="Arial" w:cs="Arial"/>
          <w:color w:val="222222"/>
          <w:sz w:val="24"/>
          <w:szCs w:val="24"/>
          <w:shd w:val="clear" w:color="auto" w:fill="FFFFFF"/>
        </w:rPr>
        <w:t>H.</w:t>
      </w:r>
      <w:proofErr w:type="gramEnd"/>
      <w:r w:rsidRPr="00C25336">
        <w:rPr>
          <w:rFonts w:ascii="Arial" w:hAnsi="Arial" w:cs="Arial"/>
          <w:color w:val="222222"/>
          <w:sz w:val="24"/>
          <w:szCs w:val="24"/>
          <w:shd w:val="clear" w:color="auto" w:fill="FFFFFF"/>
        </w:rPr>
        <w:t xml:space="preserve"> and Huang, W.J., 2023. A reflection on the Great Resignation in the hospitality and tourism industry. </w:t>
      </w:r>
      <w:r w:rsidRPr="00C25336">
        <w:rPr>
          <w:rFonts w:ascii="Arial" w:hAnsi="Arial" w:cs="Arial"/>
          <w:i/>
          <w:iCs/>
          <w:color w:val="222222"/>
          <w:sz w:val="24"/>
          <w:szCs w:val="24"/>
          <w:shd w:val="clear" w:color="auto" w:fill="FFFFFF"/>
        </w:rPr>
        <w:t>International Journal of Contemporary Hospitality Management</w:t>
      </w:r>
      <w:r w:rsidRPr="00C25336">
        <w:rPr>
          <w:rFonts w:ascii="Arial" w:hAnsi="Arial" w:cs="Arial"/>
          <w:color w:val="222222"/>
          <w:sz w:val="24"/>
          <w:szCs w:val="24"/>
          <w:shd w:val="clear" w:color="auto" w:fill="FFFFFF"/>
        </w:rPr>
        <w:t>, </w:t>
      </w:r>
      <w:r w:rsidRPr="00C25336">
        <w:rPr>
          <w:rFonts w:ascii="Arial" w:hAnsi="Arial" w:cs="Arial"/>
          <w:i/>
          <w:iCs/>
          <w:color w:val="222222"/>
          <w:sz w:val="24"/>
          <w:szCs w:val="24"/>
          <w:shd w:val="clear" w:color="auto" w:fill="FFFFFF"/>
        </w:rPr>
        <w:t>35</w:t>
      </w:r>
      <w:r w:rsidRPr="00C25336">
        <w:rPr>
          <w:rFonts w:ascii="Arial" w:hAnsi="Arial" w:cs="Arial"/>
          <w:color w:val="222222"/>
          <w:sz w:val="24"/>
          <w:szCs w:val="24"/>
          <w:shd w:val="clear" w:color="auto" w:fill="FFFFFF"/>
        </w:rPr>
        <w:t>(1), pp.235-249.</w:t>
      </w:r>
    </w:p>
    <w:p w14:paraId="64C78467" w14:textId="77777777" w:rsidR="00C25336" w:rsidRPr="00C25336" w:rsidRDefault="00C25336" w:rsidP="00C25336">
      <w:pPr>
        <w:pStyle w:val="NormalWeb"/>
        <w:spacing w:before="0" w:beforeAutospacing="0" w:after="0" w:afterAutospacing="0" w:line="360" w:lineRule="auto"/>
        <w:ind w:left="1080" w:hanging="720"/>
        <w:contextualSpacing/>
        <w:jc w:val="both"/>
        <w:rPr>
          <w:rFonts w:ascii="Arial" w:hAnsi="Arial" w:cs="Arial"/>
        </w:rPr>
      </w:pPr>
      <w:r w:rsidRPr="00C25336">
        <w:rPr>
          <w:rFonts w:ascii="Arial" w:hAnsi="Arial" w:cs="Arial"/>
          <w:color w:val="222222"/>
          <w:shd w:val="clear" w:color="auto" w:fill="FFFFFF"/>
        </w:rPr>
        <w:t>Luiten, S.C., 2020. Corporate social responsibility and consumerism: case examples from Hyatt, Scandic and Walt Disney. </w:t>
      </w:r>
      <w:r w:rsidRPr="00C25336">
        <w:rPr>
          <w:rFonts w:ascii="Arial" w:hAnsi="Arial" w:cs="Arial"/>
          <w:i/>
          <w:iCs/>
          <w:color w:val="222222"/>
          <w:shd w:val="clear" w:color="auto" w:fill="FFFFFF"/>
        </w:rPr>
        <w:t>Worldwide Hospitality and Tourism Themes</w:t>
      </w:r>
      <w:r w:rsidRPr="00C25336">
        <w:rPr>
          <w:rFonts w:ascii="Arial" w:hAnsi="Arial" w:cs="Arial"/>
          <w:color w:val="222222"/>
          <w:shd w:val="clear" w:color="auto" w:fill="FFFFFF"/>
        </w:rPr>
        <w:t>, </w:t>
      </w:r>
      <w:r w:rsidRPr="00C25336">
        <w:rPr>
          <w:rFonts w:ascii="Arial" w:hAnsi="Arial" w:cs="Arial"/>
          <w:i/>
          <w:iCs/>
          <w:color w:val="222222"/>
          <w:shd w:val="clear" w:color="auto" w:fill="FFFFFF"/>
        </w:rPr>
        <w:t>12</w:t>
      </w:r>
      <w:r w:rsidRPr="00C25336">
        <w:rPr>
          <w:rFonts w:ascii="Arial" w:hAnsi="Arial" w:cs="Arial"/>
          <w:color w:val="222222"/>
          <w:shd w:val="clear" w:color="auto" w:fill="FFFFFF"/>
        </w:rPr>
        <w:t>(5), pp.547-562.</w:t>
      </w:r>
    </w:p>
    <w:p w14:paraId="552F475F" w14:textId="77777777" w:rsidR="00C25336" w:rsidRPr="00C25336" w:rsidRDefault="00C25336" w:rsidP="00C25336">
      <w:pPr>
        <w:pStyle w:val="NormalWeb"/>
        <w:spacing w:before="0" w:beforeAutospacing="0" w:after="0" w:afterAutospacing="0" w:line="360" w:lineRule="auto"/>
        <w:ind w:left="1080" w:hanging="720"/>
        <w:contextualSpacing/>
        <w:jc w:val="both"/>
        <w:rPr>
          <w:rFonts w:ascii="Arial" w:hAnsi="Arial" w:cs="Arial"/>
        </w:rPr>
      </w:pPr>
      <w:r w:rsidRPr="00C25336">
        <w:rPr>
          <w:rFonts w:ascii="Arial" w:hAnsi="Arial" w:cs="Arial"/>
        </w:rPr>
        <w:t xml:space="preserve">Marriott (2022) </w:t>
      </w:r>
      <w:r w:rsidRPr="00C25336">
        <w:rPr>
          <w:rFonts w:ascii="Arial" w:hAnsi="Arial" w:cs="Arial"/>
          <w:i/>
          <w:iCs/>
        </w:rPr>
        <w:t>Marriott International publishes latest report on environmental, social, and governance progress</w:t>
      </w:r>
      <w:r w:rsidRPr="00C25336">
        <w:rPr>
          <w:rFonts w:ascii="Arial" w:hAnsi="Arial" w:cs="Arial"/>
        </w:rPr>
        <w:t xml:space="preserve">, </w:t>
      </w:r>
      <w:r w:rsidRPr="00C25336">
        <w:rPr>
          <w:rFonts w:ascii="Arial" w:hAnsi="Arial" w:cs="Arial"/>
          <w:i/>
          <w:iCs/>
        </w:rPr>
        <w:t>Marriott International Newscenter (US)</w:t>
      </w:r>
      <w:r w:rsidRPr="00C25336">
        <w:rPr>
          <w:rFonts w:ascii="Arial" w:hAnsi="Arial" w:cs="Arial"/>
        </w:rPr>
        <w:t xml:space="preserve">. Available at: https://news.marriott.com/news/2022/10/27/marriott-international-publishes-latest-report-on-environmental-social-and-governance-progress (Accessed: 11 May 2023). </w:t>
      </w:r>
    </w:p>
    <w:p w14:paraId="11D1ED31" w14:textId="5837FDD5" w:rsidR="00C25336" w:rsidRPr="00C25336" w:rsidRDefault="00C25336" w:rsidP="00C25336">
      <w:pPr>
        <w:pStyle w:val="NormalWeb"/>
        <w:spacing w:before="0" w:beforeAutospacing="0" w:after="0" w:afterAutospacing="0" w:line="360" w:lineRule="auto"/>
        <w:ind w:left="1080" w:hanging="720"/>
        <w:contextualSpacing/>
        <w:jc w:val="both"/>
        <w:rPr>
          <w:rFonts w:ascii="Arial" w:hAnsi="Arial" w:cs="Arial"/>
        </w:rPr>
      </w:pPr>
      <w:r w:rsidRPr="00C25336">
        <w:rPr>
          <w:rFonts w:ascii="Arial" w:hAnsi="Arial" w:cs="Arial"/>
        </w:rPr>
        <w:t xml:space="preserve">Qubein , R. (2023) </w:t>
      </w:r>
      <w:r w:rsidRPr="00C25336">
        <w:rPr>
          <w:rFonts w:ascii="Arial" w:hAnsi="Arial" w:cs="Arial"/>
          <w:i/>
          <w:iCs/>
        </w:rPr>
        <w:t>Marriott Bonvoy vs. world of Hyatt: Which is best?</w:t>
      </w:r>
      <w:r w:rsidRPr="00C25336">
        <w:rPr>
          <w:rFonts w:ascii="Arial" w:hAnsi="Arial" w:cs="Arial"/>
        </w:rPr>
        <w:t xml:space="preserve">, </w:t>
      </w:r>
      <w:r w:rsidRPr="00C25336">
        <w:rPr>
          <w:rFonts w:ascii="Arial" w:hAnsi="Arial" w:cs="Arial"/>
          <w:i/>
          <w:iCs/>
        </w:rPr>
        <w:t>NerdWallet</w:t>
      </w:r>
      <w:r w:rsidRPr="00C25336">
        <w:rPr>
          <w:rFonts w:ascii="Arial" w:hAnsi="Arial" w:cs="Arial"/>
        </w:rPr>
        <w:t xml:space="preserve">. Available at: https://www.nerdwallet.com/article/travel/marriott-bonvoy-vs-world-of-hyatt#:~:text=Marriott%20is%20a%20much%20larger,for%20its%20relatively%20smaller%20size. (Accessed: 11 May 2023). </w:t>
      </w:r>
    </w:p>
    <w:p w14:paraId="3D8536EF" w14:textId="77777777" w:rsidR="00C25336" w:rsidRPr="00C25336" w:rsidRDefault="00C25336" w:rsidP="00C25336">
      <w:pPr>
        <w:pStyle w:val="NormalWeb"/>
        <w:spacing w:before="0" w:beforeAutospacing="0" w:after="0" w:afterAutospacing="0" w:line="360" w:lineRule="auto"/>
        <w:ind w:left="1080" w:hanging="720"/>
        <w:contextualSpacing/>
        <w:jc w:val="both"/>
        <w:rPr>
          <w:rFonts w:ascii="Arial" w:hAnsi="Arial" w:cs="Arial"/>
        </w:rPr>
      </w:pPr>
      <w:r w:rsidRPr="00C25336">
        <w:rPr>
          <w:rFonts w:ascii="Arial" w:hAnsi="Arial" w:cs="Arial"/>
        </w:rPr>
        <w:t xml:space="preserve">Roy, S. (2019) </w:t>
      </w:r>
      <w:r w:rsidRPr="00C25336">
        <w:rPr>
          <w:rFonts w:ascii="Arial" w:hAnsi="Arial" w:cs="Arial"/>
          <w:i/>
          <w:iCs/>
        </w:rPr>
        <w:t>How Marriott International uses technology to delight its guests</w:t>
      </w:r>
      <w:r w:rsidRPr="00C25336">
        <w:rPr>
          <w:rFonts w:ascii="Arial" w:hAnsi="Arial" w:cs="Arial"/>
        </w:rPr>
        <w:t xml:space="preserve">, </w:t>
      </w:r>
      <w:r w:rsidRPr="00C25336">
        <w:rPr>
          <w:rFonts w:ascii="Arial" w:hAnsi="Arial" w:cs="Arial"/>
          <w:i/>
          <w:iCs/>
        </w:rPr>
        <w:t>Tech Wire Asia</w:t>
      </w:r>
      <w:r w:rsidRPr="00C25336">
        <w:rPr>
          <w:rFonts w:ascii="Arial" w:hAnsi="Arial" w:cs="Arial"/>
        </w:rPr>
        <w:t>. Available at: https://techwireasia.com/2019/06/how-marriott-international-uses-technology-to-delight-its-guests/ (Accessed: 11 May 2023).</w:t>
      </w:r>
    </w:p>
    <w:p w14:paraId="3A994943" w14:textId="77777777" w:rsidR="00C25336" w:rsidRPr="00C25336" w:rsidRDefault="00C25336" w:rsidP="00C25336">
      <w:pPr>
        <w:pStyle w:val="NormalWeb"/>
        <w:spacing w:before="0" w:beforeAutospacing="0" w:after="0" w:afterAutospacing="0" w:line="360" w:lineRule="auto"/>
        <w:ind w:left="1080" w:hanging="720"/>
        <w:contextualSpacing/>
        <w:jc w:val="both"/>
        <w:rPr>
          <w:rFonts w:ascii="Arial" w:hAnsi="Arial" w:cs="Arial"/>
        </w:rPr>
      </w:pPr>
      <w:r w:rsidRPr="00C25336">
        <w:rPr>
          <w:rFonts w:ascii="Arial" w:hAnsi="Arial" w:cs="Arial"/>
        </w:rPr>
        <w:lastRenderedPageBreak/>
        <w:t xml:space="preserve">Statista Research Department (2023) </w:t>
      </w:r>
      <w:r w:rsidRPr="00C25336">
        <w:rPr>
          <w:rFonts w:ascii="Arial" w:hAnsi="Arial" w:cs="Arial"/>
          <w:i/>
          <w:iCs/>
        </w:rPr>
        <w:t>Marriott Revenue Worldwide 2022</w:t>
      </w:r>
      <w:r w:rsidRPr="00C25336">
        <w:rPr>
          <w:rFonts w:ascii="Arial" w:hAnsi="Arial" w:cs="Arial"/>
        </w:rPr>
        <w:t xml:space="preserve">, </w:t>
      </w:r>
      <w:r w:rsidRPr="00C25336">
        <w:rPr>
          <w:rFonts w:ascii="Arial" w:hAnsi="Arial" w:cs="Arial"/>
          <w:i/>
          <w:iCs/>
        </w:rPr>
        <w:t>Statista</w:t>
      </w:r>
      <w:r w:rsidRPr="00C25336">
        <w:rPr>
          <w:rFonts w:ascii="Arial" w:hAnsi="Arial" w:cs="Arial"/>
        </w:rPr>
        <w:t xml:space="preserve">. Available at: https://www.statista.com/statistics/266279/revenue-of-the-marriott-international-inc-hotel-chain/ (Accessed: 11 May 2023). </w:t>
      </w:r>
    </w:p>
    <w:p w14:paraId="259C7266" w14:textId="77777777" w:rsidR="00C25336" w:rsidRPr="00C25336" w:rsidRDefault="00C25336" w:rsidP="00C25336">
      <w:pPr>
        <w:pStyle w:val="NormalWeb"/>
        <w:spacing w:before="0" w:beforeAutospacing="0" w:after="0" w:afterAutospacing="0" w:line="360" w:lineRule="auto"/>
        <w:ind w:left="1080" w:hanging="720"/>
        <w:contextualSpacing/>
        <w:jc w:val="both"/>
        <w:rPr>
          <w:rFonts w:ascii="Arial" w:hAnsi="Arial" w:cs="Arial"/>
        </w:rPr>
      </w:pPr>
      <w:r w:rsidRPr="00C25336">
        <w:rPr>
          <w:rFonts w:ascii="Arial" w:hAnsi="Arial" w:cs="Arial"/>
        </w:rPr>
        <w:t xml:space="preserve">Thomas, I. (2022) </w:t>
      </w:r>
      <w:r w:rsidRPr="00C25336">
        <w:rPr>
          <w:rFonts w:ascii="Arial" w:hAnsi="Arial" w:cs="Arial"/>
          <w:i/>
          <w:iCs/>
        </w:rPr>
        <w:t>Why Marriott, Hilton and Hyatt Say Hotel prices are only going up</w:t>
      </w:r>
      <w:r w:rsidRPr="00C25336">
        <w:rPr>
          <w:rFonts w:ascii="Arial" w:hAnsi="Arial" w:cs="Arial"/>
        </w:rPr>
        <w:t xml:space="preserve">, </w:t>
      </w:r>
      <w:r w:rsidRPr="00C25336">
        <w:rPr>
          <w:rFonts w:ascii="Arial" w:hAnsi="Arial" w:cs="Arial"/>
          <w:i/>
          <w:iCs/>
        </w:rPr>
        <w:t>CNBC</w:t>
      </w:r>
      <w:r w:rsidRPr="00C25336">
        <w:rPr>
          <w:rFonts w:ascii="Arial" w:hAnsi="Arial" w:cs="Arial"/>
        </w:rPr>
        <w:t>. Available at: https://www.cnbc.com/2022/06/11/why-marriott-hilton-and-hyatt-say-hotel-prices-are-only-going-up.html (Accessed: 11 May 2023).</w:t>
      </w:r>
    </w:p>
    <w:p w14:paraId="7DDD6B79" w14:textId="77777777" w:rsidR="00C25336" w:rsidRPr="00C25336" w:rsidRDefault="00C25336" w:rsidP="00C25336">
      <w:pPr>
        <w:pStyle w:val="NormalWeb"/>
        <w:spacing w:before="0" w:beforeAutospacing="0" w:after="0" w:afterAutospacing="0" w:line="360" w:lineRule="auto"/>
        <w:ind w:left="1080" w:hanging="720"/>
        <w:contextualSpacing/>
        <w:jc w:val="both"/>
        <w:rPr>
          <w:rFonts w:ascii="Arial" w:hAnsi="Arial" w:cs="Arial"/>
        </w:rPr>
      </w:pPr>
      <w:r w:rsidRPr="00C25336">
        <w:rPr>
          <w:rFonts w:ascii="Arial" w:hAnsi="Arial" w:cs="Arial"/>
        </w:rPr>
        <w:t xml:space="preserve">User, G. (2018) </w:t>
      </w:r>
      <w:r w:rsidRPr="00C25336">
        <w:rPr>
          <w:rFonts w:ascii="Arial" w:hAnsi="Arial" w:cs="Arial"/>
          <w:i/>
          <w:iCs/>
        </w:rPr>
        <w:t>Marriott latest hotel group to align CSR with the Global Goals</w:t>
      </w:r>
      <w:r w:rsidRPr="00C25336">
        <w:rPr>
          <w:rFonts w:ascii="Arial" w:hAnsi="Arial" w:cs="Arial"/>
        </w:rPr>
        <w:t xml:space="preserve">, </w:t>
      </w:r>
      <w:r w:rsidRPr="00C25336">
        <w:rPr>
          <w:rFonts w:ascii="Arial" w:hAnsi="Arial" w:cs="Arial"/>
          <w:i/>
          <w:iCs/>
        </w:rPr>
        <w:t>Green Key</w:t>
      </w:r>
      <w:r w:rsidRPr="00C25336">
        <w:rPr>
          <w:rFonts w:ascii="Arial" w:hAnsi="Arial" w:cs="Arial"/>
        </w:rPr>
        <w:t xml:space="preserve">. Available at: https://www.greenkey.global/stories-news-1/2017/12/13/marriott-latest-hotel-group-to-align-csr-with-the-global-goals (Accessed: 11 May 2023). </w:t>
      </w:r>
    </w:p>
    <w:p w14:paraId="3270F88B" w14:textId="77777777" w:rsidR="00C25336" w:rsidRPr="00C25336" w:rsidRDefault="00C25336" w:rsidP="00C25336">
      <w:pPr>
        <w:pStyle w:val="NormalWeb"/>
        <w:spacing w:before="0" w:beforeAutospacing="0" w:after="0" w:afterAutospacing="0" w:line="360" w:lineRule="auto"/>
        <w:ind w:left="1080" w:hanging="720"/>
        <w:contextualSpacing/>
        <w:jc w:val="both"/>
        <w:rPr>
          <w:rFonts w:ascii="Arial" w:hAnsi="Arial" w:cs="Arial"/>
        </w:rPr>
      </w:pPr>
      <w:r w:rsidRPr="00C25336">
        <w:rPr>
          <w:rFonts w:ascii="Arial" w:hAnsi="Arial" w:cs="Arial"/>
        </w:rPr>
        <w:t xml:space="preserve">Wood, D. (2022) </w:t>
      </w:r>
      <w:r w:rsidRPr="00C25336">
        <w:rPr>
          <w:rFonts w:ascii="Arial" w:hAnsi="Arial" w:cs="Arial"/>
          <w:i/>
          <w:iCs/>
        </w:rPr>
        <w:t>Marriott, Hyatt earnings continue hospitality industry’s recovery</w:t>
      </w:r>
      <w:r w:rsidRPr="00C25336">
        <w:rPr>
          <w:rFonts w:ascii="Arial" w:hAnsi="Arial" w:cs="Arial"/>
        </w:rPr>
        <w:t xml:space="preserve">, </w:t>
      </w:r>
      <w:r w:rsidRPr="00C25336">
        <w:rPr>
          <w:rFonts w:ascii="Arial" w:hAnsi="Arial" w:cs="Arial"/>
          <w:i/>
          <w:iCs/>
        </w:rPr>
        <w:t>U.S.A| English</w:t>
      </w:r>
      <w:r w:rsidRPr="00C25336">
        <w:rPr>
          <w:rFonts w:ascii="Arial" w:hAnsi="Arial" w:cs="Arial"/>
        </w:rPr>
        <w:t xml:space="preserve">. Available at: https://www.travelpulse.com/News/Hotels-and-Resorts/Marriott-Hyatt-Earnings-Continue-Hospitality-Industry-s-Recovery (Accessed: 11 May 2023). </w:t>
      </w:r>
    </w:p>
    <w:p w14:paraId="32FBC271" w14:textId="77777777" w:rsidR="00C25336" w:rsidRPr="00C25336" w:rsidRDefault="00C25336" w:rsidP="00C25336">
      <w:pPr>
        <w:pStyle w:val="NormalWeb"/>
        <w:spacing w:before="0" w:beforeAutospacing="0" w:after="0" w:afterAutospacing="0" w:line="360" w:lineRule="auto"/>
        <w:ind w:left="1080" w:hanging="720"/>
        <w:contextualSpacing/>
        <w:jc w:val="both"/>
        <w:rPr>
          <w:rFonts w:ascii="Arial" w:hAnsi="Arial" w:cs="Arial"/>
        </w:rPr>
      </w:pPr>
      <w:r w:rsidRPr="00C25336">
        <w:rPr>
          <w:rFonts w:ascii="Arial" w:hAnsi="Arial" w:cs="Arial"/>
        </w:rPr>
        <w:t xml:space="preserve">Xaif (2023) </w:t>
      </w:r>
      <w:r w:rsidRPr="00C25336">
        <w:rPr>
          <w:rFonts w:ascii="Arial" w:hAnsi="Arial" w:cs="Arial"/>
          <w:i/>
          <w:iCs/>
        </w:rPr>
        <w:t>Detailed marketing strategy of Marriott International - A Case Study</w:t>
      </w:r>
      <w:r w:rsidRPr="00C25336">
        <w:rPr>
          <w:rFonts w:ascii="Arial" w:hAnsi="Arial" w:cs="Arial"/>
        </w:rPr>
        <w:t xml:space="preserve">, </w:t>
      </w:r>
      <w:r w:rsidRPr="00C25336">
        <w:rPr>
          <w:rFonts w:ascii="Arial" w:hAnsi="Arial" w:cs="Arial"/>
          <w:i/>
          <w:iCs/>
        </w:rPr>
        <w:t>IIDE</w:t>
      </w:r>
      <w:r w:rsidRPr="00C25336">
        <w:rPr>
          <w:rFonts w:ascii="Arial" w:hAnsi="Arial" w:cs="Arial"/>
        </w:rPr>
        <w:t xml:space="preserve">. Available at: https://iide.co/case-studies/marketing-strategy-marriott-international/ (Accessed: 11 May 2023). </w:t>
      </w:r>
    </w:p>
    <w:p w14:paraId="7F5F29A3" w14:textId="77777777" w:rsidR="00C25336" w:rsidRPr="00C25336" w:rsidRDefault="00C25336" w:rsidP="00C25336">
      <w:pPr>
        <w:pStyle w:val="NormalWeb"/>
        <w:spacing w:before="0" w:beforeAutospacing="0" w:after="0" w:afterAutospacing="0" w:line="360" w:lineRule="auto"/>
        <w:ind w:left="1080" w:hanging="720"/>
        <w:contextualSpacing/>
        <w:jc w:val="both"/>
        <w:rPr>
          <w:rFonts w:ascii="Arial" w:hAnsi="Arial" w:cs="Arial"/>
        </w:rPr>
      </w:pPr>
      <w:r w:rsidRPr="00C25336">
        <w:rPr>
          <w:rFonts w:ascii="Arial" w:hAnsi="Arial" w:cs="Arial"/>
        </w:rPr>
        <w:t xml:space="preserve">Zacks (2018) </w:t>
      </w:r>
      <w:r w:rsidRPr="00C25336">
        <w:rPr>
          <w:rFonts w:ascii="Arial" w:hAnsi="Arial" w:cs="Arial"/>
          <w:i/>
          <w:iCs/>
        </w:rPr>
        <w:t>Marriott vs. Hyatt: Which Hotel Stock to serve better returns?</w:t>
      </w:r>
      <w:r w:rsidRPr="00C25336">
        <w:rPr>
          <w:rFonts w:ascii="Arial" w:hAnsi="Arial" w:cs="Arial"/>
        </w:rPr>
        <w:t xml:space="preserve">, </w:t>
      </w:r>
      <w:r w:rsidRPr="00C25336">
        <w:rPr>
          <w:rFonts w:ascii="Arial" w:hAnsi="Arial" w:cs="Arial"/>
          <w:i/>
          <w:iCs/>
        </w:rPr>
        <w:t>Nasdaq</w:t>
      </w:r>
      <w:r w:rsidRPr="00C25336">
        <w:rPr>
          <w:rFonts w:ascii="Arial" w:hAnsi="Arial" w:cs="Arial"/>
        </w:rPr>
        <w:t xml:space="preserve">. Available at: https://www.nasdaq.com/articles/marriott-vs.-hyatt:-which-hotel-stock-to-serve-better-returns-2018-09-21 (Accessed: 11 May 2023). </w:t>
      </w:r>
    </w:p>
    <w:p w14:paraId="17F21CAF" w14:textId="77777777" w:rsidR="00C25336" w:rsidRPr="00C25336" w:rsidRDefault="00C25336" w:rsidP="00C25336">
      <w:pPr>
        <w:spacing w:line="360" w:lineRule="auto"/>
        <w:ind w:firstLine="720"/>
        <w:contextualSpacing/>
        <w:jc w:val="both"/>
        <w:rPr>
          <w:rFonts w:ascii="Arial" w:hAnsi="Arial" w:cs="Arial"/>
          <w:sz w:val="24"/>
          <w:szCs w:val="24"/>
        </w:rPr>
      </w:pPr>
    </w:p>
    <w:p w14:paraId="1D4BE524" w14:textId="77777777" w:rsidR="00C25336" w:rsidRPr="00431FD0" w:rsidRDefault="00C25336" w:rsidP="00431FD0">
      <w:pPr>
        <w:spacing w:line="360" w:lineRule="auto"/>
        <w:ind w:firstLine="720"/>
        <w:contextualSpacing/>
        <w:jc w:val="both"/>
        <w:rPr>
          <w:rFonts w:ascii="Arial" w:hAnsi="Arial" w:cs="Arial"/>
          <w:sz w:val="24"/>
          <w:szCs w:val="24"/>
        </w:rPr>
      </w:pPr>
    </w:p>
    <w:p w14:paraId="6AF474EF" w14:textId="77777777" w:rsidR="00431FD0" w:rsidRPr="00431FD0" w:rsidRDefault="00431FD0" w:rsidP="00431FD0">
      <w:pPr>
        <w:spacing w:line="360" w:lineRule="auto"/>
        <w:contextualSpacing/>
        <w:jc w:val="center"/>
        <w:rPr>
          <w:rFonts w:ascii="Arial" w:hAnsi="Arial" w:cs="Arial"/>
          <w:b/>
          <w:bCs/>
          <w:sz w:val="24"/>
          <w:szCs w:val="24"/>
        </w:rPr>
      </w:pPr>
    </w:p>
    <w:p w14:paraId="505A3F46" w14:textId="77777777" w:rsidR="00431FD0" w:rsidRDefault="00431FD0" w:rsidP="00431FD0">
      <w:pPr>
        <w:spacing w:line="360" w:lineRule="auto"/>
        <w:ind w:firstLine="720"/>
        <w:contextualSpacing/>
        <w:jc w:val="both"/>
        <w:rPr>
          <w:rFonts w:ascii="Times New Roman" w:hAnsi="Times New Roman" w:cs="Times New Roman"/>
          <w:sz w:val="24"/>
          <w:szCs w:val="24"/>
        </w:rPr>
      </w:pPr>
    </w:p>
    <w:p w14:paraId="58B1CD9B" w14:textId="77777777" w:rsidR="00431FD0" w:rsidRPr="00431FD0" w:rsidRDefault="00431FD0" w:rsidP="00431FD0">
      <w:pPr>
        <w:spacing w:line="360" w:lineRule="auto"/>
        <w:contextualSpacing/>
        <w:jc w:val="center"/>
        <w:rPr>
          <w:rFonts w:ascii="Arial" w:hAnsi="Arial" w:cs="Arial"/>
          <w:b/>
          <w:bCs/>
          <w:sz w:val="24"/>
          <w:szCs w:val="24"/>
        </w:rPr>
      </w:pPr>
    </w:p>
    <w:p w14:paraId="7687AE79" w14:textId="77777777" w:rsidR="00431FD0" w:rsidRPr="00431FD0" w:rsidRDefault="00431FD0" w:rsidP="00431FD0">
      <w:pPr>
        <w:spacing w:line="360" w:lineRule="auto"/>
        <w:contextualSpacing/>
        <w:jc w:val="center"/>
        <w:rPr>
          <w:rFonts w:ascii="Arial" w:hAnsi="Arial" w:cs="Arial"/>
          <w:b/>
          <w:bCs/>
          <w:sz w:val="24"/>
          <w:szCs w:val="24"/>
        </w:rPr>
      </w:pPr>
    </w:p>
    <w:p w14:paraId="03E6A915" w14:textId="77777777" w:rsidR="00431FD0" w:rsidRPr="00A273C4" w:rsidRDefault="00431FD0" w:rsidP="00A273C4">
      <w:pPr>
        <w:spacing w:line="360" w:lineRule="auto"/>
        <w:contextualSpacing/>
        <w:jc w:val="center"/>
        <w:rPr>
          <w:rFonts w:ascii="Arial" w:hAnsi="Arial" w:cs="Arial"/>
          <w:b/>
          <w:bCs/>
          <w:sz w:val="24"/>
          <w:szCs w:val="24"/>
        </w:rPr>
      </w:pPr>
    </w:p>
    <w:p w14:paraId="2A3BDFFC" w14:textId="77777777" w:rsidR="00A273C4" w:rsidRPr="00CC30EC" w:rsidRDefault="00A273C4" w:rsidP="00CC30EC">
      <w:pPr>
        <w:spacing w:line="360" w:lineRule="auto"/>
        <w:ind w:firstLine="720"/>
        <w:contextualSpacing/>
        <w:jc w:val="both"/>
        <w:rPr>
          <w:rFonts w:ascii="Arial" w:hAnsi="Arial" w:cs="Arial"/>
          <w:sz w:val="24"/>
          <w:szCs w:val="24"/>
        </w:rPr>
      </w:pPr>
    </w:p>
    <w:p w14:paraId="51952F63" w14:textId="77777777" w:rsidR="00CC30EC" w:rsidRPr="00CC30EC" w:rsidRDefault="00CC30EC" w:rsidP="00CC30EC">
      <w:pPr>
        <w:spacing w:line="480" w:lineRule="auto"/>
        <w:contextualSpacing/>
        <w:jc w:val="center"/>
        <w:rPr>
          <w:rFonts w:ascii="Arial" w:hAnsi="Arial" w:cs="Arial"/>
          <w:b/>
          <w:bCs/>
          <w:sz w:val="24"/>
          <w:szCs w:val="24"/>
        </w:rPr>
      </w:pPr>
    </w:p>
    <w:p w14:paraId="7AE9D791" w14:textId="77777777" w:rsidR="00CC30EC" w:rsidRDefault="00CC30EC" w:rsidP="007162D5">
      <w:pPr>
        <w:spacing w:line="360" w:lineRule="auto"/>
        <w:ind w:firstLine="720"/>
        <w:contextualSpacing/>
        <w:jc w:val="both"/>
        <w:rPr>
          <w:rFonts w:ascii="Times New Roman" w:hAnsi="Times New Roman" w:cs="Times New Roman"/>
          <w:sz w:val="24"/>
          <w:szCs w:val="24"/>
        </w:rPr>
      </w:pPr>
    </w:p>
    <w:p w14:paraId="10A4C347" w14:textId="77777777" w:rsidR="007162D5" w:rsidRPr="002A7A9E" w:rsidRDefault="007162D5" w:rsidP="002A7A9E">
      <w:pPr>
        <w:spacing w:line="360" w:lineRule="auto"/>
        <w:ind w:firstLine="720"/>
        <w:contextualSpacing/>
        <w:jc w:val="both"/>
        <w:rPr>
          <w:rFonts w:ascii="Arial" w:hAnsi="Arial" w:cs="Arial"/>
          <w:sz w:val="24"/>
          <w:szCs w:val="24"/>
        </w:rPr>
      </w:pPr>
    </w:p>
    <w:p w14:paraId="5D13FD1D" w14:textId="77777777" w:rsidR="002A7A9E" w:rsidRDefault="002A7A9E" w:rsidP="002A7A9E">
      <w:pPr>
        <w:spacing w:line="360" w:lineRule="auto"/>
        <w:jc w:val="both"/>
        <w:rPr>
          <w:rFonts w:ascii="Arial" w:hAnsi="Arial" w:cs="Arial"/>
          <w:sz w:val="24"/>
          <w:szCs w:val="24"/>
        </w:rPr>
      </w:pPr>
    </w:p>
    <w:p w14:paraId="179CFF69" w14:textId="77777777" w:rsidR="002A7A9E" w:rsidRDefault="002A7A9E" w:rsidP="002A7A9E">
      <w:pPr>
        <w:spacing w:line="360" w:lineRule="auto"/>
        <w:jc w:val="both"/>
        <w:rPr>
          <w:rFonts w:ascii="Arial" w:hAnsi="Arial" w:cs="Arial"/>
          <w:sz w:val="24"/>
          <w:szCs w:val="24"/>
        </w:rPr>
      </w:pPr>
    </w:p>
    <w:p w14:paraId="63A4CAF6" w14:textId="77777777" w:rsidR="002A7A9E" w:rsidRDefault="002A7A9E" w:rsidP="002A7A9E">
      <w:pPr>
        <w:spacing w:line="360" w:lineRule="auto"/>
        <w:jc w:val="both"/>
        <w:rPr>
          <w:rFonts w:ascii="Arial" w:hAnsi="Arial" w:cs="Arial"/>
          <w:sz w:val="24"/>
          <w:szCs w:val="24"/>
        </w:rPr>
      </w:pPr>
    </w:p>
    <w:p w14:paraId="7CD229E2" w14:textId="77777777" w:rsidR="002A7A9E" w:rsidRDefault="002A7A9E" w:rsidP="002A7A9E">
      <w:pPr>
        <w:spacing w:line="360" w:lineRule="auto"/>
        <w:jc w:val="both"/>
        <w:rPr>
          <w:rFonts w:ascii="Arial" w:hAnsi="Arial" w:cs="Arial"/>
          <w:sz w:val="24"/>
          <w:szCs w:val="24"/>
        </w:rPr>
      </w:pPr>
    </w:p>
    <w:p w14:paraId="2EE4A9E5" w14:textId="77777777" w:rsidR="002A7A9E" w:rsidRPr="002A7A9E" w:rsidRDefault="002A7A9E" w:rsidP="002A7A9E">
      <w:pPr>
        <w:spacing w:line="360" w:lineRule="auto"/>
        <w:jc w:val="both"/>
        <w:rPr>
          <w:rFonts w:ascii="Arial" w:hAnsi="Arial" w:cs="Arial"/>
          <w:sz w:val="24"/>
          <w:szCs w:val="24"/>
        </w:rPr>
      </w:pPr>
    </w:p>
    <w:sectPr w:rsidR="002A7A9E" w:rsidRPr="002A7A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59E"/>
    <w:rsid w:val="002A7A9E"/>
    <w:rsid w:val="002E22C4"/>
    <w:rsid w:val="003F31C8"/>
    <w:rsid w:val="00431FD0"/>
    <w:rsid w:val="007162D5"/>
    <w:rsid w:val="008A231C"/>
    <w:rsid w:val="00A153AE"/>
    <w:rsid w:val="00A273C4"/>
    <w:rsid w:val="00B66C91"/>
    <w:rsid w:val="00C25336"/>
    <w:rsid w:val="00CC30EC"/>
    <w:rsid w:val="00CE5486"/>
    <w:rsid w:val="00DD15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75E95"/>
  <w15:chartTrackingRefBased/>
  <w15:docId w15:val="{76A4D7A3-F085-4772-AE65-BFFDA1CE6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A9E"/>
    <w:pPr>
      <w:spacing w:line="256" w:lineRule="auto"/>
    </w:pPr>
    <w:rPr>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2533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6694">
      <w:bodyDiv w:val="1"/>
      <w:marLeft w:val="0"/>
      <w:marRight w:val="0"/>
      <w:marTop w:val="0"/>
      <w:marBottom w:val="0"/>
      <w:divBdr>
        <w:top w:val="none" w:sz="0" w:space="0" w:color="auto"/>
        <w:left w:val="none" w:sz="0" w:space="0" w:color="auto"/>
        <w:bottom w:val="none" w:sz="0" w:space="0" w:color="auto"/>
        <w:right w:val="none" w:sz="0" w:space="0" w:color="auto"/>
      </w:divBdr>
    </w:div>
    <w:div w:id="105203107">
      <w:bodyDiv w:val="1"/>
      <w:marLeft w:val="0"/>
      <w:marRight w:val="0"/>
      <w:marTop w:val="0"/>
      <w:marBottom w:val="0"/>
      <w:divBdr>
        <w:top w:val="none" w:sz="0" w:space="0" w:color="auto"/>
        <w:left w:val="none" w:sz="0" w:space="0" w:color="auto"/>
        <w:bottom w:val="none" w:sz="0" w:space="0" w:color="auto"/>
        <w:right w:val="none" w:sz="0" w:space="0" w:color="auto"/>
      </w:divBdr>
    </w:div>
    <w:div w:id="202790665">
      <w:bodyDiv w:val="1"/>
      <w:marLeft w:val="0"/>
      <w:marRight w:val="0"/>
      <w:marTop w:val="0"/>
      <w:marBottom w:val="0"/>
      <w:divBdr>
        <w:top w:val="none" w:sz="0" w:space="0" w:color="auto"/>
        <w:left w:val="none" w:sz="0" w:space="0" w:color="auto"/>
        <w:bottom w:val="none" w:sz="0" w:space="0" w:color="auto"/>
        <w:right w:val="none" w:sz="0" w:space="0" w:color="auto"/>
      </w:divBdr>
    </w:div>
    <w:div w:id="343636320">
      <w:bodyDiv w:val="1"/>
      <w:marLeft w:val="0"/>
      <w:marRight w:val="0"/>
      <w:marTop w:val="0"/>
      <w:marBottom w:val="0"/>
      <w:divBdr>
        <w:top w:val="none" w:sz="0" w:space="0" w:color="auto"/>
        <w:left w:val="none" w:sz="0" w:space="0" w:color="auto"/>
        <w:bottom w:val="none" w:sz="0" w:space="0" w:color="auto"/>
        <w:right w:val="none" w:sz="0" w:space="0" w:color="auto"/>
      </w:divBdr>
    </w:div>
    <w:div w:id="409424032">
      <w:bodyDiv w:val="1"/>
      <w:marLeft w:val="0"/>
      <w:marRight w:val="0"/>
      <w:marTop w:val="0"/>
      <w:marBottom w:val="0"/>
      <w:divBdr>
        <w:top w:val="none" w:sz="0" w:space="0" w:color="auto"/>
        <w:left w:val="none" w:sz="0" w:space="0" w:color="auto"/>
        <w:bottom w:val="none" w:sz="0" w:space="0" w:color="auto"/>
        <w:right w:val="none" w:sz="0" w:space="0" w:color="auto"/>
      </w:divBdr>
    </w:div>
    <w:div w:id="501045891">
      <w:bodyDiv w:val="1"/>
      <w:marLeft w:val="0"/>
      <w:marRight w:val="0"/>
      <w:marTop w:val="0"/>
      <w:marBottom w:val="0"/>
      <w:divBdr>
        <w:top w:val="none" w:sz="0" w:space="0" w:color="auto"/>
        <w:left w:val="none" w:sz="0" w:space="0" w:color="auto"/>
        <w:bottom w:val="none" w:sz="0" w:space="0" w:color="auto"/>
        <w:right w:val="none" w:sz="0" w:space="0" w:color="auto"/>
      </w:divBdr>
    </w:div>
    <w:div w:id="647174515">
      <w:bodyDiv w:val="1"/>
      <w:marLeft w:val="0"/>
      <w:marRight w:val="0"/>
      <w:marTop w:val="0"/>
      <w:marBottom w:val="0"/>
      <w:divBdr>
        <w:top w:val="none" w:sz="0" w:space="0" w:color="auto"/>
        <w:left w:val="none" w:sz="0" w:space="0" w:color="auto"/>
        <w:bottom w:val="none" w:sz="0" w:space="0" w:color="auto"/>
        <w:right w:val="none" w:sz="0" w:space="0" w:color="auto"/>
      </w:divBdr>
    </w:div>
    <w:div w:id="847988062">
      <w:bodyDiv w:val="1"/>
      <w:marLeft w:val="0"/>
      <w:marRight w:val="0"/>
      <w:marTop w:val="0"/>
      <w:marBottom w:val="0"/>
      <w:divBdr>
        <w:top w:val="none" w:sz="0" w:space="0" w:color="auto"/>
        <w:left w:val="none" w:sz="0" w:space="0" w:color="auto"/>
        <w:bottom w:val="none" w:sz="0" w:space="0" w:color="auto"/>
        <w:right w:val="none" w:sz="0" w:space="0" w:color="auto"/>
      </w:divBdr>
    </w:div>
    <w:div w:id="1310860146">
      <w:bodyDiv w:val="1"/>
      <w:marLeft w:val="0"/>
      <w:marRight w:val="0"/>
      <w:marTop w:val="0"/>
      <w:marBottom w:val="0"/>
      <w:divBdr>
        <w:top w:val="none" w:sz="0" w:space="0" w:color="auto"/>
        <w:left w:val="none" w:sz="0" w:space="0" w:color="auto"/>
        <w:bottom w:val="none" w:sz="0" w:space="0" w:color="auto"/>
        <w:right w:val="none" w:sz="0" w:space="0" w:color="auto"/>
      </w:divBdr>
    </w:div>
    <w:div w:id="1444109198">
      <w:bodyDiv w:val="1"/>
      <w:marLeft w:val="0"/>
      <w:marRight w:val="0"/>
      <w:marTop w:val="0"/>
      <w:marBottom w:val="0"/>
      <w:divBdr>
        <w:top w:val="none" w:sz="0" w:space="0" w:color="auto"/>
        <w:left w:val="none" w:sz="0" w:space="0" w:color="auto"/>
        <w:bottom w:val="none" w:sz="0" w:space="0" w:color="auto"/>
        <w:right w:val="none" w:sz="0" w:space="0" w:color="auto"/>
      </w:divBdr>
    </w:div>
    <w:div w:id="1497068383">
      <w:bodyDiv w:val="1"/>
      <w:marLeft w:val="0"/>
      <w:marRight w:val="0"/>
      <w:marTop w:val="0"/>
      <w:marBottom w:val="0"/>
      <w:divBdr>
        <w:top w:val="none" w:sz="0" w:space="0" w:color="auto"/>
        <w:left w:val="none" w:sz="0" w:space="0" w:color="auto"/>
        <w:bottom w:val="none" w:sz="0" w:space="0" w:color="auto"/>
        <w:right w:val="none" w:sz="0" w:space="0" w:color="auto"/>
      </w:divBdr>
    </w:div>
    <w:div w:id="1527870347">
      <w:bodyDiv w:val="1"/>
      <w:marLeft w:val="0"/>
      <w:marRight w:val="0"/>
      <w:marTop w:val="0"/>
      <w:marBottom w:val="0"/>
      <w:divBdr>
        <w:top w:val="none" w:sz="0" w:space="0" w:color="auto"/>
        <w:left w:val="none" w:sz="0" w:space="0" w:color="auto"/>
        <w:bottom w:val="none" w:sz="0" w:space="0" w:color="auto"/>
        <w:right w:val="none" w:sz="0" w:space="0" w:color="auto"/>
      </w:divBdr>
    </w:div>
    <w:div w:id="1767841225">
      <w:bodyDiv w:val="1"/>
      <w:marLeft w:val="0"/>
      <w:marRight w:val="0"/>
      <w:marTop w:val="0"/>
      <w:marBottom w:val="0"/>
      <w:divBdr>
        <w:top w:val="none" w:sz="0" w:space="0" w:color="auto"/>
        <w:left w:val="none" w:sz="0" w:space="0" w:color="auto"/>
        <w:bottom w:val="none" w:sz="0" w:space="0" w:color="auto"/>
        <w:right w:val="none" w:sz="0" w:space="0" w:color="auto"/>
      </w:divBdr>
    </w:div>
    <w:div w:id="1945384729">
      <w:bodyDiv w:val="1"/>
      <w:marLeft w:val="0"/>
      <w:marRight w:val="0"/>
      <w:marTop w:val="0"/>
      <w:marBottom w:val="0"/>
      <w:divBdr>
        <w:top w:val="none" w:sz="0" w:space="0" w:color="auto"/>
        <w:left w:val="none" w:sz="0" w:space="0" w:color="auto"/>
        <w:bottom w:val="none" w:sz="0" w:space="0" w:color="auto"/>
        <w:right w:val="none" w:sz="0" w:space="0" w:color="auto"/>
      </w:divBdr>
    </w:div>
    <w:div w:id="1996227659">
      <w:bodyDiv w:val="1"/>
      <w:marLeft w:val="0"/>
      <w:marRight w:val="0"/>
      <w:marTop w:val="0"/>
      <w:marBottom w:val="0"/>
      <w:divBdr>
        <w:top w:val="none" w:sz="0" w:space="0" w:color="auto"/>
        <w:left w:val="none" w:sz="0" w:space="0" w:color="auto"/>
        <w:bottom w:val="none" w:sz="0" w:space="0" w:color="auto"/>
        <w:right w:val="none" w:sz="0" w:space="0" w:color="auto"/>
      </w:divBdr>
    </w:div>
    <w:div w:id="2009937720">
      <w:bodyDiv w:val="1"/>
      <w:marLeft w:val="0"/>
      <w:marRight w:val="0"/>
      <w:marTop w:val="0"/>
      <w:marBottom w:val="0"/>
      <w:divBdr>
        <w:top w:val="none" w:sz="0" w:space="0" w:color="auto"/>
        <w:left w:val="none" w:sz="0" w:space="0" w:color="auto"/>
        <w:bottom w:val="none" w:sz="0" w:space="0" w:color="auto"/>
        <w:right w:val="none" w:sz="0" w:space="0" w:color="auto"/>
      </w:divBdr>
    </w:div>
    <w:div w:id="2015449540">
      <w:bodyDiv w:val="1"/>
      <w:marLeft w:val="0"/>
      <w:marRight w:val="0"/>
      <w:marTop w:val="0"/>
      <w:marBottom w:val="0"/>
      <w:divBdr>
        <w:top w:val="none" w:sz="0" w:space="0" w:color="auto"/>
        <w:left w:val="none" w:sz="0" w:space="0" w:color="auto"/>
        <w:bottom w:val="none" w:sz="0" w:space="0" w:color="auto"/>
        <w:right w:val="none" w:sz="0" w:space="0" w:color="auto"/>
      </w:divBdr>
    </w:div>
    <w:div w:id="2019312894">
      <w:bodyDiv w:val="1"/>
      <w:marLeft w:val="0"/>
      <w:marRight w:val="0"/>
      <w:marTop w:val="0"/>
      <w:marBottom w:val="0"/>
      <w:divBdr>
        <w:top w:val="none" w:sz="0" w:space="0" w:color="auto"/>
        <w:left w:val="none" w:sz="0" w:space="0" w:color="auto"/>
        <w:bottom w:val="none" w:sz="0" w:space="0" w:color="auto"/>
        <w:right w:val="none" w:sz="0" w:space="0" w:color="auto"/>
      </w:divBdr>
    </w:div>
    <w:div w:id="2108308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12</Pages>
  <Words>3346</Words>
  <Characters>19077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Cornea</dc:creator>
  <cp:keywords/>
  <dc:description/>
  <cp:lastModifiedBy>Cristina Cornea</cp:lastModifiedBy>
  <cp:revision>3</cp:revision>
  <dcterms:created xsi:type="dcterms:W3CDTF">2023-05-17T08:13:00Z</dcterms:created>
  <dcterms:modified xsi:type="dcterms:W3CDTF">2023-05-17T09:20:00Z</dcterms:modified>
</cp:coreProperties>
</file>