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3ED22" w14:textId="492D1E5E" w:rsidR="005D78D1" w:rsidRPr="00BA7514" w:rsidRDefault="00C21C18">
      <w:pPr>
        <w:rPr>
          <w:rFonts w:ascii="Arial" w:hAnsi="Arial" w:cs="Arial"/>
          <w:sz w:val="23"/>
          <w:szCs w:val="23"/>
        </w:rPr>
      </w:pPr>
      <w:r w:rsidRPr="00BA7514">
        <w:rPr>
          <w:rFonts w:ascii="Arial" w:hAnsi="Arial" w:cs="Arial"/>
          <w:noProof/>
          <w:sz w:val="23"/>
          <w:szCs w:val="23"/>
        </w:rPr>
        <w:drawing>
          <wp:inline distT="0" distB="0" distL="0" distR="0" wp14:anchorId="62F2D935" wp14:editId="2FD1FA31">
            <wp:extent cx="2606898" cy="1576705"/>
            <wp:effectExtent l="0" t="0" r="3175" b="4445"/>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42769" cy="1598401"/>
                    </a:xfrm>
                    <a:prstGeom prst="rect">
                      <a:avLst/>
                    </a:prstGeom>
                    <a:noFill/>
                    <a:ln>
                      <a:noFill/>
                    </a:ln>
                  </pic:spPr>
                </pic:pic>
              </a:graphicData>
            </a:graphic>
          </wp:inline>
        </w:drawing>
      </w:r>
    </w:p>
    <w:p w14:paraId="63E95EB8" w14:textId="77777777" w:rsidR="000A7252" w:rsidRPr="00BA7514" w:rsidRDefault="000A7252">
      <w:pPr>
        <w:rPr>
          <w:rFonts w:ascii="Arial" w:hAnsi="Arial" w:cs="Arial"/>
          <w:sz w:val="23"/>
          <w:szCs w:val="23"/>
        </w:rPr>
      </w:pPr>
    </w:p>
    <w:p w14:paraId="58E38535" w14:textId="77777777" w:rsidR="000A7252" w:rsidRPr="00BA7514" w:rsidRDefault="000A7252">
      <w:pPr>
        <w:rPr>
          <w:rFonts w:ascii="Arial" w:hAnsi="Arial" w:cs="Arial"/>
          <w:sz w:val="23"/>
          <w:szCs w:val="23"/>
        </w:rPr>
      </w:pPr>
    </w:p>
    <w:p w14:paraId="0A6BAA2A" w14:textId="77777777" w:rsidR="000A7252" w:rsidRPr="00BA7514" w:rsidRDefault="000A7252">
      <w:pPr>
        <w:rPr>
          <w:rFonts w:ascii="Arial" w:hAnsi="Arial" w:cs="Arial"/>
          <w:sz w:val="23"/>
          <w:szCs w:val="23"/>
        </w:rPr>
      </w:pPr>
    </w:p>
    <w:p w14:paraId="453DAD6A" w14:textId="77777777" w:rsidR="000A7252" w:rsidRPr="00BA7514" w:rsidRDefault="000A7252">
      <w:pPr>
        <w:rPr>
          <w:rFonts w:ascii="Arial" w:hAnsi="Arial" w:cs="Arial"/>
          <w:sz w:val="23"/>
          <w:szCs w:val="23"/>
        </w:rPr>
      </w:pPr>
    </w:p>
    <w:p w14:paraId="0576BC9E" w14:textId="77777777" w:rsidR="006320A6" w:rsidRPr="00BA7514" w:rsidRDefault="006320A6"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Student name:</w:t>
      </w:r>
      <w:r w:rsidRPr="00BA7514">
        <w:rPr>
          <w:rFonts w:ascii="Arial" w:eastAsia="Times New Roman" w:hAnsi="Arial" w:cs="Arial"/>
          <w:color w:val="0F1115"/>
          <w:kern w:val="0"/>
          <w:sz w:val="23"/>
          <w:szCs w:val="23"/>
          <w:lang w:eastAsia="en-GB"/>
          <w14:ligatures w14:val="none"/>
        </w:rPr>
        <w:t> Florence Chijioke Oguledo</w:t>
      </w:r>
    </w:p>
    <w:p w14:paraId="372EADB3" w14:textId="77777777" w:rsidR="006320A6" w:rsidRPr="00BA7514" w:rsidRDefault="006320A6"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Student ID:</w:t>
      </w:r>
      <w:r w:rsidRPr="00BA7514">
        <w:rPr>
          <w:rFonts w:ascii="Arial" w:eastAsia="Times New Roman" w:hAnsi="Arial" w:cs="Arial"/>
          <w:color w:val="0F1115"/>
          <w:kern w:val="0"/>
          <w:sz w:val="23"/>
          <w:szCs w:val="23"/>
          <w:lang w:eastAsia="en-GB"/>
          <w14:ligatures w14:val="none"/>
        </w:rPr>
        <w:t> 2411483</w:t>
      </w:r>
    </w:p>
    <w:p w14:paraId="14CA7DA1" w14:textId="77777777" w:rsidR="006320A6" w:rsidRPr="00BA7514" w:rsidRDefault="006320A6"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Module name:</w:t>
      </w:r>
      <w:r w:rsidRPr="00BA7514">
        <w:rPr>
          <w:rFonts w:ascii="Arial" w:eastAsia="Times New Roman" w:hAnsi="Arial" w:cs="Arial"/>
          <w:color w:val="0F1115"/>
          <w:kern w:val="0"/>
          <w:sz w:val="23"/>
          <w:szCs w:val="23"/>
          <w:lang w:eastAsia="en-GB"/>
          <w14:ligatures w14:val="none"/>
        </w:rPr>
        <w:t> Principles of Health and Social Care Practice</w:t>
      </w:r>
    </w:p>
    <w:p w14:paraId="3742358C" w14:textId="77777777" w:rsidR="006320A6" w:rsidRPr="00BA7514" w:rsidRDefault="006320A6"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Module code:</w:t>
      </w:r>
      <w:r w:rsidRPr="00BA7514">
        <w:rPr>
          <w:rFonts w:ascii="Arial" w:eastAsia="Times New Roman" w:hAnsi="Arial" w:cs="Arial"/>
          <w:color w:val="0F1115"/>
          <w:kern w:val="0"/>
          <w:sz w:val="23"/>
          <w:szCs w:val="23"/>
          <w:lang w:eastAsia="en-GB"/>
          <w14:ligatures w14:val="none"/>
        </w:rPr>
        <w:t> BMHP5016</w:t>
      </w:r>
    </w:p>
    <w:p w14:paraId="020D0E36" w14:textId="77777777" w:rsidR="006320A6" w:rsidRPr="00BA7514" w:rsidRDefault="006320A6"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Lecturer name:</w:t>
      </w:r>
      <w:r w:rsidRPr="00BA7514">
        <w:rPr>
          <w:rFonts w:ascii="Arial" w:eastAsia="Times New Roman" w:hAnsi="Arial" w:cs="Arial"/>
          <w:color w:val="0F1115"/>
          <w:kern w:val="0"/>
          <w:sz w:val="23"/>
          <w:szCs w:val="23"/>
          <w:lang w:eastAsia="en-GB"/>
          <w14:ligatures w14:val="none"/>
        </w:rPr>
        <w:t xml:space="preserve"> Dr, </w:t>
      </w:r>
      <w:proofErr w:type="spellStart"/>
      <w:r w:rsidRPr="00BA7514">
        <w:rPr>
          <w:rFonts w:ascii="Arial" w:eastAsia="Times New Roman" w:hAnsi="Arial" w:cs="Arial"/>
          <w:color w:val="0F1115"/>
          <w:kern w:val="0"/>
          <w:sz w:val="23"/>
          <w:szCs w:val="23"/>
          <w:lang w:eastAsia="en-GB"/>
          <w14:ligatures w14:val="none"/>
        </w:rPr>
        <w:t>Itse</w:t>
      </w:r>
      <w:proofErr w:type="spellEnd"/>
      <w:r w:rsidRPr="00BA7514">
        <w:rPr>
          <w:rFonts w:ascii="Arial" w:eastAsia="Times New Roman" w:hAnsi="Arial" w:cs="Arial"/>
          <w:color w:val="0F1115"/>
          <w:kern w:val="0"/>
          <w:sz w:val="23"/>
          <w:szCs w:val="23"/>
          <w:lang w:eastAsia="en-GB"/>
          <w14:ligatures w14:val="none"/>
        </w:rPr>
        <w:t xml:space="preserve"> Olaoye.</w:t>
      </w:r>
    </w:p>
    <w:p w14:paraId="3681B58D"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1864230B"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326F670"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62540AA5"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28DB97B"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04FAC47E"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6D11B03F"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85D8646"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386FAD4"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D321E69"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2F6EF886"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0BCC57B1" w14:textId="77777777" w:rsidR="00C34485" w:rsidRPr="00BA7514" w:rsidRDefault="00C34485"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5C52675" w14:textId="77777777" w:rsidR="000A7252" w:rsidRPr="00BA7514" w:rsidRDefault="000A7252"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25B97AF4" w14:textId="77777777" w:rsidR="000A7252" w:rsidRPr="00BA7514" w:rsidRDefault="000A7252" w:rsidP="006320A6">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53CDC4FD" w14:textId="7A3D2B90" w:rsidR="00C34485" w:rsidRPr="00BA7514" w:rsidRDefault="00FC6612" w:rsidP="00FC6612">
      <w:pPr>
        <w:shd w:val="clear" w:color="auto" w:fill="FFFFFF"/>
        <w:tabs>
          <w:tab w:val="left" w:pos="2624"/>
        </w:tabs>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ab/>
      </w:r>
    </w:p>
    <w:p w14:paraId="4DB0C041" w14:textId="77777777" w:rsidR="00FC6612" w:rsidRPr="00BA7514" w:rsidRDefault="00FC6612" w:rsidP="00FC6612">
      <w:pPr>
        <w:shd w:val="clear" w:color="auto" w:fill="FFFFFF"/>
        <w:tabs>
          <w:tab w:val="left" w:pos="2624"/>
        </w:tabs>
        <w:spacing w:before="240" w:after="240" w:line="240" w:lineRule="auto"/>
        <w:rPr>
          <w:rFonts w:ascii="Arial" w:eastAsia="Times New Roman" w:hAnsi="Arial" w:cs="Arial"/>
          <w:color w:val="0F1115"/>
          <w:kern w:val="0"/>
          <w:sz w:val="23"/>
          <w:szCs w:val="23"/>
          <w:lang w:eastAsia="en-GB"/>
          <w14:ligatures w14:val="none"/>
        </w:rPr>
      </w:pPr>
    </w:p>
    <w:p w14:paraId="0C745599" w14:textId="77777777" w:rsidR="00FC6612" w:rsidRPr="00BA7514" w:rsidRDefault="00FC6612" w:rsidP="00FC6612">
      <w:pPr>
        <w:shd w:val="clear" w:color="auto" w:fill="FFFFFF"/>
        <w:tabs>
          <w:tab w:val="left" w:pos="2624"/>
        </w:tabs>
        <w:spacing w:before="240" w:after="240" w:line="240" w:lineRule="auto"/>
        <w:rPr>
          <w:rFonts w:ascii="Arial" w:eastAsia="Times New Roman" w:hAnsi="Arial" w:cs="Arial"/>
          <w:color w:val="0F1115"/>
          <w:kern w:val="0"/>
          <w:sz w:val="23"/>
          <w:szCs w:val="23"/>
          <w:lang w:eastAsia="en-GB"/>
          <w14:ligatures w14:val="none"/>
        </w:rPr>
      </w:pPr>
    </w:p>
    <w:p w14:paraId="0916DC6B" w14:textId="77777777" w:rsidR="005D78D1" w:rsidRPr="00BA7514" w:rsidRDefault="005D78D1" w:rsidP="005D78D1">
      <w:pPr>
        <w:shd w:val="clear" w:color="auto" w:fill="FFFFFF"/>
        <w:spacing w:before="240" w:after="240" w:line="240" w:lineRule="auto"/>
        <w:rPr>
          <w:rFonts w:ascii="Arial" w:eastAsia="Times New Roman" w:hAnsi="Arial" w:cs="Arial"/>
          <w:b/>
          <w:bCs/>
          <w:color w:val="0F1115"/>
          <w:kern w:val="0"/>
          <w:sz w:val="23"/>
          <w:szCs w:val="23"/>
          <w:lang w:eastAsia="en-GB"/>
          <w14:ligatures w14:val="none"/>
        </w:rPr>
      </w:pPr>
    </w:p>
    <w:p w14:paraId="4B2D9C47" w14:textId="77777777" w:rsidR="005D78D1" w:rsidRPr="00BA7514" w:rsidRDefault="005D78D1" w:rsidP="005D78D1">
      <w:pPr>
        <w:shd w:val="clear" w:color="auto" w:fill="FFFFFF"/>
        <w:spacing w:before="240" w:after="240" w:line="240" w:lineRule="auto"/>
        <w:rPr>
          <w:rFonts w:ascii="Arial" w:eastAsia="Times New Roman" w:hAnsi="Arial" w:cs="Arial"/>
          <w:b/>
          <w:bCs/>
          <w:color w:val="0F1115"/>
          <w:kern w:val="0"/>
          <w:sz w:val="23"/>
          <w:szCs w:val="23"/>
          <w:lang w:eastAsia="en-GB"/>
          <w14:ligatures w14:val="none"/>
        </w:rPr>
      </w:pPr>
    </w:p>
    <w:p w14:paraId="486DC667" w14:textId="2E7149EC"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Table of Contents</w:t>
      </w:r>
    </w:p>
    <w:p w14:paraId="36612C5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Introduction...........................................................................1</w:t>
      </w:r>
    </w:p>
    <w:p w14:paraId="48EE0388"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The Development of the Global Care Chains Concept....................2</w:t>
      </w:r>
    </w:p>
    <w:p w14:paraId="6E0A45A8" w14:textId="386DCEBA"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Application of the Concept in Health and Social Care Policy and</w:t>
      </w:r>
      <w:r w:rsidR="00ED293A" w:rsidRPr="00BA7514">
        <w:rPr>
          <w:rFonts w:ascii="Arial" w:eastAsia="Times New Roman" w:hAnsi="Arial" w:cs="Arial"/>
          <w:color w:val="0F1115"/>
          <w:kern w:val="0"/>
          <w:sz w:val="23"/>
          <w:szCs w:val="23"/>
          <w:lang w:eastAsia="en-GB"/>
          <w14:ligatures w14:val="none"/>
        </w:rPr>
        <w:t xml:space="preserve"> </w:t>
      </w:r>
      <w:r w:rsidRPr="00BA7514">
        <w:rPr>
          <w:rFonts w:ascii="Arial" w:eastAsia="Times New Roman" w:hAnsi="Arial" w:cs="Arial"/>
          <w:color w:val="0F1115"/>
          <w:kern w:val="0"/>
          <w:sz w:val="23"/>
          <w:szCs w:val="23"/>
          <w:lang w:eastAsia="en-GB"/>
          <w14:ligatures w14:val="none"/>
        </w:rPr>
        <w:t>Practice...........................................................................3</w:t>
      </w:r>
    </w:p>
    <w:p w14:paraId="1B1F224A"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Recommendations for Policy and Practice.......................................4</w:t>
      </w:r>
    </w:p>
    <w:p w14:paraId="147325DC"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Conclusion...............................................................................6</w:t>
      </w:r>
    </w:p>
    <w:p w14:paraId="20802C8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References...............................................................................6</w:t>
      </w:r>
    </w:p>
    <w:p w14:paraId="1579EE79"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7B248138" w14:textId="77777777" w:rsidR="00FC6612" w:rsidRPr="00BA7514" w:rsidRDefault="00FC6612" w:rsidP="005D78D1">
      <w:pPr>
        <w:shd w:val="clear" w:color="auto" w:fill="FFFFFF"/>
        <w:spacing w:before="240" w:after="240" w:line="240" w:lineRule="auto"/>
        <w:rPr>
          <w:rFonts w:ascii="Arial" w:eastAsia="Times New Roman" w:hAnsi="Arial" w:cs="Arial"/>
          <w:caps/>
          <w:color w:val="0F1115"/>
          <w:kern w:val="0"/>
          <w:sz w:val="23"/>
          <w:szCs w:val="23"/>
          <w:lang w:eastAsia="en-GB"/>
          <w14:ligatures w14:val="none"/>
        </w:rPr>
      </w:pPr>
    </w:p>
    <w:p w14:paraId="7F860D77"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50DF8B7E"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68799740"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3E48A500"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783F2A6D"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2DDDE9BF"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4CD9B138"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3A1C1345"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6727BAFB" w14:textId="77777777" w:rsidR="00FC6612" w:rsidRPr="00BA7514" w:rsidRDefault="00FC6612"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70384AEB" w14:textId="5901DE22" w:rsidR="005D78D1" w:rsidRDefault="005D78D1" w:rsidP="005D78D1">
      <w:pPr>
        <w:spacing w:before="480" w:after="480" w:line="240" w:lineRule="auto"/>
        <w:rPr>
          <w:rFonts w:ascii="Arial" w:eastAsia="Times New Roman" w:hAnsi="Arial" w:cs="Arial"/>
          <w:kern w:val="0"/>
          <w:sz w:val="23"/>
          <w:szCs w:val="23"/>
          <w:lang w:eastAsia="en-GB"/>
          <w14:ligatures w14:val="none"/>
        </w:rPr>
      </w:pPr>
    </w:p>
    <w:p w14:paraId="4CE076B8" w14:textId="77777777" w:rsidR="009F63EA" w:rsidRPr="00BA7514" w:rsidRDefault="009F63EA" w:rsidP="005D78D1">
      <w:pPr>
        <w:spacing w:before="480" w:after="480" w:line="240" w:lineRule="auto"/>
        <w:rPr>
          <w:rFonts w:ascii="Arial" w:eastAsia="Times New Roman" w:hAnsi="Arial" w:cs="Arial"/>
          <w:kern w:val="0"/>
          <w:sz w:val="23"/>
          <w:szCs w:val="23"/>
          <w:lang w:eastAsia="en-GB"/>
          <w14:ligatures w14:val="none"/>
        </w:rPr>
      </w:pPr>
    </w:p>
    <w:p w14:paraId="3A9F1574"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lastRenderedPageBreak/>
        <w:t>Introduction</w:t>
      </w:r>
    </w:p>
    <w:p w14:paraId="0406D531"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Global care chains provide a powerful way to see how care work moves between countries through deeply personal connections. First developed by feminist thinkers, the term refers to the chain of relationships across households where both paid and unpaid care responsibilities are passed along, frequently reaching beyond national borders (Hochschild, 2000). At its heart, global care chains reveal a quiet but profound truth: when a woman leaves her own family in a low-income country to care for a family in a wealthier nation, someone else, often an older female relative, must fill the gap she left behind. This chain of care can stretch across three or more households and multiple continents, creating invisible connections between the health and wellbeing of people who will never meet one another.</w:t>
      </w:r>
    </w:p>
    <w:p w14:paraId="152D684F"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So why does this concept matter? As globalisation has accelerated, more people than ever are migrating specifically to take on domestic and care roles. According to the International Labour Organization (2021), over seventy-six million individuals work as domestic staff globally, and most of them are women. Despite this, receiving nations tend to overlook the emotional and social price paid by the countries these workers leave behind. Without a global care chains perspective, policymakers simply cannot see these concealed care transfers. Understanding this concept therefore challenges health and social care systems to move beyond individualised, nation bound approaches and to recognise the global inequalities that shape who give care, who receives it, and who goes without (Yeates, 2009).</w:t>
      </w:r>
    </w:p>
    <w:p w14:paraId="0A07585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This essay offers a critical examination of global care chains, organised into four connected parts. The first part charts how the concept developed, beginning with its roots in feminist political economy and the contributions of scholars like Hochschild (2000), Parreñas (2001), and Yeates (2004, 2012). It also discusses the main criticisms directed at the framework, particularly the claim that it reduces migrant care workers to powerless figures. The response from more recent writers, who highlight agency and intersectionality, is then explored. The second part looks at how the concept has been used in health and social care policy, highlighting its relevance for tackling inequality and discrimination. The third section presents evidence-based recommendations for improving policy and practice, including stronger legal protections for migrant care workers, mandatory professional training, and international cooperation through bodies such as the World Health Organization. Finally, the conclusion summarises the main arguments and reflects on what global care chains teach us about the future of health and social care in an increasingly mobile world. Through this structure, the essay aims to demonstrate why global care chains deserve urgent attention from policymakers, practitioners, and researchers alike.</w:t>
      </w:r>
    </w:p>
    <w:p w14:paraId="56D40F6A" w14:textId="77777777" w:rsidR="005D78D1" w:rsidRPr="00BA7514" w:rsidRDefault="00000000" w:rsidP="005D78D1">
      <w:pPr>
        <w:spacing w:before="480" w:after="480" w:line="240" w:lineRule="auto"/>
        <w:rPr>
          <w:rFonts w:ascii="Arial" w:eastAsia="Times New Roman" w:hAnsi="Arial" w:cs="Arial"/>
          <w:kern w:val="0"/>
          <w:sz w:val="23"/>
          <w:szCs w:val="23"/>
          <w:lang w:eastAsia="en-GB"/>
          <w14:ligatures w14:val="none"/>
        </w:rPr>
      </w:pPr>
      <w:r w:rsidRPr="00BA7514">
        <w:rPr>
          <w:rFonts w:ascii="Arial" w:eastAsia="Times New Roman" w:hAnsi="Arial" w:cs="Arial"/>
          <w:kern w:val="0"/>
          <w:sz w:val="23"/>
          <w:szCs w:val="23"/>
          <w:lang w:eastAsia="en-GB"/>
          <w14:ligatures w14:val="none"/>
        </w:rPr>
        <w:pict w14:anchorId="6BC8D72F">
          <v:rect id="_x0000_i1025" style="width:0;height:.75pt" o:hralign="center" o:hrstd="t" o:hr="t" fillcolor="#a0a0a0" stroked="f"/>
        </w:pict>
      </w:r>
    </w:p>
    <w:p w14:paraId="2060363E"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The Development of the Global Care Chains Concept</w:t>
      </w:r>
    </w:p>
    <w:p w14:paraId="260DAF1C"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The emergence of global care chains as a theoretical tool is rooted in feminist political economy and postcolonial scholarship. The term is most frequently associated with the sociologist Arlie Russell Hochschild, who introduced it in her influential 2000 article titled "Global Care Chains and Emotional Surplus Value". In her work, Hochschild highlighted how affluent countries, especially the United States and Western European nations, have come to depend </w:t>
      </w:r>
      <w:proofErr w:type="gramStart"/>
      <w:r w:rsidRPr="00BA7514">
        <w:rPr>
          <w:rFonts w:ascii="Arial" w:eastAsia="Times New Roman" w:hAnsi="Arial" w:cs="Arial"/>
          <w:color w:val="0F1115"/>
          <w:kern w:val="0"/>
          <w:sz w:val="23"/>
          <w:szCs w:val="23"/>
          <w:lang w:eastAsia="en-GB"/>
          <w14:ligatures w14:val="none"/>
        </w:rPr>
        <w:t>more and more</w:t>
      </w:r>
      <w:proofErr w:type="gramEnd"/>
      <w:r w:rsidRPr="00BA7514">
        <w:rPr>
          <w:rFonts w:ascii="Arial" w:eastAsia="Times New Roman" w:hAnsi="Arial" w:cs="Arial"/>
          <w:color w:val="0F1115"/>
          <w:kern w:val="0"/>
          <w:sz w:val="23"/>
          <w:szCs w:val="23"/>
          <w:lang w:eastAsia="en-GB"/>
          <w14:ligatures w14:val="none"/>
        </w:rPr>
        <w:t xml:space="preserve"> on migrant women from poorer parts of the world </w:t>
      </w:r>
      <w:r w:rsidRPr="00BA7514">
        <w:rPr>
          <w:rFonts w:ascii="Arial" w:eastAsia="Times New Roman" w:hAnsi="Arial" w:cs="Arial"/>
          <w:color w:val="0F1115"/>
          <w:kern w:val="0"/>
          <w:sz w:val="23"/>
          <w:szCs w:val="23"/>
          <w:lang w:eastAsia="en-GB"/>
          <w14:ligatures w14:val="none"/>
        </w:rPr>
        <w:lastRenderedPageBreak/>
        <w:t>for childcare, elder support, and housework. According to her, this system produces a chain where every stage features a woman who has passed her own care duties to another woman, typically one with even less power.</w:t>
      </w:r>
    </w:p>
    <w:p w14:paraId="76037CB1"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Yet the conceptual roots go deeper. Through detailed ethnographic research on Filipino domestic workers abroad, </w:t>
      </w:r>
      <w:proofErr w:type="spellStart"/>
      <w:r w:rsidRPr="00BA7514">
        <w:rPr>
          <w:rFonts w:ascii="Arial" w:eastAsia="Times New Roman" w:hAnsi="Arial" w:cs="Arial"/>
          <w:color w:val="0F1115"/>
          <w:kern w:val="0"/>
          <w:sz w:val="23"/>
          <w:szCs w:val="23"/>
          <w:lang w:eastAsia="en-GB"/>
          <w14:ligatures w14:val="none"/>
        </w:rPr>
        <w:t>Rhacel</w:t>
      </w:r>
      <w:proofErr w:type="spellEnd"/>
      <w:r w:rsidRPr="00BA7514">
        <w:rPr>
          <w:rFonts w:ascii="Arial" w:eastAsia="Times New Roman" w:hAnsi="Arial" w:cs="Arial"/>
          <w:color w:val="0F1115"/>
          <w:kern w:val="0"/>
          <w:sz w:val="23"/>
          <w:szCs w:val="23"/>
          <w:lang w:eastAsia="en-GB"/>
          <w14:ligatures w14:val="none"/>
        </w:rPr>
        <w:t xml:space="preserve"> Salazar Parreñas showed how the Philippine government actively pushed female labour overseas while neglecting the families who remained at home (Parreñas, 2001). Around the same time, feminist economist Diane Elson was writing about what she called the "global care deficit". She observed that structural adjustment programmes, imposed on developing nations by international financial bodies, left many women with little choice but to seek employment abroad (Elson, 1991).</w:t>
      </w:r>
    </w:p>
    <w:p w14:paraId="7ED382FD"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Over time, the concept has developed and become more nuanced. Early formulations tended to present a linear chain moving from poorer to richer nations. Later scholars, including Nicola Yeates (2005), argued that global care chains are not always straightforward or unidirectional. Care labour also moves between countries at similar economic levels, and in some cases, men and other genders are involved, though women remain the overwhelming majority. Yeates (2009) expanded the concept to include institutional care chains, where care workflows through nursing homes, hospitals, and private agencies rather than solely through private households.</w:t>
      </w:r>
    </w:p>
    <w:p w14:paraId="13552B4F"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Critiques have been levelled at the global care chains concept from several directions. One significant critique is that it risks portraying migrant care workers as passive victims without agency. Scholars like Pande (2014) have pointed out that many women actively choose migration as a strategic response to limited local opportunities, and some derive considerable pride and economic benefit from their work abroad. A second critique concerns the concept's tendency to focus almost exclusively on transnational care between the global North and South, thereby neglecting care chains within the global South, such as between Zimbabwe and South Africa or between Indonesia and Malaysia (Boris and Parreñas, 2010).</w:t>
      </w:r>
    </w:p>
    <w:p w14:paraId="456B31DE"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More recent care chain research has moved toward a middle ground in reply to these concerns. Scholars now recognise both the systemic pressures that drive women to migrate and the active, resourceful choices they make within those limits. One proposal, known as "global care capital", seeks to validate the expertise and emotional strength that migrant carers contribute (Duffy, 2011). At the same time, intersectional approaches explore how factors such as race, class, legal status, and gender interact to influence every link of the care chain (Williams, 2012).</w:t>
      </w:r>
    </w:p>
    <w:p w14:paraId="3C64E605" w14:textId="54ABAC67" w:rsidR="005D78D1" w:rsidRPr="00BA7514" w:rsidRDefault="005D78D1" w:rsidP="005D78D1">
      <w:pPr>
        <w:spacing w:before="480" w:after="480" w:line="240" w:lineRule="auto"/>
        <w:rPr>
          <w:rFonts w:ascii="Arial" w:eastAsia="Times New Roman" w:hAnsi="Arial" w:cs="Arial"/>
          <w:kern w:val="0"/>
          <w:sz w:val="23"/>
          <w:szCs w:val="23"/>
          <w:lang w:eastAsia="en-GB"/>
          <w14:ligatures w14:val="none"/>
        </w:rPr>
      </w:pPr>
    </w:p>
    <w:p w14:paraId="05D91587"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Application of the Concept in Health and Social Care Policy and Practice</w:t>
      </w:r>
    </w:p>
    <w:p w14:paraId="741B88FF"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How global care chains have been applied to health and social care policy varies greatly from one country to another. In the UK, while the idea has shaped some policy discussions, it has seldom led to tangible changes in law or service provision. A study commissioned by the Equality and Human Rights Commission (2016) discovered that migrant domestic workers, many of whom sit within international care chains, encountered major obstacles when trying to use healthcare services. These included language barriers, poor awareness of their rights, and anxiety about immigration </w:t>
      </w:r>
      <w:r w:rsidRPr="00BA7514">
        <w:rPr>
          <w:rFonts w:ascii="Arial" w:eastAsia="Times New Roman" w:hAnsi="Arial" w:cs="Arial"/>
          <w:color w:val="0F1115"/>
          <w:kern w:val="0"/>
          <w:sz w:val="23"/>
          <w:szCs w:val="23"/>
          <w:lang w:eastAsia="en-GB"/>
          <w14:ligatures w14:val="none"/>
        </w:rPr>
        <w:lastRenderedPageBreak/>
        <w:t>authorities. The National Health Service constitution affirms the right to care regardless of immigration status, yet in practice, hospitals have been known to request upfront payment from undocumented migrants, effectively breaking the chain of care (Cangiano, 2014).</w:t>
      </w:r>
    </w:p>
    <w:p w14:paraId="5F639E3D"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In both Italy and Spain, elderly care delivered in private homes relies heavily on migrant women from Latin America, Eastern Europe, and the Philippines. Here, the global care chains framework has helped reveal just how insecure these carers' working conditions truly are. Da </w:t>
      </w:r>
      <w:proofErr w:type="spellStart"/>
      <w:r w:rsidRPr="00BA7514">
        <w:rPr>
          <w:rFonts w:ascii="Arial" w:eastAsia="Times New Roman" w:hAnsi="Arial" w:cs="Arial"/>
          <w:color w:val="0F1115"/>
          <w:kern w:val="0"/>
          <w:sz w:val="23"/>
          <w:szCs w:val="23"/>
          <w:lang w:eastAsia="en-GB"/>
          <w14:ligatures w14:val="none"/>
        </w:rPr>
        <w:t>Roit</w:t>
      </w:r>
      <w:proofErr w:type="spellEnd"/>
      <w:r w:rsidRPr="00BA7514">
        <w:rPr>
          <w:rFonts w:ascii="Arial" w:eastAsia="Times New Roman" w:hAnsi="Arial" w:cs="Arial"/>
          <w:color w:val="0F1115"/>
          <w:kern w:val="0"/>
          <w:sz w:val="23"/>
          <w:szCs w:val="23"/>
          <w:lang w:eastAsia="en-GB"/>
          <w14:ligatures w14:val="none"/>
        </w:rPr>
        <w:t xml:space="preserve"> and Weicht (2018) recorded how such workers frequently reside in their employers' houses, work long hours without proper contracts, and find themselves left out of standard social security systems. Falling ill or getting injured forces them into a terrible dilemma: risk losing their earnings or ignore their own medical needs. This represents a failure of health and social care policy to recognise that the wellbeing of carers is inseparable from the wellbeing of those they care for.</w:t>
      </w:r>
    </w:p>
    <w:p w14:paraId="0BBA70E4"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In Canada, a more progressive application has emerged through the Live in Caregiver Program, which later became the Home Child Care Provider Pilot. This scheme offers a pathway to permanent residence for migrant carers, acknowledging their contribution to the Canadian economy and society (Brickner and Straut Eppsteiner, 2019). However, even here, critics note that the program ties workers to a single employer, making them vulnerable to exploitation. The global care chains framework has therefore been used by advocacy groups to push for open work permits, allowing carers to change employers without risking deportation.</w:t>
      </w:r>
    </w:p>
    <w:p w14:paraId="0A898F6E"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When it comes to actual health and social care practice, global care chains thinking is mostly used to raise awareness rather than to change procedures. Social workers and care coordinators seldom ask whether a client has relatives employed overseas, and even fewer explore the emotional toll that separation takes on migrant carers themselves. Some training initiatives, including those run by the Social Care Institute for Excellence (2019), do encourage staff to examine cross-border care networks. However, this remains far from routine practice.</w:t>
      </w:r>
    </w:p>
    <w:p w14:paraId="5237127A" w14:textId="355D1409" w:rsidR="005D78D1" w:rsidRPr="00BA7514" w:rsidRDefault="005D78D1" w:rsidP="00ED293A">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Putting this concept into practice comes with several recurring difficulties. Firstly, health and social care systems tend to be financed and governed at national level, yet global care chains cross borders. This disconnect means no single government can easily be held responsible for the welfare of everyone along the chain (Lutz and </w:t>
      </w:r>
      <w:proofErr w:type="spellStart"/>
      <w:r w:rsidRPr="00BA7514">
        <w:rPr>
          <w:rFonts w:ascii="Arial" w:eastAsia="Times New Roman" w:hAnsi="Arial" w:cs="Arial"/>
          <w:color w:val="0F1115"/>
          <w:kern w:val="0"/>
          <w:sz w:val="23"/>
          <w:szCs w:val="23"/>
          <w:lang w:eastAsia="en-GB"/>
          <w14:ligatures w14:val="none"/>
        </w:rPr>
        <w:t>Palenga</w:t>
      </w:r>
      <w:proofErr w:type="spellEnd"/>
      <w:r w:rsidRPr="00BA7514">
        <w:rPr>
          <w:rFonts w:ascii="Arial" w:eastAsia="Times New Roman" w:hAnsi="Arial" w:cs="Arial"/>
          <w:color w:val="0F1115"/>
          <w:kern w:val="0"/>
          <w:sz w:val="23"/>
          <w:szCs w:val="23"/>
          <w:lang w:eastAsia="en-GB"/>
          <w14:ligatures w14:val="none"/>
        </w:rPr>
        <w:t xml:space="preserve"> Möllenbeck, 2012). Secondly, detailed data on migrant care workers is consistently lacking, especially when broken down by gender, nationality, job status, and health outcomes. Evidence-based policy cannot move forward without such information. Thirdly, the concept forces us to question strong cultural assumptions about who should provide care. Across many Western welfare systems, unpaid care by family members is still seen as the norm, while paid care remains undervalued. Migrant care workers therefore step into a space that policymakers have been reluctant to address directly (Mahon and Robinson, 2011).</w:t>
      </w:r>
    </w:p>
    <w:p w14:paraId="1495DF7E" w14:textId="77777777" w:rsidR="00ED293A" w:rsidRPr="00BA7514" w:rsidRDefault="00ED293A" w:rsidP="00ED293A">
      <w:pPr>
        <w:shd w:val="clear" w:color="auto" w:fill="FFFFFF"/>
        <w:spacing w:before="240" w:after="240" w:line="240" w:lineRule="auto"/>
        <w:rPr>
          <w:rFonts w:ascii="Arial" w:eastAsia="Times New Roman" w:hAnsi="Arial" w:cs="Arial"/>
          <w:color w:val="0F1115"/>
          <w:kern w:val="0"/>
          <w:sz w:val="23"/>
          <w:szCs w:val="23"/>
          <w:lang w:eastAsia="en-GB"/>
          <w14:ligatures w14:val="none"/>
        </w:rPr>
      </w:pPr>
    </w:p>
    <w:p w14:paraId="25CCA62B"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Recommendations for Policy and Practice</w:t>
      </w:r>
    </w:p>
    <w:p w14:paraId="370F7CEA"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From the discussion above, </w:t>
      </w:r>
      <w:proofErr w:type="gramStart"/>
      <w:r w:rsidRPr="00BA7514">
        <w:rPr>
          <w:rFonts w:ascii="Arial" w:eastAsia="Times New Roman" w:hAnsi="Arial" w:cs="Arial"/>
          <w:color w:val="0F1115"/>
          <w:kern w:val="0"/>
          <w:sz w:val="23"/>
          <w:szCs w:val="23"/>
          <w:lang w:eastAsia="en-GB"/>
          <w14:ligatures w14:val="none"/>
        </w:rPr>
        <w:t>a number of</w:t>
      </w:r>
      <w:proofErr w:type="gramEnd"/>
      <w:r w:rsidRPr="00BA7514">
        <w:rPr>
          <w:rFonts w:ascii="Arial" w:eastAsia="Times New Roman" w:hAnsi="Arial" w:cs="Arial"/>
          <w:color w:val="0F1115"/>
          <w:kern w:val="0"/>
          <w:sz w:val="23"/>
          <w:szCs w:val="23"/>
          <w:lang w:eastAsia="en-GB"/>
          <w14:ligatures w14:val="none"/>
        </w:rPr>
        <w:t xml:space="preserve"> practical recommendations can be made for both policy and frontline practice. To begin with, receiving countries need to put in place protections tailored to migrant care workers that acknowledge they are both employees and carers. These protections should cover legally binding limits on working hours, paid </w:t>
      </w:r>
      <w:r w:rsidRPr="00BA7514">
        <w:rPr>
          <w:rFonts w:ascii="Arial" w:eastAsia="Times New Roman" w:hAnsi="Arial" w:cs="Arial"/>
          <w:color w:val="0F1115"/>
          <w:kern w:val="0"/>
          <w:sz w:val="23"/>
          <w:szCs w:val="23"/>
          <w:lang w:eastAsia="en-GB"/>
          <w14:ligatures w14:val="none"/>
        </w:rPr>
        <w:lastRenderedPageBreak/>
        <w:t>time off when unwell, and access to workplace health services, irrespective of a person's immigration status. Scotland's "Fair Work" framework for social care, which includes migrant workers, provides a useful example to follow (Scottish Government, 2021).</w:t>
      </w:r>
    </w:p>
    <w:p w14:paraId="6837E6CF"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Second, health and social care practitioners should receive mandatory training on global care chains as part of their professional development. This training should cover how to conduct culturally sensitive assessments of transnational care networks, how to identify signs of exploitation among migrant carers, and how to advocate for appropriate services. Such training should be coproduced with migrant care workers themselves to ensure lived experience informs professional practice (Anderson, 2020).</w:t>
      </w:r>
    </w:p>
    <w:p w14:paraId="439E902E"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Third, countries that send care workers also bear responsibility. Nations like the Philippines, India, and Indonesia, which supply large numbers of migrant carers, ought to improve their pre-departure programmes. These should cover health checks, mental wellbeing support, and clear information about employment rights in destination countries. The Philippines Overseas Employment Administration has taken steps in this direction, though provision is still patchy (Parreñas, 2015).</w:t>
      </w:r>
    </w:p>
    <w:p w14:paraId="350E0DA7"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Fourth, global bodies such as the World Health Organization and the International Labour Organization should work together to create baseline international standards for the ethical recruitment and treatment of migrant care workers. These standards must directly address health issues within global care chains, including the right to ongoing treatment for long-term conditions and access to reproductive healthcare. The United Nations Global Compact for Migration (2018) already offers a platform that could be built upon and made specific to health and social care (United Nations, 2018).</w:t>
      </w:r>
    </w:p>
    <w:p w14:paraId="772E8A7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Finally, health and social care providers need to put real-world support systems in place for migrant care workers. Examples include telephone helplines in multiple languages, affordable counselling that recognises the unique strains of caring across borders, and peer networks bringing together workers from similar backgrounds. Some local authorities in London have piloted such schemes with positive results, and these should be scaled up and evaluated (Wills and Lin, 2019).</w:t>
      </w:r>
    </w:p>
    <w:p w14:paraId="4F821BE4" w14:textId="77777777" w:rsidR="005D78D1" w:rsidRPr="00BA7514" w:rsidRDefault="00000000" w:rsidP="005D78D1">
      <w:pPr>
        <w:spacing w:before="480" w:after="480" w:line="240" w:lineRule="auto"/>
        <w:rPr>
          <w:rFonts w:ascii="Arial" w:eastAsia="Times New Roman" w:hAnsi="Arial" w:cs="Arial"/>
          <w:kern w:val="0"/>
          <w:sz w:val="23"/>
          <w:szCs w:val="23"/>
          <w:lang w:eastAsia="en-GB"/>
          <w14:ligatures w14:val="none"/>
        </w:rPr>
      </w:pPr>
      <w:r w:rsidRPr="00BA7514">
        <w:rPr>
          <w:rFonts w:ascii="Arial" w:eastAsia="Times New Roman" w:hAnsi="Arial" w:cs="Arial"/>
          <w:kern w:val="0"/>
          <w:sz w:val="23"/>
          <w:szCs w:val="23"/>
          <w:lang w:eastAsia="en-GB"/>
          <w14:ligatures w14:val="none"/>
        </w:rPr>
        <w:pict w14:anchorId="0B8F67DD">
          <v:rect id="_x0000_i1026" style="width:0;height:.75pt" o:hralign="center" o:hrstd="t" o:hr="t" fillcolor="#a0a0a0" stroked="f"/>
        </w:pict>
      </w:r>
    </w:p>
    <w:p w14:paraId="4D74E9FF"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t>Conclusion</w:t>
      </w:r>
    </w:p>
    <w:p w14:paraId="1941B24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This essay has critically examined the concept of global care chains, tracing its emergence from feminist political economy through the work of Hochschild, Parreñas, and Yeates. It has explored how the concept has been developed over time, responding to critiques regarding agency, geographical scope, and intersectionality. The application of global care chains to health and social care policy and practice has been shown to be limited but promising, with examples from the United Kingdom, Italy, Spain, and Canada demonstrating both the value of the framework and the persistent challenges of implementing it. Finally, recommendations have been offered at the level of policy, professional training, international cooperation, and frontline practice. Global care chains remind us that care is not a local commodity but a global relationship. When we fail to see the whole chain, we fail everyone on it.</w:t>
      </w:r>
    </w:p>
    <w:p w14:paraId="0860408F" w14:textId="67A091A8" w:rsidR="005D78D1" w:rsidRPr="00BA7514" w:rsidRDefault="005D78D1" w:rsidP="005D78D1">
      <w:pPr>
        <w:spacing w:before="480" w:after="480" w:line="240" w:lineRule="auto"/>
        <w:rPr>
          <w:rFonts w:ascii="Arial" w:eastAsia="Times New Roman" w:hAnsi="Arial" w:cs="Arial"/>
          <w:kern w:val="0"/>
          <w:sz w:val="23"/>
          <w:szCs w:val="23"/>
          <w:lang w:eastAsia="en-GB"/>
          <w14:ligatures w14:val="none"/>
        </w:rPr>
      </w:pPr>
    </w:p>
    <w:p w14:paraId="6F99525D"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b/>
          <w:bCs/>
          <w:color w:val="0F1115"/>
          <w:kern w:val="0"/>
          <w:sz w:val="23"/>
          <w:szCs w:val="23"/>
          <w:lang w:eastAsia="en-GB"/>
          <w14:ligatures w14:val="none"/>
        </w:rPr>
        <w:lastRenderedPageBreak/>
        <w:t>References</w:t>
      </w:r>
    </w:p>
    <w:p w14:paraId="67F99E4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Anderson, B. (2020) 'Migrant domestic workers and the challenge of regulating care chains', </w:t>
      </w:r>
      <w:r w:rsidRPr="00BA7514">
        <w:rPr>
          <w:rFonts w:ascii="Arial" w:eastAsia="Times New Roman" w:hAnsi="Arial" w:cs="Arial"/>
          <w:i/>
          <w:iCs/>
          <w:color w:val="0F1115"/>
          <w:kern w:val="0"/>
          <w:sz w:val="23"/>
          <w:szCs w:val="23"/>
          <w:lang w:eastAsia="en-GB"/>
          <w14:ligatures w14:val="none"/>
        </w:rPr>
        <w:t>Journal of Ethnic and Migration Studies</w:t>
      </w:r>
      <w:r w:rsidRPr="00BA7514">
        <w:rPr>
          <w:rFonts w:ascii="Arial" w:eastAsia="Times New Roman" w:hAnsi="Arial" w:cs="Arial"/>
          <w:color w:val="0F1115"/>
          <w:kern w:val="0"/>
          <w:sz w:val="23"/>
          <w:szCs w:val="23"/>
          <w:lang w:eastAsia="en-GB"/>
          <w14:ligatures w14:val="none"/>
        </w:rPr>
        <w:t>, 46(16), pp. 3378-3394.</w:t>
      </w:r>
    </w:p>
    <w:p w14:paraId="6E396081"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Boris, E. and Parreñas, R.S. (eds.) (2010) </w:t>
      </w:r>
      <w:r w:rsidRPr="00BA7514">
        <w:rPr>
          <w:rFonts w:ascii="Arial" w:eastAsia="Times New Roman" w:hAnsi="Arial" w:cs="Arial"/>
          <w:i/>
          <w:iCs/>
          <w:color w:val="0F1115"/>
          <w:kern w:val="0"/>
          <w:sz w:val="23"/>
          <w:szCs w:val="23"/>
          <w:lang w:eastAsia="en-GB"/>
          <w14:ligatures w14:val="none"/>
        </w:rPr>
        <w:t xml:space="preserve">Intimate </w:t>
      </w:r>
      <w:proofErr w:type="spellStart"/>
      <w:r w:rsidRPr="00BA7514">
        <w:rPr>
          <w:rFonts w:ascii="Arial" w:eastAsia="Times New Roman" w:hAnsi="Arial" w:cs="Arial"/>
          <w:i/>
          <w:iCs/>
          <w:color w:val="0F1115"/>
          <w:kern w:val="0"/>
          <w:sz w:val="23"/>
          <w:szCs w:val="23"/>
          <w:lang w:eastAsia="en-GB"/>
          <w14:ligatures w14:val="none"/>
        </w:rPr>
        <w:t>labors</w:t>
      </w:r>
      <w:proofErr w:type="spellEnd"/>
      <w:r w:rsidRPr="00BA7514">
        <w:rPr>
          <w:rFonts w:ascii="Arial" w:eastAsia="Times New Roman" w:hAnsi="Arial" w:cs="Arial"/>
          <w:i/>
          <w:iCs/>
          <w:color w:val="0F1115"/>
          <w:kern w:val="0"/>
          <w:sz w:val="23"/>
          <w:szCs w:val="23"/>
          <w:lang w:eastAsia="en-GB"/>
          <w14:ligatures w14:val="none"/>
        </w:rPr>
        <w:t>: cultures, technologies, and the politics of care</w:t>
      </w:r>
      <w:r w:rsidRPr="00BA7514">
        <w:rPr>
          <w:rFonts w:ascii="Arial" w:eastAsia="Times New Roman" w:hAnsi="Arial" w:cs="Arial"/>
          <w:color w:val="0F1115"/>
          <w:kern w:val="0"/>
          <w:sz w:val="23"/>
          <w:szCs w:val="23"/>
          <w:lang w:eastAsia="en-GB"/>
          <w14:ligatures w14:val="none"/>
        </w:rPr>
        <w:t>. Stanford: Stanford University Press.</w:t>
      </w:r>
    </w:p>
    <w:p w14:paraId="2A3831D8"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Brickner, R.K. and Straut Eppsteiner, H. (2019) 'The Live in Caregiver Program and the politics of precarious migration in Canada', </w:t>
      </w:r>
      <w:r w:rsidRPr="00BA7514">
        <w:rPr>
          <w:rFonts w:ascii="Arial" w:eastAsia="Times New Roman" w:hAnsi="Arial" w:cs="Arial"/>
          <w:i/>
          <w:iCs/>
          <w:color w:val="0F1115"/>
          <w:kern w:val="0"/>
          <w:sz w:val="23"/>
          <w:szCs w:val="23"/>
          <w:lang w:eastAsia="en-GB"/>
          <w14:ligatures w14:val="none"/>
        </w:rPr>
        <w:t>Canadian Journal of Political Science</w:t>
      </w:r>
      <w:r w:rsidRPr="00BA7514">
        <w:rPr>
          <w:rFonts w:ascii="Arial" w:eastAsia="Times New Roman" w:hAnsi="Arial" w:cs="Arial"/>
          <w:color w:val="0F1115"/>
          <w:kern w:val="0"/>
          <w:sz w:val="23"/>
          <w:szCs w:val="23"/>
          <w:lang w:eastAsia="en-GB"/>
          <w14:ligatures w14:val="none"/>
        </w:rPr>
        <w:t>, 52(3), pp. 489-507.</w:t>
      </w:r>
    </w:p>
    <w:p w14:paraId="48DD0469"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Cangiano, A. (2014) 'Migrant care workers and the UK care crisis', </w:t>
      </w:r>
      <w:r w:rsidRPr="00BA7514">
        <w:rPr>
          <w:rFonts w:ascii="Arial" w:eastAsia="Times New Roman" w:hAnsi="Arial" w:cs="Arial"/>
          <w:i/>
          <w:iCs/>
          <w:color w:val="0F1115"/>
          <w:kern w:val="0"/>
          <w:sz w:val="23"/>
          <w:szCs w:val="23"/>
          <w:lang w:eastAsia="en-GB"/>
          <w14:ligatures w14:val="none"/>
        </w:rPr>
        <w:t>Social Policy and Society</w:t>
      </w:r>
      <w:r w:rsidRPr="00BA7514">
        <w:rPr>
          <w:rFonts w:ascii="Arial" w:eastAsia="Times New Roman" w:hAnsi="Arial" w:cs="Arial"/>
          <w:color w:val="0F1115"/>
          <w:kern w:val="0"/>
          <w:sz w:val="23"/>
          <w:szCs w:val="23"/>
          <w:lang w:eastAsia="en-GB"/>
          <w14:ligatures w14:val="none"/>
        </w:rPr>
        <w:t>, 13(3), pp. 391-403.</w:t>
      </w:r>
    </w:p>
    <w:p w14:paraId="61FEFAEC"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Da </w:t>
      </w:r>
      <w:proofErr w:type="spellStart"/>
      <w:r w:rsidRPr="00BA7514">
        <w:rPr>
          <w:rFonts w:ascii="Arial" w:eastAsia="Times New Roman" w:hAnsi="Arial" w:cs="Arial"/>
          <w:color w:val="0F1115"/>
          <w:kern w:val="0"/>
          <w:sz w:val="23"/>
          <w:szCs w:val="23"/>
          <w:lang w:eastAsia="en-GB"/>
          <w14:ligatures w14:val="none"/>
        </w:rPr>
        <w:t>Roit</w:t>
      </w:r>
      <w:proofErr w:type="spellEnd"/>
      <w:r w:rsidRPr="00BA7514">
        <w:rPr>
          <w:rFonts w:ascii="Arial" w:eastAsia="Times New Roman" w:hAnsi="Arial" w:cs="Arial"/>
          <w:color w:val="0F1115"/>
          <w:kern w:val="0"/>
          <w:sz w:val="23"/>
          <w:szCs w:val="23"/>
          <w:lang w:eastAsia="en-GB"/>
          <w14:ligatures w14:val="none"/>
        </w:rPr>
        <w:t>, B. and Weicht, B. (2018) 'Migrant care work and the care crisis in Southern Europe', </w:t>
      </w:r>
      <w:r w:rsidRPr="00BA7514">
        <w:rPr>
          <w:rFonts w:ascii="Arial" w:eastAsia="Times New Roman" w:hAnsi="Arial" w:cs="Arial"/>
          <w:i/>
          <w:iCs/>
          <w:color w:val="0F1115"/>
          <w:kern w:val="0"/>
          <w:sz w:val="23"/>
          <w:szCs w:val="23"/>
          <w:lang w:eastAsia="en-GB"/>
          <w14:ligatures w14:val="none"/>
        </w:rPr>
        <w:t>Ageing and Society</w:t>
      </w:r>
      <w:r w:rsidRPr="00BA7514">
        <w:rPr>
          <w:rFonts w:ascii="Arial" w:eastAsia="Times New Roman" w:hAnsi="Arial" w:cs="Arial"/>
          <w:color w:val="0F1115"/>
          <w:kern w:val="0"/>
          <w:sz w:val="23"/>
          <w:szCs w:val="23"/>
          <w:lang w:eastAsia="en-GB"/>
          <w14:ligatures w14:val="none"/>
        </w:rPr>
        <w:t>, 38(9), pp. 1789-1812.</w:t>
      </w:r>
    </w:p>
    <w:p w14:paraId="0DED1437"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Duffy, M. (2011) </w:t>
      </w:r>
      <w:r w:rsidRPr="00BA7514">
        <w:rPr>
          <w:rFonts w:ascii="Arial" w:eastAsia="Times New Roman" w:hAnsi="Arial" w:cs="Arial"/>
          <w:i/>
          <w:iCs/>
          <w:color w:val="0F1115"/>
          <w:kern w:val="0"/>
          <w:sz w:val="23"/>
          <w:szCs w:val="23"/>
          <w:lang w:eastAsia="en-GB"/>
          <w14:ligatures w14:val="none"/>
        </w:rPr>
        <w:t>Making care count: a century of gender, race, and paid care work</w:t>
      </w:r>
      <w:r w:rsidRPr="00BA7514">
        <w:rPr>
          <w:rFonts w:ascii="Arial" w:eastAsia="Times New Roman" w:hAnsi="Arial" w:cs="Arial"/>
          <w:color w:val="0F1115"/>
          <w:kern w:val="0"/>
          <w:sz w:val="23"/>
          <w:szCs w:val="23"/>
          <w:lang w:eastAsia="en-GB"/>
          <w14:ligatures w14:val="none"/>
        </w:rPr>
        <w:t>. New Brunswick: Rutgers University Press.</w:t>
      </w:r>
    </w:p>
    <w:p w14:paraId="5B2D4BB5"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Elson, D. (1991) </w:t>
      </w:r>
      <w:r w:rsidRPr="00BA7514">
        <w:rPr>
          <w:rFonts w:ascii="Arial" w:eastAsia="Times New Roman" w:hAnsi="Arial" w:cs="Arial"/>
          <w:i/>
          <w:iCs/>
          <w:color w:val="0F1115"/>
          <w:kern w:val="0"/>
          <w:sz w:val="23"/>
          <w:szCs w:val="23"/>
          <w:lang w:eastAsia="en-GB"/>
          <w14:ligatures w14:val="none"/>
        </w:rPr>
        <w:t>Male bias in the development process</w:t>
      </w:r>
      <w:r w:rsidRPr="00BA7514">
        <w:rPr>
          <w:rFonts w:ascii="Arial" w:eastAsia="Times New Roman" w:hAnsi="Arial" w:cs="Arial"/>
          <w:color w:val="0F1115"/>
          <w:kern w:val="0"/>
          <w:sz w:val="23"/>
          <w:szCs w:val="23"/>
          <w:lang w:eastAsia="en-GB"/>
          <w14:ligatures w14:val="none"/>
        </w:rPr>
        <w:t>. Manchester: Manchester University Press.</w:t>
      </w:r>
    </w:p>
    <w:p w14:paraId="73BE54C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Equality and Human Rights Commission (2016) </w:t>
      </w:r>
      <w:r w:rsidRPr="00BA7514">
        <w:rPr>
          <w:rFonts w:ascii="Arial" w:eastAsia="Times New Roman" w:hAnsi="Arial" w:cs="Arial"/>
          <w:i/>
          <w:iCs/>
          <w:color w:val="0F1115"/>
          <w:kern w:val="0"/>
          <w:sz w:val="23"/>
          <w:szCs w:val="23"/>
          <w:lang w:eastAsia="en-GB"/>
          <w14:ligatures w14:val="none"/>
        </w:rPr>
        <w:t>Migrant domestic workers in the UK: access to justice and employment rights</w:t>
      </w:r>
      <w:r w:rsidRPr="00BA7514">
        <w:rPr>
          <w:rFonts w:ascii="Arial" w:eastAsia="Times New Roman" w:hAnsi="Arial" w:cs="Arial"/>
          <w:color w:val="0F1115"/>
          <w:kern w:val="0"/>
          <w:sz w:val="23"/>
          <w:szCs w:val="23"/>
          <w:lang w:eastAsia="en-GB"/>
          <w14:ligatures w14:val="none"/>
        </w:rPr>
        <w:t>. London: EHRC.</w:t>
      </w:r>
    </w:p>
    <w:p w14:paraId="67C6C04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Hochschild, A.R. (2000) 'Global care chains and emotional surplus value', in Hutton, W. and Giddens, A. (eds.) </w:t>
      </w:r>
      <w:r w:rsidRPr="00BA7514">
        <w:rPr>
          <w:rFonts w:ascii="Arial" w:eastAsia="Times New Roman" w:hAnsi="Arial" w:cs="Arial"/>
          <w:i/>
          <w:iCs/>
          <w:color w:val="0F1115"/>
          <w:kern w:val="0"/>
          <w:sz w:val="23"/>
          <w:szCs w:val="23"/>
          <w:lang w:eastAsia="en-GB"/>
          <w14:ligatures w14:val="none"/>
        </w:rPr>
        <w:t>On the edge: living with global capitalism</w:t>
      </w:r>
      <w:r w:rsidRPr="00BA7514">
        <w:rPr>
          <w:rFonts w:ascii="Arial" w:eastAsia="Times New Roman" w:hAnsi="Arial" w:cs="Arial"/>
          <w:color w:val="0F1115"/>
          <w:kern w:val="0"/>
          <w:sz w:val="23"/>
          <w:szCs w:val="23"/>
          <w:lang w:eastAsia="en-GB"/>
          <w14:ligatures w14:val="none"/>
        </w:rPr>
        <w:t>. London: Jonathan Cape, pp. 130-146.</w:t>
      </w:r>
    </w:p>
    <w:p w14:paraId="4ECABB4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International Labour Organization (2021) </w:t>
      </w:r>
      <w:r w:rsidRPr="00BA7514">
        <w:rPr>
          <w:rFonts w:ascii="Arial" w:eastAsia="Times New Roman" w:hAnsi="Arial" w:cs="Arial"/>
          <w:i/>
          <w:iCs/>
          <w:color w:val="0F1115"/>
          <w:kern w:val="0"/>
          <w:sz w:val="23"/>
          <w:szCs w:val="23"/>
          <w:lang w:eastAsia="en-GB"/>
          <w14:ligatures w14:val="none"/>
        </w:rPr>
        <w:t>Making decent work a reality for domestic workers: progress and prospects ten years after the adoption of the Domestic Workers Convention</w:t>
      </w:r>
      <w:r w:rsidRPr="00BA7514">
        <w:rPr>
          <w:rFonts w:ascii="Arial" w:eastAsia="Times New Roman" w:hAnsi="Arial" w:cs="Arial"/>
          <w:color w:val="0F1115"/>
          <w:kern w:val="0"/>
          <w:sz w:val="23"/>
          <w:szCs w:val="23"/>
          <w:lang w:eastAsia="en-GB"/>
          <w14:ligatures w14:val="none"/>
        </w:rPr>
        <w:t>. Geneva: ILO.</w:t>
      </w:r>
    </w:p>
    <w:p w14:paraId="527EA28D"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 xml:space="preserve">Lutz, H. and </w:t>
      </w:r>
      <w:proofErr w:type="spellStart"/>
      <w:r w:rsidRPr="00BA7514">
        <w:rPr>
          <w:rFonts w:ascii="Arial" w:eastAsia="Times New Roman" w:hAnsi="Arial" w:cs="Arial"/>
          <w:color w:val="0F1115"/>
          <w:kern w:val="0"/>
          <w:sz w:val="23"/>
          <w:szCs w:val="23"/>
          <w:lang w:eastAsia="en-GB"/>
          <w14:ligatures w14:val="none"/>
        </w:rPr>
        <w:t>Palenga</w:t>
      </w:r>
      <w:proofErr w:type="spellEnd"/>
      <w:r w:rsidRPr="00BA7514">
        <w:rPr>
          <w:rFonts w:ascii="Arial" w:eastAsia="Times New Roman" w:hAnsi="Arial" w:cs="Arial"/>
          <w:color w:val="0F1115"/>
          <w:kern w:val="0"/>
          <w:sz w:val="23"/>
          <w:szCs w:val="23"/>
          <w:lang w:eastAsia="en-GB"/>
          <w14:ligatures w14:val="none"/>
        </w:rPr>
        <w:t xml:space="preserve"> Möllenbeck, E. (2012) 'Care chains, care deficits and transnational care', </w:t>
      </w:r>
      <w:r w:rsidRPr="00BA7514">
        <w:rPr>
          <w:rFonts w:ascii="Arial" w:eastAsia="Times New Roman" w:hAnsi="Arial" w:cs="Arial"/>
          <w:i/>
          <w:iCs/>
          <w:color w:val="0F1115"/>
          <w:kern w:val="0"/>
          <w:sz w:val="23"/>
          <w:szCs w:val="23"/>
          <w:lang w:eastAsia="en-GB"/>
          <w14:ligatures w14:val="none"/>
        </w:rPr>
        <w:t>European Journal of Women's Studies</w:t>
      </w:r>
      <w:r w:rsidRPr="00BA7514">
        <w:rPr>
          <w:rFonts w:ascii="Arial" w:eastAsia="Times New Roman" w:hAnsi="Arial" w:cs="Arial"/>
          <w:color w:val="0F1115"/>
          <w:kern w:val="0"/>
          <w:sz w:val="23"/>
          <w:szCs w:val="23"/>
          <w:lang w:eastAsia="en-GB"/>
          <w14:ligatures w14:val="none"/>
        </w:rPr>
        <w:t>, 19(1), pp. 15-29.</w:t>
      </w:r>
    </w:p>
    <w:p w14:paraId="5F2ED150"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Mahon, R. and Robinson, F. (eds.) (2011) </w:t>
      </w:r>
      <w:r w:rsidRPr="00BA7514">
        <w:rPr>
          <w:rFonts w:ascii="Arial" w:eastAsia="Times New Roman" w:hAnsi="Arial" w:cs="Arial"/>
          <w:i/>
          <w:iCs/>
          <w:color w:val="0F1115"/>
          <w:kern w:val="0"/>
          <w:sz w:val="23"/>
          <w:szCs w:val="23"/>
          <w:lang w:eastAsia="en-GB"/>
          <w14:ligatures w14:val="none"/>
        </w:rPr>
        <w:t>Feminist ethics and social policy: towards a new global political economy of care</w:t>
      </w:r>
      <w:r w:rsidRPr="00BA7514">
        <w:rPr>
          <w:rFonts w:ascii="Arial" w:eastAsia="Times New Roman" w:hAnsi="Arial" w:cs="Arial"/>
          <w:color w:val="0F1115"/>
          <w:kern w:val="0"/>
          <w:sz w:val="23"/>
          <w:szCs w:val="23"/>
          <w:lang w:eastAsia="en-GB"/>
          <w14:ligatures w14:val="none"/>
        </w:rPr>
        <w:t>. Vancouver: UBC Press.</w:t>
      </w:r>
    </w:p>
    <w:p w14:paraId="2220DEF4"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Pande, A. (2014) 'The role of migrant care workers in the global care chain', </w:t>
      </w:r>
      <w:r w:rsidRPr="00BA7514">
        <w:rPr>
          <w:rFonts w:ascii="Arial" w:eastAsia="Times New Roman" w:hAnsi="Arial" w:cs="Arial"/>
          <w:i/>
          <w:iCs/>
          <w:color w:val="0F1115"/>
          <w:kern w:val="0"/>
          <w:sz w:val="23"/>
          <w:szCs w:val="23"/>
          <w:lang w:eastAsia="en-GB"/>
          <w14:ligatures w14:val="none"/>
        </w:rPr>
        <w:t>Gender, Place and Culture</w:t>
      </w:r>
      <w:r w:rsidRPr="00BA7514">
        <w:rPr>
          <w:rFonts w:ascii="Arial" w:eastAsia="Times New Roman" w:hAnsi="Arial" w:cs="Arial"/>
          <w:color w:val="0F1115"/>
          <w:kern w:val="0"/>
          <w:sz w:val="23"/>
          <w:szCs w:val="23"/>
          <w:lang w:eastAsia="en-GB"/>
          <w14:ligatures w14:val="none"/>
        </w:rPr>
        <w:t>, 21(8), pp. 997-1012.</w:t>
      </w:r>
    </w:p>
    <w:p w14:paraId="6215F7E7"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Parreñas, R.S. (2001) </w:t>
      </w:r>
      <w:r w:rsidRPr="00BA7514">
        <w:rPr>
          <w:rFonts w:ascii="Arial" w:eastAsia="Times New Roman" w:hAnsi="Arial" w:cs="Arial"/>
          <w:i/>
          <w:iCs/>
          <w:color w:val="0F1115"/>
          <w:kern w:val="0"/>
          <w:sz w:val="23"/>
          <w:szCs w:val="23"/>
          <w:lang w:eastAsia="en-GB"/>
          <w14:ligatures w14:val="none"/>
        </w:rPr>
        <w:t>Servants of globalization: women, migration and domestic work</w:t>
      </w:r>
      <w:r w:rsidRPr="00BA7514">
        <w:rPr>
          <w:rFonts w:ascii="Arial" w:eastAsia="Times New Roman" w:hAnsi="Arial" w:cs="Arial"/>
          <w:color w:val="0F1115"/>
          <w:kern w:val="0"/>
          <w:sz w:val="23"/>
          <w:szCs w:val="23"/>
          <w:lang w:eastAsia="en-GB"/>
          <w14:ligatures w14:val="none"/>
        </w:rPr>
        <w:t>. Stanford: Stanford University Press.</w:t>
      </w:r>
    </w:p>
    <w:p w14:paraId="7FD43AC5"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Parreñas, R.S. (2015) </w:t>
      </w:r>
      <w:r w:rsidRPr="00BA7514">
        <w:rPr>
          <w:rFonts w:ascii="Arial" w:eastAsia="Times New Roman" w:hAnsi="Arial" w:cs="Arial"/>
          <w:i/>
          <w:iCs/>
          <w:color w:val="0F1115"/>
          <w:kern w:val="0"/>
          <w:sz w:val="23"/>
          <w:szCs w:val="23"/>
          <w:lang w:eastAsia="en-GB"/>
          <w14:ligatures w14:val="none"/>
        </w:rPr>
        <w:t>The force of domesticity: Filipina migrants and globalization</w:t>
      </w:r>
      <w:r w:rsidRPr="00BA7514">
        <w:rPr>
          <w:rFonts w:ascii="Arial" w:eastAsia="Times New Roman" w:hAnsi="Arial" w:cs="Arial"/>
          <w:color w:val="0F1115"/>
          <w:kern w:val="0"/>
          <w:sz w:val="23"/>
          <w:szCs w:val="23"/>
          <w:lang w:eastAsia="en-GB"/>
          <w14:ligatures w14:val="none"/>
        </w:rPr>
        <w:t>. New York: New York University Press.</w:t>
      </w:r>
    </w:p>
    <w:p w14:paraId="0BDFA050"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Scottish Government (2021) </w:t>
      </w:r>
      <w:r w:rsidRPr="00BA7514">
        <w:rPr>
          <w:rFonts w:ascii="Arial" w:eastAsia="Times New Roman" w:hAnsi="Arial" w:cs="Arial"/>
          <w:i/>
          <w:iCs/>
          <w:color w:val="0F1115"/>
          <w:kern w:val="0"/>
          <w:sz w:val="23"/>
          <w:szCs w:val="23"/>
          <w:lang w:eastAsia="en-GB"/>
          <w14:ligatures w14:val="none"/>
        </w:rPr>
        <w:t>Fair work in social care: guidance for employers and practitioners</w:t>
      </w:r>
      <w:r w:rsidRPr="00BA7514">
        <w:rPr>
          <w:rFonts w:ascii="Arial" w:eastAsia="Times New Roman" w:hAnsi="Arial" w:cs="Arial"/>
          <w:color w:val="0F1115"/>
          <w:kern w:val="0"/>
          <w:sz w:val="23"/>
          <w:szCs w:val="23"/>
          <w:lang w:eastAsia="en-GB"/>
          <w14:ligatures w14:val="none"/>
        </w:rPr>
        <w:t>. Edinburgh: Scottish Government.</w:t>
      </w:r>
    </w:p>
    <w:p w14:paraId="1D15E39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lastRenderedPageBreak/>
        <w:t>Social Care Institute for Excellence (2019) </w:t>
      </w:r>
      <w:r w:rsidRPr="00BA7514">
        <w:rPr>
          <w:rFonts w:ascii="Arial" w:eastAsia="Times New Roman" w:hAnsi="Arial" w:cs="Arial"/>
          <w:i/>
          <w:iCs/>
          <w:color w:val="0F1115"/>
          <w:kern w:val="0"/>
          <w:sz w:val="23"/>
          <w:szCs w:val="23"/>
          <w:lang w:eastAsia="en-GB"/>
          <w14:ligatures w14:val="none"/>
        </w:rPr>
        <w:t>Migrant care workers and effective practice: learning from research</w:t>
      </w:r>
      <w:r w:rsidRPr="00BA7514">
        <w:rPr>
          <w:rFonts w:ascii="Arial" w:eastAsia="Times New Roman" w:hAnsi="Arial" w:cs="Arial"/>
          <w:color w:val="0F1115"/>
          <w:kern w:val="0"/>
          <w:sz w:val="23"/>
          <w:szCs w:val="23"/>
          <w:lang w:eastAsia="en-GB"/>
          <w14:ligatures w14:val="none"/>
        </w:rPr>
        <w:t>. London: SCIE.</w:t>
      </w:r>
    </w:p>
    <w:p w14:paraId="6BC82EF4"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United Nations (2018) </w:t>
      </w:r>
      <w:r w:rsidRPr="00BA7514">
        <w:rPr>
          <w:rFonts w:ascii="Arial" w:eastAsia="Times New Roman" w:hAnsi="Arial" w:cs="Arial"/>
          <w:i/>
          <w:iCs/>
          <w:color w:val="0F1115"/>
          <w:kern w:val="0"/>
          <w:sz w:val="23"/>
          <w:szCs w:val="23"/>
          <w:lang w:eastAsia="en-GB"/>
          <w14:ligatures w14:val="none"/>
        </w:rPr>
        <w:t>Global compact for safe, orderly and regular migration</w:t>
      </w:r>
      <w:r w:rsidRPr="00BA7514">
        <w:rPr>
          <w:rFonts w:ascii="Arial" w:eastAsia="Times New Roman" w:hAnsi="Arial" w:cs="Arial"/>
          <w:color w:val="0F1115"/>
          <w:kern w:val="0"/>
          <w:sz w:val="23"/>
          <w:szCs w:val="23"/>
          <w:lang w:eastAsia="en-GB"/>
          <w14:ligatures w14:val="none"/>
        </w:rPr>
        <w:t>. New York: United Nations General Assembly.</w:t>
      </w:r>
    </w:p>
    <w:p w14:paraId="79BE3B73"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Williams, F. (2012) 'Converging variations in migrant care work in Europe', </w:t>
      </w:r>
      <w:r w:rsidRPr="00BA7514">
        <w:rPr>
          <w:rFonts w:ascii="Arial" w:eastAsia="Times New Roman" w:hAnsi="Arial" w:cs="Arial"/>
          <w:i/>
          <w:iCs/>
          <w:color w:val="0F1115"/>
          <w:kern w:val="0"/>
          <w:sz w:val="23"/>
          <w:szCs w:val="23"/>
          <w:lang w:eastAsia="en-GB"/>
          <w14:ligatures w14:val="none"/>
        </w:rPr>
        <w:t>Journal of European Social Policy</w:t>
      </w:r>
      <w:r w:rsidRPr="00BA7514">
        <w:rPr>
          <w:rFonts w:ascii="Arial" w:eastAsia="Times New Roman" w:hAnsi="Arial" w:cs="Arial"/>
          <w:color w:val="0F1115"/>
          <w:kern w:val="0"/>
          <w:sz w:val="23"/>
          <w:szCs w:val="23"/>
          <w:lang w:eastAsia="en-GB"/>
          <w14:ligatures w14:val="none"/>
        </w:rPr>
        <w:t>, 22(4), pp. 373-388.</w:t>
      </w:r>
    </w:p>
    <w:p w14:paraId="11FBB1E0"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Wills, J. and Lin, B. (2019) 'Support networks for migrant care workers in London', </w:t>
      </w:r>
      <w:r w:rsidRPr="00BA7514">
        <w:rPr>
          <w:rFonts w:ascii="Arial" w:eastAsia="Times New Roman" w:hAnsi="Arial" w:cs="Arial"/>
          <w:i/>
          <w:iCs/>
          <w:color w:val="0F1115"/>
          <w:kern w:val="0"/>
          <w:sz w:val="23"/>
          <w:szCs w:val="23"/>
          <w:lang w:eastAsia="en-GB"/>
          <w14:ligatures w14:val="none"/>
        </w:rPr>
        <w:t>Ethnic and Racial Studies</w:t>
      </w:r>
      <w:r w:rsidRPr="00BA7514">
        <w:rPr>
          <w:rFonts w:ascii="Arial" w:eastAsia="Times New Roman" w:hAnsi="Arial" w:cs="Arial"/>
          <w:color w:val="0F1115"/>
          <w:kern w:val="0"/>
          <w:sz w:val="23"/>
          <w:szCs w:val="23"/>
          <w:lang w:eastAsia="en-GB"/>
          <w14:ligatures w14:val="none"/>
        </w:rPr>
        <w:t>, 42(15), pp. 2652-2670.</w:t>
      </w:r>
    </w:p>
    <w:p w14:paraId="7FE3A507"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Yeates, N. (2005) 'Global care chains: a critical introduction', </w:t>
      </w:r>
      <w:r w:rsidRPr="00BA7514">
        <w:rPr>
          <w:rFonts w:ascii="Arial" w:eastAsia="Times New Roman" w:hAnsi="Arial" w:cs="Arial"/>
          <w:i/>
          <w:iCs/>
          <w:color w:val="0F1115"/>
          <w:kern w:val="0"/>
          <w:sz w:val="23"/>
          <w:szCs w:val="23"/>
          <w:lang w:eastAsia="en-GB"/>
          <w14:ligatures w14:val="none"/>
        </w:rPr>
        <w:t>Global Network</w:t>
      </w:r>
      <w:r w:rsidRPr="00BA7514">
        <w:rPr>
          <w:rFonts w:ascii="Arial" w:eastAsia="Times New Roman" w:hAnsi="Arial" w:cs="Arial"/>
          <w:color w:val="0F1115"/>
          <w:kern w:val="0"/>
          <w:sz w:val="23"/>
          <w:szCs w:val="23"/>
          <w:lang w:eastAsia="en-GB"/>
          <w14:ligatures w14:val="none"/>
        </w:rPr>
        <w:t>, 5(2), pp. 227-234.</w:t>
      </w:r>
    </w:p>
    <w:p w14:paraId="5B3F08C2" w14:textId="77777777" w:rsidR="005D78D1" w:rsidRPr="00BA7514" w:rsidRDefault="005D78D1" w:rsidP="005D78D1">
      <w:pPr>
        <w:shd w:val="clear" w:color="auto" w:fill="FFFFFF"/>
        <w:spacing w:before="240" w:after="240" w:line="240" w:lineRule="auto"/>
        <w:rPr>
          <w:rFonts w:ascii="Arial" w:eastAsia="Times New Roman" w:hAnsi="Arial" w:cs="Arial"/>
          <w:color w:val="0F1115"/>
          <w:kern w:val="0"/>
          <w:sz w:val="23"/>
          <w:szCs w:val="23"/>
          <w:lang w:eastAsia="en-GB"/>
          <w14:ligatures w14:val="none"/>
        </w:rPr>
      </w:pPr>
      <w:r w:rsidRPr="00BA7514">
        <w:rPr>
          <w:rFonts w:ascii="Arial" w:eastAsia="Times New Roman" w:hAnsi="Arial" w:cs="Arial"/>
          <w:color w:val="0F1115"/>
          <w:kern w:val="0"/>
          <w:sz w:val="23"/>
          <w:szCs w:val="23"/>
          <w:lang w:eastAsia="en-GB"/>
          <w14:ligatures w14:val="none"/>
        </w:rPr>
        <w:t>Yeates, N. (2009) </w:t>
      </w:r>
      <w:r w:rsidRPr="00BA7514">
        <w:rPr>
          <w:rFonts w:ascii="Arial" w:eastAsia="Times New Roman" w:hAnsi="Arial" w:cs="Arial"/>
          <w:i/>
          <w:iCs/>
          <w:color w:val="0F1115"/>
          <w:kern w:val="0"/>
          <w:sz w:val="23"/>
          <w:szCs w:val="23"/>
          <w:lang w:eastAsia="en-GB"/>
          <w14:ligatures w14:val="none"/>
        </w:rPr>
        <w:t>Globalizing care economies and migrant workers: explorations in global care chains</w:t>
      </w:r>
      <w:r w:rsidRPr="00BA7514">
        <w:rPr>
          <w:rFonts w:ascii="Arial" w:eastAsia="Times New Roman" w:hAnsi="Arial" w:cs="Arial"/>
          <w:color w:val="0F1115"/>
          <w:kern w:val="0"/>
          <w:sz w:val="23"/>
          <w:szCs w:val="23"/>
          <w:lang w:eastAsia="en-GB"/>
          <w14:ligatures w14:val="none"/>
        </w:rPr>
        <w:t>. Basingstoke: Palgrave Macmillan.</w:t>
      </w:r>
    </w:p>
    <w:p w14:paraId="5F32F4C7" w14:textId="77777777" w:rsidR="005D78D1" w:rsidRPr="00BA7514" w:rsidRDefault="005D78D1">
      <w:pPr>
        <w:rPr>
          <w:rFonts w:ascii="Arial" w:hAnsi="Arial" w:cs="Arial"/>
          <w:sz w:val="23"/>
          <w:szCs w:val="23"/>
        </w:rPr>
      </w:pPr>
    </w:p>
    <w:sectPr w:rsidR="005D78D1" w:rsidRPr="00BA7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8D1"/>
    <w:rsid w:val="000A7252"/>
    <w:rsid w:val="00463445"/>
    <w:rsid w:val="005D78D1"/>
    <w:rsid w:val="006320A6"/>
    <w:rsid w:val="009F63EA"/>
    <w:rsid w:val="00A1553C"/>
    <w:rsid w:val="00A37BC8"/>
    <w:rsid w:val="00AD093D"/>
    <w:rsid w:val="00AF1AA8"/>
    <w:rsid w:val="00B546BC"/>
    <w:rsid w:val="00BA7514"/>
    <w:rsid w:val="00C21C18"/>
    <w:rsid w:val="00C34485"/>
    <w:rsid w:val="00ED293A"/>
    <w:rsid w:val="00FC6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BF91F"/>
  <w15:chartTrackingRefBased/>
  <w15:docId w15:val="{7215019C-3956-490F-ACEE-E86790B2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8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78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8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8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8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8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8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8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8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8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78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8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8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8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8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8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8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8D1"/>
    <w:rPr>
      <w:rFonts w:eastAsiaTheme="majorEastAsia" w:cstheme="majorBidi"/>
      <w:color w:val="272727" w:themeColor="text1" w:themeTint="D8"/>
    </w:rPr>
  </w:style>
  <w:style w:type="paragraph" w:styleId="Title">
    <w:name w:val="Title"/>
    <w:basedOn w:val="Normal"/>
    <w:next w:val="Normal"/>
    <w:link w:val="TitleChar"/>
    <w:uiPriority w:val="10"/>
    <w:qFormat/>
    <w:rsid w:val="005D78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8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8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8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8D1"/>
    <w:pPr>
      <w:spacing w:before="160"/>
      <w:jc w:val="center"/>
    </w:pPr>
    <w:rPr>
      <w:i/>
      <w:iCs/>
      <w:color w:val="404040" w:themeColor="text1" w:themeTint="BF"/>
    </w:rPr>
  </w:style>
  <w:style w:type="character" w:customStyle="1" w:styleId="QuoteChar">
    <w:name w:val="Quote Char"/>
    <w:basedOn w:val="DefaultParagraphFont"/>
    <w:link w:val="Quote"/>
    <w:uiPriority w:val="29"/>
    <w:rsid w:val="005D78D1"/>
    <w:rPr>
      <w:i/>
      <w:iCs/>
      <w:color w:val="404040" w:themeColor="text1" w:themeTint="BF"/>
    </w:rPr>
  </w:style>
  <w:style w:type="paragraph" w:styleId="ListParagraph">
    <w:name w:val="List Paragraph"/>
    <w:basedOn w:val="Normal"/>
    <w:uiPriority w:val="34"/>
    <w:qFormat/>
    <w:rsid w:val="005D78D1"/>
    <w:pPr>
      <w:ind w:left="720"/>
      <w:contextualSpacing/>
    </w:pPr>
  </w:style>
  <w:style w:type="character" w:styleId="IntenseEmphasis">
    <w:name w:val="Intense Emphasis"/>
    <w:basedOn w:val="DefaultParagraphFont"/>
    <w:uiPriority w:val="21"/>
    <w:qFormat/>
    <w:rsid w:val="005D78D1"/>
    <w:rPr>
      <w:i/>
      <w:iCs/>
      <w:color w:val="0F4761" w:themeColor="accent1" w:themeShade="BF"/>
    </w:rPr>
  </w:style>
  <w:style w:type="paragraph" w:styleId="IntenseQuote">
    <w:name w:val="Intense Quote"/>
    <w:basedOn w:val="Normal"/>
    <w:next w:val="Normal"/>
    <w:link w:val="IntenseQuoteChar"/>
    <w:uiPriority w:val="30"/>
    <w:qFormat/>
    <w:rsid w:val="005D78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8D1"/>
    <w:rPr>
      <w:i/>
      <w:iCs/>
      <w:color w:val="0F4761" w:themeColor="accent1" w:themeShade="BF"/>
    </w:rPr>
  </w:style>
  <w:style w:type="character" w:styleId="IntenseReference">
    <w:name w:val="Intense Reference"/>
    <w:basedOn w:val="DefaultParagraphFont"/>
    <w:uiPriority w:val="32"/>
    <w:qFormat/>
    <w:rsid w:val="005D78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Yaw Attuah Ansah Philip</dc:creator>
  <cp:keywords/>
  <dc:description/>
  <cp:lastModifiedBy>Florence Chijioke Oguledo (2411483)</cp:lastModifiedBy>
  <cp:revision>12</cp:revision>
  <dcterms:created xsi:type="dcterms:W3CDTF">2026-04-27T16:59:00Z</dcterms:created>
  <dcterms:modified xsi:type="dcterms:W3CDTF">2026-04-27T17:18:00Z</dcterms:modified>
</cp:coreProperties>
</file>