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61A8536" w14:textId="6A5730CB" w:rsidR="00A606D1" w:rsidRDefault="00A606D1" w:rsidP="00A606D1">
      <w:pPr>
        <w:spacing w:line="360" w:lineRule="auto"/>
        <w:rPr>
          <w:sz w:val="40"/>
          <w:szCs w:val="40"/>
          <w:lang w:val="en-US"/>
        </w:rPr>
      </w:pPr>
      <w:r>
        <w:rPr>
          <w:noProof/>
        </w:rPr>
        <w:drawing>
          <wp:inline distT="0" distB="0" distL="0" distR="0" wp14:anchorId="45CAF098" wp14:editId="50BE8A4A">
            <wp:extent cx="2865120" cy="1637459"/>
            <wp:effectExtent l="0" t="0" r="0" b="1270"/>
            <wp:docPr id="1519676256"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92064" cy="1652858"/>
                    </a:xfrm>
                    <a:prstGeom prst="rect">
                      <a:avLst/>
                    </a:prstGeom>
                    <a:noFill/>
                    <a:ln>
                      <a:noFill/>
                    </a:ln>
                  </pic:spPr>
                </pic:pic>
              </a:graphicData>
            </a:graphic>
          </wp:inline>
        </w:drawing>
      </w:r>
    </w:p>
    <w:p w14:paraId="19C18942" w14:textId="77777777" w:rsidR="00A606D1" w:rsidRDefault="00A606D1" w:rsidP="00A606D1">
      <w:pPr>
        <w:spacing w:line="360" w:lineRule="auto"/>
        <w:rPr>
          <w:sz w:val="40"/>
          <w:szCs w:val="40"/>
          <w:lang w:val="en-US"/>
        </w:rPr>
      </w:pPr>
    </w:p>
    <w:p w14:paraId="0BC4D88C" w14:textId="2D65141E" w:rsidR="00004333" w:rsidRDefault="008F291E" w:rsidP="00A606D1">
      <w:pPr>
        <w:spacing w:line="360" w:lineRule="auto"/>
        <w:jc w:val="center"/>
        <w:rPr>
          <w:sz w:val="40"/>
          <w:szCs w:val="40"/>
          <w:lang w:val="en-US"/>
        </w:rPr>
      </w:pPr>
      <w:r w:rsidRPr="008F291E">
        <w:rPr>
          <w:sz w:val="40"/>
          <w:szCs w:val="40"/>
          <w:lang w:val="en-US"/>
        </w:rPr>
        <w:t>PORTFOLIO</w:t>
      </w:r>
    </w:p>
    <w:p w14:paraId="14A5C465" w14:textId="77777777" w:rsidR="00F72F77" w:rsidRDefault="00F72F77" w:rsidP="00A606D1">
      <w:pPr>
        <w:spacing w:line="360" w:lineRule="auto"/>
        <w:jc w:val="center"/>
        <w:rPr>
          <w:sz w:val="40"/>
          <w:szCs w:val="40"/>
          <w:lang w:val="en-US"/>
        </w:rPr>
      </w:pPr>
    </w:p>
    <w:p w14:paraId="7F43E5E9" w14:textId="753D68CE" w:rsidR="008F291E" w:rsidRPr="00BE2425" w:rsidRDefault="008F291E" w:rsidP="00BA72BE">
      <w:pPr>
        <w:spacing w:line="360" w:lineRule="auto"/>
        <w:rPr>
          <w:lang w:val="en-US"/>
        </w:rPr>
      </w:pPr>
      <w:r w:rsidRPr="00A606D1">
        <w:rPr>
          <w:b/>
          <w:bCs/>
          <w:lang w:val="en-US"/>
        </w:rPr>
        <w:t>Module Name:</w:t>
      </w:r>
      <w:r w:rsidRPr="00BE2425">
        <w:rPr>
          <w:lang w:val="en-US"/>
        </w:rPr>
        <w:t xml:space="preserve"> Introduction to Health and Social Care</w:t>
      </w:r>
    </w:p>
    <w:p w14:paraId="7D618106" w14:textId="5E19CED4" w:rsidR="008F291E" w:rsidRPr="00BE2425" w:rsidRDefault="008F291E" w:rsidP="00BA72BE">
      <w:pPr>
        <w:spacing w:line="360" w:lineRule="auto"/>
        <w:rPr>
          <w:lang w:val="en-US"/>
        </w:rPr>
      </w:pPr>
      <w:r w:rsidRPr="00A606D1">
        <w:rPr>
          <w:b/>
          <w:bCs/>
          <w:lang w:val="en-US"/>
        </w:rPr>
        <w:t>Module Code:</w:t>
      </w:r>
      <w:r w:rsidR="00402345">
        <w:rPr>
          <w:lang w:val="en-US"/>
        </w:rPr>
        <w:t xml:space="preserve"> </w:t>
      </w:r>
      <w:r w:rsidRPr="00BE2425">
        <w:rPr>
          <w:lang w:val="en-US"/>
        </w:rPr>
        <w:t>LCHS4003</w:t>
      </w:r>
    </w:p>
    <w:p w14:paraId="580B658A" w14:textId="5881D776" w:rsidR="008F291E" w:rsidRPr="00BE2425" w:rsidRDefault="008F291E" w:rsidP="00BA72BE">
      <w:pPr>
        <w:spacing w:line="360" w:lineRule="auto"/>
        <w:rPr>
          <w:lang w:val="en-US"/>
        </w:rPr>
      </w:pPr>
      <w:r w:rsidRPr="00A606D1">
        <w:rPr>
          <w:b/>
          <w:bCs/>
          <w:lang w:val="en-US"/>
        </w:rPr>
        <w:t>Student ID:</w:t>
      </w:r>
      <w:r w:rsidRPr="00BE2425">
        <w:rPr>
          <w:lang w:val="en-US"/>
        </w:rPr>
        <w:t xml:space="preserve"> 2515168</w:t>
      </w:r>
    </w:p>
    <w:p w14:paraId="2422C2E0" w14:textId="00A2F876" w:rsidR="008F291E" w:rsidRPr="00BE2425" w:rsidRDefault="008F291E" w:rsidP="00BA72BE">
      <w:pPr>
        <w:spacing w:line="360" w:lineRule="auto"/>
        <w:rPr>
          <w:lang w:val="en-US"/>
        </w:rPr>
      </w:pPr>
      <w:r w:rsidRPr="00A606D1">
        <w:rPr>
          <w:b/>
          <w:bCs/>
          <w:lang w:val="en-US"/>
        </w:rPr>
        <w:t>Lecturer’s Name:</w:t>
      </w:r>
      <w:r w:rsidRPr="00BE2425">
        <w:rPr>
          <w:lang w:val="en-US"/>
        </w:rPr>
        <w:t xml:space="preserve"> Muhammad Aliyu</w:t>
      </w:r>
    </w:p>
    <w:p w14:paraId="6D5F4185" w14:textId="62731E4D" w:rsidR="00004333" w:rsidRDefault="00004333" w:rsidP="00BA72BE">
      <w:pPr>
        <w:spacing w:line="360" w:lineRule="auto"/>
        <w:rPr>
          <w:sz w:val="32"/>
          <w:szCs w:val="32"/>
          <w:lang w:val="en-US"/>
        </w:rPr>
      </w:pPr>
    </w:p>
    <w:sdt>
      <w:sdtPr>
        <w:id w:val="9922999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0E3A010" w14:textId="0DB8BB46" w:rsidR="00623EF3" w:rsidRPr="00623EF3" w:rsidRDefault="00623EF3">
          <w:pPr>
            <w:pStyle w:val="TOCHeading"/>
            <w:rPr>
              <w:b/>
              <w:bCs/>
              <w:color w:val="auto"/>
            </w:rPr>
          </w:pPr>
          <w:r w:rsidRPr="00623EF3">
            <w:rPr>
              <w:b/>
              <w:bCs/>
              <w:color w:val="auto"/>
            </w:rPr>
            <w:t>Table of Contents</w:t>
          </w:r>
        </w:p>
        <w:p w14:paraId="521E2CDA" w14:textId="0942FB06" w:rsidR="00BB4876" w:rsidRDefault="00623E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411120" w:history="1">
            <w:r w:rsidR="00BB4876" w:rsidRPr="008001CB">
              <w:rPr>
                <w:rStyle w:val="Hyperlink"/>
                <w:b/>
                <w:bCs/>
                <w:noProof/>
                <w:lang w:val="en-US"/>
              </w:rPr>
              <w:t>Task 1: Community Mental Health Services Poster</w:t>
            </w:r>
            <w:r w:rsidR="00BB4876">
              <w:rPr>
                <w:noProof/>
                <w:webHidden/>
              </w:rPr>
              <w:tab/>
            </w:r>
            <w:r w:rsidR="00BB4876">
              <w:rPr>
                <w:noProof/>
                <w:webHidden/>
              </w:rPr>
              <w:fldChar w:fldCharType="begin"/>
            </w:r>
            <w:r w:rsidR="00BB4876">
              <w:rPr>
                <w:noProof/>
                <w:webHidden/>
              </w:rPr>
              <w:instrText xml:space="preserve"> PAGEREF _Toc224411120 \h </w:instrText>
            </w:r>
            <w:r w:rsidR="00BB4876">
              <w:rPr>
                <w:noProof/>
                <w:webHidden/>
              </w:rPr>
            </w:r>
            <w:r w:rsidR="00BB4876">
              <w:rPr>
                <w:noProof/>
                <w:webHidden/>
              </w:rPr>
              <w:fldChar w:fldCharType="separate"/>
            </w:r>
            <w:r w:rsidR="00BB4876">
              <w:rPr>
                <w:noProof/>
                <w:webHidden/>
              </w:rPr>
              <w:t>2</w:t>
            </w:r>
            <w:r w:rsidR="00BB4876">
              <w:rPr>
                <w:noProof/>
                <w:webHidden/>
              </w:rPr>
              <w:fldChar w:fldCharType="end"/>
            </w:r>
          </w:hyperlink>
        </w:p>
        <w:p w14:paraId="6AAB7A23" w14:textId="70F7CF1B" w:rsidR="00BB4876" w:rsidRDefault="00BB4876">
          <w:pPr>
            <w:pStyle w:val="TOC1"/>
            <w:tabs>
              <w:tab w:val="right" w:leader="dot" w:pos="9016"/>
            </w:tabs>
            <w:rPr>
              <w:rFonts w:eastAsiaTheme="minorEastAsia"/>
              <w:noProof/>
              <w:lang w:eastAsia="en-GB"/>
            </w:rPr>
          </w:pPr>
          <w:hyperlink w:anchor="_Toc224411121" w:history="1">
            <w:r w:rsidRPr="008001CB">
              <w:rPr>
                <w:rStyle w:val="Hyperlink"/>
                <w:b/>
                <w:bCs/>
                <w:noProof/>
                <w:lang w:val="en-US"/>
              </w:rPr>
              <w:t>Task 2: Pharmacy Services Essay</w:t>
            </w:r>
            <w:r>
              <w:rPr>
                <w:noProof/>
                <w:webHidden/>
              </w:rPr>
              <w:tab/>
            </w:r>
            <w:r>
              <w:rPr>
                <w:noProof/>
                <w:webHidden/>
              </w:rPr>
              <w:fldChar w:fldCharType="begin"/>
            </w:r>
            <w:r>
              <w:rPr>
                <w:noProof/>
                <w:webHidden/>
              </w:rPr>
              <w:instrText xml:space="preserve"> PAGEREF _Toc224411121 \h </w:instrText>
            </w:r>
            <w:r>
              <w:rPr>
                <w:noProof/>
                <w:webHidden/>
              </w:rPr>
            </w:r>
            <w:r>
              <w:rPr>
                <w:noProof/>
                <w:webHidden/>
              </w:rPr>
              <w:fldChar w:fldCharType="separate"/>
            </w:r>
            <w:r>
              <w:rPr>
                <w:noProof/>
                <w:webHidden/>
              </w:rPr>
              <w:t>3</w:t>
            </w:r>
            <w:r>
              <w:rPr>
                <w:noProof/>
                <w:webHidden/>
              </w:rPr>
              <w:fldChar w:fldCharType="end"/>
            </w:r>
          </w:hyperlink>
        </w:p>
        <w:p w14:paraId="4F7993D7" w14:textId="0F4009B4" w:rsidR="00BB4876" w:rsidRDefault="00BB4876">
          <w:pPr>
            <w:pStyle w:val="TOC2"/>
            <w:tabs>
              <w:tab w:val="right" w:leader="dot" w:pos="9016"/>
            </w:tabs>
            <w:rPr>
              <w:rFonts w:eastAsiaTheme="minorEastAsia"/>
              <w:noProof/>
              <w:lang w:eastAsia="en-GB"/>
            </w:rPr>
          </w:pPr>
          <w:hyperlink w:anchor="_Toc224411122" w:history="1">
            <w:r w:rsidRPr="008001CB">
              <w:rPr>
                <w:rStyle w:val="Hyperlink"/>
                <w:b/>
                <w:bCs/>
                <w:noProof/>
              </w:rPr>
              <w:t>Pharmacy services: Origins, functions and importance in improving quality of life</w:t>
            </w:r>
            <w:r>
              <w:rPr>
                <w:noProof/>
                <w:webHidden/>
              </w:rPr>
              <w:tab/>
            </w:r>
            <w:r>
              <w:rPr>
                <w:noProof/>
                <w:webHidden/>
              </w:rPr>
              <w:fldChar w:fldCharType="begin"/>
            </w:r>
            <w:r>
              <w:rPr>
                <w:noProof/>
                <w:webHidden/>
              </w:rPr>
              <w:instrText xml:space="preserve"> PAGEREF _Toc224411122 \h </w:instrText>
            </w:r>
            <w:r>
              <w:rPr>
                <w:noProof/>
                <w:webHidden/>
              </w:rPr>
            </w:r>
            <w:r>
              <w:rPr>
                <w:noProof/>
                <w:webHidden/>
              </w:rPr>
              <w:fldChar w:fldCharType="separate"/>
            </w:r>
            <w:r>
              <w:rPr>
                <w:noProof/>
                <w:webHidden/>
              </w:rPr>
              <w:t>3</w:t>
            </w:r>
            <w:r>
              <w:rPr>
                <w:noProof/>
                <w:webHidden/>
              </w:rPr>
              <w:fldChar w:fldCharType="end"/>
            </w:r>
          </w:hyperlink>
        </w:p>
        <w:p w14:paraId="06297401" w14:textId="5680FB7D" w:rsidR="00BB4876" w:rsidRDefault="00BB4876">
          <w:pPr>
            <w:pStyle w:val="TOC2"/>
            <w:tabs>
              <w:tab w:val="right" w:leader="dot" w:pos="9016"/>
            </w:tabs>
            <w:rPr>
              <w:rFonts w:eastAsiaTheme="minorEastAsia"/>
              <w:noProof/>
              <w:lang w:eastAsia="en-GB"/>
            </w:rPr>
          </w:pPr>
          <w:hyperlink w:anchor="_Toc224411123" w:history="1">
            <w:r w:rsidRPr="008001CB">
              <w:rPr>
                <w:rStyle w:val="Hyperlink"/>
                <w:b/>
                <w:bCs/>
                <w:noProof/>
              </w:rPr>
              <w:t>Reference list</w:t>
            </w:r>
            <w:r>
              <w:rPr>
                <w:noProof/>
                <w:webHidden/>
              </w:rPr>
              <w:tab/>
            </w:r>
            <w:r>
              <w:rPr>
                <w:noProof/>
                <w:webHidden/>
              </w:rPr>
              <w:fldChar w:fldCharType="begin"/>
            </w:r>
            <w:r>
              <w:rPr>
                <w:noProof/>
                <w:webHidden/>
              </w:rPr>
              <w:instrText xml:space="preserve"> PAGEREF _Toc224411123 \h </w:instrText>
            </w:r>
            <w:r>
              <w:rPr>
                <w:noProof/>
                <w:webHidden/>
              </w:rPr>
            </w:r>
            <w:r>
              <w:rPr>
                <w:noProof/>
                <w:webHidden/>
              </w:rPr>
              <w:fldChar w:fldCharType="separate"/>
            </w:r>
            <w:r>
              <w:rPr>
                <w:noProof/>
                <w:webHidden/>
              </w:rPr>
              <w:t>4</w:t>
            </w:r>
            <w:r>
              <w:rPr>
                <w:noProof/>
                <w:webHidden/>
              </w:rPr>
              <w:fldChar w:fldCharType="end"/>
            </w:r>
          </w:hyperlink>
        </w:p>
        <w:p w14:paraId="6780832A" w14:textId="7F53F61E" w:rsidR="00623EF3" w:rsidRDefault="00623EF3">
          <w:r>
            <w:rPr>
              <w:b/>
              <w:bCs/>
            </w:rPr>
            <w:fldChar w:fldCharType="end"/>
          </w:r>
        </w:p>
      </w:sdtContent>
    </w:sdt>
    <w:p w14:paraId="743B9FA0" w14:textId="77777777" w:rsidR="00623EF3" w:rsidRDefault="00623EF3" w:rsidP="00BA72BE">
      <w:pPr>
        <w:spacing w:line="360" w:lineRule="auto"/>
        <w:rPr>
          <w:b/>
          <w:bCs/>
          <w:sz w:val="32"/>
          <w:szCs w:val="32"/>
          <w:lang w:val="en-US"/>
        </w:rPr>
      </w:pPr>
    </w:p>
    <w:p w14:paraId="59E8D317" w14:textId="77777777" w:rsidR="00623EF3" w:rsidRDefault="00623EF3" w:rsidP="00BA72BE">
      <w:pPr>
        <w:spacing w:line="360" w:lineRule="auto"/>
        <w:rPr>
          <w:b/>
          <w:bCs/>
          <w:sz w:val="32"/>
          <w:szCs w:val="32"/>
          <w:lang w:val="en-US"/>
        </w:rPr>
      </w:pPr>
    </w:p>
    <w:p w14:paraId="46189D1A" w14:textId="77777777" w:rsidR="00623EF3" w:rsidRDefault="00623EF3" w:rsidP="00BA72BE">
      <w:pPr>
        <w:spacing w:line="360" w:lineRule="auto"/>
        <w:rPr>
          <w:b/>
          <w:bCs/>
          <w:sz w:val="32"/>
          <w:szCs w:val="32"/>
          <w:lang w:val="en-US"/>
        </w:rPr>
      </w:pPr>
    </w:p>
    <w:p w14:paraId="77B820B8" w14:textId="394FB960" w:rsidR="008F291E" w:rsidRPr="00623EF3" w:rsidRDefault="008F291E" w:rsidP="00623EF3">
      <w:pPr>
        <w:pStyle w:val="Heading1"/>
        <w:rPr>
          <w:b/>
          <w:bCs/>
          <w:color w:val="auto"/>
          <w:lang w:val="en-US"/>
        </w:rPr>
      </w:pPr>
      <w:bookmarkStart w:id="0" w:name="_Toc224411120"/>
      <w:r w:rsidRPr="00623EF3">
        <w:rPr>
          <w:b/>
          <w:bCs/>
          <w:color w:val="auto"/>
          <w:lang w:val="en-US"/>
        </w:rPr>
        <w:lastRenderedPageBreak/>
        <w:t>Task 1</w:t>
      </w:r>
      <w:r w:rsidR="00004333" w:rsidRPr="00623EF3">
        <w:rPr>
          <w:b/>
          <w:bCs/>
          <w:color w:val="auto"/>
          <w:lang w:val="en-US"/>
        </w:rPr>
        <w:t xml:space="preserve">: Community Mental Health Services </w:t>
      </w:r>
      <w:r w:rsidRPr="00623EF3">
        <w:rPr>
          <w:b/>
          <w:bCs/>
          <w:color w:val="auto"/>
          <w:lang w:val="en-US"/>
        </w:rPr>
        <w:t>Poster</w:t>
      </w:r>
      <w:bookmarkEnd w:id="0"/>
    </w:p>
    <w:p w14:paraId="7D6C5F36" w14:textId="428878E9" w:rsidR="00402345" w:rsidRDefault="004B226C" w:rsidP="00BA72BE">
      <w:pPr>
        <w:spacing w:line="360" w:lineRule="auto"/>
        <w:rPr>
          <w:sz w:val="40"/>
          <w:szCs w:val="40"/>
          <w:lang w:val="en-US"/>
        </w:rPr>
      </w:pPr>
      <w:r>
        <w:rPr>
          <w:noProof/>
        </w:rPr>
        <w:drawing>
          <wp:inline distT="0" distB="0" distL="0" distR="0" wp14:anchorId="09F4E514" wp14:editId="589A15B5">
            <wp:extent cx="5731510" cy="8105775"/>
            <wp:effectExtent l="0" t="0" r="2540" b="9525"/>
            <wp:docPr id="146752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105775"/>
                    </a:xfrm>
                    <a:prstGeom prst="rect">
                      <a:avLst/>
                    </a:prstGeom>
                    <a:noFill/>
                    <a:ln>
                      <a:noFill/>
                    </a:ln>
                  </pic:spPr>
                </pic:pic>
              </a:graphicData>
            </a:graphic>
          </wp:inline>
        </w:drawing>
      </w:r>
    </w:p>
    <w:p w14:paraId="3A265660" w14:textId="02B491CC" w:rsidR="008F291E" w:rsidRPr="00623EF3" w:rsidRDefault="00004333" w:rsidP="00623EF3">
      <w:pPr>
        <w:pStyle w:val="Heading1"/>
        <w:rPr>
          <w:b/>
          <w:bCs/>
          <w:color w:val="auto"/>
          <w:lang w:val="en-US"/>
        </w:rPr>
      </w:pPr>
      <w:bookmarkStart w:id="1" w:name="_Toc224411121"/>
      <w:r w:rsidRPr="00623EF3">
        <w:rPr>
          <w:b/>
          <w:bCs/>
          <w:color w:val="auto"/>
          <w:lang w:val="en-US"/>
        </w:rPr>
        <w:lastRenderedPageBreak/>
        <w:t>Task 2: Pharmacy Services</w:t>
      </w:r>
      <w:r w:rsidR="00402345" w:rsidRPr="00623EF3">
        <w:rPr>
          <w:b/>
          <w:bCs/>
          <w:color w:val="auto"/>
          <w:lang w:val="en-US"/>
        </w:rPr>
        <w:t xml:space="preserve"> Essay</w:t>
      </w:r>
      <w:bookmarkEnd w:id="1"/>
    </w:p>
    <w:p w14:paraId="00D63933" w14:textId="77777777" w:rsidR="00402345" w:rsidRDefault="00402345" w:rsidP="00623EF3">
      <w:pPr>
        <w:pStyle w:val="Heading2"/>
        <w:rPr>
          <w:b/>
          <w:bCs/>
          <w:color w:val="auto"/>
        </w:rPr>
      </w:pPr>
      <w:bookmarkStart w:id="2" w:name="_Toc224411122"/>
      <w:r w:rsidRPr="00623EF3">
        <w:rPr>
          <w:b/>
          <w:bCs/>
          <w:color w:val="auto"/>
        </w:rPr>
        <w:t>Pharmacy services: Origins, functions and importance in improving quality of life</w:t>
      </w:r>
      <w:bookmarkEnd w:id="2"/>
    </w:p>
    <w:p w14:paraId="02D49470" w14:textId="77777777" w:rsidR="006D461C" w:rsidRPr="006D461C" w:rsidRDefault="006D461C" w:rsidP="00BB4876">
      <w:pPr>
        <w:spacing w:line="360" w:lineRule="auto"/>
        <w:rPr>
          <w:sz w:val="22"/>
          <w:szCs w:val="22"/>
        </w:rPr>
      </w:pPr>
      <w:r w:rsidRPr="006D461C">
        <w:rPr>
          <w:sz w:val="22"/>
          <w:szCs w:val="22"/>
        </w:rPr>
        <w:t>Long ago, medicine came from small shops where people mixed herbs by hand know as apothecary shops. Those early spaces grew slowly into what we now know as pharmacies. Instead of just selling remedies, these places began offering guidance alongside prescriptions, shaping how care works today. One key shift happened when trained experts took charge of dispensing drugs, making treatments safer for everyone involved. Because of this steady change, patients now get more than pills - they gain access to trusted information during tough times. Over years, laws and needs shaped how these services operate, linking them tightly with doctors and hospitals across communities. Through it all, helping individuals stay healthy remained the mission behind every counter.</w:t>
      </w:r>
    </w:p>
    <w:p w14:paraId="304F2C02" w14:textId="77777777" w:rsidR="006D461C" w:rsidRPr="006D461C" w:rsidRDefault="006D461C" w:rsidP="00BB4876">
      <w:pPr>
        <w:spacing w:line="360" w:lineRule="auto"/>
        <w:rPr>
          <w:sz w:val="22"/>
          <w:szCs w:val="22"/>
        </w:rPr>
      </w:pPr>
      <w:r w:rsidRPr="006D461C">
        <w:rPr>
          <w:sz w:val="22"/>
          <w:szCs w:val="22"/>
        </w:rPr>
        <w:t>Through time, pharmacy replaced the role of the apothecary shops in society, focusing more on regulations and education to ensure people received the care they needed (Anderson, 2005). Nowadays, groups such as the World Pharmacy Council (2026) help align efforts across borders to push the work forward. Despite starting basic, healing methods have now evolved into complex and ever-changing, boosting community wellbeing along the way.</w:t>
      </w:r>
    </w:p>
    <w:p w14:paraId="68581FB8" w14:textId="77777777" w:rsidR="006D461C" w:rsidRPr="006D461C" w:rsidRDefault="006D461C" w:rsidP="00BB4876">
      <w:pPr>
        <w:spacing w:line="360" w:lineRule="auto"/>
        <w:rPr>
          <w:sz w:val="22"/>
          <w:szCs w:val="22"/>
        </w:rPr>
      </w:pPr>
      <w:r w:rsidRPr="006D461C">
        <w:rPr>
          <w:sz w:val="22"/>
          <w:szCs w:val="22"/>
        </w:rPr>
        <w:t>In the 20</w:t>
      </w:r>
      <w:r w:rsidRPr="006D461C">
        <w:rPr>
          <w:sz w:val="22"/>
          <w:szCs w:val="22"/>
          <w:vertAlign w:val="superscript"/>
        </w:rPr>
        <w:t>th</w:t>
      </w:r>
      <w:r w:rsidRPr="006D461C">
        <w:rPr>
          <w:sz w:val="22"/>
          <w:szCs w:val="22"/>
        </w:rPr>
        <w:t xml:space="preserve"> century, drugstores started fitting into government healthcare networks across countries (Anderson, 2005). Within the UK, local pharmacies joined the NHS when it launched in 1948 (Berridge and Edwards, 2010). These shops worked with the NHS to provide medicines while guiding patients on how to take them properly. By the two </w:t>
      </w:r>
      <w:proofErr w:type="gramStart"/>
      <w:r w:rsidRPr="006D461C">
        <w:rPr>
          <w:sz w:val="22"/>
          <w:szCs w:val="22"/>
        </w:rPr>
        <w:t>thousands</w:t>
      </w:r>
      <w:proofErr w:type="gramEnd"/>
      <w:r w:rsidRPr="006D461C">
        <w:rPr>
          <w:sz w:val="22"/>
          <w:szCs w:val="22"/>
        </w:rPr>
        <w:t>, new programs like the Minor Ailment Scheme appeared which allowed pharmacists to handle everyday issues such as cold symptoms instead of sending people to clinics (Paudyal et al, 2013). That shift keeps growing; starting in 2026, any eligible pharmacist can write their own prescriptions under updated medical policies (King’s Fund, 2025).</w:t>
      </w:r>
    </w:p>
    <w:p w14:paraId="17C5C245" w14:textId="77777777" w:rsidR="006D461C" w:rsidRPr="006D461C" w:rsidRDefault="006D461C" w:rsidP="00BB4876">
      <w:pPr>
        <w:spacing w:line="360" w:lineRule="auto"/>
        <w:rPr>
          <w:sz w:val="22"/>
          <w:szCs w:val="22"/>
        </w:rPr>
      </w:pPr>
      <w:r w:rsidRPr="006D461C">
        <w:rPr>
          <w:sz w:val="22"/>
          <w:szCs w:val="22"/>
        </w:rPr>
        <w:t xml:space="preserve">Currently, the role of pharmacies goes way beyond handing out pills. Across the UK, around 10,400 local drugstores help people stay healthy (NHSBSA, 2025). During 2024/25, they gave out an estimated 1.16 billion prescribed treatments – an increase of 4% from the previous year (NHSBSA, 2025). Because needs keep changing, these stores now act more like health clinics, putting patients first and managing ongoing illnesses (Royal Pharmaceutical Society, 2022). The NHS Pharmacy First plan lets trained pharmacists handle seven everyday issues, such as sore </w:t>
      </w:r>
      <w:r w:rsidRPr="006D461C">
        <w:rPr>
          <w:sz w:val="22"/>
          <w:szCs w:val="22"/>
        </w:rPr>
        <w:lastRenderedPageBreak/>
        <w:t>throats and urinary tract infections, without needing to see a doctor which cuts down yearly GP visits by as much as 10 million (NHS England, 2024).</w:t>
      </w:r>
    </w:p>
    <w:p w14:paraId="18BA7E2D" w14:textId="77777777" w:rsidR="006D461C" w:rsidRPr="006D461C" w:rsidRDefault="006D461C" w:rsidP="00BB4876">
      <w:pPr>
        <w:spacing w:line="360" w:lineRule="auto"/>
        <w:rPr>
          <w:sz w:val="22"/>
          <w:szCs w:val="22"/>
        </w:rPr>
      </w:pPr>
      <w:r w:rsidRPr="006D461C">
        <w:rPr>
          <w:sz w:val="22"/>
          <w:szCs w:val="22"/>
        </w:rPr>
        <w:t>Accessibility is core to pharmacy services. About ninety out of every hundred people live just a short walk away from one, especially beneficial to those in poorer areas where access to other healthcare services may be limited (King’s Fund, 2025). Six in ten adults turned to NHS care at a pharmacy within four weeks and often skipped other healthcare spots altogether (ONS, 2024). In England alone, local pharmacies handle nearly seventy million face-to-face advice visits each year, freeing up millions of doctor appointments (Community Pharmacy England, 2025). These numbers show how widely used these services are, helping keep communities healthier.</w:t>
      </w:r>
    </w:p>
    <w:p w14:paraId="45874529" w14:textId="0DCD03BC" w:rsidR="006D461C" w:rsidRPr="006D461C" w:rsidRDefault="006D461C" w:rsidP="00BB4876">
      <w:pPr>
        <w:spacing w:line="360" w:lineRule="auto"/>
        <w:rPr>
          <w:sz w:val="22"/>
          <w:szCs w:val="22"/>
        </w:rPr>
      </w:pPr>
      <w:r w:rsidRPr="006D461C">
        <w:rPr>
          <w:sz w:val="22"/>
          <w:szCs w:val="22"/>
        </w:rPr>
        <w:t xml:space="preserve">Getting medicine is not the only thing pharmacies do. Because they’re often nearby, people can reach care without much trouble or expense. For people who struggle to move around or live far from clinics, pharmacies are easily accessible places where they can receive care (King’s Fund, 2025). </w:t>
      </w:r>
      <w:r w:rsidRPr="00BB4876">
        <w:rPr>
          <w:sz w:val="22"/>
          <w:szCs w:val="22"/>
        </w:rPr>
        <w:t>Since</w:t>
      </w:r>
      <w:r w:rsidRPr="006D461C">
        <w:rPr>
          <w:sz w:val="22"/>
          <w:szCs w:val="22"/>
        </w:rPr>
        <w:t xml:space="preserve"> pharmacists </w:t>
      </w:r>
      <w:r w:rsidR="00BB4876" w:rsidRPr="006D461C">
        <w:rPr>
          <w:sz w:val="22"/>
          <w:szCs w:val="22"/>
        </w:rPr>
        <w:t>provide</w:t>
      </w:r>
      <w:r w:rsidRPr="006D461C">
        <w:rPr>
          <w:sz w:val="22"/>
          <w:szCs w:val="22"/>
        </w:rPr>
        <w:t xml:space="preserve"> guidance and medication, fewer individuals go to hospitals which frees up space for serious cases (Paudyal et al., 2013). With less strain on national services, small concerns rarely grow worse, which benefits everyday wellbeing across communities.</w:t>
      </w:r>
    </w:p>
    <w:p w14:paraId="04B62D01" w14:textId="7175144D" w:rsidR="006D461C" w:rsidRPr="00BB4876" w:rsidRDefault="006D461C" w:rsidP="00BB4876">
      <w:pPr>
        <w:spacing w:line="360" w:lineRule="auto"/>
        <w:rPr>
          <w:sz w:val="22"/>
          <w:szCs w:val="22"/>
        </w:rPr>
      </w:pPr>
      <w:r w:rsidRPr="00BB4876">
        <w:rPr>
          <w:sz w:val="22"/>
          <w:szCs w:val="22"/>
        </w:rPr>
        <w:t>In conclusion, pharmacies do far more than just fill prescriptions in the modern day. From old apothecary shops they have grown into key components of modern health care in the UK. They offer check-ups, advice and tests while being accessible to everyone in the country. Being easy to reach helps communities stay healthier without straining the NHS. Their spot in the network keeps the NHS running smoother and people healthier.</w:t>
      </w:r>
      <w:r w:rsidRPr="00BB4876">
        <w:rPr>
          <w:sz w:val="22"/>
          <w:szCs w:val="22"/>
        </w:rPr>
        <w:br/>
      </w:r>
    </w:p>
    <w:p w14:paraId="317829F0" w14:textId="5074B7A3" w:rsidR="00440002" w:rsidRPr="00440002" w:rsidRDefault="00440002" w:rsidP="00440002"/>
    <w:p w14:paraId="09334A51" w14:textId="77777777" w:rsidR="00402345" w:rsidRDefault="00402345" w:rsidP="00623EF3">
      <w:pPr>
        <w:pStyle w:val="Heading2"/>
        <w:rPr>
          <w:b/>
          <w:bCs/>
          <w:color w:val="auto"/>
        </w:rPr>
      </w:pPr>
      <w:r>
        <w:br/>
      </w:r>
      <w:bookmarkStart w:id="3" w:name="_Toc224411123"/>
      <w:r w:rsidRPr="00623EF3">
        <w:rPr>
          <w:b/>
          <w:bCs/>
          <w:color w:val="auto"/>
        </w:rPr>
        <w:t>Reference list</w:t>
      </w:r>
      <w:bookmarkEnd w:id="3"/>
    </w:p>
    <w:p w14:paraId="187F8765" w14:textId="77777777" w:rsidR="00BB4876" w:rsidRPr="00BB4876" w:rsidRDefault="00BB4876" w:rsidP="00BB4876">
      <w:pPr>
        <w:rPr>
          <w:sz w:val="22"/>
          <w:szCs w:val="22"/>
        </w:rPr>
      </w:pPr>
      <w:r w:rsidRPr="00BB4876">
        <w:rPr>
          <w:sz w:val="22"/>
          <w:szCs w:val="22"/>
        </w:rPr>
        <w:t xml:space="preserve">Anderson, S. (2005) </w:t>
      </w:r>
      <w:r w:rsidRPr="00BB4876">
        <w:rPr>
          <w:i/>
          <w:iCs/>
          <w:sz w:val="22"/>
          <w:szCs w:val="22"/>
        </w:rPr>
        <w:t>Making Medicines: A Brief History of Pharmacy and Pharmaceuticals</w:t>
      </w:r>
      <w:r w:rsidRPr="00BB4876">
        <w:rPr>
          <w:sz w:val="22"/>
          <w:szCs w:val="22"/>
        </w:rPr>
        <w:t>. London: Pharmaceutical Press.</w:t>
      </w:r>
    </w:p>
    <w:p w14:paraId="6F79F313" w14:textId="77777777" w:rsidR="00BB4876" w:rsidRPr="00BB4876" w:rsidRDefault="00BB4876" w:rsidP="00BB4876">
      <w:pPr>
        <w:rPr>
          <w:sz w:val="22"/>
          <w:szCs w:val="22"/>
        </w:rPr>
      </w:pPr>
      <w:r w:rsidRPr="00BB4876">
        <w:rPr>
          <w:sz w:val="22"/>
          <w:szCs w:val="22"/>
        </w:rPr>
        <w:t xml:space="preserve">Berridge, V. and Edwards, G. (2010) </w:t>
      </w:r>
      <w:r w:rsidRPr="00BB4876">
        <w:rPr>
          <w:i/>
          <w:iCs/>
          <w:sz w:val="22"/>
          <w:szCs w:val="22"/>
        </w:rPr>
        <w:t xml:space="preserve">Opium and the People: Opiate Use in </w:t>
      </w:r>
      <w:proofErr w:type="gramStart"/>
      <w:r w:rsidRPr="00BB4876">
        <w:rPr>
          <w:i/>
          <w:iCs/>
          <w:sz w:val="22"/>
          <w:szCs w:val="22"/>
        </w:rPr>
        <w:t>Nineteenth-Century England</w:t>
      </w:r>
      <w:proofErr w:type="gramEnd"/>
      <w:r w:rsidRPr="00BB4876">
        <w:rPr>
          <w:sz w:val="22"/>
          <w:szCs w:val="22"/>
        </w:rPr>
        <w:t>. London: Free Association Books.</w:t>
      </w:r>
    </w:p>
    <w:p w14:paraId="346F0163" w14:textId="77777777" w:rsidR="00BB4876" w:rsidRPr="00BB4876" w:rsidRDefault="00BB4876" w:rsidP="00BB4876">
      <w:pPr>
        <w:rPr>
          <w:sz w:val="22"/>
          <w:szCs w:val="22"/>
        </w:rPr>
      </w:pPr>
      <w:r w:rsidRPr="00BB4876">
        <w:rPr>
          <w:sz w:val="22"/>
          <w:szCs w:val="22"/>
        </w:rPr>
        <w:t xml:space="preserve">Community Pharmacy England (2025) </w:t>
      </w:r>
      <w:r w:rsidRPr="00BB4876">
        <w:rPr>
          <w:i/>
          <w:iCs/>
          <w:sz w:val="22"/>
          <w:szCs w:val="22"/>
        </w:rPr>
        <w:t>The value of community pharmacy</w:t>
      </w:r>
      <w:r w:rsidRPr="00BB4876">
        <w:rPr>
          <w:sz w:val="22"/>
          <w:szCs w:val="22"/>
        </w:rPr>
        <w:t>. Available at: https://cpe.org.uk/psncs-work/about-community-pharmacy/the-value-of-community-pharmacy/ (Accessed: 20 February 2026).</w:t>
      </w:r>
    </w:p>
    <w:p w14:paraId="2194F295" w14:textId="77777777" w:rsidR="00BB4876" w:rsidRPr="00BB4876" w:rsidRDefault="00BB4876" w:rsidP="00BB4876">
      <w:pPr>
        <w:rPr>
          <w:sz w:val="22"/>
          <w:szCs w:val="22"/>
        </w:rPr>
      </w:pPr>
      <w:r w:rsidRPr="00BB4876">
        <w:rPr>
          <w:sz w:val="22"/>
          <w:szCs w:val="22"/>
        </w:rPr>
        <w:lastRenderedPageBreak/>
        <w:t xml:space="preserve">King’s Fund (2025) </w:t>
      </w:r>
      <w:r w:rsidRPr="00BB4876">
        <w:rPr>
          <w:i/>
          <w:iCs/>
          <w:sz w:val="22"/>
          <w:szCs w:val="22"/>
        </w:rPr>
        <w:t>Community Pharmacy Explained</w:t>
      </w:r>
      <w:r w:rsidRPr="00BB4876">
        <w:rPr>
          <w:sz w:val="22"/>
          <w:szCs w:val="22"/>
        </w:rPr>
        <w:t xml:space="preserve">. Available at: </w:t>
      </w:r>
      <w:hyperlink r:id="rId9" w:tgtFrame="_new" w:history="1">
        <w:r w:rsidRPr="00BB4876">
          <w:rPr>
            <w:rStyle w:val="Hyperlink"/>
            <w:sz w:val="22"/>
            <w:szCs w:val="22"/>
          </w:rPr>
          <w:t>https://www.kingsfund.org.uk/insight-and-analysis/long-reads/community-pharmacy-explained</w:t>
        </w:r>
      </w:hyperlink>
      <w:r w:rsidRPr="00BB4876">
        <w:rPr>
          <w:sz w:val="22"/>
          <w:szCs w:val="22"/>
        </w:rPr>
        <w:t xml:space="preserve"> (Accessed: 20 February 2026).</w:t>
      </w:r>
    </w:p>
    <w:p w14:paraId="6A2AF9C5" w14:textId="77777777" w:rsidR="00BB4876" w:rsidRPr="00BB4876" w:rsidRDefault="00BB4876" w:rsidP="00BB4876">
      <w:pPr>
        <w:rPr>
          <w:sz w:val="22"/>
          <w:szCs w:val="22"/>
        </w:rPr>
      </w:pPr>
      <w:r w:rsidRPr="00BB4876">
        <w:rPr>
          <w:sz w:val="22"/>
          <w:szCs w:val="22"/>
        </w:rPr>
        <w:t xml:space="preserve">NHSBSA (2025) </w:t>
      </w:r>
      <w:r w:rsidRPr="00BB4876">
        <w:rPr>
          <w:i/>
          <w:iCs/>
          <w:sz w:val="22"/>
          <w:szCs w:val="22"/>
        </w:rPr>
        <w:t>General Pharmaceutical Services in England 2015/16–2024/25</w:t>
      </w:r>
      <w:r w:rsidRPr="00BB4876">
        <w:rPr>
          <w:sz w:val="22"/>
          <w:szCs w:val="22"/>
        </w:rPr>
        <w:t xml:space="preserve">. Available at: </w:t>
      </w:r>
      <w:hyperlink r:id="rId10" w:tgtFrame="_new" w:history="1">
        <w:r w:rsidRPr="00BB4876">
          <w:rPr>
            <w:rStyle w:val="Hyperlink"/>
            <w:sz w:val="22"/>
            <w:szCs w:val="22"/>
          </w:rPr>
          <w:t>https://nhsbsa-opendata.s3.eu-west-2.amazonaws.com/gphs/gphs_annual_2024_25_v001.html</w:t>
        </w:r>
      </w:hyperlink>
      <w:r w:rsidRPr="00BB4876">
        <w:rPr>
          <w:sz w:val="22"/>
          <w:szCs w:val="22"/>
        </w:rPr>
        <w:t xml:space="preserve"> (Accessed: 20 February 2026).</w:t>
      </w:r>
    </w:p>
    <w:p w14:paraId="0DBCEAE3" w14:textId="77777777" w:rsidR="00BB4876" w:rsidRPr="00BB4876" w:rsidRDefault="00BB4876" w:rsidP="00BB4876">
      <w:pPr>
        <w:rPr>
          <w:sz w:val="22"/>
          <w:szCs w:val="22"/>
        </w:rPr>
      </w:pPr>
      <w:r w:rsidRPr="00BB4876">
        <w:rPr>
          <w:sz w:val="22"/>
          <w:szCs w:val="22"/>
        </w:rPr>
        <w:t xml:space="preserve">NHS England (2024) </w:t>
      </w:r>
      <w:r w:rsidRPr="00BB4876">
        <w:rPr>
          <w:i/>
          <w:iCs/>
          <w:sz w:val="22"/>
          <w:szCs w:val="22"/>
        </w:rPr>
        <w:t>Update on the Pharmacy First service</w:t>
      </w:r>
      <w:r w:rsidRPr="00BB4876">
        <w:rPr>
          <w:sz w:val="22"/>
          <w:szCs w:val="22"/>
        </w:rPr>
        <w:t xml:space="preserve">. Available at: </w:t>
      </w:r>
      <w:hyperlink r:id="rId11" w:tgtFrame="_new" w:history="1">
        <w:r w:rsidRPr="00BB4876">
          <w:rPr>
            <w:rStyle w:val="Hyperlink"/>
            <w:sz w:val="22"/>
            <w:szCs w:val="22"/>
          </w:rPr>
          <w:t>https://www.england.nhs.uk/long-read/update-on-the-pharmacy-first-service/</w:t>
        </w:r>
      </w:hyperlink>
      <w:r w:rsidRPr="00BB4876">
        <w:rPr>
          <w:sz w:val="22"/>
          <w:szCs w:val="22"/>
        </w:rPr>
        <w:t xml:space="preserve"> (Accessed: 20 February 2026).</w:t>
      </w:r>
    </w:p>
    <w:p w14:paraId="238BC4A8" w14:textId="77777777" w:rsidR="00BB4876" w:rsidRPr="00BB4876" w:rsidRDefault="00BB4876" w:rsidP="00BB4876">
      <w:pPr>
        <w:rPr>
          <w:sz w:val="22"/>
          <w:szCs w:val="22"/>
        </w:rPr>
      </w:pPr>
      <w:r w:rsidRPr="00BB4876">
        <w:rPr>
          <w:sz w:val="22"/>
          <w:szCs w:val="22"/>
        </w:rPr>
        <w:t xml:space="preserve">Office for National Statistics (2024) </w:t>
      </w:r>
      <w:r w:rsidRPr="00BB4876">
        <w:rPr>
          <w:i/>
          <w:iCs/>
          <w:sz w:val="22"/>
          <w:szCs w:val="22"/>
        </w:rPr>
        <w:t>Experiences of NHS healthcare services in England</w:t>
      </w:r>
      <w:r w:rsidRPr="00BB4876">
        <w:rPr>
          <w:sz w:val="22"/>
          <w:szCs w:val="22"/>
        </w:rPr>
        <w:t xml:space="preserve">. Available at: </w:t>
      </w:r>
      <w:hyperlink r:id="rId12" w:tgtFrame="_new" w:history="1">
        <w:r w:rsidRPr="00BB4876">
          <w:rPr>
            <w:rStyle w:val="Hyperlink"/>
            <w:sz w:val="22"/>
            <w:szCs w:val="22"/>
          </w:rPr>
          <w:t>https://www.ons.gov.uk/</w:t>
        </w:r>
      </w:hyperlink>
      <w:r w:rsidRPr="00BB4876">
        <w:rPr>
          <w:sz w:val="22"/>
          <w:szCs w:val="22"/>
        </w:rPr>
        <w:t xml:space="preserve"> (Accessed: 20 February 2026).</w:t>
      </w:r>
    </w:p>
    <w:p w14:paraId="440431BB" w14:textId="77777777" w:rsidR="00BB4876" w:rsidRPr="00BB4876" w:rsidRDefault="00BB4876" w:rsidP="00BB4876">
      <w:pPr>
        <w:rPr>
          <w:sz w:val="22"/>
          <w:szCs w:val="22"/>
        </w:rPr>
      </w:pPr>
      <w:r w:rsidRPr="00BB4876">
        <w:rPr>
          <w:sz w:val="22"/>
          <w:szCs w:val="22"/>
        </w:rPr>
        <w:t xml:space="preserve">Paudyal, V., Watson, M., Sach, T., et al. (2013) ‘Are pharmacy-based minor ailment schemes a substitute for other service providers?’, </w:t>
      </w:r>
      <w:r w:rsidRPr="00BB4876">
        <w:rPr>
          <w:i/>
          <w:iCs/>
          <w:sz w:val="22"/>
          <w:szCs w:val="22"/>
        </w:rPr>
        <w:t>British Journal of General Practice</w:t>
      </w:r>
      <w:r w:rsidRPr="00BB4876">
        <w:rPr>
          <w:sz w:val="22"/>
          <w:szCs w:val="22"/>
        </w:rPr>
        <w:t>, 63(612), pp. e472–e481.</w:t>
      </w:r>
    </w:p>
    <w:p w14:paraId="6FF49E75" w14:textId="77777777" w:rsidR="00BB4876" w:rsidRPr="00BB4876" w:rsidRDefault="00BB4876" w:rsidP="00BB4876">
      <w:pPr>
        <w:rPr>
          <w:sz w:val="22"/>
          <w:szCs w:val="22"/>
        </w:rPr>
      </w:pPr>
      <w:r w:rsidRPr="00BB4876">
        <w:rPr>
          <w:sz w:val="22"/>
          <w:szCs w:val="22"/>
        </w:rPr>
        <w:t xml:space="preserve">Royal Pharmaceutical Society (2022) </w:t>
      </w:r>
      <w:r w:rsidRPr="00BB4876">
        <w:rPr>
          <w:i/>
          <w:iCs/>
          <w:sz w:val="22"/>
          <w:szCs w:val="22"/>
        </w:rPr>
        <w:t>A vision for pharmacy professional practice in England</w:t>
      </w:r>
      <w:r w:rsidRPr="00BB4876">
        <w:rPr>
          <w:sz w:val="22"/>
          <w:szCs w:val="22"/>
        </w:rPr>
        <w:t xml:space="preserve">. Available at: </w:t>
      </w:r>
      <w:hyperlink r:id="rId13" w:tgtFrame="_new" w:history="1">
        <w:r w:rsidRPr="00BB4876">
          <w:rPr>
            <w:rStyle w:val="Hyperlink"/>
            <w:sz w:val="22"/>
            <w:szCs w:val="22"/>
          </w:rPr>
          <w:t>https://www.rpharms.com/about-us/news/details/rps-in-england-publishes-ten-year-vision-for-pharmacy</w:t>
        </w:r>
      </w:hyperlink>
      <w:r w:rsidRPr="00BB4876">
        <w:rPr>
          <w:sz w:val="22"/>
          <w:szCs w:val="22"/>
        </w:rPr>
        <w:t xml:space="preserve"> (Accessed: 14 March 2026).</w:t>
      </w:r>
    </w:p>
    <w:p w14:paraId="166FF24E" w14:textId="77777777" w:rsidR="00BB4876" w:rsidRPr="00BB4876" w:rsidRDefault="00BB4876" w:rsidP="00BB4876">
      <w:pPr>
        <w:rPr>
          <w:sz w:val="22"/>
          <w:szCs w:val="22"/>
        </w:rPr>
      </w:pPr>
      <w:r w:rsidRPr="00BB4876">
        <w:rPr>
          <w:sz w:val="22"/>
          <w:szCs w:val="22"/>
        </w:rPr>
        <w:t xml:space="preserve">World Pharmacy Council (2026) </w:t>
      </w:r>
      <w:r w:rsidRPr="00BB4876">
        <w:rPr>
          <w:i/>
          <w:iCs/>
          <w:sz w:val="22"/>
          <w:szCs w:val="22"/>
        </w:rPr>
        <w:t>World Pharmacy Council</w:t>
      </w:r>
      <w:r w:rsidRPr="00BB4876">
        <w:rPr>
          <w:sz w:val="22"/>
          <w:szCs w:val="22"/>
        </w:rPr>
        <w:t xml:space="preserve">. Available at: </w:t>
      </w:r>
      <w:hyperlink r:id="rId14" w:tgtFrame="_new" w:history="1">
        <w:r w:rsidRPr="00BB4876">
          <w:rPr>
            <w:rStyle w:val="Hyperlink"/>
            <w:sz w:val="22"/>
            <w:szCs w:val="22"/>
          </w:rPr>
          <w:t>https://en.wikipedia.org/wiki/World_Pharmacy_Council</w:t>
        </w:r>
      </w:hyperlink>
      <w:r w:rsidRPr="00BB4876">
        <w:rPr>
          <w:sz w:val="22"/>
          <w:szCs w:val="22"/>
        </w:rPr>
        <w:t xml:space="preserve"> (Accessed: 20 February 2026).</w:t>
      </w:r>
    </w:p>
    <w:p w14:paraId="772402A4" w14:textId="77777777" w:rsidR="00BB4876" w:rsidRPr="00BB4876" w:rsidRDefault="00BB4876" w:rsidP="00BB4876"/>
    <w:p w14:paraId="0950BD4D" w14:textId="25939517" w:rsidR="00402345" w:rsidRPr="00402345" w:rsidRDefault="00402345" w:rsidP="00BA72BE">
      <w:pPr>
        <w:spacing w:line="360" w:lineRule="auto"/>
      </w:pPr>
    </w:p>
    <w:sectPr w:rsidR="00402345" w:rsidRPr="0040234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C673F" w14:textId="77777777" w:rsidR="00B23C1E" w:rsidRDefault="00B23C1E" w:rsidP="00BE2425">
      <w:pPr>
        <w:spacing w:after="0" w:line="240" w:lineRule="auto"/>
      </w:pPr>
      <w:r>
        <w:separator/>
      </w:r>
    </w:p>
  </w:endnote>
  <w:endnote w:type="continuationSeparator" w:id="0">
    <w:p w14:paraId="254C66CF" w14:textId="77777777" w:rsidR="00B23C1E" w:rsidRDefault="00B23C1E" w:rsidP="00BE2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28117"/>
      <w:docPartObj>
        <w:docPartGallery w:val="Page Numbers (Bottom of Page)"/>
        <w:docPartUnique/>
      </w:docPartObj>
    </w:sdtPr>
    <w:sdtContent>
      <w:p w14:paraId="791942A2" w14:textId="77E0B158" w:rsidR="00BE2425" w:rsidRDefault="00BE2425">
        <w:pPr>
          <w:pStyle w:val="Footer"/>
          <w:jc w:val="center"/>
        </w:pPr>
        <w:r>
          <w:fldChar w:fldCharType="begin"/>
        </w:r>
        <w:r>
          <w:instrText>PAGE   \* MERGEFORMAT</w:instrText>
        </w:r>
        <w:r>
          <w:fldChar w:fldCharType="separate"/>
        </w:r>
        <w:r>
          <w:t>2</w:t>
        </w:r>
        <w:r>
          <w:fldChar w:fldCharType="end"/>
        </w:r>
      </w:p>
    </w:sdtContent>
  </w:sdt>
  <w:p w14:paraId="3CFEB81F" w14:textId="77777777" w:rsidR="00BE2425" w:rsidRDefault="00BE2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F8522" w14:textId="77777777" w:rsidR="00B23C1E" w:rsidRDefault="00B23C1E" w:rsidP="00BE2425">
      <w:pPr>
        <w:spacing w:after="0" w:line="240" w:lineRule="auto"/>
      </w:pPr>
      <w:r>
        <w:separator/>
      </w:r>
    </w:p>
  </w:footnote>
  <w:footnote w:type="continuationSeparator" w:id="0">
    <w:p w14:paraId="14DD950F" w14:textId="77777777" w:rsidR="00B23C1E" w:rsidRDefault="00B23C1E" w:rsidP="00BE24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91E"/>
    <w:rsid w:val="00004333"/>
    <w:rsid w:val="00160801"/>
    <w:rsid w:val="00402345"/>
    <w:rsid w:val="00440002"/>
    <w:rsid w:val="004B226C"/>
    <w:rsid w:val="00623EF3"/>
    <w:rsid w:val="006D461C"/>
    <w:rsid w:val="008F291E"/>
    <w:rsid w:val="009B4857"/>
    <w:rsid w:val="00A606D1"/>
    <w:rsid w:val="00AC7446"/>
    <w:rsid w:val="00B23C1E"/>
    <w:rsid w:val="00BA72BE"/>
    <w:rsid w:val="00BB4876"/>
    <w:rsid w:val="00BC1292"/>
    <w:rsid w:val="00BE2425"/>
    <w:rsid w:val="00C87770"/>
    <w:rsid w:val="00CB7F5C"/>
    <w:rsid w:val="00CE3DA1"/>
    <w:rsid w:val="00E36E8E"/>
    <w:rsid w:val="00F72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B8254"/>
  <w15:chartTrackingRefBased/>
  <w15:docId w15:val="{A4C286FF-9C8F-4C95-A07B-15D823751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9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29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9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9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9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9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9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9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9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9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29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9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9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9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9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9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9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91E"/>
    <w:rPr>
      <w:rFonts w:eastAsiaTheme="majorEastAsia" w:cstheme="majorBidi"/>
      <w:color w:val="272727" w:themeColor="text1" w:themeTint="D8"/>
    </w:rPr>
  </w:style>
  <w:style w:type="paragraph" w:styleId="Title">
    <w:name w:val="Title"/>
    <w:basedOn w:val="Normal"/>
    <w:next w:val="Normal"/>
    <w:link w:val="TitleChar"/>
    <w:uiPriority w:val="10"/>
    <w:qFormat/>
    <w:rsid w:val="008F29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9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9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9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91E"/>
    <w:pPr>
      <w:spacing w:before="160"/>
      <w:jc w:val="center"/>
    </w:pPr>
    <w:rPr>
      <w:i/>
      <w:iCs/>
      <w:color w:val="404040" w:themeColor="text1" w:themeTint="BF"/>
    </w:rPr>
  </w:style>
  <w:style w:type="character" w:customStyle="1" w:styleId="QuoteChar">
    <w:name w:val="Quote Char"/>
    <w:basedOn w:val="DefaultParagraphFont"/>
    <w:link w:val="Quote"/>
    <w:uiPriority w:val="29"/>
    <w:rsid w:val="008F291E"/>
    <w:rPr>
      <w:i/>
      <w:iCs/>
      <w:color w:val="404040" w:themeColor="text1" w:themeTint="BF"/>
    </w:rPr>
  </w:style>
  <w:style w:type="paragraph" w:styleId="ListParagraph">
    <w:name w:val="List Paragraph"/>
    <w:basedOn w:val="Normal"/>
    <w:uiPriority w:val="34"/>
    <w:qFormat/>
    <w:rsid w:val="008F291E"/>
    <w:pPr>
      <w:ind w:left="720"/>
      <w:contextualSpacing/>
    </w:pPr>
  </w:style>
  <w:style w:type="character" w:styleId="IntenseEmphasis">
    <w:name w:val="Intense Emphasis"/>
    <w:basedOn w:val="DefaultParagraphFont"/>
    <w:uiPriority w:val="21"/>
    <w:qFormat/>
    <w:rsid w:val="008F291E"/>
    <w:rPr>
      <w:i/>
      <w:iCs/>
      <w:color w:val="0F4761" w:themeColor="accent1" w:themeShade="BF"/>
    </w:rPr>
  </w:style>
  <w:style w:type="paragraph" w:styleId="IntenseQuote">
    <w:name w:val="Intense Quote"/>
    <w:basedOn w:val="Normal"/>
    <w:next w:val="Normal"/>
    <w:link w:val="IntenseQuoteChar"/>
    <w:uiPriority w:val="30"/>
    <w:qFormat/>
    <w:rsid w:val="008F29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91E"/>
    <w:rPr>
      <w:i/>
      <w:iCs/>
      <w:color w:val="0F4761" w:themeColor="accent1" w:themeShade="BF"/>
    </w:rPr>
  </w:style>
  <w:style w:type="character" w:styleId="IntenseReference">
    <w:name w:val="Intense Reference"/>
    <w:basedOn w:val="DefaultParagraphFont"/>
    <w:uiPriority w:val="32"/>
    <w:qFormat/>
    <w:rsid w:val="008F291E"/>
    <w:rPr>
      <w:b/>
      <w:bCs/>
      <w:smallCaps/>
      <w:color w:val="0F4761" w:themeColor="accent1" w:themeShade="BF"/>
      <w:spacing w:val="5"/>
    </w:rPr>
  </w:style>
  <w:style w:type="paragraph" w:styleId="Header">
    <w:name w:val="header"/>
    <w:basedOn w:val="Normal"/>
    <w:link w:val="HeaderChar"/>
    <w:uiPriority w:val="99"/>
    <w:unhideWhenUsed/>
    <w:rsid w:val="00BE2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425"/>
  </w:style>
  <w:style w:type="paragraph" w:styleId="Footer">
    <w:name w:val="footer"/>
    <w:basedOn w:val="Normal"/>
    <w:link w:val="FooterChar"/>
    <w:uiPriority w:val="99"/>
    <w:unhideWhenUsed/>
    <w:rsid w:val="00BE2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425"/>
  </w:style>
  <w:style w:type="character" w:styleId="Hyperlink">
    <w:name w:val="Hyperlink"/>
    <w:basedOn w:val="DefaultParagraphFont"/>
    <w:uiPriority w:val="99"/>
    <w:unhideWhenUsed/>
    <w:rsid w:val="00004333"/>
    <w:rPr>
      <w:color w:val="467886" w:themeColor="hyperlink"/>
      <w:u w:val="single"/>
    </w:rPr>
  </w:style>
  <w:style w:type="character" w:styleId="UnresolvedMention">
    <w:name w:val="Unresolved Mention"/>
    <w:basedOn w:val="DefaultParagraphFont"/>
    <w:uiPriority w:val="99"/>
    <w:semiHidden/>
    <w:unhideWhenUsed/>
    <w:rsid w:val="00004333"/>
    <w:rPr>
      <w:color w:val="605E5C"/>
      <w:shd w:val="clear" w:color="auto" w:fill="E1DFDD"/>
    </w:rPr>
  </w:style>
  <w:style w:type="paragraph" w:styleId="TOCHeading">
    <w:name w:val="TOC Heading"/>
    <w:basedOn w:val="Heading1"/>
    <w:next w:val="Normal"/>
    <w:uiPriority w:val="39"/>
    <w:unhideWhenUsed/>
    <w:qFormat/>
    <w:rsid w:val="00623EF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23EF3"/>
    <w:pPr>
      <w:spacing w:after="100"/>
    </w:pPr>
  </w:style>
  <w:style w:type="paragraph" w:styleId="TOC2">
    <w:name w:val="toc 2"/>
    <w:basedOn w:val="Normal"/>
    <w:next w:val="Normal"/>
    <w:autoRedefine/>
    <w:uiPriority w:val="39"/>
    <w:unhideWhenUsed/>
    <w:rsid w:val="00623E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pharms.com/about-us/news/details/rps-in-england-publishes-ten-year-vision-for-pharmac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long-read/update-on-the-pharmacy-first-service/?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nhsbsa-opendata.s3.eu-west-2.amazonaws.com/gphs/gphs_annual_2024_25_v001.html?utm_source=chatgpt.com" TargetMode="External"/><Relationship Id="rId4" Type="http://schemas.openxmlformats.org/officeDocument/2006/relationships/webSettings" Target="webSettings.xml"/><Relationship Id="rId9" Type="http://schemas.openxmlformats.org/officeDocument/2006/relationships/hyperlink" Target="https://www.kingsfund.org.uk/insight-and-analysis/long-reads/community-pharmacy-explained?utm_source=chatgpt.com" TargetMode="External"/><Relationship Id="rId14" Type="http://schemas.openxmlformats.org/officeDocument/2006/relationships/hyperlink" Target="https://en.wikipedia.org/wiki/World_Pharmacy_Counci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D30A3-0E1E-4467-B18E-6CF36DDD8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8419</TotalTime>
  <Pages>5</Pages>
  <Words>1117</Words>
  <Characters>6368</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nevena semkova</dc:creator>
  <cp:keywords/>
  <dc:description/>
  <cp:lastModifiedBy>nevena semkova</cp:lastModifiedBy>
  <cp:revision>6</cp:revision>
  <dcterms:created xsi:type="dcterms:W3CDTF">2026-03-05T17:34:00Z</dcterms:created>
  <dcterms:modified xsi:type="dcterms:W3CDTF">2026-03-14T20:08:00Z</dcterms:modified>
</cp:coreProperties>
</file>