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51307E" w14:textId="77777777" w:rsidR="00D01118" w:rsidRDefault="00D01118">
      <w:pPr>
        <w:spacing w:after="60"/>
      </w:pPr>
    </w:p>
    <w:p w14:paraId="32BE22C6" w14:textId="77777777" w:rsidR="00D01118" w:rsidRDefault="00D01118">
      <w:pPr>
        <w:spacing w:after="60"/>
      </w:pPr>
    </w:p>
    <w:p w14:paraId="4348C6F8" w14:textId="77777777" w:rsidR="00D01118" w:rsidRDefault="00D01118">
      <w:pPr>
        <w:spacing w:after="60"/>
      </w:pPr>
    </w:p>
    <w:p w14:paraId="5A05E50B" w14:textId="77777777" w:rsidR="00D01118" w:rsidRDefault="00D01118">
      <w:pPr>
        <w:spacing w:after="60"/>
      </w:pPr>
    </w:p>
    <w:p w14:paraId="2F30C5BE" w14:textId="77777777" w:rsidR="00D01118" w:rsidRDefault="00000000">
      <w:pPr>
        <w:spacing w:after="180"/>
        <w:jc w:val="center"/>
      </w:pPr>
      <w:r>
        <w:rPr>
          <w:b/>
          <w:bCs/>
          <w:sz w:val="28"/>
          <w:szCs w:val="28"/>
        </w:rPr>
        <w:t>MSc Public Health and Social Care in Practice</w:t>
      </w:r>
    </w:p>
    <w:p w14:paraId="7D1ECF54" w14:textId="77777777" w:rsidR="00D01118" w:rsidRDefault="00000000">
      <w:pPr>
        <w:spacing w:after="180"/>
        <w:jc w:val="center"/>
      </w:pPr>
      <w:r>
        <w:rPr>
          <w:sz w:val="24"/>
          <w:szCs w:val="24"/>
        </w:rPr>
        <w:t>Social Epidemiology and Public Health Development</w:t>
      </w:r>
    </w:p>
    <w:p w14:paraId="2204CA65" w14:textId="77777777" w:rsidR="00D01118" w:rsidRDefault="00000000">
      <w:pPr>
        <w:spacing w:after="180"/>
        <w:jc w:val="center"/>
      </w:pPr>
      <w:r>
        <w:t>Module Code: LCHS7000</w:t>
      </w:r>
    </w:p>
    <w:p w14:paraId="2CD5485A" w14:textId="77777777" w:rsidR="00D01118" w:rsidRDefault="00D01118">
      <w:pPr>
        <w:spacing w:after="60"/>
      </w:pPr>
    </w:p>
    <w:p w14:paraId="0D457F5D" w14:textId="77777777" w:rsidR="00D01118" w:rsidRDefault="00000000">
      <w:pPr>
        <w:spacing w:after="180"/>
        <w:jc w:val="center"/>
      </w:pPr>
      <w:r>
        <w:rPr>
          <w:b/>
          <w:bCs/>
          <w:sz w:val="30"/>
          <w:szCs w:val="30"/>
        </w:rPr>
        <w:t>Component 2: Analytical Report</w:t>
      </w:r>
    </w:p>
    <w:p w14:paraId="3E33BE05" w14:textId="77777777" w:rsidR="00D01118" w:rsidRDefault="00D01118">
      <w:pPr>
        <w:spacing w:after="60"/>
      </w:pPr>
    </w:p>
    <w:p w14:paraId="620D983C" w14:textId="77777777" w:rsidR="00D01118" w:rsidRDefault="00D01118">
      <w:pPr>
        <w:spacing w:after="60"/>
      </w:pPr>
    </w:p>
    <w:p w14:paraId="3E962E82" w14:textId="77777777" w:rsidR="00D01118" w:rsidRDefault="00000000">
      <w:pPr>
        <w:spacing w:after="180"/>
        <w:jc w:val="center"/>
      </w:pPr>
      <w:r>
        <w:t>Student Name:   MD SHAMIN OSMAN</w:t>
      </w:r>
    </w:p>
    <w:p w14:paraId="2282FC9B" w14:textId="77777777" w:rsidR="00D01118" w:rsidRDefault="00000000">
      <w:pPr>
        <w:spacing w:after="180"/>
        <w:jc w:val="center"/>
      </w:pPr>
      <w:r>
        <w:t>Student ID:   2503961</w:t>
      </w:r>
    </w:p>
    <w:p w14:paraId="162195CF" w14:textId="77777777" w:rsidR="00D01118" w:rsidRDefault="00000000">
      <w:pPr>
        <w:spacing w:after="180"/>
        <w:jc w:val="center"/>
      </w:pPr>
      <w:r>
        <w:t xml:space="preserve">Lecturer:   </w:t>
      </w:r>
      <w:proofErr w:type="spellStart"/>
      <w:r>
        <w:t>Itse</w:t>
      </w:r>
      <w:proofErr w:type="spellEnd"/>
      <w:r>
        <w:t xml:space="preserve"> Olaoye / Brian Mashumba</w:t>
      </w:r>
    </w:p>
    <w:p w14:paraId="217CF553" w14:textId="77777777" w:rsidR="00D01118" w:rsidRDefault="00000000">
      <w:pPr>
        <w:spacing w:after="180"/>
        <w:jc w:val="center"/>
      </w:pPr>
      <w:r>
        <w:t>Submission Date:   1st May 2026</w:t>
      </w:r>
    </w:p>
    <w:p w14:paraId="51DC43CC" w14:textId="77777777" w:rsidR="00D01118" w:rsidRDefault="00000000">
      <w:r>
        <w:br w:type="page"/>
      </w:r>
    </w:p>
    <w:p w14:paraId="0A21D05D" w14:textId="77777777" w:rsidR="00D01118" w:rsidRDefault="00000000">
      <w:pPr>
        <w:pStyle w:val="Heading1"/>
        <w:spacing w:after="160"/>
      </w:pPr>
      <w:r>
        <w:lastRenderedPageBreak/>
        <w:t>Task 1: Social Epidemiological Analysis</w:t>
      </w:r>
    </w:p>
    <w:p w14:paraId="4E433ECD" w14:textId="77777777" w:rsidR="00D01118" w:rsidRDefault="00000000">
      <w:pPr>
        <w:pStyle w:val="Heading2"/>
      </w:pPr>
      <w:r>
        <w:t>Title: Age and Health Inequality: Examining Disparities Among Older Adults in the UK</w:t>
      </w:r>
    </w:p>
    <w:p w14:paraId="04CD0F19" w14:textId="77777777" w:rsidR="00D01118" w:rsidRDefault="00D01118">
      <w:pPr>
        <w:spacing w:after="60"/>
      </w:pPr>
    </w:p>
    <w:p w14:paraId="49C8F6A4" w14:textId="77777777" w:rsidR="00D01118" w:rsidRDefault="00000000">
      <w:pPr>
        <w:pStyle w:val="Heading2"/>
      </w:pPr>
      <w:r>
        <w:t>Introduction</w:t>
      </w:r>
    </w:p>
    <w:p w14:paraId="3DAAD323" w14:textId="77777777" w:rsidR="00D01118" w:rsidRDefault="00000000">
      <w:pPr>
        <w:spacing w:after="150" w:line="414" w:lineRule="auto"/>
        <w:jc w:val="both"/>
      </w:pPr>
      <w:r>
        <w:t>This report examines older adults aged 65 and over as a group at heightened risk of health inequalities in the United Kingdom. The ONS (2023) estimates that 19% of the UK population — approximately 12.7 million people — are aged 65 or above, projected to reach 24% by 2042. The WHO (2023a) defines health inequality as systematic, avoidable differences in health outcomes linked to social conditions rather than biological inevitability. The Marmot Review (2010) demonstrated a clear inverse gradient between soc</w:t>
      </w:r>
      <w:r>
        <w:t>ioeconomic position and health, and its 2020 update confirmed that inequalities had widened since 2010, with the most deprived older adults bearing a disproportionate burden (Marmot et al., 2020).</w:t>
      </w:r>
    </w:p>
    <w:p w14:paraId="5D72AC39" w14:textId="77777777" w:rsidR="00D01118" w:rsidRDefault="00D01118">
      <w:pPr>
        <w:spacing w:after="60"/>
      </w:pPr>
    </w:p>
    <w:p w14:paraId="1345DDA0" w14:textId="77777777" w:rsidR="00D01118" w:rsidRDefault="00000000">
      <w:pPr>
        <w:pStyle w:val="Heading2"/>
      </w:pPr>
      <w:r>
        <w:t>Contextual Background and Underlying Factors</w:t>
      </w:r>
    </w:p>
    <w:p w14:paraId="7A541192" w14:textId="77777777" w:rsidR="00D01118" w:rsidRDefault="00000000">
      <w:pPr>
        <w:spacing w:after="150" w:line="414" w:lineRule="auto"/>
        <w:jc w:val="both"/>
      </w:pPr>
      <w:r>
        <w:t>The following six subsections examine the key health and social inequalities facing older adults in the UK, supported by epidemiological evidence, critical perspectives, and proposed solutions.</w:t>
      </w:r>
    </w:p>
    <w:p w14:paraId="06331510" w14:textId="77777777" w:rsidR="00D01118" w:rsidRDefault="00D01118">
      <w:pPr>
        <w:spacing w:after="60"/>
      </w:pPr>
    </w:p>
    <w:p w14:paraId="70BBC66D" w14:textId="77777777" w:rsidR="00D01118" w:rsidRDefault="00000000">
      <w:pPr>
        <w:pStyle w:val="Heading3"/>
      </w:pPr>
      <w:r>
        <w:t>1.  Higher Rates of Dementia</w:t>
      </w:r>
    </w:p>
    <w:p w14:paraId="6EB8259A" w14:textId="77777777" w:rsidR="00D01118" w:rsidRDefault="00000000">
      <w:pPr>
        <w:spacing w:after="150" w:line="414" w:lineRule="auto"/>
        <w:jc w:val="both"/>
      </w:pPr>
      <w:r>
        <w:t>Alzheimer's Research UK (2023) estimates 944,000 people in the UK are living with dementia — 1 in 6 aged 80 and above — while the WHO (2021) projects global cases will reach 139 million by 2050. Livingston et al. (2020) identified twelve modifiable risk factors accounting for 40% of dementia cases, clustered disproportionately in deprived communities, making dementia inequality both preventable and unjust. NICE (2018) recommends cognitive stimulation therapy as a first-line non-pharmacological treatment, th</w:t>
      </w:r>
      <w:r>
        <w:t>ough access remains inequitable, with older adults in deprived areas facing longer diagnostic delays.</w:t>
      </w:r>
    </w:p>
    <w:p w14:paraId="29877544" w14:textId="77777777" w:rsidR="00D01118" w:rsidRDefault="00D01118">
      <w:pPr>
        <w:spacing w:after="60"/>
      </w:pPr>
    </w:p>
    <w:p w14:paraId="4CAA6FF8" w14:textId="77777777" w:rsidR="00D01118" w:rsidRDefault="00000000">
      <w:pPr>
        <w:pStyle w:val="Heading3"/>
      </w:pPr>
      <w:r>
        <w:t>2.  Cardiovascular Disease</w:t>
      </w:r>
    </w:p>
    <w:p w14:paraId="419654C3" w14:textId="77777777" w:rsidR="00D01118" w:rsidRDefault="00000000">
      <w:pPr>
        <w:spacing w:after="150" w:line="414" w:lineRule="auto"/>
        <w:jc w:val="both"/>
      </w:pPr>
      <w:r>
        <w:t>CVD accounts for approximately 25% of all UK deaths, with heart failure hospitalisation rates more than ten times higher in those aged 75 and over than in those aged 45 to 54 (PHE, 2021; BHF, 2023). Townsend et al. (2022) found that older adults in the most deprived areas are 2.4 times more likely to die from CHD than affluent peers. Anderson et al. (2016) demonstrated that cardiac rehabilitation reduces CVD mortality by up to 26%, yet uptake remains inequitably low, reflecting both access barriers and a fa</w:t>
      </w:r>
      <w:r>
        <w:t>ilure to prioritise prevention in older deprived populations.</w:t>
      </w:r>
    </w:p>
    <w:p w14:paraId="3F3E843F" w14:textId="77777777" w:rsidR="00D01118" w:rsidRDefault="00D01118">
      <w:pPr>
        <w:spacing w:after="60"/>
      </w:pPr>
    </w:p>
    <w:p w14:paraId="5C6442B2" w14:textId="77777777" w:rsidR="00D01118" w:rsidRDefault="00000000">
      <w:pPr>
        <w:pStyle w:val="Heading3"/>
      </w:pPr>
      <w:r>
        <w:t>3.  Depression and Anxiety</w:t>
      </w:r>
    </w:p>
    <w:p w14:paraId="0D5F9064" w14:textId="77777777" w:rsidR="00D01118" w:rsidRDefault="00000000">
      <w:pPr>
        <w:spacing w:after="150" w:line="414" w:lineRule="auto"/>
        <w:jc w:val="both"/>
      </w:pPr>
      <w:r>
        <w:t xml:space="preserve">Age UK (2023) estimates 1.4 million older people in England live with depression; rates exceed 40% in care home settings (Blazer, 2020). The </w:t>
      </w:r>
      <w:proofErr w:type="spellStart"/>
      <w:r>
        <w:t>RCPsych</w:t>
      </w:r>
      <w:proofErr w:type="spellEnd"/>
      <w:r>
        <w:t xml:space="preserve"> (2018) documented systematic age discrimination in psychological therapy referrals. Two contrasting perspectives inform responses: Layard and Clark (2014) advocate IAPT expansion as cost-effective; others emphasise community befriending to address social roots of late-life depression. Both acknowledge that clinical and social interventions are complementary rather than competing. Routine mental health screening within annual GP reviews represents a practical, low-cost first step.</w:t>
      </w:r>
    </w:p>
    <w:p w14:paraId="26330B1F" w14:textId="77777777" w:rsidR="00D01118" w:rsidRDefault="00D01118">
      <w:pPr>
        <w:spacing w:after="60"/>
      </w:pPr>
    </w:p>
    <w:p w14:paraId="0F3E5FFC" w14:textId="77777777" w:rsidR="00D01118" w:rsidRDefault="00000000">
      <w:pPr>
        <w:pStyle w:val="Heading3"/>
      </w:pPr>
      <w:r>
        <w:t>4.  Social Isolation and Loneliness</w:t>
      </w:r>
    </w:p>
    <w:p w14:paraId="66F4F11B" w14:textId="77777777" w:rsidR="00D01118" w:rsidRDefault="00000000">
      <w:pPr>
        <w:spacing w:after="150" w:line="414" w:lineRule="auto"/>
        <w:jc w:val="both"/>
      </w:pPr>
      <w:r>
        <w:t>Over two million people aged 75 and above live alone in England, with 1.4 million experiencing chronic loneliness (Campaign to End Loneliness, 2023). Holt-</w:t>
      </w:r>
      <w:proofErr w:type="spellStart"/>
      <w:r>
        <w:t>Lunstad</w:t>
      </w:r>
      <w:proofErr w:type="spellEnd"/>
      <w:r>
        <w:t xml:space="preserve"> et al. (2015) found loneliness increases premature mortality risk by 26%. Victor and Bowling (2012) showed that both objective isolation and subjective loneliness independently predict cognitive decline and depression, while Cacioppo and Hawkley (2010) argue perceived isolation is the key pathological driver. Social prescribing addresses both dimensions simultaneously.</w:t>
      </w:r>
    </w:p>
    <w:p w14:paraId="5DD2793D" w14:textId="77777777" w:rsidR="00D01118" w:rsidRDefault="00D01118">
      <w:pPr>
        <w:spacing w:after="60"/>
      </w:pPr>
    </w:p>
    <w:p w14:paraId="6E821098" w14:textId="77777777" w:rsidR="00D01118" w:rsidRDefault="00000000">
      <w:pPr>
        <w:pStyle w:val="Heading3"/>
      </w:pPr>
      <w:r>
        <w:t>5.  Poverty and Financial Insecurity</w:t>
      </w:r>
    </w:p>
    <w:p w14:paraId="0EC38597" w14:textId="77777777" w:rsidR="00D01118" w:rsidRDefault="00000000">
      <w:pPr>
        <w:spacing w:after="150" w:line="414" w:lineRule="auto"/>
        <w:jc w:val="both"/>
      </w:pPr>
      <w:r>
        <w:t>The JRF (2023) reports 2.1 million people aged 65 and over live in poverty. The DWP (2023) estimates 880,000 eligible households do not claim Pension Credit — over £2.5 billion unclaimed annually. Marmot et al. (2020) locate pension poverty in structural labour market inequalities accumulated over lifetimes, particularly affecting women and minority ethnic groups. The DHSC (2021) social care White Paper proposed a care cost cap, though critics argue the threshold remains too high to protect the most financi</w:t>
      </w:r>
      <w:r>
        <w:t>ally vulnerable.</w:t>
      </w:r>
    </w:p>
    <w:p w14:paraId="7DE8BAC2" w14:textId="77777777" w:rsidR="00D01118" w:rsidRDefault="00D01118">
      <w:pPr>
        <w:spacing w:after="60"/>
      </w:pPr>
    </w:p>
    <w:p w14:paraId="64519A90" w14:textId="77777777" w:rsidR="00D01118" w:rsidRDefault="00000000">
      <w:pPr>
        <w:pStyle w:val="Heading3"/>
      </w:pPr>
      <w:r>
        <w:t>6.  Housing and Cold Homes</w:t>
      </w:r>
    </w:p>
    <w:p w14:paraId="29A36A58" w14:textId="77777777" w:rsidR="00D01118" w:rsidRDefault="00000000">
      <w:pPr>
        <w:spacing w:after="150" w:line="414" w:lineRule="auto"/>
        <w:jc w:val="both"/>
      </w:pPr>
      <w:r>
        <w:t>The DHLUC (2022) reports that 4.3 million English homes fail the Decent Homes Standard, with older adults disproportionately affected. Liddell and Morris (2010) demonstrated in a systematic review that cold housing independently predicts elevated rates of respiratory disease, CVD, and mental ill health in older adults. The ONS (2023) records several thousand excess winter deaths annually in England, predominantly in people aged 75 and above. Government responses — including the Warm Homes Discount — have be</w:t>
      </w:r>
      <w:r>
        <w:t>en criticised by Age UK (2023) as insufficient in reach, particularly for private renters.</w:t>
      </w:r>
    </w:p>
    <w:p w14:paraId="7D337840" w14:textId="77777777" w:rsidR="00D01118" w:rsidRDefault="00D01118">
      <w:pPr>
        <w:spacing w:after="60"/>
      </w:pPr>
    </w:p>
    <w:p w14:paraId="3A9917A0" w14:textId="77777777" w:rsidR="00D01118" w:rsidRDefault="00000000">
      <w:pPr>
        <w:spacing w:after="150" w:line="414" w:lineRule="auto"/>
        <w:jc w:val="both"/>
      </w:pPr>
      <w:r>
        <w:t>Table 1 provides a structured summary of all six inequality areas, with supporting evidence and proposed solutions.</w:t>
      </w:r>
    </w:p>
    <w:p w14:paraId="1E2C3004" w14:textId="77777777" w:rsidR="00D01118" w:rsidRDefault="00D01118">
      <w:pPr>
        <w:spacing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60"/>
        <w:gridCol w:w="3633"/>
        <w:gridCol w:w="3633"/>
      </w:tblGrid>
      <w:tr w:rsidR="00D01118" w14:paraId="6877CE84" w14:textId="77777777">
        <w:trPr>
          <w:tblHeader/>
        </w:trPr>
        <w:tc>
          <w:tcPr>
            <w:tcW w:w="1760"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203AC998" w14:textId="77777777" w:rsidR="00D01118" w:rsidRDefault="00000000">
            <w:r>
              <w:rPr>
                <w:b/>
                <w:bCs/>
                <w:color w:val="FFFFFF"/>
                <w:sz w:val="20"/>
                <w:szCs w:val="20"/>
              </w:rPr>
              <w:t>Inequality Area</w:t>
            </w:r>
          </w:p>
        </w:tc>
        <w:tc>
          <w:tcPr>
            <w:tcW w:w="3633"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0A549248" w14:textId="77777777" w:rsidR="00D01118" w:rsidRDefault="00000000">
            <w:r>
              <w:rPr>
                <w:b/>
                <w:bCs/>
                <w:color w:val="FFFFFF"/>
                <w:sz w:val="20"/>
                <w:szCs w:val="20"/>
              </w:rPr>
              <w:t>Key Evidence</w:t>
            </w:r>
          </w:p>
        </w:tc>
        <w:tc>
          <w:tcPr>
            <w:tcW w:w="3633"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697C8143" w14:textId="77777777" w:rsidR="00D01118" w:rsidRDefault="00000000">
            <w:r>
              <w:rPr>
                <w:b/>
                <w:bCs/>
                <w:color w:val="FFFFFF"/>
                <w:sz w:val="20"/>
                <w:szCs w:val="20"/>
              </w:rPr>
              <w:t>Proposed Solutions</w:t>
            </w:r>
          </w:p>
        </w:tc>
      </w:tr>
      <w:tr w:rsidR="00D01118" w14:paraId="0646747F" w14:textId="77777777">
        <w:tc>
          <w:tcPr>
            <w:tcW w:w="17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573A7C5D" w14:textId="77777777" w:rsidR="00D01118" w:rsidRDefault="00000000">
            <w:r>
              <w:rPr>
                <w:b/>
                <w:bCs/>
                <w:color w:val="222222"/>
                <w:sz w:val="20"/>
                <w:szCs w:val="20"/>
              </w:rPr>
              <w:t>Dementia</w:t>
            </w:r>
          </w:p>
        </w:tc>
        <w:tc>
          <w:tcPr>
            <w:tcW w:w="3633"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79C1D087" w14:textId="77777777" w:rsidR="00D01118" w:rsidRDefault="00000000">
            <w:pPr>
              <w:spacing w:after="55"/>
            </w:pPr>
            <w:r>
              <w:rPr>
                <w:color w:val="222222"/>
                <w:sz w:val="20"/>
                <w:szCs w:val="20"/>
              </w:rPr>
              <w:t>944,000 UK cases; 1 in 6 aged 80+</w:t>
            </w:r>
          </w:p>
          <w:p w14:paraId="1B69B598" w14:textId="77777777" w:rsidR="00D01118" w:rsidRDefault="00000000">
            <w:r>
              <w:rPr>
                <w:color w:val="222222"/>
                <w:sz w:val="20"/>
                <w:szCs w:val="20"/>
              </w:rPr>
              <w:t>(Alzheimer's Research UK, 2023; WHO, 2021)</w:t>
            </w:r>
          </w:p>
        </w:tc>
        <w:tc>
          <w:tcPr>
            <w:tcW w:w="3633"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416846EF" w14:textId="77777777" w:rsidR="00D01118" w:rsidRDefault="00000000">
            <w:pPr>
              <w:spacing w:after="55"/>
            </w:pPr>
            <w:r>
              <w:rPr>
                <w:color w:val="222222"/>
                <w:sz w:val="20"/>
                <w:szCs w:val="20"/>
              </w:rPr>
              <w:t>Cognitive stimulation therapy; memory</w:t>
            </w:r>
          </w:p>
          <w:p w14:paraId="587619F0" w14:textId="77777777" w:rsidR="00D01118" w:rsidRDefault="00000000">
            <w:pPr>
              <w:spacing w:after="55"/>
            </w:pPr>
            <w:r>
              <w:rPr>
                <w:color w:val="222222"/>
                <w:sz w:val="20"/>
                <w:szCs w:val="20"/>
              </w:rPr>
              <w:t>clinics; dementia-friendly communities</w:t>
            </w:r>
          </w:p>
          <w:p w14:paraId="45CDE13B" w14:textId="77777777" w:rsidR="00D01118" w:rsidRDefault="00000000">
            <w:r>
              <w:rPr>
                <w:color w:val="222222"/>
                <w:sz w:val="20"/>
                <w:szCs w:val="20"/>
              </w:rPr>
              <w:t>(NICE, 2018; Livingston et al., 2020)</w:t>
            </w:r>
          </w:p>
        </w:tc>
      </w:tr>
      <w:tr w:rsidR="00D01118" w14:paraId="48D3E3C4" w14:textId="77777777">
        <w:tc>
          <w:tcPr>
            <w:tcW w:w="1760" w:type="dxa"/>
            <w:tcBorders>
              <w:top w:val="single" w:sz="1" w:space="0" w:color="CCCCCC"/>
              <w:left w:val="single" w:sz="1" w:space="0" w:color="CCCCCC"/>
              <w:bottom w:val="single" w:sz="1" w:space="0" w:color="CCCCCC"/>
              <w:right w:val="single" w:sz="1" w:space="0" w:color="CCCCCC"/>
            </w:tcBorders>
            <w:shd w:val="clear" w:color="auto" w:fill="EEF2FA"/>
            <w:tcMar>
              <w:top w:w="90" w:type="dxa"/>
              <w:left w:w="140" w:type="dxa"/>
              <w:bottom w:w="90" w:type="dxa"/>
              <w:right w:w="140" w:type="dxa"/>
            </w:tcMar>
          </w:tcPr>
          <w:p w14:paraId="57EFDA5E" w14:textId="77777777" w:rsidR="00D01118" w:rsidRDefault="00000000">
            <w:r>
              <w:rPr>
                <w:b/>
                <w:bCs/>
                <w:color w:val="222222"/>
                <w:sz w:val="20"/>
                <w:szCs w:val="20"/>
              </w:rPr>
              <w:t>CVD</w:t>
            </w:r>
          </w:p>
        </w:tc>
        <w:tc>
          <w:tcPr>
            <w:tcW w:w="3633" w:type="dxa"/>
            <w:tcBorders>
              <w:top w:val="single" w:sz="1" w:space="0" w:color="CCCCCC"/>
              <w:left w:val="single" w:sz="1" w:space="0" w:color="CCCCCC"/>
              <w:bottom w:val="single" w:sz="1" w:space="0" w:color="CCCCCC"/>
              <w:right w:val="single" w:sz="1" w:space="0" w:color="CCCCCC"/>
            </w:tcBorders>
            <w:shd w:val="clear" w:color="auto" w:fill="EEF2FA"/>
            <w:tcMar>
              <w:top w:w="90" w:type="dxa"/>
              <w:left w:w="140" w:type="dxa"/>
              <w:bottom w:w="90" w:type="dxa"/>
              <w:right w:w="140" w:type="dxa"/>
            </w:tcMar>
          </w:tcPr>
          <w:p w14:paraId="279924C3" w14:textId="77777777" w:rsidR="00D01118" w:rsidRDefault="00000000">
            <w:pPr>
              <w:spacing w:after="55"/>
            </w:pPr>
            <w:r>
              <w:rPr>
                <w:color w:val="222222"/>
                <w:sz w:val="20"/>
                <w:szCs w:val="20"/>
              </w:rPr>
              <w:t>25% of UK deaths; admissions 10×</w:t>
            </w:r>
          </w:p>
          <w:p w14:paraId="392413CC" w14:textId="77777777" w:rsidR="00D01118" w:rsidRDefault="00000000">
            <w:r>
              <w:rPr>
                <w:color w:val="222222"/>
                <w:sz w:val="20"/>
                <w:szCs w:val="20"/>
              </w:rPr>
              <w:t>higher in 75+ (PHE, 2021; BHF, 2023)</w:t>
            </w:r>
          </w:p>
        </w:tc>
        <w:tc>
          <w:tcPr>
            <w:tcW w:w="3633" w:type="dxa"/>
            <w:tcBorders>
              <w:top w:val="single" w:sz="1" w:space="0" w:color="CCCCCC"/>
              <w:left w:val="single" w:sz="1" w:space="0" w:color="CCCCCC"/>
              <w:bottom w:val="single" w:sz="1" w:space="0" w:color="CCCCCC"/>
              <w:right w:val="single" w:sz="1" w:space="0" w:color="CCCCCC"/>
            </w:tcBorders>
            <w:shd w:val="clear" w:color="auto" w:fill="EEF2FA"/>
            <w:tcMar>
              <w:top w:w="90" w:type="dxa"/>
              <w:left w:w="140" w:type="dxa"/>
              <w:bottom w:w="90" w:type="dxa"/>
              <w:right w:w="140" w:type="dxa"/>
            </w:tcMar>
          </w:tcPr>
          <w:p w14:paraId="38185379" w14:textId="77777777" w:rsidR="00D01118" w:rsidRDefault="00000000">
            <w:pPr>
              <w:spacing w:after="55"/>
            </w:pPr>
            <w:r>
              <w:rPr>
                <w:color w:val="222222"/>
                <w:sz w:val="20"/>
                <w:szCs w:val="20"/>
              </w:rPr>
              <w:t xml:space="preserve">NHS Health Check; cardiac </w:t>
            </w:r>
            <w:proofErr w:type="gramStart"/>
            <w:r>
              <w:rPr>
                <w:color w:val="222222"/>
                <w:sz w:val="20"/>
                <w:szCs w:val="20"/>
              </w:rPr>
              <w:t>rehab;</w:t>
            </w:r>
            <w:proofErr w:type="gramEnd"/>
          </w:p>
          <w:p w14:paraId="1847250C" w14:textId="77777777" w:rsidR="00D01118" w:rsidRDefault="00000000">
            <w:pPr>
              <w:spacing w:after="55"/>
            </w:pPr>
            <w:r>
              <w:rPr>
                <w:color w:val="222222"/>
                <w:sz w:val="20"/>
                <w:szCs w:val="20"/>
              </w:rPr>
              <w:t>equitable prescribing</w:t>
            </w:r>
          </w:p>
          <w:p w14:paraId="7C64F9E6" w14:textId="77777777" w:rsidR="00D01118" w:rsidRDefault="00000000">
            <w:r>
              <w:rPr>
                <w:color w:val="222222"/>
                <w:sz w:val="20"/>
                <w:szCs w:val="20"/>
              </w:rPr>
              <w:t>(Anderson et al., 2016)</w:t>
            </w:r>
          </w:p>
        </w:tc>
      </w:tr>
      <w:tr w:rsidR="00D01118" w14:paraId="781E28B3" w14:textId="77777777">
        <w:tc>
          <w:tcPr>
            <w:tcW w:w="17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03D5AFBF" w14:textId="77777777" w:rsidR="00D01118" w:rsidRDefault="00000000">
            <w:r>
              <w:rPr>
                <w:b/>
                <w:bCs/>
                <w:color w:val="222222"/>
                <w:sz w:val="20"/>
                <w:szCs w:val="20"/>
              </w:rPr>
              <w:t>Depression / anxiety</w:t>
            </w:r>
          </w:p>
        </w:tc>
        <w:tc>
          <w:tcPr>
            <w:tcW w:w="3633"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37C3E830" w14:textId="77777777" w:rsidR="00D01118" w:rsidRDefault="00000000">
            <w:pPr>
              <w:spacing w:after="55"/>
            </w:pPr>
            <w:r>
              <w:rPr>
                <w:color w:val="222222"/>
                <w:sz w:val="20"/>
                <w:szCs w:val="20"/>
              </w:rPr>
              <w:t>1.4 million in England; 40%+ in care</w:t>
            </w:r>
          </w:p>
          <w:p w14:paraId="71AF3CF2" w14:textId="77777777" w:rsidR="00D01118" w:rsidRDefault="00000000">
            <w:r>
              <w:rPr>
                <w:color w:val="222222"/>
                <w:sz w:val="20"/>
                <w:szCs w:val="20"/>
              </w:rPr>
              <w:t>homes (Age UK, 2023; Blazer, 2020)</w:t>
            </w:r>
          </w:p>
        </w:tc>
        <w:tc>
          <w:tcPr>
            <w:tcW w:w="3633"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6AC20300" w14:textId="77777777" w:rsidR="00D01118" w:rsidRDefault="00000000">
            <w:pPr>
              <w:spacing w:after="55"/>
            </w:pPr>
            <w:r>
              <w:rPr>
                <w:color w:val="222222"/>
                <w:sz w:val="20"/>
                <w:szCs w:val="20"/>
              </w:rPr>
              <w:t xml:space="preserve">IAPT expansion; GP </w:t>
            </w:r>
            <w:proofErr w:type="gramStart"/>
            <w:r>
              <w:rPr>
                <w:color w:val="222222"/>
                <w:sz w:val="20"/>
                <w:szCs w:val="20"/>
              </w:rPr>
              <w:t>screening;</w:t>
            </w:r>
            <w:proofErr w:type="gramEnd"/>
          </w:p>
          <w:p w14:paraId="2FFA1734" w14:textId="77777777" w:rsidR="00D01118" w:rsidRDefault="00000000">
            <w:pPr>
              <w:spacing w:after="55"/>
            </w:pPr>
            <w:r>
              <w:rPr>
                <w:color w:val="222222"/>
                <w:sz w:val="20"/>
                <w:szCs w:val="20"/>
              </w:rPr>
              <w:t>befriending (</w:t>
            </w:r>
            <w:proofErr w:type="spellStart"/>
            <w:r>
              <w:rPr>
                <w:color w:val="222222"/>
                <w:sz w:val="20"/>
                <w:szCs w:val="20"/>
              </w:rPr>
              <w:t>RCPsych</w:t>
            </w:r>
            <w:proofErr w:type="spellEnd"/>
            <w:r>
              <w:rPr>
                <w:color w:val="222222"/>
                <w:sz w:val="20"/>
                <w:szCs w:val="20"/>
              </w:rPr>
              <w:t xml:space="preserve">, </w:t>
            </w:r>
            <w:proofErr w:type="gramStart"/>
            <w:r>
              <w:rPr>
                <w:color w:val="222222"/>
                <w:sz w:val="20"/>
                <w:szCs w:val="20"/>
              </w:rPr>
              <w:t>2018;</w:t>
            </w:r>
            <w:proofErr w:type="gramEnd"/>
          </w:p>
          <w:p w14:paraId="2858F790" w14:textId="77777777" w:rsidR="00D01118" w:rsidRDefault="00000000">
            <w:r>
              <w:rPr>
                <w:color w:val="222222"/>
                <w:sz w:val="20"/>
                <w:szCs w:val="20"/>
              </w:rPr>
              <w:t>Layard and Clark, 2014)</w:t>
            </w:r>
          </w:p>
        </w:tc>
      </w:tr>
      <w:tr w:rsidR="00D01118" w14:paraId="133E8912" w14:textId="77777777">
        <w:tc>
          <w:tcPr>
            <w:tcW w:w="1760" w:type="dxa"/>
            <w:tcBorders>
              <w:top w:val="single" w:sz="1" w:space="0" w:color="CCCCCC"/>
              <w:left w:val="single" w:sz="1" w:space="0" w:color="CCCCCC"/>
              <w:bottom w:val="single" w:sz="1" w:space="0" w:color="CCCCCC"/>
              <w:right w:val="single" w:sz="1" w:space="0" w:color="CCCCCC"/>
            </w:tcBorders>
            <w:shd w:val="clear" w:color="auto" w:fill="EEF2FA"/>
            <w:tcMar>
              <w:top w:w="90" w:type="dxa"/>
              <w:left w:w="140" w:type="dxa"/>
              <w:bottom w:w="90" w:type="dxa"/>
              <w:right w:w="140" w:type="dxa"/>
            </w:tcMar>
          </w:tcPr>
          <w:p w14:paraId="380C4F9E" w14:textId="77777777" w:rsidR="00D01118" w:rsidRDefault="00000000">
            <w:r>
              <w:rPr>
                <w:b/>
                <w:bCs/>
                <w:color w:val="222222"/>
                <w:sz w:val="20"/>
                <w:szCs w:val="20"/>
              </w:rPr>
              <w:t>Social isolation</w:t>
            </w:r>
          </w:p>
        </w:tc>
        <w:tc>
          <w:tcPr>
            <w:tcW w:w="3633" w:type="dxa"/>
            <w:tcBorders>
              <w:top w:val="single" w:sz="1" w:space="0" w:color="CCCCCC"/>
              <w:left w:val="single" w:sz="1" w:space="0" w:color="CCCCCC"/>
              <w:bottom w:val="single" w:sz="1" w:space="0" w:color="CCCCCC"/>
              <w:right w:val="single" w:sz="1" w:space="0" w:color="CCCCCC"/>
            </w:tcBorders>
            <w:shd w:val="clear" w:color="auto" w:fill="EEF2FA"/>
            <w:tcMar>
              <w:top w:w="90" w:type="dxa"/>
              <w:left w:w="140" w:type="dxa"/>
              <w:bottom w:w="90" w:type="dxa"/>
              <w:right w:w="140" w:type="dxa"/>
            </w:tcMar>
          </w:tcPr>
          <w:p w14:paraId="4B572C27" w14:textId="77777777" w:rsidR="00D01118" w:rsidRDefault="00000000">
            <w:pPr>
              <w:spacing w:after="55"/>
            </w:pPr>
            <w:r>
              <w:rPr>
                <w:color w:val="222222"/>
                <w:sz w:val="20"/>
                <w:szCs w:val="20"/>
              </w:rPr>
              <w:t>1.4 million chronically lonely; 26%</w:t>
            </w:r>
          </w:p>
          <w:p w14:paraId="6A45A025" w14:textId="77777777" w:rsidR="00D01118" w:rsidRDefault="00000000">
            <w:r>
              <w:rPr>
                <w:color w:val="222222"/>
                <w:sz w:val="20"/>
                <w:szCs w:val="20"/>
              </w:rPr>
              <w:t>higher mortality (Holt-</w:t>
            </w:r>
            <w:proofErr w:type="spellStart"/>
            <w:r>
              <w:rPr>
                <w:color w:val="222222"/>
                <w:sz w:val="20"/>
                <w:szCs w:val="20"/>
              </w:rPr>
              <w:t>Lunstad</w:t>
            </w:r>
            <w:proofErr w:type="spellEnd"/>
            <w:r>
              <w:rPr>
                <w:color w:val="222222"/>
                <w:sz w:val="20"/>
                <w:szCs w:val="20"/>
              </w:rPr>
              <w:t xml:space="preserve"> et al., 2015)</w:t>
            </w:r>
          </w:p>
        </w:tc>
        <w:tc>
          <w:tcPr>
            <w:tcW w:w="3633" w:type="dxa"/>
            <w:tcBorders>
              <w:top w:val="single" w:sz="1" w:space="0" w:color="CCCCCC"/>
              <w:left w:val="single" w:sz="1" w:space="0" w:color="CCCCCC"/>
              <w:bottom w:val="single" w:sz="1" w:space="0" w:color="CCCCCC"/>
              <w:right w:val="single" w:sz="1" w:space="0" w:color="CCCCCC"/>
            </w:tcBorders>
            <w:shd w:val="clear" w:color="auto" w:fill="EEF2FA"/>
            <w:tcMar>
              <w:top w:w="90" w:type="dxa"/>
              <w:left w:w="140" w:type="dxa"/>
              <w:bottom w:w="90" w:type="dxa"/>
              <w:right w:w="140" w:type="dxa"/>
            </w:tcMar>
          </w:tcPr>
          <w:p w14:paraId="0C1D8C54" w14:textId="77777777" w:rsidR="00D01118" w:rsidRDefault="00000000">
            <w:pPr>
              <w:spacing w:after="55"/>
            </w:pPr>
            <w:r>
              <w:rPr>
                <w:color w:val="222222"/>
                <w:sz w:val="20"/>
                <w:szCs w:val="20"/>
              </w:rPr>
              <w:t>Social prescribing; digital inclusion</w:t>
            </w:r>
          </w:p>
          <w:p w14:paraId="649D20AB" w14:textId="77777777" w:rsidR="00D01118" w:rsidRDefault="00000000">
            <w:pPr>
              <w:spacing w:after="55"/>
            </w:pPr>
            <w:r>
              <w:rPr>
                <w:color w:val="222222"/>
                <w:sz w:val="20"/>
                <w:szCs w:val="20"/>
              </w:rPr>
              <w:t xml:space="preserve">(Victor and Bowling, </w:t>
            </w:r>
            <w:proofErr w:type="gramStart"/>
            <w:r>
              <w:rPr>
                <w:color w:val="222222"/>
                <w:sz w:val="20"/>
                <w:szCs w:val="20"/>
              </w:rPr>
              <w:t>2012;</w:t>
            </w:r>
            <w:proofErr w:type="gramEnd"/>
          </w:p>
          <w:p w14:paraId="7AFB3C20" w14:textId="77777777" w:rsidR="00D01118" w:rsidRDefault="00000000">
            <w:r>
              <w:rPr>
                <w:color w:val="222222"/>
                <w:sz w:val="20"/>
                <w:szCs w:val="20"/>
              </w:rPr>
              <w:t>Cacioppo and Hawkley, 2010)</w:t>
            </w:r>
          </w:p>
        </w:tc>
      </w:tr>
      <w:tr w:rsidR="00D01118" w14:paraId="0DBA4A96" w14:textId="77777777">
        <w:tc>
          <w:tcPr>
            <w:tcW w:w="176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611D2B2A" w14:textId="77777777" w:rsidR="00D01118" w:rsidRDefault="00000000">
            <w:r>
              <w:rPr>
                <w:b/>
                <w:bCs/>
                <w:color w:val="222222"/>
                <w:sz w:val="20"/>
                <w:szCs w:val="20"/>
              </w:rPr>
              <w:t>Poverty</w:t>
            </w:r>
          </w:p>
        </w:tc>
        <w:tc>
          <w:tcPr>
            <w:tcW w:w="3633"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370DC9DE" w14:textId="77777777" w:rsidR="00D01118" w:rsidRDefault="00000000">
            <w:pPr>
              <w:spacing w:after="55"/>
            </w:pPr>
            <w:r>
              <w:rPr>
                <w:color w:val="222222"/>
                <w:sz w:val="20"/>
                <w:szCs w:val="20"/>
              </w:rPr>
              <w:t xml:space="preserve">2.1 million aged 65+ in </w:t>
            </w:r>
            <w:proofErr w:type="gramStart"/>
            <w:r>
              <w:rPr>
                <w:color w:val="222222"/>
                <w:sz w:val="20"/>
                <w:szCs w:val="20"/>
              </w:rPr>
              <w:t>poverty;</w:t>
            </w:r>
            <w:proofErr w:type="gramEnd"/>
          </w:p>
          <w:p w14:paraId="27061ACC" w14:textId="77777777" w:rsidR="00D01118" w:rsidRDefault="00000000">
            <w:pPr>
              <w:spacing w:after="55"/>
            </w:pPr>
            <w:r>
              <w:rPr>
                <w:color w:val="222222"/>
                <w:sz w:val="20"/>
                <w:szCs w:val="20"/>
              </w:rPr>
              <w:t>880,000 Pension Credit unclaimed</w:t>
            </w:r>
          </w:p>
          <w:p w14:paraId="303ED316" w14:textId="77777777" w:rsidR="00D01118" w:rsidRDefault="00000000">
            <w:r>
              <w:rPr>
                <w:color w:val="222222"/>
                <w:sz w:val="20"/>
                <w:szCs w:val="20"/>
              </w:rPr>
              <w:t>(JRF, 2023; DWP, 2023)</w:t>
            </w:r>
          </w:p>
        </w:tc>
        <w:tc>
          <w:tcPr>
            <w:tcW w:w="3633"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7534B7B3" w14:textId="77777777" w:rsidR="00D01118" w:rsidRDefault="00000000">
            <w:pPr>
              <w:spacing w:after="55"/>
            </w:pPr>
            <w:r>
              <w:rPr>
                <w:color w:val="222222"/>
                <w:sz w:val="20"/>
                <w:szCs w:val="20"/>
              </w:rPr>
              <w:t>Pension Credit outreach; care cost</w:t>
            </w:r>
          </w:p>
          <w:p w14:paraId="02783D86" w14:textId="77777777" w:rsidR="00D01118" w:rsidRDefault="00000000">
            <w:pPr>
              <w:spacing w:after="55"/>
            </w:pPr>
            <w:r>
              <w:rPr>
                <w:color w:val="222222"/>
                <w:sz w:val="20"/>
                <w:szCs w:val="20"/>
              </w:rPr>
              <w:t xml:space="preserve">reform (DHSC, </w:t>
            </w:r>
            <w:proofErr w:type="gramStart"/>
            <w:r>
              <w:rPr>
                <w:color w:val="222222"/>
                <w:sz w:val="20"/>
                <w:szCs w:val="20"/>
              </w:rPr>
              <w:t>2021;</w:t>
            </w:r>
            <w:proofErr w:type="gramEnd"/>
          </w:p>
          <w:p w14:paraId="59DCFBF2" w14:textId="77777777" w:rsidR="00D01118" w:rsidRDefault="00000000">
            <w:r>
              <w:rPr>
                <w:color w:val="222222"/>
                <w:sz w:val="20"/>
                <w:szCs w:val="20"/>
              </w:rPr>
              <w:t>Marmot et al., 2020)</w:t>
            </w:r>
          </w:p>
        </w:tc>
      </w:tr>
      <w:tr w:rsidR="00D01118" w14:paraId="5A83E0E3" w14:textId="77777777">
        <w:tc>
          <w:tcPr>
            <w:tcW w:w="1760" w:type="dxa"/>
            <w:tcBorders>
              <w:top w:val="single" w:sz="1" w:space="0" w:color="CCCCCC"/>
              <w:left w:val="single" w:sz="1" w:space="0" w:color="CCCCCC"/>
              <w:bottom w:val="single" w:sz="1" w:space="0" w:color="CCCCCC"/>
              <w:right w:val="single" w:sz="1" w:space="0" w:color="CCCCCC"/>
            </w:tcBorders>
            <w:shd w:val="clear" w:color="auto" w:fill="EEF2FA"/>
            <w:tcMar>
              <w:top w:w="90" w:type="dxa"/>
              <w:left w:w="140" w:type="dxa"/>
              <w:bottom w:w="90" w:type="dxa"/>
              <w:right w:w="140" w:type="dxa"/>
            </w:tcMar>
          </w:tcPr>
          <w:p w14:paraId="3ECC148A" w14:textId="77777777" w:rsidR="00D01118" w:rsidRDefault="00000000">
            <w:r>
              <w:rPr>
                <w:b/>
                <w:bCs/>
                <w:color w:val="222222"/>
                <w:sz w:val="20"/>
                <w:szCs w:val="20"/>
              </w:rPr>
              <w:t>Cold homes</w:t>
            </w:r>
          </w:p>
        </w:tc>
        <w:tc>
          <w:tcPr>
            <w:tcW w:w="3633" w:type="dxa"/>
            <w:tcBorders>
              <w:top w:val="single" w:sz="1" w:space="0" w:color="CCCCCC"/>
              <w:left w:val="single" w:sz="1" w:space="0" w:color="CCCCCC"/>
              <w:bottom w:val="single" w:sz="1" w:space="0" w:color="CCCCCC"/>
              <w:right w:val="single" w:sz="1" w:space="0" w:color="CCCCCC"/>
            </w:tcBorders>
            <w:shd w:val="clear" w:color="auto" w:fill="EEF2FA"/>
            <w:tcMar>
              <w:top w:w="90" w:type="dxa"/>
              <w:left w:w="140" w:type="dxa"/>
              <w:bottom w:w="90" w:type="dxa"/>
              <w:right w:w="140" w:type="dxa"/>
            </w:tcMar>
          </w:tcPr>
          <w:p w14:paraId="363CC6E1" w14:textId="77777777" w:rsidR="00D01118" w:rsidRDefault="00000000">
            <w:pPr>
              <w:spacing w:after="55"/>
            </w:pPr>
            <w:r>
              <w:rPr>
                <w:color w:val="222222"/>
                <w:sz w:val="20"/>
                <w:szCs w:val="20"/>
              </w:rPr>
              <w:t>4.3 million homes fail Decent Homes</w:t>
            </w:r>
          </w:p>
          <w:p w14:paraId="54A669EC" w14:textId="77777777" w:rsidR="00D01118" w:rsidRDefault="00000000">
            <w:r>
              <w:rPr>
                <w:color w:val="222222"/>
                <w:sz w:val="20"/>
                <w:szCs w:val="20"/>
              </w:rPr>
              <w:t>Standard (DHLUC, 2022)</w:t>
            </w:r>
          </w:p>
        </w:tc>
        <w:tc>
          <w:tcPr>
            <w:tcW w:w="3633" w:type="dxa"/>
            <w:tcBorders>
              <w:top w:val="single" w:sz="1" w:space="0" w:color="CCCCCC"/>
              <w:left w:val="single" w:sz="1" w:space="0" w:color="CCCCCC"/>
              <w:bottom w:val="single" w:sz="1" w:space="0" w:color="CCCCCC"/>
              <w:right w:val="single" w:sz="1" w:space="0" w:color="CCCCCC"/>
            </w:tcBorders>
            <w:shd w:val="clear" w:color="auto" w:fill="EEF2FA"/>
            <w:tcMar>
              <w:top w:w="90" w:type="dxa"/>
              <w:left w:w="140" w:type="dxa"/>
              <w:bottom w:w="90" w:type="dxa"/>
              <w:right w:w="140" w:type="dxa"/>
            </w:tcMar>
          </w:tcPr>
          <w:p w14:paraId="0F3A67D1" w14:textId="77777777" w:rsidR="00D01118" w:rsidRDefault="00000000">
            <w:pPr>
              <w:spacing w:after="55"/>
            </w:pPr>
            <w:r>
              <w:rPr>
                <w:color w:val="222222"/>
                <w:sz w:val="20"/>
                <w:szCs w:val="20"/>
              </w:rPr>
              <w:t xml:space="preserve">Warm Homes Discount; </w:t>
            </w:r>
            <w:proofErr w:type="gramStart"/>
            <w:r>
              <w:rPr>
                <w:color w:val="222222"/>
                <w:sz w:val="20"/>
                <w:szCs w:val="20"/>
              </w:rPr>
              <w:t>retrofitting;</w:t>
            </w:r>
            <w:proofErr w:type="gramEnd"/>
          </w:p>
          <w:p w14:paraId="4EAD71AD" w14:textId="77777777" w:rsidR="00D01118" w:rsidRDefault="00000000">
            <w:pPr>
              <w:spacing w:after="55"/>
            </w:pPr>
            <w:r>
              <w:rPr>
                <w:color w:val="222222"/>
                <w:sz w:val="20"/>
                <w:szCs w:val="20"/>
              </w:rPr>
              <w:t>fuel poverty schemes</w:t>
            </w:r>
          </w:p>
          <w:p w14:paraId="6EEECEE4" w14:textId="77777777" w:rsidR="00D01118" w:rsidRDefault="00000000">
            <w:r>
              <w:rPr>
                <w:color w:val="222222"/>
                <w:sz w:val="20"/>
                <w:szCs w:val="20"/>
              </w:rPr>
              <w:t>(Liddell and Morris, 2010)</w:t>
            </w:r>
          </w:p>
        </w:tc>
      </w:tr>
    </w:tbl>
    <w:p w14:paraId="10573910" w14:textId="77777777" w:rsidR="00D01118" w:rsidRDefault="00000000">
      <w:pPr>
        <w:spacing w:before="60" w:after="180"/>
        <w:jc w:val="center"/>
      </w:pPr>
      <w:r>
        <w:rPr>
          <w:i/>
          <w:iCs/>
          <w:color w:val="555555"/>
          <w:sz w:val="18"/>
          <w:szCs w:val="18"/>
        </w:rPr>
        <w:t>Table 1: Summary of Key Health and Social Inequalities Facing Older Adults in the UK</w:t>
      </w:r>
    </w:p>
    <w:p w14:paraId="7D34D10F" w14:textId="77777777" w:rsidR="00D01118" w:rsidRDefault="00D01118">
      <w:pPr>
        <w:spacing w:after="60"/>
      </w:pPr>
    </w:p>
    <w:p w14:paraId="6E4519C4" w14:textId="77777777" w:rsidR="00D01118" w:rsidRDefault="00000000">
      <w:pPr>
        <w:pStyle w:val="Heading2"/>
      </w:pPr>
      <w:r>
        <w:t>National Response to Health Inequalities in Older Adults</w:t>
      </w:r>
    </w:p>
    <w:p w14:paraId="6BFA7501" w14:textId="77777777" w:rsidR="00D01118" w:rsidRDefault="00000000">
      <w:pPr>
        <w:spacing w:after="150" w:line="414" w:lineRule="auto"/>
        <w:jc w:val="both"/>
      </w:pPr>
      <w:r>
        <w:t>The NHS Long Term Plan (NHS England, 2019) commits to personalised care for older adults, expanded social prescribing, and integration of health and social care through Integrated Care Systems, with explicit targets to reduce premature CVD and respiratory mortality. NHS England's Ageing Well Programme operationalises this through frailty risk stratification and proactive community-based care — a shift from reactive hospital-centred treatment advocated by Marmot (2010).</w:t>
      </w:r>
    </w:p>
    <w:p w14:paraId="02678A7F" w14:textId="77777777" w:rsidR="00D01118" w:rsidRDefault="00D01118">
      <w:pPr>
        <w:spacing w:after="60"/>
      </w:pPr>
    </w:p>
    <w:p w14:paraId="5938E99A" w14:textId="77777777" w:rsidR="00D01118" w:rsidRDefault="00000000">
      <w:pPr>
        <w:pStyle w:val="Heading2"/>
      </w:pPr>
      <w:r>
        <w:t>Voluntary Sector Response: Age UK</w:t>
      </w:r>
    </w:p>
    <w:p w14:paraId="77668D04" w14:textId="77777777" w:rsidR="00D01118" w:rsidRDefault="00000000">
      <w:pPr>
        <w:spacing w:after="150" w:line="414" w:lineRule="auto"/>
        <w:jc w:val="both"/>
      </w:pPr>
      <w:r>
        <w:t>Age UK is the UK's largest charity for people in later life, supporting over six million people annually through information and advice on entitlements including Pension Credit and Attendance Allowance (Age UK, 2023). Its befriending services address loneliness, and its annual health briefings inform national policy. The Personalised Integrated Care programme, delivered with NHS England, has demonstrated that proactive community support reduces emergency hospital admissions — a practical model for voluntary</w:t>
      </w:r>
      <w:r>
        <w:t xml:space="preserve"> and statutory sector partnership.</w:t>
      </w:r>
    </w:p>
    <w:p w14:paraId="343CBBA7" w14:textId="77777777" w:rsidR="00D01118" w:rsidRDefault="00D01118">
      <w:pPr>
        <w:spacing w:after="60"/>
      </w:pPr>
    </w:p>
    <w:p w14:paraId="18F7D069" w14:textId="77777777" w:rsidR="00D01118" w:rsidRDefault="00000000">
      <w:pPr>
        <w:pStyle w:val="Heading2"/>
      </w:pPr>
      <w:r>
        <w:t>Conclusion</w:t>
      </w:r>
    </w:p>
    <w:p w14:paraId="7602FE58" w14:textId="77777777" w:rsidR="00D01118" w:rsidRDefault="00000000">
      <w:pPr>
        <w:spacing w:after="150" w:line="414" w:lineRule="auto"/>
        <w:jc w:val="both"/>
      </w:pPr>
      <w:r>
        <w:t>Older adults in the UK face substantial and intersecting health inequalities in dementia, CVD, mental health, social isolation, poverty, and housing. These are structurally produced — the accumulated product of lifelong disadvantage — not biologically inevitable. The NHS Long Term Plan, the Ageing Well Programme, and organisations such as Age UK provide complementary responses, but sustained, cross-governmental action on the social determinants of health remains essential.</w:t>
      </w:r>
    </w:p>
    <w:p w14:paraId="6BE46AA1" w14:textId="77777777" w:rsidR="00D01118" w:rsidRDefault="00000000">
      <w:r>
        <w:br w:type="page"/>
      </w:r>
    </w:p>
    <w:p w14:paraId="34DB9BA6" w14:textId="77777777" w:rsidR="00D01118" w:rsidRDefault="00000000">
      <w:pPr>
        <w:pStyle w:val="Heading1"/>
        <w:spacing w:after="160"/>
      </w:pPr>
      <w:r>
        <w:t xml:space="preserve">Task 2: Epidemiological Analysis — </w:t>
      </w:r>
      <w:proofErr w:type="gramStart"/>
      <w:r>
        <w:t>Cardiovascular Disease</w:t>
      </w:r>
      <w:proofErr w:type="gramEnd"/>
      <w:r>
        <w:t xml:space="preserve"> in Tower Hamlets, London</w:t>
      </w:r>
    </w:p>
    <w:p w14:paraId="67EEFE34" w14:textId="77777777" w:rsidR="00D01118" w:rsidRDefault="00D01118">
      <w:pPr>
        <w:spacing w:after="60"/>
      </w:pPr>
    </w:p>
    <w:p w14:paraId="569AF4FE" w14:textId="77777777" w:rsidR="00D01118" w:rsidRDefault="00000000">
      <w:pPr>
        <w:pStyle w:val="Heading2"/>
      </w:pPr>
      <w:r>
        <w:t>Introduction: Definition, Prevalence and Significance</w:t>
      </w:r>
    </w:p>
    <w:p w14:paraId="11B5A7E4" w14:textId="77777777" w:rsidR="00D01118" w:rsidRDefault="00000000">
      <w:pPr>
        <w:spacing w:after="150" w:line="414" w:lineRule="auto"/>
        <w:jc w:val="both"/>
      </w:pPr>
      <w:r>
        <w:t>Cardiovascular disease (CVD) encompasses coronary heart disease (CHD), heart failure, stroke, and peripheral arterial disease. Globally, the WHO (2023b) estimates CVD causes 17.9 million deaths per year — 32% of all global mortality — making it the world's leading cause of death. In the UK, the BHF (2023) reports approximately 160,000 CVD deaths annually and estimates that 7.6 million people are living with a heart or circulatory condition, at a cost to the economy of approximately £19 billion per year.</w:t>
      </w:r>
    </w:p>
    <w:p w14:paraId="00F693B9" w14:textId="77777777" w:rsidR="00D01118" w:rsidRDefault="00000000">
      <w:pPr>
        <w:spacing w:after="150" w:line="414" w:lineRule="auto"/>
        <w:jc w:val="both"/>
      </w:pPr>
      <w:r>
        <w:t xml:space="preserve">Tower Hamlets, an inner-London borough, has been selected as the defined population. With approximately 310,000 residents (ONS, 2021) ranked in the most deprived decile on the Index of Multiple Deprivation (IMD, 2019), approximately 32% of Bangladeshi heritage, and high rates of poverty and overcrowded housing, the borough presents a convergence of CVD risk factors. </w:t>
      </w:r>
      <w:proofErr w:type="spellStart"/>
      <w:r>
        <w:t>Nazroo</w:t>
      </w:r>
      <w:proofErr w:type="spellEnd"/>
      <w:r>
        <w:t xml:space="preserve"> (2003) argues that ethnic health inequalities must be understood through structural disadvantage — including discrimination, poor housing, and labour market exclusion — making Tower Hamlets an instructive focus for epidemiological analysis.</w:t>
      </w:r>
    </w:p>
    <w:p w14:paraId="0E8DD509" w14:textId="77777777" w:rsidR="00D01118" w:rsidRDefault="00D01118">
      <w:pPr>
        <w:spacing w:after="60"/>
      </w:pPr>
    </w:p>
    <w:p w14:paraId="72326FEB" w14:textId="77777777" w:rsidR="00D01118" w:rsidRDefault="00000000">
      <w:pPr>
        <w:pStyle w:val="Heading2"/>
      </w:pPr>
      <w:r>
        <w:t>Key Determinants and Risk Factors</w:t>
      </w:r>
    </w:p>
    <w:p w14:paraId="13FC71D0" w14:textId="77777777" w:rsidR="00D01118" w:rsidRDefault="00000000">
      <w:pPr>
        <w:spacing w:after="150" w:line="414" w:lineRule="auto"/>
        <w:jc w:val="both"/>
      </w:pPr>
      <w:r>
        <w:t>CVD risk in Tower Hamlets operates across biological, behavioural, and socioeconomic levels (Table 2). Biologically, type 2 diabetes prevalence is 8.6% — above the 6.6% national average (OHID, 2023) — a major independent CVD risk factor, partly attributable to elevated insulin resistance in the Bangladeshi population (Goff et al., 2019). Bhopal et al. (2002) demonstrated significantly higher CHD and stroke rates in UK South Asian adults compared to White European peers, even after adjusting for conventional</w:t>
      </w:r>
      <w:r>
        <w:t xml:space="preserve"> risk factors. Behaviourally, smoking has historically exceeded London averages, physical inactivity is compounded by limited green space, and migration-related lifestyle disruption amplifies risk in South Asian communities (JSNA, 2022; Bhopal, 2019). Socioeconomically, the Whitehall II Study (Marmot et al., 1991) established the inverse social gradient in CHD mortality — reflected in Tower Hamlets' directly standardised CVD mortality rate of 89 per 100,000, against the London average of 74 per 100,000 (OHI</w:t>
      </w:r>
      <w:r>
        <w:t>D, 2023).</w:t>
      </w:r>
    </w:p>
    <w:p w14:paraId="56A6F5C7" w14:textId="77777777" w:rsidR="00D01118" w:rsidRDefault="00D01118">
      <w:pPr>
        <w:spacing w:after="60"/>
      </w:pPr>
    </w:p>
    <w:p w14:paraId="5E2FBC7E" w14:textId="77777777" w:rsidR="00D01118" w:rsidRDefault="00000000">
      <w:pPr>
        <w:spacing w:after="150" w:line="414" w:lineRule="auto"/>
        <w:jc w:val="both"/>
      </w:pPr>
      <w:r>
        <w:t>Table 2 summarises CVD risk factors across three categories.</w:t>
      </w:r>
    </w:p>
    <w:p w14:paraId="685F0882" w14:textId="77777777" w:rsidR="00D01118" w:rsidRDefault="00D01118">
      <w:pPr>
        <w:spacing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3613"/>
        <w:gridCol w:w="3613"/>
      </w:tblGrid>
      <w:tr w:rsidR="00D01118" w14:paraId="5BA3C94D" w14:textId="77777777">
        <w:trPr>
          <w:tblHeader/>
        </w:trPr>
        <w:tc>
          <w:tcPr>
            <w:tcW w:w="1800"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20D66228" w14:textId="77777777" w:rsidR="00D01118" w:rsidRDefault="00000000">
            <w:r>
              <w:rPr>
                <w:b/>
                <w:bCs/>
                <w:color w:val="FFFFFF"/>
                <w:sz w:val="20"/>
                <w:szCs w:val="20"/>
              </w:rPr>
              <w:t>Category</w:t>
            </w:r>
          </w:p>
        </w:tc>
        <w:tc>
          <w:tcPr>
            <w:tcW w:w="3613"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5B8066D4" w14:textId="77777777" w:rsidR="00D01118" w:rsidRDefault="00000000">
            <w:r>
              <w:rPr>
                <w:b/>
                <w:bCs/>
                <w:color w:val="FFFFFF"/>
                <w:sz w:val="20"/>
                <w:szCs w:val="20"/>
              </w:rPr>
              <w:t>Risk Factors in Tower Hamlets</w:t>
            </w:r>
          </w:p>
        </w:tc>
        <w:tc>
          <w:tcPr>
            <w:tcW w:w="3613" w:type="dxa"/>
            <w:tcBorders>
              <w:top w:val="single" w:sz="1" w:space="0" w:color="CCCCCC"/>
              <w:left w:val="single" w:sz="1" w:space="0" w:color="CCCCCC"/>
              <w:bottom w:val="single" w:sz="1" w:space="0" w:color="CCCCCC"/>
              <w:right w:val="single" w:sz="1" w:space="0" w:color="CCCCCC"/>
            </w:tcBorders>
            <w:shd w:val="clear" w:color="auto" w:fill="1F3864"/>
            <w:tcMar>
              <w:top w:w="100" w:type="dxa"/>
              <w:left w:w="140" w:type="dxa"/>
              <w:bottom w:w="100" w:type="dxa"/>
              <w:right w:w="140" w:type="dxa"/>
            </w:tcMar>
            <w:vAlign w:val="center"/>
          </w:tcPr>
          <w:p w14:paraId="67F5CC19" w14:textId="77777777" w:rsidR="00D01118" w:rsidRDefault="00000000">
            <w:r>
              <w:rPr>
                <w:b/>
                <w:bCs/>
                <w:color w:val="FFFFFF"/>
                <w:sz w:val="20"/>
                <w:szCs w:val="20"/>
              </w:rPr>
              <w:t>Underlying Drivers</w:t>
            </w:r>
          </w:p>
        </w:tc>
      </w:tr>
      <w:tr w:rsidR="00D01118" w14:paraId="0D66D5DC" w14:textId="77777777">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356E703B" w14:textId="77777777" w:rsidR="00D01118" w:rsidRDefault="00000000">
            <w:r>
              <w:rPr>
                <w:b/>
                <w:bCs/>
                <w:color w:val="222222"/>
                <w:sz w:val="20"/>
                <w:szCs w:val="20"/>
              </w:rPr>
              <w:t>Biological</w:t>
            </w:r>
          </w:p>
        </w:tc>
        <w:tc>
          <w:tcPr>
            <w:tcW w:w="3613"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68D4586E" w14:textId="77777777" w:rsidR="00D01118" w:rsidRDefault="00000000">
            <w:pPr>
              <w:spacing w:after="55"/>
            </w:pPr>
            <w:r>
              <w:rPr>
                <w:color w:val="222222"/>
                <w:sz w:val="20"/>
                <w:szCs w:val="20"/>
              </w:rPr>
              <w:t>Type 2 diabetes: 8.6% vs 6.6%</w:t>
            </w:r>
          </w:p>
          <w:p w14:paraId="35515B5D" w14:textId="77777777" w:rsidR="00D01118" w:rsidRDefault="00000000">
            <w:pPr>
              <w:spacing w:after="55"/>
            </w:pPr>
            <w:r>
              <w:rPr>
                <w:color w:val="222222"/>
                <w:sz w:val="20"/>
                <w:szCs w:val="20"/>
              </w:rPr>
              <w:t>nationally (OHID, 2023</w:t>
            </w:r>
            <w:proofErr w:type="gramStart"/>
            <w:r>
              <w:rPr>
                <w:color w:val="222222"/>
                <w:sz w:val="20"/>
                <w:szCs w:val="20"/>
              </w:rPr>
              <w:t>);</w:t>
            </w:r>
            <w:proofErr w:type="gramEnd"/>
          </w:p>
          <w:p w14:paraId="0D2ACBBD" w14:textId="77777777" w:rsidR="00D01118" w:rsidRDefault="00000000">
            <w:r>
              <w:rPr>
                <w:color w:val="222222"/>
                <w:sz w:val="20"/>
                <w:szCs w:val="20"/>
              </w:rPr>
              <w:t>hypertension; hypercholesterolaemia</w:t>
            </w:r>
          </w:p>
        </w:tc>
        <w:tc>
          <w:tcPr>
            <w:tcW w:w="3613"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3DD6DA0B" w14:textId="77777777" w:rsidR="00D01118" w:rsidRDefault="00000000">
            <w:pPr>
              <w:spacing w:after="55"/>
            </w:pPr>
            <w:r>
              <w:rPr>
                <w:color w:val="222222"/>
                <w:sz w:val="20"/>
                <w:szCs w:val="20"/>
              </w:rPr>
              <w:t>Elevated insulin resistance in</w:t>
            </w:r>
          </w:p>
          <w:p w14:paraId="76779D4D" w14:textId="77777777" w:rsidR="00D01118" w:rsidRDefault="00000000">
            <w:pPr>
              <w:spacing w:after="55"/>
            </w:pPr>
            <w:r>
              <w:rPr>
                <w:color w:val="222222"/>
                <w:sz w:val="20"/>
                <w:szCs w:val="20"/>
              </w:rPr>
              <w:t xml:space="preserve">Bangladeshi adults (Goff et al., </w:t>
            </w:r>
            <w:proofErr w:type="gramStart"/>
            <w:r>
              <w:rPr>
                <w:color w:val="222222"/>
                <w:sz w:val="20"/>
                <w:szCs w:val="20"/>
              </w:rPr>
              <w:t>2019;</w:t>
            </w:r>
            <w:proofErr w:type="gramEnd"/>
          </w:p>
          <w:p w14:paraId="65DA93D9" w14:textId="77777777" w:rsidR="00D01118" w:rsidRDefault="00000000">
            <w:r>
              <w:rPr>
                <w:color w:val="222222"/>
                <w:sz w:val="20"/>
                <w:szCs w:val="20"/>
              </w:rPr>
              <w:t>Bhopal et al., 2002)</w:t>
            </w:r>
          </w:p>
        </w:tc>
      </w:tr>
      <w:tr w:rsidR="00D01118" w14:paraId="2DA419EE" w14:textId="77777777">
        <w:tc>
          <w:tcPr>
            <w:tcW w:w="1800" w:type="dxa"/>
            <w:tcBorders>
              <w:top w:val="single" w:sz="1" w:space="0" w:color="CCCCCC"/>
              <w:left w:val="single" w:sz="1" w:space="0" w:color="CCCCCC"/>
              <w:bottom w:val="single" w:sz="1" w:space="0" w:color="CCCCCC"/>
              <w:right w:val="single" w:sz="1" w:space="0" w:color="CCCCCC"/>
            </w:tcBorders>
            <w:shd w:val="clear" w:color="auto" w:fill="EEF2FA"/>
            <w:tcMar>
              <w:top w:w="90" w:type="dxa"/>
              <w:left w:w="140" w:type="dxa"/>
              <w:bottom w:w="90" w:type="dxa"/>
              <w:right w:w="140" w:type="dxa"/>
            </w:tcMar>
          </w:tcPr>
          <w:p w14:paraId="3D270D39" w14:textId="77777777" w:rsidR="00D01118" w:rsidRDefault="00000000">
            <w:r>
              <w:rPr>
                <w:b/>
                <w:bCs/>
                <w:color w:val="222222"/>
                <w:sz w:val="20"/>
                <w:szCs w:val="20"/>
              </w:rPr>
              <w:t>Behavioural</w:t>
            </w:r>
          </w:p>
        </w:tc>
        <w:tc>
          <w:tcPr>
            <w:tcW w:w="3613" w:type="dxa"/>
            <w:tcBorders>
              <w:top w:val="single" w:sz="1" w:space="0" w:color="CCCCCC"/>
              <w:left w:val="single" w:sz="1" w:space="0" w:color="CCCCCC"/>
              <w:bottom w:val="single" w:sz="1" w:space="0" w:color="CCCCCC"/>
              <w:right w:val="single" w:sz="1" w:space="0" w:color="CCCCCC"/>
            </w:tcBorders>
            <w:shd w:val="clear" w:color="auto" w:fill="EEF2FA"/>
            <w:tcMar>
              <w:top w:w="90" w:type="dxa"/>
              <w:left w:w="140" w:type="dxa"/>
              <w:bottom w:w="90" w:type="dxa"/>
              <w:right w:w="140" w:type="dxa"/>
            </w:tcMar>
          </w:tcPr>
          <w:p w14:paraId="1E33154E" w14:textId="77777777" w:rsidR="00D01118" w:rsidRDefault="00000000">
            <w:pPr>
              <w:spacing w:after="55"/>
            </w:pPr>
            <w:r>
              <w:rPr>
                <w:color w:val="222222"/>
                <w:sz w:val="20"/>
                <w:szCs w:val="20"/>
              </w:rPr>
              <w:t xml:space="preserve">Smoking above London </w:t>
            </w:r>
            <w:proofErr w:type="gramStart"/>
            <w:r>
              <w:rPr>
                <w:color w:val="222222"/>
                <w:sz w:val="20"/>
                <w:szCs w:val="20"/>
              </w:rPr>
              <w:t>average;</w:t>
            </w:r>
            <w:proofErr w:type="gramEnd"/>
          </w:p>
          <w:p w14:paraId="28C523C2" w14:textId="77777777" w:rsidR="00D01118" w:rsidRDefault="00000000">
            <w:pPr>
              <w:spacing w:after="55"/>
            </w:pPr>
            <w:r>
              <w:rPr>
                <w:color w:val="222222"/>
                <w:sz w:val="20"/>
                <w:szCs w:val="20"/>
              </w:rPr>
              <w:t xml:space="preserve">physical inactivity; </w:t>
            </w:r>
            <w:proofErr w:type="gramStart"/>
            <w:r>
              <w:rPr>
                <w:color w:val="222222"/>
                <w:sz w:val="20"/>
                <w:szCs w:val="20"/>
              </w:rPr>
              <w:t>high-salt</w:t>
            </w:r>
            <w:proofErr w:type="gramEnd"/>
          </w:p>
          <w:p w14:paraId="2DF99BD3" w14:textId="77777777" w:rsidR="00D01118" w:rsidRDefault="00000000">
            <w:r>
              <w:rPr>
                <w:color w:val="222222"/>
                <w:sz w:val="20"/>
                <w:szCs w:val="20"/>
              </w:rPr>
              <w:t>diet (JSNA, 2022)</w:t>
            </w:r>
          </w:p>
        </w:tc>
        <w:tc>
          <w:tcPr>
            <w:tcW w:w="3613" w:type="dxa"/>
            <w:tcBorders>
              <w:top w:val="single" w:sz="1" w:space="0" w:color="CCCCCC"/>
              <w:left w:val="single" w:sz="1" w:space="0" w:color="CCCCCC"/>
              <w:bottom w:val="single" w:sz="1" w:space="0" w:color="CCCCCC"/>
              <w:right w:val="single" w:sz="1" w:space="0" w:color="CCCCCC"/>
            </w:tcBorders>
            <w:shd w:val="clear" w:color="auto" w:fill="EEF2FA"/>
            <w:tcMar>
              <w:top w:w="90" w:type="dxa"/>
              <w:left w:w="140" w:type="dxa"/>
              <w:bottom w:w="90" w:type="dxa"/>
              <w:right w:w="140" w:type="dxa"/>
            </w:tcMar>
          </w:tcPr>
          <w:p w14:paraId="5BDBB907" w14:textId="77777777" w:rsidR="00D01118" w:rsidRDefault="00000000">
            <w:pPr>
              <w:spacing w:after="55"/>
            </w:pPr>
            <w:r>
              <w:rPr>
                <w:color w:val="222222"/>
                <w:sz w:val="20"/>
                <w:szCs w:val="20"/>
              </w:rPr>
              <w:t>Limited green space; cultural dietary</w:t>
            </w:r>
          </w:p>
          <w:p w14:paraId="17563768" w14:textId="77777777" w:rsidR="00D01118" w:rsidRDefault="00000000">
            <w:pPr>
              <w:spacing w:after="55"/>
            </w:pPr>
            <w:r>
              <w:rPr>
                <w:color w:val="222222"/>
                <w:sz w:val="20"/>
                <w:szCs w:val="20"/>
              </w:rPr>
              <w:t>patterns; low preventive care</w:t>
            </w:r>
          </w:p>
          <w:p w14:paraId="61985FE7" w14:textId="77777777" w:rsidR="00D01118" w:rsidRDefault="00000000">
            <w:r>
              <w:rPr>
                <w:color w:val="222222"/>
                <w:sz w:val="20"/>
                <w:szCs w:val="20"/>
              </w:rPr>
              <w:t>utilisation (Bhopal, 2019)</w:t>
            </w:r>
          </w:p>
        </w:tc>
      </w:tr>
      <w:tr w:rsidR="00D01118" w14:paraId="4372E488" w14:textId="77777777">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0B83805A" w14:textId="77777777" w:rsidR="00D01118" w:rsidRDefault="00000000">
            <w:r>
              <w:rPr>
                <w:b/>
                <w:bCs/>
                <w:color w:val="222222"/>
                <w:sz w:val="20"/>
                <w:szCs w:val="20"/>
              </w:rPr>
              <w:t>Socioeconomic</w:t>
            </w:r>
          </w:p>
        </w:tc>
        <w:tc>
          <w:tcPr>
            <w:tcW w:w="3613"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4EDFBBB6" w14:textId="77777777" w:rsidR="00D01118" w:rsidRDefault="00000000">
            <w:pPr>
              <w:spacing w:after="55"/>
            </w:pPr>
            <w:r>
              <w:rPr>
                <w:color w:val="222222"/>
                <w:sz w:val="20"/>
                <w:szCs w:val="20"/>
              </w:rPr>
              <w:t>Most deprived decile (IMD, 2019</w:t>
            </w:r>
            <w:proofErr w:type="gramStart"/>
            <w:r>
              <w:rPr>
                <w:color w:val="222222"/>
                <w:sz w:val="20"/>
                <w:szCs w:val="20"/>
              </w:rPr>
              <w:t>);</w:t>
            </w:r>
            <w:proofErr w:type="gramEnd"/>
          </w:p>
          <w:p w14:paraId="783105BD" w14:textId="77777777" w:rsidR="00D01118" w:rsidRDefault="00000000">
            <w:pPr>
              <w:spacing w:after="55"/>
            </w:pPr>
            <w:r>
              <w:rPr>
                <w:color w:val="222222"/>
                <w:sz w:val="20"/>
                <w:szCs w:val="20"/>
              </w:rPr>
              <w:t>poverty; overcrowded housing</w:t>
            </w:r>
          </w:p>
          <w:p w14:paraId="0BB60E96" w14:textId="77777777" w:rsidR="00D01118" w:rsidRDefault="00000000">
            <w:r>
              <w:rPr>
                <w:color w:val="222222"/>
                <w:sz w:val="20"/>
                <w:szCs w:val="20"/>
              </w:rPr>
              <w:t>(ONS, 2021)</w:t>
            </w:r>
          </w:p>
        </w:tc>
        <w:tc>
          <w:tcPr>
            <w:tcW w:w="3613" w:type="dxa"/>
            <w:tcBorders>
              <w:top w:val="single" w:sz="1" w:space="0" w:color="CCCCCC"/>
              <w:left w:val="single" w:sz="1" w:space="0" w:color="CCCCCC"/>
              <w:bottom w:val="single" w:sz="1" w:space="0" w:color="CCCCCC"/>
              <w:right w:val="single" w:sz="1" w:space="0" w:color="CCCCCC"/>
            </w:tcBorders>
            <w:shd w:val="clear" w:color="auto" w:fill="FFFFFF"/>
            <w:tcMar>
              <w:top w:w="90" w:type="dxa"/>
              <w:left w:w="140" w:type="dxa"/>
              <w:bottom w:w="90" w:type="dxa"/>
              <w:right w:w="140" w:type="dxa"/>
            </w:tcMar>
          </w:tcPr>
          <w:p w14:paraId="625A4BC2" w14:textId="77777777" w:rsidR="00D01118" w:rsidRDefault="00000000">
            <w:pPr>
              <w:spacing w:after="55"/>
            </w:pPr>
            <w:r>
              <w:rPr>
                <w:color w:val="222222"/>
                <w:sz w:val="20"/>
                <w:szCs w:val="20"/>
              </w:rPr>
              <w:t>Inverse social gradient in CHD</w:t>
            </w:r>
          </w:p>
          <w:p w14:paraId="3D194551" w14:textId="77777777" w:rsidR="00D01118" w:rsidRDefault="00000000">
            <w:pPr>
              <w:spacing w:after="55"/>
            </w:pPr>
            <w:r>
              <w:rPr>
                <w:color w:val="222222"/>
                <w:sz w:val="20"/>
                <w:szCs w:val="20"/>
              </w:rPr>
              <w:t>mortality (Marmot et al., 1991</w:t>
            </w:r>
            <w:proofErr w:type="gramStart"/>
            <w:r>
              <w:rPr>
                <w:color w:val="222222"/>
                <w:sz w:val="20"/>
                <w:szCs w:val="20"/>
              </w:rPr>
              <w:t>);</w:t>
            </w:r>
            <w:proofErr w:type="gramEnd"/>
          </w:p>
          <w:p w14:paraId="0D85073A" w14:textId="77777777" w:rsidR="00D01118" w:rsidRDefault="00000000">
            <w:r>
              <w:rPr>
                <w:color w:val="222222"/>
                <w:sz w:val="20"/>
                <w:szCs w:val="20"/>
              </w:rPr>
              <w:t>language barriers (</w:t>
            </w:r>
            <w:proofErr w:type="spellStart"/>
            <w:r>
              <w:rPr>
                <w:color w:val="222222"/>
                <w:sz w:val="20"/>
                <w:szCs w:val="20"/>
              </w:rPr>
              <w:t>Nazroo</w:t>
            </w:r>
            <w:proofErr w:type="spellEnd"/>
            <w:r>
              <w:rPr>
                <w:color w:val="222222"/>
                <w:sz w:val="20"/>
                <w:szCs w:val="20"/>
              </w:rPr>
              <w:t>, 2003)</w:t>
            </w:r>
          </w:p>
        </w:tc>
      </w:tr>
    </w:tbl>
    <w:p w14:paraId="29B6128B" w14:textId="77777777" w:rsidR="00D01118" w:rsidRDefault="00000000">
      <w:pPr>
        <w:spacing w:before="60" w:after="180"/>
        <w:jc w:val="center"/>
      </w:pPr>
      <w:r>
        <w:rPr>
          <w:i/>
          <w:iCs/>
          <w:color w:val="555555"/>
          <w:sz w:val="18"/>
          <w:szCs w:val="18"/>
        </w:rPr>
        <w:t xml:space="preserve">Table 2: CVD Risk Factors in Tower Hamlets by Category. Sources: OHID (2023); Goff et al. (2019); Marmot et al. (1991); Bhopal (2019); </w:t>
      </w:r>
      <w:proofErr w:type="spellStart"/>
      <w:r>
        <w:rPr>
          <w:i/>
          <w:iCs/>
          <w:color w:val="555555"/>
          <w:sz w:val="18"/>
          <w:szCs w:val="18"/>
        </w:rPr>
        <w:t>Nazroo</w:t>
      </w:r>
      <w:proofErr w:type="spellEnd"/>
      <w:r>
        <w:rPr>
          <w:i/>
          <w:iCs/>
          <w:color w:val="555555"/>
          <w:sz w:val="18"/>
          <w:szCs w:val="18"/>
        </w:rPr>
        <w:t xml:space="preserve"> (2003)</w:t>
      </w:r>
    </w:p>
    <w:p w14:paraId="48F22FDE" w14:textId="77777777" w:rsidR="00D01118" w:rsidRDefault="00D01118">
      <w:pPr>
        <w:spacing w:after="60"/>
      </w:pPr>
    </w:p>
    <w:p w14:paraId="0E233B88" w14:textId="77777777" w:rsidR="00D01118" w:rsidRDefault="00000000">
      <w:pPr>
        <w:pStyle w:val="Heading2"/>
      </w:pPr>
      <w:r>
        <w:t>Public Health Measures: Prevention, Protection and Health Promotion</w:t>
      </w:r>
    </w:p>
    <w:p w14:paraId="78AF88C0" w14:textId="77777777" w:rsidR="00D01118" w:rsidRDefault="00000000">
      <w:pPr>
        <w:spacing w:after="150" w:line="414" w:lineRule="auto"/>
        <w:jc w:val="both"/>
      </w:pPr>
      <w:r>
        <w:t>Drawing on the three Ps framework, Tower Hamlets has implemented targeted CVD interventions. For prevention, an enhanced NHS Health Check programme — with proactive outreach to the Bangladeshi community — identifies adults at elevated cardiovascular risk and refers them to physical activity programmes and Stop Smoking London services. For protection, primary care networks have focused on improving prescribing of pharmacotherapies including statins, antihypertensives, and antiplatelet agents. Yusuf et al. (2</w:t>
      </w:r>
      <w:r>
        <w:t>004), in the INTERHEART study across 52 countries, demonstrated that nine modifiable risk factors account for over 90% of myocardial infarction risk — underlining the potential for pharmacological protection. For health promotion, the Social Prescribing Link Worker programme connects patients with non-clinical community assets, targeting the upstream social determinants identified by Marmot (2010).</w:t>
      </w:r>
    </w:p>
    <w:p w14:paraId="011E1E5F" w14:textId="77777777" w:rsidR="00D01118" w:rsidRDefault="00D01118">
      <w:pPr>
        <w:spacing w:after="60"/>
      </w:pPr>
    </w:p>
    <w:p w14:paraId="7B7FD649" w14:textId="77777777" w:rsidR="00D01118" w:rsidRDefault="00000000">
      <w:pPr>
        <w:pStyle w:val="Heading2"/>
      </w:pPr>
      <w:r>
        <w:t>Epidemiological Studies and Health Needs Assessment</w:t>
      </w:r>
    </w:p>
    <w:p w14:paraId="724C9C10" w14:textId="77777777" w:rsidR="00D01118" w:rsidRDefault="00000000">
      <w:pPr>
        <w:spacing w:after="150" w:line="414" w:lineRule="auto"/>
        <w:jc w:val="both"/>
      </w:pPr>
      <w:r>
        <w:t>The Tower Hamlets Joint Strategic Needs Assessment (JSNA, 2022) draws on the Quality and Outcomes Framework (QOF), Hospital Episode Statistics (HES), and the Public Health Outcomes Framework (PHOF) to characterise the CVD burden, identifying older Bangladeshi women as the subgroup at highest CVD risk relative to their measured risk factor burden — suggesting systematic underdiagnosis. Hippisley-Cox et al. (2017), validating the QRISK3 algorithm across over three million patient records, found it underestima</w:t>
      </w:r>
      <w:r>
        <w:t>tes CVD risk in South Asian women. Sattar et al. (2019) and Bhopal et al. (2002) further established that atherogenic dyslipidaemia and elevated CHD risk in UK South Asian populations are inadequately captured by standard clinical measures. Diez-Roux (2002) cautions that ecological fallacy — attributing area-level patterns to individuals — is a key methodological risk; individual-level data from the Tower Hamlets Integrated GP Patient Record (IGPR) is essential for accurate risk stratification.</w:t>
      </w:r>
    </w:p>
    <w:p w14:paraId="000C0CA0" w14:textId="77777777" w:rsidR="00D01118" w:rsidRDefault="00D01118">
      <w:pPr>
        <w:spacing w:after="60"/>
      </w:pPr>
    </w:p>
    <w:p w14:paraId="694CFE82" w14:textId="77777777" w:rsidR="00D01118" w:rsidRDefault="00000000">
      <w:pPr>
        <w:pStyle w:val="Heading2"/>
      </w:pPr>
      <w:r>
        <w:t>Monitoring and Surveillance</w:t>
      </w:r>
    </w:p>
    <w:p w14:paraId="49CCBDC2" w14:textId="77777777" w:rsidR="00D01118" w:rsidRDefault="00000000">
      <w:pPr>
        <w:spacing w:after="150" w:line="414" w:lineRule="auto"/>
        <w:jc w:val="both"/>
      </w:pPr>
      <w:r>
        <w:t>CVD surveillance in Tower Hamlets relies on a multi-layered system. QOF provides annual practice-level data on CVD, hypertension, and diabetes prevalence. The PHOF, accessible through OHID's Public Health Fingertips platform, tracks borough-level CVD mortality, smoking, and emergency admissions over time. HES data capture the acute secondary care burden. Bottle et al. (2006) demonstrated that linkage of HES with primary care records significantly improves identification of high-risk patients — a method embe</w:t>
      </w:r>
      <w:r>
        <w:t>dded in Tower Hamlets' IGPR system, supplemented by GP Patient Survey and deprivation analyses from the JSNA (2022).</w:t>
      </w:r>
    </w:p>
    <w:p w14:paraId="4E989E9B" w14:textId="77777777" w:rsidR="00D01118" w:rsidRDefault="00D01118">
      <w:pPr>
        <w:spacing w:after="60"/>
      </w:pPr>
    </w:p>
    <w:p w14:paraId="50098610" w14:textId="77777777" w:rsidR="00D01118" w:rsidRDefault="00000000">
      <w:pPr>
        <w:pStyle w:val="Heading2"/>
      </w:pPr>
      <w:r>
        <w:t>Public Health Impact: Short- and Long-Term Consequences</w:t>
      </w:r>
    </w:p>
    <w:p w14:paraId="1868E0EB" w14:textId="77777777" w:rsidR="00D01118" w:rsidRDefault="00000000">
      <w:pPr>
        <w:spacing w:after="150" w:line="414" w:lineRule="auto"/>
        <w:jc w:val="both"/>
      </w:pPr>
      <w:r>
        <w:t>Figure 1 illustrates the scale of CVD inequality: at 89 per 100,000, Tower Hamlets' premature CVD mortality rate is 31% above the England average of 68 per 100,000 (OHID, 2023), representing substantial avoidable loss of life in one of England's most deprived communities.</w:t>
      </w:r>
    </w:p>
    <w:p w14:paraId="0A894754" w14:textId="77777777" w:rsidR="00D01118" w:rsidRDefault="00D01118">
      <w:pPr>
        <w:spacing w:after="60"/>
      </w:pPr>
    </w:p>
    <w:p w14:paraId="4F821E95" w14:textId="77777777" w:rsidR="00D01118" w:rsidRDefault="00000000">
      <w:pPr>
        <w:spacing w:before="140" w:after="70"/>
        <w:jc w:val="center"/>
      </w:pPr>
      <w:r>
        <w:rPr>
          <w:noProof/>
        </w:rPr>
        <w:drawing>
          <wp:inline distT="0" distB="0" distL="0" distR="0" wp14:anchorId="07A9173B" wp14:editId="7CECEED3">
            <wp:extent cx="4667250" cy="2552700"/>
            <wp:effectExtent l="0" t="0" r="0" b="0"/>
            <wp:docPr id="1" name="CVD_chart" descr="Tower Hamlets 89, London 74, England 68 per 100,000" title="CVD Premature Mortality 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4667250" cy="2552700"/>
                    </a:xfrm>
                    <a:prstGeom prst="rect">
                      <a:avLst/>
                    </a:prstGeom>
                  </pic:spPr>
                </pic:pic>
              </a:graphicData>
            </a:graphic>
          </wp:inline>
        </w:drawing>
      </w:r>
    </w:p>
    <w:p w14:paraId="4DDC1564" w14:textId="77777777" w:rsidR="00D01118" w:rsidRDefault="00000000">
      <w:pPr>
        <w:spacing w:before="60" w:after="180"/>
        <w:jc w:val="center"/>
      </w:pPr>
      <w:r>
        <w:rPr>
          <w:i/>
          <w:iCs/>
          <w:color w:val="555555"/>
          <w:sz w:val="18"/>
          <w:szCs w:val="18"/>
        </w:rPr>
        <w:t>Figure 1: Directly Standardised CVD Premature Mortality Rate (per 100,000 population, deaths before age 75) — Tower Hamlets, London, and England. Source: OHID Public Health Fingertips (2023)</w:t>
      </w:r>
    </w:p>
    <w:p w14:paraId="0F2D8050" w14:textId="77777777" w:rsidR="00D01118" w:rsidRDefault="00D01118">
      <w:pPr>
        <w:spacing w:after="60"/>
      </w:pPr>
    </w:p>
    <w:p w14:paraId="5FA02E83" w14:textId="77777777" w:rsidR="00D01118" w:rsidRDefault="00000000">
      <w:pPr>
        <w:spacing w:after="150" w:line="414" w:lineRule="auto"/>
        <w:jc w:val="both"/>
      </w:pPr>
      <w:r>
        <w:t>In the short term, acute CVD events cause emergency hospitalisations, disability, and premature death. In the longer term, CVD survivors develop chronic conditions — heart failure, atrial fibrillation, post-stroke disability — sustaining demand across primary and community care. Lichtman et al. (2014) found depression is two to three times more prevalent in people with CHD than in the general population, worsening prognosis. CVD-related disability also reduces workforce participation and increases welfare d</w:t>
      </w:r>
      <w:r>
        <w:t>ependency, entrenching cycles of poverty and ill health in an already deprived borough.</w:t>
      </w:r>
    </w:p>
    <w:p w14:paraId="1F25534C" w14:textId="77777777" w:rsidR="00D01118" w:rsidRDefault="00D01118">
      <w:pPr>
        <w:spacing w:after="60"/>
      </w:pPr>
    </w:p>
    <w:p w14:paraId="75F9602D" w14:textId="77777777" w:rsidR="00D01118" w:rsidRDefault="00000000">
      <w:pPr>
        <w:pStyle w:val="Heading2"/>
      </w:pPr>
      <w:r>
        <w:t>Proposed Intervention: Tower Hamlets Cardiovascular Health Equity Programme (THCHEP)</w:t>
      </w:r>
    </w:p>
    <w:p w14:paraId="7AEB88D1" w14:textId="77777777" w:rsidR="00D01118" w:rsidRDefault="00000000">
      <w:pPr>
        <w:spacing w:after="150" w:line="414" w:lineRule="auto"/>
        <w:jc w:val="both"/>
      </w:pPr>
      <w:r>
        <w:t>THCHEP is a proposed multi-component CVD prevention programme grounded in Marmot's (2010) principle of proportionate universalism — universal services scaled in intensity to the degree of need. It comprises three components. First, community-based CVD risk screening delivered by community health workers (CHWs) from high-risk communities, conducting blood pressure, blood glucose, and BMI assessments in mosques and community centres, with immediate referral of high-risk individuals to primary care (Greenhalgh</w:t>
      </w:r>
      <w:r>
        <w:t xml:space="preserve"> et al., 2011). Second, culturally adapted group lifestyle support — physical activity, diet, and smoking cessation — delivered in community languages by peer supporters, informed by the Diabetes Prevention Programme (Knowler et al., 2002), which demonstrated a 58% reduction in diabetes incidence. Third, primary care data optimisation using QOF and IGPR to identify patients with undiagnosed CVD risk factors for proactive outreach.</w:t>
      </w:r>
    </w:p>
    <w:p w14:paraId="38ECBE7A" w14:textId="77777777" w:rsidR="00D01118" w:rsidRDefault="00000000">
      <w:pPr>
        <w:spacing w:after="150" w:line="414" w:lineRule="auto"/>
        <w:jc w:val="both"/>
      </w:pPr>
      <w:r>
        <w:t>Evaluation will use the RE-AIM framework (Glasgow et al., 1999), combining quantitative outcome measures — including changes in systolic blood pressure and emergency CVD admission rates — with qualitative process evaluation and a matched comparator borough to strengthen causal inference.</w:t>
      </w:r>
    </w:p>
    <w:p w14:paraId="6D540E3B" w14:textId="77777777" w:rsidR="00D01118" w:rsidRDefault="00D01118">
      <w:pPr>
        <w:spacing w:after="60"/>
      </w:pPr>
    </w:p>
    <w:p w14:paraId="4CB2EB50" w14:textId="77777777" w:rsidR="00D01118" w:rsidRDefault="00000000">
      <w:pPr>
        <w:pStyle w:val="Heading2"/>
      </w:pPr>
      <w:r>
        <w:t>Strengths and Limitations of the Epidemiological Approach</w:t>
      </w:r>
    </w:p>
    <w:p w14:paraId="06FA3BE6" w14:textId="77777777" w:rsidR="00D01118" w:rsidRDefault="00000000">
      <w:pPr>
        <w:spacing w:after="150" w:line="414" w:lineRule="auto"/>
        <w:jc w:val="both"/>
      </w:pPr>
      <w:r>
        <w:t xml:space="preserve">The approach draws on multiple complementary data sources (QOF, HES, PHOF, JSNA, IGPR) and disaggregates by ethnicity and sex — reducing the risk of inequalities being masked by averaged population data. However, Diez-Roux (2002) cautions that ecological fallacy remains a methodological risk. QOF data may underestimate CVD prevalence in populations with lower primary care registration. Mortality as a primary indicator may not reflect morbidity trends, and intervention evidence from other settings cannot be </w:t>
      </w:r>
      <w:r>
        <w:t>assumed to transfer without rigorous local evaluation.</w:t>
      </w:r>
    </w:p>
    <w:p w14:paraId="48D8A63E" w14:textId="77777777" w:rsidR="00D01118" w:rsidRDefault="00D01118">
      <w:pPr>
        <w:spacing w:after="60"/>
      </w:pPr>
    </w:p>
    <w:p w14:paraId="3A6E8180" w14:textId="77777777" w:rsidR="00D01118" w:rsidRDefault="00000000">
      <w:pPr>
        <w:pStyle w:val="Heading2"/>
      </w:pPr>
      <w:r>
        <w:t>Conclusion</w:t>
      </w:r>
    </w:p>
    <w:p w14:paraId="3C6AD155" w14:textId="77777777" w:rsidR="00D01118" w:rsidRDefault="00000000">
      <w:pPr>
        <w:spacing w:after="150" w:line="414" w:lineRule="auto"/>
        <w:jc w:val="both"/>
      </w:pPr>
      <w:r>
        <w:t>This report has examined CVD as a major public health challenge in Tower Hamlets, where premature mortality is 31% above the England average. The epidemiological evidence points to a burden driven by structural socioeconomic disadvantage, ethnic health inequalities, and barriers to preventive care. The proposed THCHEP intervention, grounded in the three Ps and proportionate universalism, offers a contextually appropriate, evidence-based response. Ultimately, reducing CVD inequality requires sustained commit</w:t>
      </w:r>
      <w:r>
        <w:t>ment to both targeted clinical interventions and the structural social determinants that generate inequalities.</w:t>
      </w:r>
    </w:p>
    <w:p w14:paraId="68ED8ECE" w14:textId="77777777" w:rsidR="00D01118" w:rsidRDefault="00000000">
      <w:r>
        <w:br w:type="page"/>
      </w:r>
    </w:p>
    <w:p w14:paraId="7C8C685F" w14:textId="77777777" w:rsidR="00D01118" w:rsidRDefault="00000000">
      <w:pPr>
        <w:pStyle w:val="Heading1"/>
        <w:spacing w:after="160"/>
      </w:pPr>
      <w:r>
        <w:t>References</w:t>
      </w:r>
    </w:p>
    <w:p w14:paraId="318D0829" w14:textId="77777777" w:rsidR="00D01118" w:rsidRDefault="00000000">
      <w:pPr>
        <w:spacing w:after="140" w:line="276" w:lineRule="auto"/>
        <w:ind w:left="720" w:hanging="720"/>
      </w:pPr>
      <w:r>
        <w:t>Age UK (2023) Later Life in the United Kingdom 2023. London: Age UK. Available at: https://www.ageuk.org.uk/globalassets/age-uk/documents/reports-and-publications/later_life_uk_factsheet.pdf (Accessed: 1 April 2026).</w:t>
      </w:r>
    </w:p>
    <w:p w14:paraId="0A7EEC48" w14:textId="77777777" w:rsidR="00D01118" w:rsidRDefault="00000000">
      <w:pPr>
        <w:spacing w:after="140" w:line="276" w:lineRule="auto"/>
        <w:ind w:left="720" w:hanging="720"/>
      </w:pPr>
      <w:r>
        <w:t>Alzheimer's Research UK (2023) Dementia Statistics Hub. Cambridge: Alzheimer's Research UK. Available at: https://www.dementiastatistics.org (Accessed: 1 April 2026).</w:t>
      </w:r>
    </w:p>
    <w:p w14:paraId="423B4266" w14:textId="77777777" w:rsidR="00D01118" w:rsidRDefault="00000000">
      <w:pPr>
        <w:spacing w:after="140" w:line="276" w:lineRule="auto"/>
        <w:ind w:left="720" w:hanging="720"/>
      </w:pPr>
      <w:r>
        <w:t>Anderson, L., Oldridge, N., Thompson, D.R., Zwisler, A.D., Rees, K., Martin, N. and Taylor, R.S. (2016) 'Exercise-based cardiac rehabilitation for coronary heart disease', Journal of the American College of Cardiology, 67(1), pp. 1–12.</w:t>
      </w:r>
    </w:p>
    <w:p w14:paraId="766F1E64" w14:textId="77777777" w:rsidR="00D01118" w:rsidRDefault="00000000">
      <w:pPr>
        <w:spacing w:after="140" w:line="276" w:lineRule="auto"/>
        <w:ind w:left="720" w:hanging="720"/>
      </w:pPr>
      <w:r>
        <w:t xml:space="preserve">Bartley, M. (2017) Health Inequality: An Introduction to Concepts, Theories and Methods. 2nd </w:t>
      </w:r>
      <w:proofErr w:type="spellStart"/>
      <w:r>
        <w:t>edn</w:t>
      </w:r>
      <w:proofErr w:type="spellEnd"/>
      <w:r>
        <w:t>. Cambridge: Polity Press.</w:t>
      </w:r>
    </w:p>
    <w:p w14:paraId="1FEDCC47" w14:textId="77777777" w:rsidR="00D01118" w:rsidRDefault="00000000">
      <w:pPr>
        <w:spacing w:after="140" w:line="276" w:lineRule="auto"/>
        <w:ind w:left="720" w:hanging="720"/>
      </w:pPr>
      <w:r>
        <w:t xml:space="preserve">Bhopal, R. (2019) Migration, Ethnicity, Race, and Health in Multicultural Societies. 2nd </w:t>
      </w:r>
      <w:proofErr w:type="spellStart"/>
      <w:r>
        <w:t>edn</w:t>
      </w:r>
      <w:proofErr w:type="spellEnd"/>
      <w:r>
        <w:t>. Oxford: Oxford University Press.</w:t>
      </w:r>
    </w:p>
    <w:p w14:paraId="00C2937E" w14:textId="77777777" w:rsidR="00D01118" w:rsidRDefault="00000000">
      <w:pPr>
        <w:spacing w:after="140" w:line="276" w:lineRule="auto"/>
        <w:ind w:left="720" w:hanging="720"/>
      </w:pPr>
      <w:r>
        <w:t>Bhopal, R., Fischbacher, C., Vartiainen, E., Unwin, N., White, M. and Alberti, G. (2002) 'Predicted and observed cardiovascular disease in South Asians: application of FINRISK, Framingham and SCORE models to Newcastle Heart Project data', Journal of Public Health Medicine, 24(4), pp. 306–313.</w:t>
      </w:r>
    </w:p>
    <w:p w14:paraId="43A0F821" w14:textId="77777777" w:rsidR="00D01118" w:rsidRDefault="00000000">
      <w:pPr>
        <w:spacing w:after="140" w:line="276" w:lineRule="auto"/>
        <w:ind w:left="720" w:hanging="720"/>
      </w:pPr>
      <w:r>
        <w:t>Blazer, D.G. (2020) 'Depression in late life: review and commentary', Focus, 18(3), pp. 292–299.</w:t>
      </w:r>
    </w:p>
    <w:p w14:paraId="115BDC0A" w14:textId="77777777" w:rsidR="00D01118" w:rsidRDefault="00000000">
      <w:pPr>
        <w:spacing w:after="140" w:line="276" w:lineRule="auto"/>
        <w:ind w:left="720" w:hanging="720"/>
      </w:pPr>
      <w:r>
        <w:t>Bottle, A., Aylin, P. and Majeed, A. (2006) 'Identifying patients at high risk of emergency hospital admissions: a logistic regression analysis', Journal of the Royal Society of Medicine, 99(8), pp. 406–414.</w:t>
      </w:r>
    </w:p>
    <w:p w14:paraId="0C15269B" w14:textId="77777777" w:rsidR="00D01118" w:rsidRDefault="00000000">
      <w:pPr>
        <w:spacing w:after="140" w:line="276" w:lineRule="auto"/>
        <w:ind w:left="720" w:hanging="720"/>
      </w:pPr>
      <w:r>
        <w:t>British Heart Foundation (BHF) (2023) Heart and Circulatory Disease Statistics 2023. London: BHF. Available at: https://www.bhf.org.uk/what-we-do/our-research/heart-statistics (Accessed: 1 April 2026).</w:t>
      </w:r>
    </w:p>
    <w:p w14:paraId="2276B9EA" w14:textId="77777777" w:rsidR="00D01118" w:rsidRDefault="00000000">
      <w:pPr>
        <w:spacing w:after="140" w:line="276" w:lineRule="auto"/>
        <w:ind w:left="720" w:hanging="720"/>
      </w:pPr>
      <w:r>
        <w:t xml:space="preserve">Cacioppo, J.T. and Hawkley, L.C. (2010) 'Loneliness matters: a theoretical and empirical review of consequences and mechanisms', Annals of </w:t>
      </w:r>
      <w:proofErr w:type="spellStart"/>
      <w:r>
        <w:t>Behavioral</w:t>
      </w:r>
      <w:proofErr w:type="spellEnd"/>
      <w:r>
        <w:t xml:space="preserve"> Medicine, 40(2), pp. 218–227.</w:t>
      </w:r>
    </w:p>
    <w:p w14:paraId="3FC702ED" w14:textId="77777777" w:rsidR="00D01118" w:rsidRDefault="00000000">
      <w:pPr>
        <w:spacing w:after="140" w:line="276" w:lineRule="auto"/>
        <w:ind w:left="720" w:hanging="720"/>
      </w:pPr>
      <w:r>
        <w:t>Campaign to End Loneliness (2023) The Facts on Loneliness. London: Campaign to End Loneliness. Available at: https://www.campaigntoendloneliness.org/the-facts-on-loneliness/ (Accessed: 1 April 2026).</w:t>
      </w:r>
    </w:p>
    <w:p w14:paraId="50C80B6C" w14:textId="77777777" w:rsidR="00D01118" w:rsidRDefault="00000000">
      <w:pPr>
        <w:spacing w:after="140" w:line="276" w:lineRule="auto"/>
        <w:ind w:left="720" w:hanging="720"/>
      </w:pPr>
      <w:r>
        <w:t>Department for Levelling Up, Housing and Communities (DHLUC) (2022) English Housing Survey 2021–22: Headline Report. London: HMSO. Available at: https://www.gov.uk/government/statistics/english-housing-survey-2021-to-2022-headline-report (Accessed: 1 April 2026).</w:t>
      </w:r>
    </w:p>
    <w:p w14:paraId="256B1975" w14:textId="77777777" w:rsidR="00D01118" w:rsidRDefault="00000000">
      <w:pPr>
        <w:spacing w:after="140" w:line="276" w:lineRule="auto"/>
        <w:ind w:left="720" w:hanging="720"/>
      </w:pPr>
      <w:r>
        <w:t>Department of Health and Social Care (DHSC) (2021) People at the Heart of Care: Adult Social Care Reform White Paper. London: HMSO. Available at: https://www.gov.uk/government/publications/people-at-the-heart-of-care-adult-social-care-reform-white-paper (Accessed: 1 April 2026).</w:t>
      </w:r>
    </w:p>
    <w:p w14:paraId="18BC7493" w14:textId="77777777" w:rsidR="00D01118" w:rsidRDefault="00000000">
      <w:pPr>
        <w:spacing w:after="140" w:line="276" w:lineRule="auto"/>
        <w:ind w:left="720" w:hanging="720"/>
      </w:pPr>
      <w:r>
        <w:t>Department for Work and Pensions (DWP) (2023) Income-Related Benefits: Estimates of Take-Up, Financial Year 2021 to 2022. London: DWP. Available at: https://www.gov.uk/government/statistics/income-related-benefits-estimates-of-take-up-financial-year-2021-to-2022 (Accessed: 1 April 2026).</w:t>
      </w:r>
    </w:p>
    <w:p w14:paraId="10D0E16E" w14:textId="77777777" w:rsidR="00D01118" w:rsidRDefault="00000000">
      <w:pPr>
        <w:spacing w:after="140" w:line="276" w:lineRule="auto"/>
        <w:ind w:left="720" w:hanging="720"/>
      </w:pPr>
      <w:r>
        <w:t>Diez-Roux, A.V. (2002) 'A glossary for multilevel analysis', Journal of Epidemiology and Community Health, 56(8), pp. 588–594.</w:t>
      </w:r>
    </w:p>
    <w:p w14:paraId="3864EB04" w14:textId="77777777" w:rsidR="00D01118" w:rsidRDefault="00000000">
      <w:pPr>
        <w:spacing w:after="140" w:line="276" w:lineRule="auto"/>
        <w:ind w:left="720" w:hanging="720"/>
      </w:pPr>
      <w:r>
        <w:t>Glasgow, R.E., Vogt, T.M. and Boles, S.M. (1999) 'Evaluating the public health impact of health promotion interventions: the RE-AIM framework', American Journal of Public Health, 89(9), pp. 1322–1327.</w:t>
      </w:r>
    </w:p>
    <w:p w14:paraId="1298B8D2" w14:textId="77777777" w:rsidR="00D01118" w:rsidRDefault="00000000">
      <w:pPr>
        <w:spacing w:after="140" w:line="276" w:lineRule="auto"/>
        <w:ind w:left="720" w:hanging="720"/>
      </w:pPr>
      <w:r>
        <w:t>Goff, L.M., Timbers, L., Style, H. and Knight, A. (2019) 'Dietary patterns and cardiometabolic risk in UK Bangladeshi and Pakistani adults: a cross-sectional study', British Journal of Nutrition, 121(5), pp. 587–598.</w:t>
      </w:r>
    </w:p>
    <w:p w14:paraId="07F704E4" w14:textId="77777777" w:rsidR="00D01118" w:rsidRDefault="00000000">
      <w:pPr>
        <w:spacing w:after="140" w:line="276" w:lineRule="auto"/>
        <w:ind w:left="720" w:hanging="720"/>
      </w:pPr>
      <w:r>
        <w:t>Greenhalgh, T., Clinch, M., Afsar, N., Choudhury, Y., Sudra, R., Campbell-Richards, D. and Frostick, C. (2011) 'Socio-cultural influences on the behaviour of South Asian women with diabetes in secondary care: qualitative study using a multi-level theoretical framework', BMC Medicine, 9(1), p. 109.</w:t>
      </w:r>
    </w:p>
    <w:p w14:paraId="2A8365F0" w14:textId="77777777" w:rsidR="00D01118" w:rsidRDefault="00000000">
      <w:pPr>
        <w:spacing w:after="140" w:line="276" w:lineRule="auto"/>
        <w:ind w:left="720" w:hanging="720"/>
      </w:pPr>
      <w:r>
        <w:t>Hippisley-Cox, J., Coupland, C., Vinogradova, Y. and Robson, J. (2017) 'Development and validation of QRISK3 risk prediction algorithms to estimate future risk of cardiovascular disease: prospective cohort study', BMJ, 357, j2099.</w:t>
      </w:r>
    </w:p>
    <w:p w14:paraId="0DEA6A21" w14:textId="77777777" w:rsidR="00D01118" w:rsidRDefault="00000000">
      <w:pPr>
        <w:spacing w:after="140" w:line="276" w:lineRule="auto"/>
        <w:ind w:left="720" w:hanging="720"/>
      </w:pPr>
      <w:r>
        <w:t>Holt-</w:t>
      </w:r>
      <w:proofErr w:type="spellStart"/>
      <w:r>
        <w:t>Lunstad</w:t>
      </w:r>
      <w:proofErr w:type="spellEnd"/>
      <w:r>
        <w:t>, J., Smith, T.B. and Layton, J.B. (2015) 'Loneliness and social isolation as risk factors for mortality: a meta-analytic review', Perspectives on Psychological Science, 10(2), pp. 227–237.</w:t>
      </w:r>
    </w:p>
    <w:p w14:paraId="74F62178" w14:textId="77777777" w:rsidR="00D01118" w:rsidRDefault="00000000">
      <w:pPr>
        <w:spacing w:after="140" w:line="276" w:lineRule="auto"/>
        <w:ind w:left="720" w:hanging="720"/>
      </w:pPr>
      <w:r>
        <w:t>Joseph Rowntree Foundation (JRF) (2023) UK Poverty 2023: The Essential Guide to Understanding Poverty in the UK. York: JRF. Available at: https://www.jrf.org.uk/report/uk-poverty-2023 (Accessed: 1 April 2026).</w:t>
      </w:r>
    </w:p>
    <w:p w14:paraId="216EDC40" w14:textId="77777777" w:rsidR="00D01118" w:rsidRDefault="00000000">
      <w:pPr>
        <w:spacing w:after="140" w:line="276" w:lineRule="auto"/>
        <w:ind w:left="720" w:hanging="720"/>
      </w:pPr>
      <w:r>
        <w:t>Knowler, W.C., Barrett-Connor, E., Fowler, S.E. and Hamman, R.F. (2002) 'Reduction in the incidence of type 2 diabetes with lifestyle intervention or metformin', New England Journal of Medicine, 346(6), pp. 393–403.</w:t>
      </w:r>
    </w:p>
    <w:p w14:paraId="35044D0E" w14:textId="77777777" w:rsidR="00D01118" w:rsidRDefault="00000000">
      <w:pPr>
        <w:spacing w:after="140" w:line="276" w:lineRule="auto"/>
        <w:ind w:left="720" w:hanging="720"/>
      </w:pPr>
      <w:r>
        <w:t>Layard, R. and Clark, D.M. (2014) Thrive: The Power of Evidence-Based Psychological Therapies. London: Penguin Books.</w:t>
      </w:r>
    </w:p>
    <w:p w14:paraId="010CE8B5" w14:textId="77777777" w:rsidR="00D01118" w:rsidRDefault="00000000">
      <w:pPr>
        <w:spacing w:after="140" w:line="276" w:lineRule="auto"/>
        <w:ind w:left="720" w:hanging="720"/>
      </w:pPr>
      <w:r>
        <w:t>Lichtman, J.H., Froelicher, E.S., Blumenthal, J.A., Carney, R.M., Doering, L.V., Frasure-Smith, N. and Vaccarino, V. (2014) 'Depression as a risk factor for poor prognosis among patients with acute coronary syndrome: systematic review and recommendations', Circulation, 129(12), pp. 1350–1369.</w:t>
      </w:r>
    </w:p>
    <w:p w14:paraId="67481A54" w14:textId="77777777" w:rsidR="00D01118" w:rsidRDefault="00000000">
      <w:pPr>
        <w:spacing w:after="140" w:line="276" w:lineRule="auto"/>
        <w:ind w:left="720" w:hanging="720"/>
      </w:pPr>
      <w:r>
        <w:t>Liddell, C. and Morris, C. (2010) 'Fuel poverty and human health: a review of recent evidence', Energy Policy, 38(6), pp. 2987–2997.</w:t>
      </w:r>
    </w:p>
    <w:p w14:paraId="5426F9A8" w14:textId="77777777" w:rsidR="00D01118" w:rsidRDefault="00000000">
      <w:pPr>
        <w:spacing w:after="140" w:line="276" w:lineRule="auto"/>
        <w:ind w:left="720" w:hanging="720"/>
      </w:pPr>
      <w:r>
        <w:t xml:space="preserve">Livingston, G., Huntley, J., </w:t>
      </w:r>
      <w:proofErr w:type="spellStart"/>
      <w:r>
        <w:t>Sommerlad</w:t>
      </w:r>
      <w:proofErr w:type="spellEnd"/>
      <w:r>
        <w:t>, A. and Ames, D. (2020) 'Dementia prevention, intervention, and care: 2020 report of the Lancet Commission', The Lancet, 396(10248), pp. 413–446.</w:t>
      </w:r>
    </w:p>
    <w:p w14:paraId="764491F9" w14:textId="77777777" w:rsidR="00D01118" w:rsidRDefault="00000000">
      <w:pPr>
        <w:spacing w:after="140" w:line="276" w:lineRule="auto"/>
        <w:ind w:left="720" w:hanging="720"/>
      </w:pPr>
      <w:r>
        <w:t>Marmot, M. (2010) Fair Society, Healthy Lives: The Marmot Review. London: Institute of Health Equity. Available at: https://www.instituteofhealthequity.org/resources-reports/fair-society-healthy-lives-the-marmot-review (Accessed: 1 April 2026).</w:t>
      </w:r>
    </w:p>
    <w:p w14:paraId="3FA0E588" w14:textId="77777777" w:rsidR="00D01118" w:rsidRDefault="00000000">
      <w:pPr>
        <w:spacing w:after="140" w:line="276" w:lineRule="auto"/>
        <w:ind w:left="720" w:hanging="720"/>
      </w:pPr>
      <w:r>
        <w:t>Marmot, M., Allen, J., Boyce, T., Goldblatt, P. and Morrison, J. (2020) Health Equity in England: The Marmot Review 10 Years On. London: Institute of Health Equity. Available at: https://www.instituteofhealthequity.org/resources-reports/marmot-review-10-years-on (Accessed: 1 April 2026).</w:t>
      </w:r>
    </w:p>
    <w:p w14:paraId="1A9277C9" w14:textId="77777777" w:rsidR="00D01118" w:rsidRDefault="00000000">
      <w:pPr>
        <w:spacing w:after="140" w:line="276" w:lineRule="auto"/>
        <w:ind w:left="720" w:hanging="720"/>
      </w:pPr>
      <w:r>
        <w:t>Marmot, M.G., Smith, G.D., Stansfeld, S., Patel, C., North, F., Head, J. and Feeney, A. (1991) 'Health inequalities among British civil servants: the Whitehall II study', The Lancet, 337(8754), pp. 1387–1393.</w:t>
      </w:r>
    </w:p>
    <w:p w14:paraId="000A2AA6" w14:textId="77777777" w:rsidR="00D01118" w:rsidRDefault="00000000">
      <w:pPr>
        <w:spacing w:after="140" w:line="276" w:lineRule="auto"/>
        <w:ind w:left="720" w:hanging="720"/>
      </w:pPr>
      <w:r>
        <w:t>National Institute for Health and Care Excellence (NICE) (2018) Dementia: Assessment, Management and Support for People Living with Dementia and their Carers [NG97]. London: NICE. Available at: https://www.nice.org.uk/guidance/ng97 (Accessed: 1 April 2026).</w:t>
      </w:r>
    </w:p>
    <w:p w14:paraId="2112C081" w14:textId="77777777" w:rsidR="00D01118" w:rsidRDefault="00000000">
      <w:pPr>
        <w:spacing w:after="140" w:line="276" w:lineRule="auto"/>
        <w:ind w:left="720" w:hanging="720"/>
      </w:pPr>
      <w:proofErr w:type="spellStart"/>
      <w:r>
        <w:t>Nazroo</w:t>
      </w:r>
      <w:proofErr w:type="spellEnd"/>
      <w:r>
        <w:t>, J.Y. (2003) 'The structuring of ethnic inequalities in health: economic position, racial discrimination, and racism', American Journal of Public Health, 93(2), pp. 277–284.</w:t>
      </w:r>
    </w:p>
    <w:p w14:paraId="676FD00E" w14:textId="77777777" w:rsidR="00D01118" w:rsidRDefault="00000000">
      <w:pPr>
        <w:spacing w:after="140" w:line="276" w:lineRule="auto"/>
        <w:ind w:left="720" w:hanging="720"/>
      </w:pPr>
      <w:r>
        <w:t>NHS England (2019) The NHS Long Term Plan. London: NHS England. Available at: https://www.longtermplan.nhs.uk (Accessed: 1 April 2026).</w:t>
      </w:r>
    </w:p>
    <w:p w14:paraId="478DA398" w14:textId="77777777" w:rsidR="00D01118" w:rsidRDefault="00000000">
      <w:pPr>
        <w:spacing w:after="140" w:line="276" w:lineRule="auto"/>
        <w:ind w:left="720" w:hanging="720"/>
      </w:pPr>
      <w:r>
        <w:t>Office for Health Inequalities and Disparities (OHID) (2023) Public Health Profiles: Tower Hamlets [online]. London: OHID. Available at: https://fingertips.phe.org.uk (Accessed: 1 April 2026).</w:t>
      </w:r>
    </w:p>
    <w:p w14:paraId="1FC9D763" w14:textId="77777777" w:rsidR="00D01118" w:rsidRDefault="00000000">
      <w:pPr>
        <w:spacing w:after="140" w:line="276" w:lineRule="auto"/>
        <w:ind w:left="720" w:hanging="720"/>
      </w:pPr>
      <w:r>
        <w:t>Office for National Statistics (ONS) (2021) Census 2021: Tower Hamlets Local Authority Profile. Newport: ONS. Available at: https://www.ons.gov.uk (Accessed: 1 April 2026).</w:t>
      </w:r>
    </w:p>
    <w:p w14:paraId="1D58AA4A" w14:textId="77777777" w:rsidR="00D01118" w:rsidRDefault="00000000">
      <w:pPr>
        <w:spacing w:after="140" w:line="276" w:lineRule="auto"/>
        <w:ind w:left="720" w:hanging="720"/>
      </w:pPr>
      <w:r>
        <w:t>Office for National Statistics (ONS) (2023) Overview of the UK Population: 2023. Newport: ONS. Available at: https://www.ons.gov.uk/peoplepopulationandcommunity/populationandmigration/populationestimates/articles/overviewoftheukpopulation/2023 (Accessed: 1 April 2026).</w:t>
      </w:r>
    </w:p>
    <w:p w14:paraId="6D898AA2" w14:textId="77777777" w:rsidR="00D01118" w:rsidRDefault="00000000">
      <w:pPr>
        <w:spacing w:after="140" w:line="276" w:lineRule="auto"/>
        <w:ind w:left="720" w:hanging="720"/>
      </w:pPr>
      <w:r>
        <w:t>Public Health England (2021) Cardiovascular Disease Prevention: Returning to a Healthier Nation. London: PHE. Available at: https://www.gov.uk/government/publications/cardiovascular-disease-prevention-return-to-a-healthier-nation (Accessed: 1 April 2026).</w:t>
      </w:r>
    </w:p>
    <w:p w14:paraId="50985A11" w14:textId="77777777" w:rsidR="00D01118" w:rsidRDefault="00000000">
      <w:pPr>
        <w:spacing w:after="140" w:line="276" w:lineRule="auto"/>
        <w:ind w:left="720" w:hanging="720"/>
      </w:pPr>
      <w:r>
        <w:t>Royal College of Psychiatrists (</w:t>
      </w:r>
      <w:proofErr w:type="spellStart"/>
      <w:r>
        <w:t>RCPsych</w:t>
      </w:r>
      <w:proofErr w:type="spellEnd"/>
      <w:r>
        <w:t xml:space="preserve">) (2018) Suffering in Silence: Age Inequality in Older People's Mental Health Care. London: </w:t>
      </w:r>
      <w:proofErr w:type="spellStart"/>
      <w:r>
        <w:t>RCPsych</w:t>
      </w:r>
      <w:proofErr w:type="spellEnd"/>
      <w:r>
        <w:t>. Available at: https://www.rcpsych.ac.uk/docs/default-source/improving-care/better-mh-policy/reports/suffering-in-silence.pdf (Accessed: 1 April 2026).</w:t>
      </w:r>
    </w:p>
    <w:p w14:paraId="7FC429B2" w14:textId="77777777" w:rsidR="00D01118" w:rsidRDefault="00000000">
      <w:pPr>
        <w:spacing w:after="140" w:line="276" w:lineRule="auto"/>
        <w:ind w:left="720" w:hanging="720"/>
      </w:pPr>
      <w:r>
        <w:t xml:space="preserve">Sattar, N., Gill, J.M.R. and </w:t>
      </w:r>
      <w:proofErr w:type="spellStart"/>
      <w:r>
        <w:t>Alazawi</w:t>
      </w:r>
      <w:proofErr w:type="spellEnd"/>
      <w:r>
        <w:t>, W. (2019) 'Improving prevention strategies for cardiometabolic disease in South Asians: a background paper for healthcare professionals', Heart, 105(14), pp. 1065–1066.</w:t>
      </w:r>
    </w:p>
    <w:p w14:paraId="2380849B" w14:textId="77777777" w:rsidR="00D01118" w:rsidRDefault="00000000">
      <w:pPr>
        <w:spacing w:after="140" w:line="276" w:lineRule="auto"/>
        <w:ind w:left="720" w:hanging="720"/>
      </w:pPr>
      <w:r>
        <w:t>Tower Hamlets Council (2022) Tower Hamlets Joint Strategic Needs Assessment 2022. London: Tower Hamlets Council. Available at: https://www.towerhamlets.gov.uk/lgnl/health_and_social_care/jsna.aspx (Accessed: 1 April 2026).</w:t>
      </w:r>
    </w:p>
    <w:p w14:paraId="146BFA37" w14:textId="77777777" w:rsidR="00D01118" w:rsidRDefault="00000000">
      <w:pPr>
        <w:spacing w:after="140" w:line="276" w:lineRule="auto"/>
        <w:ind w:left="720" w:hanging="720"/>
      </w:pPr>
      <w:r>
        <w:t>Townsend, N., Guzman-Castillo, M., Nichols, M. and Scarborough, P. (2022) Cardiovascular Disease Statistics 2022. London: British Heart Foundation.</w:t>
      </w:r>
    </w:p>
    <w:p w14:paraId="0D6AC389" w14:textId="77777777" w:rsidR="00D01118" w:rsidRDefault="00000000">
      <w:pPr>
        <w:spacing w:after="140" w:line="276" w:lineRule="auto"/>
        <w:ind w:left="720" w:hanging="720"/>
      </w:pPr>
      <w:r>
        <w:t>Victor, C.R. and Bowling, A. (2012) 'A longitudinal analysis of loneliness among older people in Great Britain', Journal of Psychology, 146(3), pp. 313–331.</w:t>
      </w:r>
    </w:p>
    <w:p w14:paraId="53DC110C" w14:textId="77777777" w:rsidR="00D01118" w:rsidRDefault="00000000">
      <w:pPr>
        <w:spacing w:after="140" w:line="276" w:lineRule="auto"/>
        <w:ind w:left="720" w:hanging="720"/>
      </w:pPr>
      <w:r>
        <w:t>World Health Organization (WHO) (2021) Global Status Report on the Public Health Response to Dementia. Geneva: WHO. Available at: https://www.who.int/publications/i/item/9789240033245 (Accessed: 1 April 2026).</w:t>
      </w:r>
    </w:p>
    <w:p w14:paraId="3C86CEA1" w14:textId="77777777" w:rsidR="00D01118" w:rsidRDefault="00000000">
      <w:pPr>
        <w:spacing w:after="140" w:line="276" w:lineRule="auto"/>
        <w:ind w:left="720" w:hanging="720"/>
      </w:pPr>
      <w:r>
        <w:t>World Health Organization (WHO) (2023a) Health Inequalities [online]. Geneva: WHO. Available at: https://www.who.int/news-room/facts-in-pictures/detail/health-inequities-and-their-causes (Accessed: 1 April 2026).</w:t>
      </w:r>
    </w:p>
    <w:p w14:paraId="1AB1C517" w14:textId="77777777" w:rsidR="00D01118" w:rsidRDefault="00000000">
      <w:pPr>
        <w:spacing w:after="140" w:line="276" w:lineRule="auto"/>
        <w:ind w:left="720" w:hanging="720"/>
      </w:pPr>
      <w:r>
        <w:t>World Health Organization (WHO) (2023b) Cardiovascular Diseases Fact Sheet. Geneva: WHO. Available at: https://www.who.int/news-room/fact-sheets/detail/cardiovascular-diseases-(cvds) (Accessed: 1 April 2026).</w:t>
      </w:r>
    </w:p>
    <w:p w14:paraId="30E2CB96" w14:textId="77777777" w:rsidR="00D01118" w:rsidRDefault="00000000">
      <w:pPr>
        <w:spacing w:after="140" w:line="276" w:lineRule="auto"/>
        <w:ind w:left="720" w:hanging="720"/>
      </w:pPr>
      <w:r>
        <w:t xml:space="preserve">Yusuf, S., Hawken, S., </w:t>
      </w:r>
      <w:proofErr w:type="spellStart"/>
      <w:r>
        <w:t>Ounpuu</w:t>
      </w:r>
      <w:proofErr w:type="spellEnd"/>
      <w:r>
        <w:t xml:space="preserve">, S., Dans, T., </w:t>
      </w:r>
      <w:proofErr w:type="spellStart"/>
      <w:r>
        <w:t>Avezum</w:t>
      </w:r>
      <w:proofErr w:type="spellEnd"/>
      <w:r>
        <w:t xml:space="preserve">, A., Lanas, F. and </w:t>
      </w:r>
      <w:proofErr w:type="spellStart"/>
      <w:r>
        <w:t>Lisheng</w:t>
      </w:r>
      <w:proofErr w:type="spellEnd"/>
      <w:r>
        <w:t>, L. (2004) 'Effect of potentially modifiable risk factors associated with myocardial infarction in 52 countries (the INTERHEART study): case-control study', The Lancet, 364(9438), pp. 937–952.</w:t>
      </w:r>
    </w:p>
    <w:sectPr w:rsidR="00D01118">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8F0B8E"/>
    <w:multiLevelType w:val="hybridMultilevel"/>
    <w:tmpl w:val="F5241CC2"/>
    <w:lvl w:ilvl="0" w:tplc="8CEA8D56">
      <w:start w:val="1"/>
      <w:numFmt w:val="bullet"/>
      <w:lvlText w:val="●"/>
      <w:lvlJc w:val="left"/>
      <w:pPr>
        <w:ind w:left="720" w:hanging="360"/>
      </w:pPr>
    </w:lvl>
    <w:lvl w:ilvl="1" w:tplc="9EE2E630">
      <w:start w:val="1"/>
      <w:numFmt w:val="bullet"/>
      <w:lvlText w:val="○"/>
      <w:lvlJc w:val="left"/>
      <w:pPr>
        <w:ind w:left="1440" w:hanging="360"/>
      </w:pPr>
    </w:lvl>
    <w:lvl w:ilvl="2" w:tplc="70DC180E">
      <w:start w:val="1"/>
      <w:numFmt w:val="bullet"/>
      <w:lvlText w:val="■"/>
      <w:lvlJc w:val="left"/>
      <w:pPr>
        <w:ind w:left="2160" w:hanging="360"/>
      </w:pPr>
    </w:lvl>
    <w:lvl w:ilvl="3" w:tplc="18305BEE">
      <w:start w:val="1"/>
      <w:numFmt w:val="bullet"/>
      <w:lvlText w:val="●"/>
      <w:lvlJc w:val="left"/>
      <w:pPr>
        <w:ind w:left="2880" w:hanging="360"/>
      </w:pPr>
    </w:lvl>
    <w:lvl w:ilvl="4" w:tplc="0B729A6E">
      <w:start w:val="1"/>
      <w:numFmt w:val="bullet"/>
      <w:lvlText w:val="○"/>
      <w:lvlJc w:val="left"/>
      <w:pPr>
        <w:ind w:left="3600" w:hanging="360"/>
      </w:pPr>
    </w:lvl>
    <w:lvl w:ilvl="5" w:tplc="0C9C3086">
      <w:start w:val="1"/>
      <w:numFmt w:val="bullet"/>
      <w:lvlText w:val="■"/>
      <w:lvlJc w:val="left"/>
      <w:pPr>
        <w:ind w:left="4320" w:hanging="360"/>
      </w:pPr>
    </w:lvl>
    <w:lvl w:ilvl="6" w:tplc="D40C6876">
      <w:start w:val="1"/>
      <w:numFmt w:val="bullet"/>
      <w:lvlText w:val="●"/>
      <w:lvlJc w:val="left"/>
      <w:pPr>
        <w:ind w:left="5040" w:hanging="360"/>
      </w:pPr>
    </w:lvl>
    <w:lvl w:ilvl="7" w:tplc="DFEE700A">
      <w:start w:val="1"/>
      <w:numFmt w:val="bullet"/>
      <w:lvlText w:val="●"/>
      <w:lvlJc w:val="left"/>
      <w:pPr>
        <w:ind w:left="5760" w:hanging="360"/>
      </w:pPr>
    </w:lvl>
    <w:lvl w:ilvl="8" w:tplc="9862856A">
      <w:start w:val="1"/>
      <w:numFmt w:val="bullet"/>
      <w:lvlText w:val="●"/>
      <w:lvlJc w:val="left"/>
      <w:pPr>
        <w:ind w:left="6480" w:hanging="360"/>
      </w:pPr>
    </w:lvl>
  </w:abstractNum>
  <w:num w:numId="1" w16cid:durableId="191446327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3"/>
  <w:displayBackgroundShape/>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118"/>
    <w:rsid w:val="002D7F81"/>
    <w:rsid w:val="00372402"/>
    <w:rsid w:val="00D01118"/>
    <w:rsid w:val="00E40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E747B8"/>
  <w15:docId w15:val="{D3F7A317-1E08-2D4F-B72D-36D3C2404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80"/>
      <w:outlineLvl w:val="0"/>
    </w:pPr>
    <w:rPr>
      <w:b/>
      <w:bCs/>
      <w:color w:val="1F3864"/>
      <w:sz w:val="26"/>
      <w:szCs w:val="26"/>
    </w:rPr>
  </w:style>
  <w:style w:type="paragraph" w:styleId="Heading2">
    <w:name w:val="heading 2"/>
    <w:uiPriority w:val="9"/>
    <w:unhideWhenUsed/>
    <w:qFormat/>
    <w:pPr>
      <w:spacing w:before="220" w:after="110"/>
      <w:outlineLvl w:val="1"/>
    </w:pPr>
    <w:rPr>
      <w:b/>
      <w:bCs/>
      <w:color w:val="2E75B6"/>
      <w:sz w:val="24"/>
      <w:szCs w:val="24"/>
    </w:rPr>
  </w:style>
  <w:style w:type="paragraph" w:styleId="Heading3">
    <w:name w:val="heading 3"/>
    <w:uiPriority w:val="9"/>
    <w:unhideWhenUsed/>
    <w:qFormat/>
    <w:pPr>
      <w:spacing w:before="180" w:after="90"/>
      <w:outlineLvl w:val="2"/>
    </w:pPr>
    <w:rPr>
      <w:b/>
      <w:bCs/>
      <w:color w:val="33333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3593</Words>
  <Characters>23343</Characters>
  <Application>Microsoft Office Word</Application>
  <DocSecurity>0</DocSecurity>
  <Lines>454</Lines>
  <Paragraphs>169</Paragraphs>
  <ScaleCrop>false</ScaleCrop>
  <Company/>
  <LinksUpToDate>false</LinksUpToDate>
  <CharactersWithSpaces>26797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Alam, Md Didar</cp:lastModifiedBy>
  <cp:revision>3</cp:revision>
  <dcterms:created xsi:type="dcterms:W3CDTF">2026-04-11T13:46:00Z</dcterms:created>
  <dcterms:modified xsi:type="dcterms:W3CDTF">2026-04-11T13:47:00Z</dcterms:modified>
</cp:coreProperties>
</file>