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75E64" w14:textId="1973AD40" w:rsidR="00BB6382" w:rsidRPr="00BB6382" w:rsidRDefault="00BB6382" w:rsidP="00BB6382">
      <w:pPr>
        <w:jc w:val="center"/>
        <w:rPr>
          <w:lang w:val="en-US"/>
        </w:rPr>
      </w:pPr>
      <w:r w:rsidRPr="00BB6382">
        <w:rPr>
          <w:noProof/>
          <w:lang w:val="en-US"/>
        </w:rPr>
        <w:drawing>
          <wp:inline distT="0" distB="0" distL="0" distR="0" wp14:anchorId="6569198B" wp14:editId="713BAD49">
            <wp:extent cx="2813050" cy="673100"/>
            <wp:effectExtent l="0" t="0" r="0" b="0"/>
            <wp:docPr id="3665572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3050" cy="673100"/>
                    </a:xfrm>
                    <a:prstGeom prst="rect">
                      <a:avLst/>
                    </a:prstGeom>
                    <a:noFill/>
                    <a:ln>
                      <a:noFill/>
                    </a:ln>
                  </pic:spPr>
                </pic:pic>
              </a:graphicData>
            </a:graphic>
          </wp:inline>
        </w:drawing>
      </w:r>
    </w:p>
    <w:p w14:paraId="138D02EA" w14:textId="77777777" w:rsidR="00BB6382" w:rsidRPr="00457C00" w:rsidRDefault="00BB6382" w:rsidP="00BB6382">
      <w:pPr>
        <w:jc w:val="center"/>
        <w:rPr>
          <w:rFonts w:ascii="Arial" w:hAnsi="Arial" w:cs="Arial"/>
          <w:lang w:val="en-US"/>
        </w:rPr>
      </w:pPr>
      <w:r w:rsidRPr="00457C00">
        <w:rPr>
          <w:rFonts w:ascii="Arial" w:hAnsi="Arial" w:cs="Arial"/>
          <w:lang w:val="en-US"/>
        </w:rPr>
        <w:t>Master of Business Administration</w:t>
      </w:r>
    </w:p>
    <w:p w14:paraId="23B583A8" w14:textId="77777777" w:rsidR="00BB6382" w:rsidRPr="00457C00" w:rsidRDefault="00BB6382" w:rsidP="00BB6382">
      <w:pPr>
        <w:jc w:val="center"/>
        <w:rPr>
          <w:rFonts w:ascii="Arial" w:hAnsi="Arial" w:cs="Arial"/>
          <w:lang w:val="en-US"/>
        </w:rPr>
      </w:pPr>
      <w:r w:rsidRPr="00457C00">
        <w:rPr>
          <w:rFonts w:ascii="Arial" w:hAnsi="Arial" w:cs="Arial"/>
          <w:lang w:val="en-US"/>
        </w:rPr>
        <w:t>International Business pathway</w:t>
      </w:r>
    </w:p>
    <w:p w14:paraId="058883CD" w14:textId="77777777" w:rsidR="00BB6382" w:rsidRPr="00457C00" w:rsidRDefault="00BB6382" w:rsidP="00BB6382">
      <w:pPr>
        <w:jc w:val="center"/>
        <w:rPr>
          <w:rFonts w:ascii="Arial" w:hAnsi="Arial" w:cs="Arial"/>
          <w:lang w:val="en-US"/>
        </w:rPr>
      </w:pPr>
    </w:p>
    <w:p w14:paraId="6134F2B0" w14:textId="3E191E7B" w:rsidR="00BB6382" w:rsidRPr="00457C00" w:rsidRDefault="00BB6382" w:rsidP="00BB6382">
      <w:pPr>
        <w:jc w:val="center"/>
        <w:rPr>
          <w:rFonts w:ascii="Arial" w:hAnsi="Arial" w:cs="Arial"/>
          <w:lang w:val="en-US"/>
        </w:rPr>
      </w:pPr>
      <w:r w:rsidRPr="00457C00">
        <w:rPr>
          <w:rFonts w:ascii="Arial" w:hAnsi="Arial" w:cs="Arial"/>
          <w:noProof/>
          <w:lang w:val="en-US"/>
        </w:rPr>
        <w:drawing>
          <wp:inline distT="0" distB="0" distL="0" distR="0" wp14:anchorId="0C05DDB7" wp14:editId="7536459A">
            <wp:extent cx="2254250" cy="1619250"/>
            <wp:effectExtent l="0" t="0" r="0" b="0"/>
            <wp:docPr id="15253564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4250" cy="1619250"/>
                    </a:xfrm>
                    <a:prstGeom prst="rect">
                      <a:avLst/>
                    </a:prstGeom>
                    <a:noFill/>
                    <a:ln>
                      <a:noFill/>
                    </a:ln>
                  </pic:spPr>
                </pic:pic>
              </a:graphicData>
            </a:graphic>
          </wp:inline>
        </w:drawing>
      </w:r>
    </w:p>
    <w:p w14:paraId="474F3203" w14:textId="77777777" w:rsidR="00BB6382" w:rsidRPr="00457C00" w:rsidRDefault="00BB6382" w:rsidP="00BB6382">
      <w:pPr>
        <w:jc w:val="center"/>
        <w:rPr>
          <w:rFonts w:ascii="Arial" w:hAnsi="Arial" w:cs="Arial"/>
          <w:lang w:val="en-US"/>
        </w:rPr>
      </w:pPr>
      <w:r w:rsidRPr="00457C00">
        <w:rPr>
          <w:rFonts w:ascii="Arial" w:hAnsi="Arial" w:cs="Arial"/>
          <w:b/>
          <w:bCs/>
          <w:lang w:val="en-US"/>
        </w:rPr>
        <w:t>Contemporary employability skills</w:t>
      </w:r>
    </w:p>
    <w:p w14:paraId="443E8265" w14:textId="32BEF403" w:rsidR="00BB6382" w:rsidRPr="00457C00" w:rsidRDefault="00BB6382" w:rsidP="00BB6382">
      <w:pPr>
        <w:jc w:val="center"/>
        <w:rPr>
          <w:rFonts w:ascii="Arial" w:hAnsi="Arial" w:cs="Arial"/>
          <w:lang w:val="en-US"/>
        </w:rPr>
      </w:pPr>
      <w:r w:rsidRPr="00457C00">
        <w:rPr>
          <w:rFonts w:ascii="Arial" w:hAnsi="Arial" w:cs="Arial"/>
          <w:lang w:val="en-US"/>
        </w:rPr>
        <w:t>Assessment 1: Individual report.</w:t>
      </w:r>
      <w:r w:rsidR="00172A09">
        <w:rPr>
          <w:rFonts w:ascii="Arial" w:hAnsi="Arial" w:cs="Arial"/>
          <w:lang w:val="en-US"/>
        </w:rPr>
        <w:t xml:space="preserve"> Weight: 100%</w:t>
      </w:r>
    </w:p>
    <w:p w14:paraId="2D1D2659" w14:textId="27B6C743" w:rsidR="00BB6382" w:rsidRPr="00457C00" w:rsidRDefault="00BB6382" w:rsidP="00BB6382">
      <w:pPr>
        <w:jc w:val="center"/>
        <w:rPr>
          <w:rFonts w:ascii="Arial" w:hAnsi="Arial" w:cs="Arial"/>
          <w:lang w:val="en-US"/>
        </w:rPr>
      </w:pPr>
      <w:r w:rsidRPr="00457C00">
        <w:rPr>
          <w:rFonts w:ascii="Arial" w:hAnsi="Arial" w:cs="Arial"/>
          <w:b/>
          <w:bCs/>
          <w:lang w:val="en-US"/>
        </w:rPr>
        <w:t xml:space="preserve">Module name: </w:t>
      </w:r>
      <w:r w:rsidRPr="00457C00">
        <w:rPr>
          <w:rFonts w:ascii="Arial" w:hAnsi="Arial" w:cs="Arial"/>
          <w:lang w:val="en-US"/>
        </w:rPr>
        <w:t>Strategic Management</w:t>
      </w:r>
    </w:p>
    <w:p w14:paraId="5254ED03" w14:textId="400CFF6E" w:rsidR="00BB6382" w:rsidRPr="00457C00" w:rsidRDefault="00BB6382" w:rsidP="00BB6382">
      <w:pPr>
        <w:jc w:val="center"/>
        <w:rPr>
          <w:rFonts w:ascii="Arial" w:hAnsi="Arial" w:cs="Arial"/>
          <w:b/>
          <w:bCs/>
          <w:lang w:val="en-US"/>
        </w:rPr>
      </w:pPr>
      <w:r w:rsidRPr="00457C00">
        <w:rPr>
          <w:rFonts w:ascii="Arial" w:hAnsi="Arial" w:cs="Arial"/>
          <w:b/>
          <w:bCs/>
          <w:lang w:val="en-US"/>
        </w:rPr>
        <w:t>Module code</w:t>
      </w:r>
      <w:r w:rsidRPr="00457C00">
        <w:rPr>
          <w:rFonts w:ascii="Arial" w:hAnsi="Arial" w:cs="Arial"/>
          <w:lang w:val="en-US"/>
        </w:rPr>
        <w:t>: LCMB7003</w:t>
      </w:r>
    </w:p>
    <w:p w14:paraId="1F156D46" w14:textId="3BA2A593" w:rsidR="00BB6382" w:rsidRPr="00457C00" w:rsidRDefault="00236230" w:rsidP="00BB6382">
      <w:pPr>
        <w:jc w:val="center"/>
        <w:rPr>
          <w:rFonts w:ascii="Arial" w:hAnsi="Arial" w:cs="Arial"/>
          <w:lang w:val="en-US"/>
        </w:rPr>
      </w:pPr>
      <w:r w:rsidRPr="00457C00">
        <w:rPr>
          <w:rFonts w:ascii="Arial" w:hAnsi="Arial" w:cs="Arial"/>
          <w:b/>
          <w:bCs/>
          <w:lang w:val="en-US"/>
        </w:rPr>
        <w:t>Title</w:t>
      </w:r>
      <w:r w:rsidRPr="00457C00">
        <w:rPr>
          <w:rFonts w:ascii="Arial" w:hAnsi="Arial" w:cs="Arial"/>
          <w:lang w:val="en-US"/>
        </w:rPr>
        <w:t xml:space="preserve">: “Strategic Analysis </w:t>
      </w:r>
      <w:r w:rsidR="00457C00" w:rsidRPr="00457C00">
        <w:rPr>
          <w:rFonts w:ascii="Arial" w:hAnsi="Arial" w:cs="Arial"/>
          <w:lang w:val="en-US"/>
        </w:rPr>
        <w:t>Report:</w:t>
      </w:r>
      <w:r w:rsidRPr="00457C00">
        <w:rPr>
          <w:rFonts w:ascii="Arial" w:hAnsi="Arial" w:cs="Arial"/>
          <w:lang w:val="en-US"/>
        </w:rPr>
        <w:t xml:space="preserve"> BYD SEALION 7 in the United Kingdom Market”</w:t>
      </w:r>
    </w:p>
    <w:p w14:paraId="140DE076" w14:textId="7EFF1C6C" w:rsidR="00BB6382" w:rsidRPr="00457C00" w:rsidRDefault="00BB6382" w:rsidP="00BB6382">
      <w:pPr>
        <w:jc w:val="center"/>
        <w:rPr>
          <w:rFonts w:ascii="Arial" w:hAnsi="Arial" w:cs="Arial"/>
          <w:lang w:val="en-US"/>
        </w:rPr>
      </w:pPr>
      <w:r w:rsidRPr="00457C00">
        <w:rPr>
          <w:rFonts w:ascii="Arial" w:hAnsi="Arial" w:cs="Arial"/>
          <w:b/>
          <w:bCs/>
          <w:lang w:val="en-US"/>
        </w:rPr>
        <w:t>Lecturer name</w:t>
      </w:r>
      <w:r w:rsidRPr="00457C00">
        <w:rPr>
          <w:rFonts w:ascii="Arial" w:hAnsi="Arial" w:cs="Arial"/>
          <w:lang w:val="en-US"/>
        </w:rPr>
        <w:t xml:space="preserve">: </w:t>
      </w:r>
      <w:r w:rsidR="00172A09">
        <w:rPr>
          <w:rFonts w:ascii="Arial" w:hAnsi="Arial" w:cs="Arial"/>
          <w:lang w:val="en-US"/>
        </w:rPr>
        <w:t>Dr Hoang Dang Nguyen</w:t>
      </w:r>
    </w:p>
    <w:p w14:paraId="179ADD1F" w14:textId="77777777" w:rsidR="00BB6382" w:rsidRPr="00457C00" w:rsidRDefault="00BB6382" w:rsidP="00236230">
      <w:pPr>
        <w:jc w:val="center"/>
        <w:rPr>
          <w:rFonts w:ascii="Arial" w:hAnsi="Arial" w:cs="Arial"/>
          <w:b/>
          <w:bCs/>
          <w:lang w:val="en-US"/>
        </w:rPr>
      </w:pPr>
      <w:r w:rsidRPr="00457C00">
        <w:rPr>
          <w:rFonts w:ascii="Arial" w:hAnsi="Arial" w:cs="Arial"/>
          <w:b/>
          <w:bCs/>
          <w:lang w:val="en-US"/>
        </w:rPr>
        <w:t>Student name</w:t>
      </w:r>
      <w:r w:rsidRPr="00457C00">
        <w:rPr>
          <w:rFonts w:ascii="Arial" w:hAnsi="Arial" w:cs="Arial"/>
          <w:lang w:val="en-US"/>
        </w:rPr>
        <w:t>: Sharmin Akther</w:t>
      </w:r>
    </w:p>
    <w:p w14:paraId="47F576EA" w14:textId="09182CC4" w:rsidR="00BB6382" w:rsidRDefault="00BB6382" w:rsidP="00236230">
      <w:pPr>
        <w:jc w:val="center"/>
        <w:rPr>
          <w:rFonts w:ascii="Arial" w:hAnsi="Arial" w:cs="Arial"/>
          <w:b/>
          <w:bCs/>
          <w:lang w:val="en-US"/>
        </w:rPr>
      </w:pPr>
      <w:r w:rsidRPr="00457C00">
        <w:rPr>
          <w:rFonts w:ascii="Arial" w:hAnsi="Arial" w:cs="Arial"/>
          <w:b/>
          <w:bCs/>
          <w:lang w:val="en-US"/>
        </w:rPr>
        <w:t>Student ID</w:t>
      </w:r>
      <w:r w:rsidRPr="00457C00">
        <w:rPr>
          <w:rFonts w:ascii="Arial" w:hAnsi="Arial" w:cs="Arial"/>
          <w:lang w:val="en-US"/>
        </w:rPr>
        <w:t>: 2521545</w:t>
      </w:r>
      <w:r w:rsidR="00236230" w:rsidRPr="00457C00">
        <w:rPr>
          <w:rFonts w:ascii="Arial" w:hAnsi="Arial" w:cs="Arial"/>
          <w:b/>
          <w:bCs/>
          <w:lang w:val="en-US"/>
        </w:rPr>
        <w:t xml:space="preserve"> </w:t>
      </w:r>
    </w:p>
    <w:p w14:paraId="5BA74E91" w14:textId="584C1A5B" w:rsidR="00324764" w:rsidRPr="00457C00" w:rsidRDefault="00324764" w:rsidP="00236230">
      <w:pPr>
        <w:jc w:val="center"/>
        <w:rPr>
          <w:rFonts w:ascii="Arial" w:hAnsi="Arial" w:cs="Arial"/>
          <w:b/>
          <w:bCs/>
          <w:lang w:val="en-US"/>
        </w:rPr>
      </w:pPr>
      <w:r>
        <w:rPr>
          <w:rFonts w:ascii="Arial" w:hAnsi="Arial" w:cs="Arial"/>
          <w:b/>
          <w:bCs/>
          <w:lang w:val="en-US"/>
        </w:rPr>
        <w:t>Group :</w:t>
      </w:r>
      <w:r w:rsidRPr="00324764">
        <w:rPr>
          <w:rFonts w:ascii="Arial" w:hAnsi="Arial" w:cs="Arial"/>
          <w:lang w:val="en-US"/>
        </w:rPr>
        <w:t>02</w:t>
      </w:r>
    </w:p>
    <w:p w14:paraId="0932F3A5" w14:textId="123754C0" w:rsidR="00236230" w:rsidRPr="00457C00" w:rsidRDefault="00236230" w:rsidP="00236230">
      <w:pPr>
        <w:jc w:val="center"/>
        <w:rPr>
          <w:rFonts w:ascii="Arial" w:hAnsi="Arial" w:cs="Arial"/>
          <w:b/>
          <w:bCs/>
          <w:lang w:val="en-US"/>
        </w:rPr>
      </w:pPr>
      <w:r w:rsidRPr="00457C00">
        <w:rPr>
          <w:rFonts w:ascii="Arial" w:hAnsi="Arial" w:cs="Arial"/>
          <w:b/>
          <w:bCs/>
          <w:lang w:val="en-US"/>
        </w:rPr>
        <w:t>Word Count:</w:t>
      </w:r>
      <w:r w:rsidR="00457C00">
        <w:rPr>
          <w:rFonts w:ascii="Arial" w:hAnsi="Arial" w:cs="Arial"/>
          <w:b/>
          <w:bCs/>
          <w:lang w:val="en-US"/>
        </w:rPr>
        <w:t xml:space="preserve"> </w:t>
      </w:r>
      <w:r w:rsidRPr="00457C00">
        <w:rPr>
          <w:rFonts w:ascii="Arial" w:hAnsi="Arial" w:cs="Arial"/>
          <w:lang w:val="en-US"/>
        </w:rPr>
        <w:t>5464</w:t>
      </w:r>
    </w:p>
    <w:p w14:paraId="14F14281" w14:textId="77777777" w:rsidR="00236230" w:rsidRPr="00BB6382" w:rsidRDefault="00236230" w:rsidP="00236230">
      <w:pPr>
        <w:jc w:val="center"/>
        <w:rPr>
          <w:lang w:val="en-US"/>
        </w:rPr>
      </w:pPr>
    </w:p>
    <w:p w14:paraId="01E283DF" w14:textId="77777777" w:rsidR="00904CAD" w:rsidRDefault="00904CAD">
      <w:r>
        <w:br w:type="page"/>
      </w:r>
    </w:p>
    <w:p w14:paraId="23F4F1D9" w14:textId="7E587E62" w:rsidR="00904CAD" w:rsidRPr="00904CAD" w:rsidRDefault="00725AAE" w:rsidP="00904CAD">
      <w:pPr>
        <w:pStyle w:val="Heading1"/>
      </w:pPr>
      <w:bookmarkStart w:id="0" w:name="_Toc237386295"/>
      <w:r>
        <w:lastRenderedPageBreak/>
        <w:t xml:space="preserve">AI </w:t>
      </w:r>
      <w:r w:rsidR="00904CAD" w:rsidRPr="00904CAD">
        <w:t>Acknowledgement</w:t>
      </w:r>
      <w:bookmarkEnd w:id="0"/>
    </w:p>
    <w:p w14:paraId="29CD05C7" w14:textId="2DA59696" w:rsidR="003F18E9" w:rsidRPr="003F18E9" w:rsidRDefault="003F18E9" w:rsidP="003F18E9">
      <w:pPr>
        <w:jc w:val="both"/>
        <w:rPr>
          <w:rFonts w:ascii="Arial" w:hAnsi="Arial" w:cs="Arial"/>
        </w:rPr>
      </w:pPr>
      <w:r w:rsidRPr="003F18E9">
        <w:rPr>
          <w:rFonts w:ascii="Arial" w:hAnsi="Arial" w:cs="Arial"/>
        </w:rPr>
        <w:t xml:space="preserve">I acknowledge the use of Grammarly (https://www.grammarly.com/) on </w:t>
      </w:r>
      <w:r>
        <w:rPr>
          <w:rFonts w:ascii="Arial" w:hAnsi="Arial" w:cs="Arial"/>
        </w:rPr>
        <w:t>1st</w:t>
      </w:r>
      <w:r w:rsidRPr="003F18E9">
        <w:rPr>
          <w:rFonts w:ascii="Arial" w:hAnsi="Arial" w:cs="Arial"/>
        </w:rPr>
        <w:t xml:space="preserve"> August 2026 to check my work using the prompt(s):</w:t>
      </w:r>
    </w:p>
    <w:p w14:paraId="37A4DFF5" w14:textId="7E5F28A0" w:rsidR="003F18E9" w:rsidRPr="003F18E9" w:rsidRDefault="003F18E9" w:rsidP="003F18E9">
      <w:pPr>
        <w:jc w:val="both"/>
        <w:rPr>
          <w:rFonts w:ascii="Arial" w:hAnsi="Arial" w:cs="Arial"/>
        </w:rPr>
      </w:pPr>
      <w:r w:rsidRPr="003F18E9">
        <w:rPr>
          <w:rFonts w:ascii="Arial" w:hAnsi="Arial" w:cs="Arial"/>
        </w:rPr>
        <w:t>1.check the following text for readability, grammar and syntax.</w:t>
      </w:r>
    </w:p>
    <w:p w14:paraId="2017E8FD" w14:textId="23A66F5F" w:rsidR="003F18E9" w:rsidRPr="003F18E9" w:rsidRDefault="003F18E9" w:rsidP="003F18E9">
      <w:pPr>
        <w:jc w:val="both"/>
        <w:rPr>
          <w:rFonts w:ascii="Arial" w:hAnsi="Arial" w:cs="Arial"/>
        </w:rPr>
      </w:pPr>
      <w:r w:rsidRPr="003F18E9">
        <w:rPr>
          <w:rFonts w:ascii="Arial" w:hAnsi="Arial" w:cs="Arial"/>
        </w:rPr>
        <w:t>2. Check consistency of the style of citation and referencing (Harvard Style).</w:t>
      </w:r>
    </w:p>
    <w:p w14:paraId="1EB6A52D" w14:textId="5052048E" w:rsidR="00522A70" w:rsidRDefault="003F18E9" w:rsidP="003F18E9">
      <w:pPr>
        <w:jc w:val="both"/>
      </w:pPr>
      <w:r w:rsidRPr="003F18E9">
        <w:rPr>
          <w:rFonts w:ascii="Arial" w:hAnsi="Arial" w:cs="Arial"/>
        </w:rPr>
        <w:t>I have not submitted any text I have created using Al as my own work. I confirm that I have copies of my drafts, notes and other resources used prior to and following the use of Al tools that may be required for evidence.</w:t>
      </w:r>
      <w:r w:rsidR="00522A70">
        <w:br w:type="page"/>
      </w:r>
    </w:p>
    <w:sdt>
      <w:sdtPr>
        <w:rPr>
          <w:rFonts w:asciiTheme="minorBidi" w:eastAsia="Times New Roman" w:hAnsiTheme="minorBidi" w:cstheme="minorBidi"/>
          <w:color w:val="auto"/>
          <w:sz w:val="24"/>
          <w:szCs w:val="24"/>
          <w:lang w:val="en-GB" w:eastAsia="en-GB"/>
        </w:rPr>
        <w:id w:val="-1621765592"/>
        <w:docPartObj>
          <w:docPartGallery w:val="Table of Contents"/>
          <w:docPartUnique/>
        </w:docPartObj>
      </w:sdtPr>
      <w:sdtEndPr>
        <w:rPr>
          <w:b/>
          <w:bCs/>
          <w:noProof/>
        </w:rPr>
      </w:sdtEndPr>
      <w:sdtContent>
        <w:p w14:paraId="0D773FA1" w14:textId="614FDBA9" w:rsidR="00522A70" w:rsidRPr="00522A70" w:rsidRDefault="00522A70" w:rsidP="00522A70">
          <w:pPr>
            <w:pStyle w:val="TOCHeading"/>
            <w:spacing w:line="360" w:lineRule="auto"/>
            <w:jc w:val="center"/>
            <w:rPr>
              <w:rFonts w:asciiTheme="minorBidi" w:hAnsiTheme="minorBidi" w:cstheme="minorBidi"/>
              <w:b/>
              <w:bCs/>
            </w:rPr>
          </w:pPr>
          <w:r w:rsidRPr="00522A70">
            <w:rPr>
              <w:rFonts w:asciiTheme="minorBidi" w:hAnsiTheme="minorBidi" w:cstheme="minorBidi"/>
              <w:b/>
              <w:bCs/>
            </w:rPr>
            <w:t>Table of Contents</w:t>
          </w:r>
        </w:p>
        <w:p w14:paraId="03DC546A" w14:textId="03C7C7E5" w:rsidR="00904CAD" w:rsidRPr="00904CAD" w:rsidRDefault="00522A70">
          <w:pPr>
            <w:pStyle w:val="TOC1"/>
            <w:tabs>
              <w:tab w:val="right" w:leader="dot" w:pos="8296"/>
            </w:tabs>
            <w:rPr>
              <w:rFonts w:ascii="Arial" w:eastAsiaTheme="minorEastAsia" w:hAnsi="Arial" w:cs="Arial"/>
              <w:noProof/>
              <w:sz w:val="22"/>
              <w:szCs w:val="22"/>
            </w:rPr>
          </w:pPr>
          <w:r w:rsidRPr="00522A70">
            <w:rPr>
              <w:rFonts w:asciiTheme="minorBidi" w:hAnsiTheme="minorBidi" w:cstheme="minorBidi"/>
            </w:rPr>
            <w:fldChar w:fldCharType="begin"/>
          </w:r>
          <w:r w:rsidRPr="00522A70">
            <w:rPr>
              <w:rFonts w:asciiTheme="minorBidi" w:hAnsiTheme="minorBidi" w:cstheme="minorBidi"/>
            </w:rPr>
            <w:instrText xml:space="preserve"> TOC \o "1-3" \h \z \u </w:instrText>
          </w:r>
          <w:r w:rsidRPr="00522A70">
            <w:rPr>
              <w:rFonts w:asciiTheme="minorBidi" w:hAnsiTheme="minorBidi" w:cstheme="minorBidi"/>
            </w:rPr>
            <w:fldChar w:fldCharType="separate"/>
          </w:r>
          <w:hyperlink w:anchor="_Toc237386295" w:history="1">
            <w:r w:rsidR="00904CAD" w:rsidRPr="00904CAD">
              <w:rPr>
                <w:rStyle w:val="Hyperlink"/>
                <w:rFonts w:ascii="Arial" w:hAnsi="Arial" w:cs="Arial"/>
                <w:noProof/>
              </w:rPr>
              <w:t>Acknowledgement</w:t>
            </w:r>
            <w:r w:rsidR="00904CAD" w:rsidRPr="00904CAD">
              <w:rPr>
                <w:rFonts w:ascii="Arial" w:hAnsi="Arial" w:cs="Arial"/>
                <w:noProof/>
                <w:webHidden/>
              </w:rPr>
              <w:tab/>
            </w:r>
            <w:r w:rsidR="00904CAD" w:rsidRPr="00904CAD">
              <w:rPr>
                <w:rFonts w:ascii="Arial" w:hAnsi="Arial" w:cs="Arial"/>
                <w:noProof/>
                <w:webHidden/>
              </w:rPr>
              <w:fldChar w:fldCharType="begin"/>
            </w:r>
            <w:r w:rsidR="00904CAD" w:rsidRPr="00904CAD">
              <w:rPr>
                <w:rFonts w:ascii="Arial" w:hAnsi="Arial" w:cs="Arial"/>
                <w:noProof/>
                <w:webHidden/>
              </w:rPr>
              <w:instrText xml:space="preserve"> PAGEREF _Toc237386295 \h </w:instrText>
            </w:r>
            <w:r w:rsidR="00904CAD" w:rsidRPr="00904CAD">
              <w:rPr>
                <w:rFonts w:ascii="Arial" w:hAnsi="Arial" w:cs="Arial"/>
                <w:noProof/>
                <w:webHidden/>
              </w:rPr>
            </w:r>
            <w:r w:rsidR="00904CAD" w:rsidRPr="00904CAD">
              <w:rPr>
                <w:rFonts w:ascii="Arial" w:hAnsi="Arial" w:cs="Arial"/>
                <w:noProof/>
                <w:webHidden/>
              </w:rPr>
              <w:fldChar w:fldCharType="separate"/>
            </w:r>
            <w:r w:rsidR="00904CAD" w:rsidRPr="00904CAD">
              <w:rPr>
                <w:rFonts w:ascii="Arial" w:hAnsi="Arial" w:cs="Arial"/>
                <w:noProof/>
                <w:webHidden/>
              </w:rPr>
              <w:t>2</w:t>
            </w:r>
            <w:r w:rsidR="00904CAD" w:rsidRPr="00904CAD">
              <w:rPr>
                <w:rFonts w:ascii="Arial" w:hAnsi="Arial" w:cs="Arial"/>
                <w:noProof/>
                <w:webHidden/>
              </w:rPr>
              <w:fldChar w:fldCharType="end"/>
            </w:r>
          </w:hyperlink>
        </w:p>
        <w:p w14:paraId="369F19E9" w14:textId="59577014" w:rsidR="00904CAD" w:rsidRPr="00904CAD" w:rsidRDefault="00904CAD">
          <w:pPr>
            <w:pStyle w:val="TOC1"/>
            <w:tabs>
              <w:tab w:val="right" w:leader="dot" w:pos="8296"/>
            </w:tabs>
            <w:rPr>
              <w:rFonts w:ascii="Arial" w:eastAsiaTheme="minorEastAsia" w:hAnsi="Arial" w:cs="Arial"/>
              <w:noProof/>
              <w:sz w:val="22"/>
              <w:szCs w:val="22"/>
            </w:rPr>
          </w:pPr>
          <w:hyperlink w:anchor="_Toc237386296" w:history="1">
            <w:r w:rsidRPr="00904CAD">
              <w:rPr>
                <w:rStyle w:val="Hyperlink"/>
                <w:rFonts w:ascii="Arial" w:hAnsi="Arial" w:cs="Arial"/>
                <w:noProof/>
              </w:rPr>
              <w:t>1. Introduction</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_Toc237386296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4</w:t>
            </w:r>
            <w:r w:rsidRPr="00904CAD">
              <w:rPr>
                <w:rFonts w:ascii="Arial" w:hAnsi="Arial" w:cs="Arial"/>
                <w:noProof/>
                <w:webHidden/>
              </w:rPr>
              <w:fldChar w:fldCharType="end"/>
            </w:r>
          </w:hyperlink>
        </w:p>
        <w:p w14:paraId="10B1CA5A" w14:textId="2D5F2844" w:rsidR="00904CAD" w:rsidRPr="00904CAD" w:rsidRDefault="00904CAD">
          <w:pPr>
            <w:pStyle w:val="TOC1"/>
            <w:tabs>
              <w:tab w:val="right" w:leader="dot" w:pos="8296"/>
            </w:tabs>
            <w:rPr>
              <w:rFonts w:ascii="Arial" w:eastAsiaTheme="minorEastAsia" w:hAnsi="Arial" w:cs="Arial"/>
              <w:noProof/>
              <w:sz w:val="22"/>
              <w:szCs w:val="22"/>
            </w:rPr>
          </w:pPr>
          <w:hyperlink w:anchor="_Toc237386297" w:history="1">
            <w:r w:rsidRPr="00904CAD">
              <w:rPr>
                <w:rStyle w:val="Hyperlink"/>
                <w:rFonts w:ascii="Arial" w:hAnsi="Arial" w:cs="Arial"/>
                <w:noProof/>
              </w:rPr>
              <w:t>Section 1: Strategic Analysis Report</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_Toc237386297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5</w:t>
            </w:r>
            <w:r w:rsidRPr="00904CAD">
              <w:rPr>
                <w:rFonts w:ascii="Arial" w:hAnsi="Arial" w:cs="Arial"/>
                <w:noProof/>
                <w:webHidden/>
              </w:rPr>
              <w:fldChar w:fldCharType="end"/>
            </w:r>
          </w:hyperlink>
        </w:p>
        <w:p w14:paraId="0FAC95D9" w14:textId="5C5AF65F" w:rsidR="00904CAD" w:rsidRPr="00904CAD" w:rsidRDefault="00904CAD">
          <w:pPr>
            <w:pStyle w:val="TOC1"/>
            <w:tabs>
              <w:tab w:val="right" w:leader="dot" w:pos="8296"/>
            </w:tabs>
            <w:rPr>
              <w:rFonts w:ascii="Arial" w:eastAsiaTheme="minorEastAsia" w:hAnsi="Arial" w:cs="Arial"/>
              <w:noProof/>
              <w:sz w:val="22"/>
              <w:szCs w:val="22"/>
            </w:rPr>
          </w:pPr>
          <w:hyperlink w:anchor="_Toc237386298" w:history="1">
            <w:r w:rsidRPr="00904CAD">
              <w:rPr>
                <w:rStyle w:val="Hyperlink"/>
                <w:rFonts w:ascii="Arial" w:hAnsi="Arial" w:cs="Arial"/>
                <w:noProof/>
              </w:rPr>
              <w:t>2. Organisational Context and Overview</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_Toc237386298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5</w:t>
            </w:r>
            <w:r w:rsidRPr="00904CAD">
              <w:rPr>
                <w:rFonts w:ascii="Arial" w:hAnsi="Arial" w:cs="Arial"/>
                <w:noProof/>
                <w:webHidden/>
              </w:rPr>
              <w:fldChar w:fldCharType="end"/>
            </w:r>
          </w:hyperlink>
        </w:p>
        <w:p w14:paraId="6AFD4D51" w14:textId="23B26680" w:rsidR="00904CAD" w:rsidRPr="00904CAD" w:rsidRDefault="00904CAD">
          <w:pPr>
            <w:pStyle w:val="TOC1"/>
            <w:tabs>
              <w:tab w:val="right" w:leader="dot" w:pos="8296"/>
            </w:tabs>
            <w:rPr>
              <w:rFonts w:ascii="Arial" w:eastAsiaTheme="minorEastAsia" w:hAnsi="Arial" w:cs="Arial"/>
              <w:noProof/>
              <w:sz w:val="22"/>
              <w:szCs w:val="22"/>
            </w:rPr>
          </w:pPr>
          <w:hyperlink w:anchor="_Toc237386299" w:history="1">
            <w:r w:rsidRPr="00904CAD">
              <w:rPr>
                <w:rStyle w:val="Hyperlink"/>
                <w:rFonts w:ascii="Arial" w:hAnsi="Arial" w:cs="Arial"/>
                <w:noProof/>
              </w:rPr>
              <w:t>3. External and Internal Analysis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_Toc237386299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7</w:t>
            </w:r>
            <w:r w:rsidRPr="00904CAD">
              <w:rPr>
                <w:rFonts w:ascii="Arial" w:hAnsi="Arial" w:cs="Arial"/>
                <w:noProof/>
                <w:webHidden/>
              </w:rPr>
              <w:fldChar w:fldCharType="end"/>
            </w:r>
          </w:hyperlink>
        </w:p>
        <w:p w14:paraId="128C1211" w14:textId="06B5F92D" w:rsidR="00904CAD" w:rsidRPr="00904CAD" w:rsidRDefault="00904CAD">
          <w:pPr>
            <w:pStyle w:val="TOC2"/>
            <w:tabs>
              <w:tab w:val="right" w:leader="dot" w:pos="8296"/>
            </w:tabs>
            <w:rPr>
              <w:rFonts w:ascii="Arial" w:eastAsiaTheme="minorEastAsia" w:hAnsi="Arial" w:cs="Arial"/>
              <w:noProof/>
              <w:sz w:val="22"/>
              <w:szCs w:val="22"/>
            </w:rPr>
          </w:pPr>
          <w:hyperlink w:anchor="_Toc237386300" w:history="1">
            <w:r w:rsidRPr="00904CAD">
              <w:rPr>
                <w:rStyle w:val="Hyperlink"/>
                <w:rFonts w:ascii="Arial" w:hAnsi="Arial" w:cs="Arial"/>
                <w:noProof/>
              </w:rPr>
              <w:t>3.1 PESTEL Analysis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_Toc237386300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7</w:t>
            </w:r>
            <w:r w:rsidRPr="00904CAD">
              <w:rPr>
                <w:rFonts w:ascii="Arial" w:hAnsi="Arial" w:cs="Arial"/>
                <w:noProof/>
                <w:webHidden/>
              </w:rPr>
              <w:fldChar w:fldCharType="end"/>
            </w:r>
          </w:hyperlink>
        </w:p>
        <w:p w14:paraId="229DD08C" w14:textId="16821B21" w:rsidR="00904CAD" w:rsidRPr="00904CAD" w:rsidRDefault="00904CAD">
          <w:pPr>
            <w:pStyle w:val="TOC2"/>
            <w:tabs>
              <w:tab w:val="right" w:leader="dot" w:pos="8296"/>
            </w:tabs>
            <w:rPr>
              <w:rFonts w:ascii="Arial" w:eastAsiaTheme="minorEastAsia" w:hAnsi="Arial" w:cs="Arial"/>
              <w:noProof/>
              <w:sz w:val="22"/>
              <w:szCs w:val="22"/>
            </w:rPr>
          </w:pPr>
          <w:hyperlink w:anchor="_Toc237386301" w:history="1">
            <w:r w:rsidRPr="00904CAD">
              <w:rPr>
                <w:rStyle w:val="Hyperlink"/>
                <w:rFonts w:ascii="Arial" w:hAnsi="Arial" w:cs="Arial"/>
                <w:noProof/>
              </w:rPr>
              <w:t>3.2 VRIO Analysis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_Toc237386301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11</w:t>
            </w:r>
            <w:r w:rsidRPr="00904CAD">
              <w:rPr>
                <w:rFonts w:ascii="Arial" w:hAnsi="Arial" w:cs="Arial"/>
                <w:noProof/>
                <w:webHidden/>
              </w:rPr>
              <w:fldChar w:fldCharType="end"/>
            </w:r>
          </w:hyperlink>
        </w:p>
        <w:p w14:paraId="1B565172" w14:textId="7E54207B" w:rsidR="00904CAD" w:rsidRPr="00904CAD" w:rsidRDefault="00904CAD">
          <w:pPr>
            <w:pStyle w:val="TOC2"/>
            <w:tabs>
              <w:tab w:val="right" w:leader="dot" w:pos="8296"/>
            </w:tabs>
            <w:rPr>
              <w:rFonts w:ascii="Arial" w:eastAsiaTheme="minorEastAsia" w:hAnsi="Arial" w:cs="Arial"/>
              <w:noProof/>
              <w:sz w:val="22"/>
              <w:szCs w:val="22"/>
            </w:rPr>
          </w:pPr>
          <w:hyperlink w:anchor="_Toc237386302" w:history="1">
            <w:r w:rsidRPr="00904CAD">
              <w:rPr>
                <w:rStyle w:val="Hyperlink"/>
                <w:rFonts w:ascii="Arial" w:hAnsi="Arial" w:cs="Arial"/>
                <w:noProof/>
              </w:rPr>
              <w:t>3.3 SWOT Analysis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_Toc237386302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13</w:t>
            </w:r>
            <w:r w:rsidRPr="00904CAD">
              <w:rPr>
                <w:rFonts w:ascii="Arial" w:hAnsi="Arial" w:cs="Arial"/>
                <w:noProof/>
                <w:webHidden/>
              </w:rPr>
              <w:fldChar w:fldCharType="end"/>
            </w:r>
          </w:hyperlink>
        </w:p>
        <w:p w14:paraId="597F39EF" w14:textId="1A36301D" w:rsidR="00904CAD" w:rsidRPr="00904CAD" w:rsidRDefault="00904CAD">
          <w:pPr>
            <w:pStyle w:val="TOC1"/>
            <w:tabs>
              <w:tab w:val="right" w:leader="dot" w:pos="8296"/>
            </w:tabs>
            <w:rPr>
              <w:rFonts w:ascii="Arial" w:eastAsiaTheme="minorEastAsia" w:hAnsi="Arial" w:cs="Arial"/>
              <w:noProof/>
              <w:sz w:val="22"/>
              <w:szCs w:val="22"/>
            </w:rPr>
          </w:pPr>
          <w:hyperlink w:anchor="_Toc237386303" w:history="1">
            <w:r w:rsidRPr="00904CAD">
              <w:rPr>
                <w:rStyle w:val="Hyperlink"/>
                <w:rFonts w:ascii="Arial" w:hAnsi="Arial" w:cs="Arial"/>
                <w:noProof/>
              </w:rPr>
              <w:t>4. Organisational-wide and holistic view</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_Toc237386303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15</w:t>
            </w:r>
            <w:r w:rsidRPr="00904CAD">
              <w:rPr>
                <w:rFonts w:ascii="Arial" w:hAnsi="Arial" w:cs="Arial"/>
                <w:noProof/>
                <w:webHidden/>
              </w:rPr>
              <w:fldChar w:fldCharType="end"/>
            </w:r>
          </w:hyperlink>
        </w:p>
        <w:p w14:paraId="00DE7685" w14:textId="685CE3B0" w:rsidR="00904CAD" w:rsidRPr="00904CAD" w:rsidRDefault="00904CAD">
          <w:pPr>
            <w:pStyle w:val="TOC2"/>
            <w:tabs>
              <w:tab w:val="right" w:leader="dot" w:pos="8296"/>
            </w:tabs>
            <w:rPr>
              <w:rFonts w:ascii="Arial" w:eastAsiaTheme="minorEastAsia" w:hAnsi="Arial" w:cs="Arial"/>
              <w:noProof/>
              <w:sz w:val="22"/>
              <w:szCs w:val="22"/>
            </w:rPr>
          </w:pPr>
          <w:hyperlink w:anchor="_Toc237386304" w:history="1">
            <w:r w:rsidRPr="00904CAD">
              <w:rPr>
                <w:rStyle w:val="Hyperlink"/>
                <w:rFonts w:ascii="Arial" w:hAnsi="Arial" w:cs="Arial"/>
                <w:noProof/>
              </w:rPr>
              <w:t>4.1 Corporate Social Responsibility (CSR) Strategy</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_Toc237386304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15</w:t>
            </w:r>
            <w:r w:rsidRPr="00904CAD">
              <w:rPr>
                <w:rFonts w:ascii="Arial" w:hAnsi="Arial" w:cs="Arial"/>
                <w:noProof/>
                <w:webHidden/>
              </w:rPr>
              <w:fldChar w:fldCharType="end"/>
            </w:r>
          </w:hyperlink>
        </w:p>
        <w:p w14:paraId="717586FC" w14:textId="1E94B366" w:rsidR="00904CAD" w:rsidRPr="00904CAD" w:rsidRDefault="00904CAD">
          <w:pPr>
            <w:pStyle w:val="TOC2"/>
            <w:tabs>
              <w:tab w:val="right" w:leader="dot" w:pos="8296"/>
            </w:tabs>
            <w:rPr>
              <w:rFonts w:ascii="Arial" w:eastAsiaTheme="minorEastAsia" w:hAnsi="Arial" w:cs="Arial"/>
              <w:noProof/>
              <w:sz w:val="22"/>
              <w:szCs w:val="22"/>
            </w:rPr>
          </w:pPr>
          <w:hyperlink w:anchor="_Toc237386305" w:history="1">
            <w:r w:rsidRPr="00904CAD">
              <w:rPr>
                <w:rStyle w:val="Hyperlink"/>
                <w:rFonts w:ascii="Arial" w:hAnsi="Arial" w:cs="Arial"/>
                <w:noProof/>
              </w:rPr>
              <w:t>4.2 Balanced Scorecard Analysis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_Toc237386305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16</w:t>
            </w:r>
            <w:r w:rsidRPr="00904CAD">
              <w:rPr>
                <w:rFonts w:ascii="Arial" w:hAnsi="Arial" w:cs="Arial"/>
                <w:noProof/>
                <w:webHidden/>
              </w:rPr>
              <w:fldChar w:fldCharType="end"/>
            </w:r>
          </w:hyperlink>
        </w:p>
        <w:p w14:paraId="44C85401" w14:textId="382BD64B" w:rsidR="00904CAD" w:rsidRPr="00904CAD" w:rsidRDefault="00904CAD">
          <w:pPr>
            <w:pStyle w:val="TOC1"/>
            <w:tabs>
              <w:tab w:val="right" w:leader="dot" w:pos="8296"/>
            </w:tabs>
            <w:rPr>
              <w:rFonts w:ascii="Arial" w:eastAsiaTheme="minorEastAsia" w:hAnsi="Arial" w:cs="Arial"/>
              <w:noProof/>
              <w:sz w:val="22"/>
              <w:szCs w:val="22"/>
            </w:rPr>
          </w:pPr>
          <w:hyperlink w:anchor="_Toc237386306" w:history="1">
            <w:r w:rsidRPr="00904CAD">
              <w:rPr>
                <w:rStyle w:val="Hyperlink"/>
                <w:rFonts w:ascii="Arial" w:hAnsi="Arial" w:cs="Arial"/>
                <w:noProof/>
              </w:rPr>
              <w:t>5. Strategic Decisions and Action</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_Toc237386306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20</w:t>
            </w:r>
            <w:r w:rsidRPr="00904CAD">
              <w:rPr>
                <w:rFonts w:ascii="Arial" w:hAnsi="Arial" w:cs="Arial"/>
                <w:noProof/>
                <w:webHidden/>
              </w:rPr>
              <w:fldChar w:fldCharType="end"/>
            </w:r>
          </w:hyperlink>
        </w:p>
        <w:p w14:paraId="544B834D" w14:textId="4E3F44CB" w:rsidR="00904CAD" w:rsidRPr="00904CAD" w:rsidRDefault="00904CAD">
          <w:pPr>
            <w:pStyle w:val="TOC2"/>
            <w:tabs>
              <w:tab w:val="right" w:leader="dot" w:pos="8296"/>
            </w:tabs>
            <w:rPr>
              <w:rFonts w:ascii="Arial" w:eastAsiaTheme="minorEastAsia" w:hAnsi="Arial" w:cs="Arial"/>
              <w:noProof/>
              <w:sz w:val="22"/>
              <w:szCs w:val="22"/>
            </w:rPr>
          </w:pPr>
          <w:hyperlink w:anchor="_Toc237386307" w:history="1">
            <w:r w:rsidRPr="00904CAD">
              <w:rPr>
                <w:rStyle w:val="Hyperlink"/>
                <w:rFonts w:ascii="Arial" w:hAnsi="Arial" w:cs="Arial"/>
                <w:noProof/>
              </w:rPr>
              <w:t>5.1 Business-Level Strategic Choices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_Toc237386307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20</w:t>
            </w:r>
            <w:r w:rsidRPr="00904CAD">
              <w:rPr>
                <w:rFonts w:ascii="Arial" w:hAnsi="Arial" w:cs="Arial"/>
                <w:noProof/>
                <w:webHidden/>
              </w:rPr>
              <w:fldChar w:fldCharType="end"/>
            </w:r>
          </w:hyperlink>
        </w:p>
        <w:p w14:paraId="6FF9121D" w14:textId="3B0EDEC5" w:rsidR="00904CAD" w:rsidRPr="00904CAD" w:rsidRDefault="00904CAD">
          <w:pPr>
            <w:pStyle w:val="TOC2"/>
            <w:tabs>
              <w:tab w:val="right" w:leader="dot" w:pos="8296"/>
            </w:tabs>
            <w:rPr>
              <w:rFonts w:ascii="Arial" w:eastAsiaTheme="minorEastAsia" w:hAnsi="Arial" w:cs="Arial"/>
              <w:noProof/>
              <w:sz w:val="22"/>
              <w:szCs w:val="22"/>
            </w:rPr>
          </w:pPr>
          <w:hyperlink w:anchor="_Toc237386308" w:history="1">
            <w:r w:rsidRPr="00904CAD">
              <w:rPr>
                <w:rStyle w:val="Hyperlink"/>
                <w:rFonts w:ascii="Arial" w:hAnsi="Arial" w:cs="Arial"/>
                <w:noProof/>
              </w:rPr>
              <w:t>5.2 Strategy Validation Using Ansoff Matrix</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_Toc237386308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22</w:t>
            </w:r>
            <w:r w:rsidRPr="00904CAD">
              <w:rPr>
                <w:rFonts w:ascii="Arial" w:hAnsi="Arial" w:cs="Arial"/>
                <w:noProof/>
                <w:webHidden/>
              </w:rPr>
              <w:fldChar w:fldCharType="end"/>
            </w:r>
          </w:hyperlink>
        </w:p>
        <w:p w14:paraId="4138C704" w14:textId="2198D1E9" w:rsidR="00904CAD" w:rsidRPr="00904CAD" w:rsidRDefault="00904CAD">
          <w:pPr>
            <w:pStyle w:val="TOC2"/>
            <w:tabs>
              <w:tab w:val="right" w:leader="dot" w:pos="8296"/>
            </w:tabs>
            <w:rPr>
              <w:rFonts w:ascii="Arial" w:eastAsiaTheme="minorEastAsia" w:hAnsi="Arial" w:cs="Arial"/>
              <w:noProof/>
              <w:sz w:val="22"/>
              <w:szCs w:val="22"/>
            </w:rPr>
          </w:pPr>
          <w:hyperlink w:anchor="_Toc237386309" w:history="1">
            <w:r w:rsidRPr="00904CAD">
              <w:rPr>
                <w:rStyle w:val="Hyperlink"/>
                <w:rFonts w:ascii="Arial" w:hAnsi="Arial" w:cs="Arial"/>
                <w:noProof/>
              </w:rPr>
              <w:t>5.3 Implementation Challenges and Solutions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_Toc237386309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23</w:t>
            </w:r>
            <w:r w:rsidRPr="00904CAD">
              <w:rPr>
                <w:rFonts w:ascii="Arial" w:hAnsi="Arial" w:cs="Arial"/>
                <w:noProof/>
                <w:webHidden/>
              </w:rPr>
              <w:fldChar w:fldCharType="end"/>
            </w:r>
          </w:hyperlink>
        </w:p>
        <w:p w14:paraId="3A37AE42" w14:textId="5B8F3D87" w:rsidR="00904CAD" w:rsidRPr="00904CAD" w:rsidRDefault="00904CAD">
          <w:pPr>
            <w:pStyle w:val="TOC1"/>
            <w:tabs>
              <w:tab w:val="right" w:leader="dot" w:pos="8296"/>
            </w:tabs>
            <w:rPr>
              <w:rFonts w:ascii="Arial" w:eastAsiaTheme="minorEastAsia" w:hAnsi="Arial" w:cs="Arial"/>
              <w:noProof/>
              <w:sz w:val="22"/>
              <w:szCs w:val="22"/>
            </w:rPr>
          </w:pPr>
          <w:hyperlink w:anchor="_Toc237386310" w:history="1">
            <w:r w:rsidRPr="00904CAD">
              <w:rPr>
                <w:rStyle w:val="Hyperlink"/>
                <w:rFonts w:ascii="Arial" w:hAnsi="Arial" w:cs="Arial"/>
                <w:noProof/>
              </w:rPr>
              <w:t>Section 2: Reflective Account</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_Toc237386310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26</w:t>
            </w:r>
            <w:r w:rsidRPr="00904CAD">
              <w:rPr>
                <w:rFonts w:ascii="Arial" w:hAnsi="Arial" w:cs="Arial"/>
                <w:noProof/>
                <w:webHidden/>
              </w:rPr>
              <w:fldChar w:fldCharType="end"/>
            </w:r>
          </w:hyperlink>
        </w:p>
        <w:p w14:paraId="0524F099" w14:textId="40565D00" w:rsidR="00904CAD" w:rsidRPr="00904CAD" w:rsidRDefault="00904CAD">
          <w:pPr>
            <w:pStyle w:val="TOC1"/>
            <w:tabs>
              <w:tab w:val="right" w:leader="dot" w:pos="8296"/>
            </w:tabs>
            <w:rPr>
              <w:rFonts w:ascii="Arial" w:eastAsiaTheme="minorEastAsia" w:hAnsi="Arial" w:cs="Arial"/>
              <w:noProof/>
              <w:sz w:val="22"/>
              <w:szCs w:val="22"/>
            </w:rPr>
          </w:pPr>
          <w:hyperlink w:anchor="_Toc237386311" w:history="1">
            <w:r w:rsidRPr="00904CAD">
              <w:rPr>
                <w:rStyle w:val="Hyperlink"/>
                <w:rFonts w:ascii="Arial" w:hAnsi="Arial" w:cs="Arial"/>
                <w:noProof/>
              </w:rPr>
              <w:t>Reflective Account Using Gibbs Reflective Cycle</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_Toc237386311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26</w:t>
            </w:r>
            <w:r w:rsidRPr="00904CAD">
              <w:rPr>
                <w:rFonts w:ascii="Arial" w:hAnsi="Arial" w:cs="Arial"/>
                <w:noProof/>
                <w:webHidden/>
              </w:rPr>
              <w:fldChar w:fldCharType="end"/>
            </w:r>
          </w:hyperlink>
        </w:p>
        <w:p w14:paraId="752ED028" w14:textId="45D41604" w:rsidR="00904CAD" w:rsidRPr="00904CAD" w:rsidRDefault="00904CAD">
          <w:pPr>
            <w:pStyle w:val="TOC1"/>
            <w:tabs>
              <w:tab w:val="right" w:leader="dot" w:pos="8296"/>
            </w:tabs>
            <w:rPr>
              <w:rFonts w:ascii="Arial" w:eastAsiaTheme="minorEastAsia" w:hAnsi="Arial" w:cs="Arial"/>
              <w:noProof/>
              <w:sz w:val="22"/>
              <w:szCs w:val="22"/>
            </w:rPr>
          </w:pPr>
          <w:hyperlink w:anchor="_Toc237386312" w:history="1">
            <w:r w:rsidRPr="00904CAD">
              <w:rPr>
                <w:rStyle w:val="Hyperlink"/>
                <w:rFonts w:ascii="Arial" w:hAnsi="Arial" w:cs="Arial"/>
                <w:noProof/>
              </w:rPr>
              <w:t>References</w:t>
            </w:r>
            <w:r w:rsidRPr="00904CAD">
              <w:rPr>
                <w:rFonts w:ascii="Arial" w:hAnsi="Arial" w:cs="Arial"/>
                <w:noProof/>
                <w:webHidden/>
              </w:rPr>
              <w:tab/>
            </w:r>
            <w:r w:rsidRPr="00904CAD">
              <w:rPr>
                <w:rFonts w:ascii="Arial" w:hAnsi="Arial" w:cs="Arial"/>
                <w:noProof/>
                <w:webHidden/>
              </w:rPr>
              <w:fldChar w:fldCharType="begin"/>
            </w:r>
            <w:r w:rsidRPr="00904CAD">
              <w:rPr>
                <w:rFonts w:ascii="Arial" w:hAnsi="Arial" w:cs="Arial"/>
                <w:noProof/>
                <w:webHidden/>
              </w:rPr>
              <w:instrText xml:space="preserve"> PAGEREF _Toc237386312 \h </w:instrText>
            </w:r>
            <w:r w:rsidRPr="00904CAD">
              <w:rPr>
                <w:rFonts w:ascii="Arial" w:hAnsi="Arial" w:cs="Arial"/>
                <w:noProof/>
                <w:webHidden/>
              </w:rPr>
            </w:r>
            <w:r w:rsidRPr="00904CAD">
              <w:rPr>
                <w:rFonts w:ascii="Arial" w:hAnsi="Arial" w:cs="Arial"/>
                <w:noProof/>
                <w:webHidden/>
              </w:rPr>
              <w:fldChar w:fldCharType="separate"/>
            </w:r>
            <w:r w:rsidRPr="00904CAD">
              <w:rPr>
                <w:rFonts w:ascii="Arial" w:hAnsi="Arial" w:cs="Arial"/>
                <w:noProof/>
                <w:webHidden/>
              </w:rPr>
              <w:t>29</w:t>
            </w:r>
            <w:r w:rsidRPr="00904CAD">
              <w:rPr>
                <w:rFonts w:ascii="Arial" w:hAnsi="Arial" w:cs="Arial"/>
                <w:noProof/>
                <w:webHidden/>
              </w:rPr>
              <w:fldChar w:fldCharType="end"/>
            </w:r>
          </w:hyperlink>
        </w:p>
        <w:p w14:paraId="32D0BC5C" w14:textId="1FF47FAD" w:rsidR="00522A70" w:rsidRPr="00522A70" w:rsidRDefault="00522A70" w:rsidP="00522A70">
          <w:pPr>
            <w:rPr>
              <w:rFonts w:asciiTheme="minorBidi" w:hAnsiTheme="minorBidi" w:cstheme="minorBidi"/>
            </w:rPr>
          </w:pPr>
          <w:r w:rsidRPr="00522A70">
            <w:rPr>
              <w:rFonts w:asciiTheme="minorBidi" w:hAnsiTheme="minorBidi" w:cstheme="minorBidi"/>
              <w:b/>
              <w:bCs/>
              <w:noProof/>
            </w:rPr>
            <w:fldChar w:fldCharType="end"/>
          </w:r>
        </w:p>
      </w:sdtContent>
    </w:sdt>
    <w:p w14:paraId="6EE00417" w14:textId="77777777" w:rsidR="00522A70" w:rsidRPr="00522A70" w:rsidRDefault="00522A70" w:rsidP="00522A70">
      <w:pPr>
        <w:rPr>
          <w:rFonts w:asciiTheme="minorBidi" w:hAnsiTheme="minorBidi" w:cstheme="minorBidi"/>
        </w:rPr>
      </w:pPr>
    </w:p>
    <w:p w14:paraId="5E1EE424" w14:textId="7F747C51" w:rsidR="0044686E" w:rsidRPr="00522A70" w:rsidRDefault="00155577" w:rsidP="00522A70">
      <w:pPr>
        <w:jc w:val="both"/>
        <w:rPr>
          <w:rFonts w:asciiTheme="minorBidi" w:hAnsiTheme="minorBidi" w:cstheme="minorBidi"/>
        </w:rPr>
      </w:pPr>
      <w:r w:rsidRPr="00522A70">
        <w:rPr>
          <w:rFonts w:asciiTheme="minorBidi" w:hAnsiTheme="minorBidi" w:cstheme="minorBidi"/>
        </w:rPr>
        <w:br w:type="page"/>
      </w:r>
    </w:p>
    <w:p w14:paraId="62231D68" w14:textId="77777777" w:rsidR="0044686E" w:rsidRPr="009838C8" w:rsidRDefault="00155577" w:rsidP="009838C8">
      <w:pPr>
        <w:pStyle w:val="Heading1"/>
      </w:pPr>
      <w:bookmarkStart w:id="1" w:name="_Toc235746066"/>
      <w:bookmarkStart w:id="2" w:name="_Toc237386296"/>
      <w:r w:rsidRPr="009838C8">
        <w:lastRenderedPageBreak/>
        <w:t>1. Introduction</w:t>
      </w:r>
      <w:bookmarkEnd w:id="1"/>
      <w:bookmarkEnd w:id="2"/>
    </w:p>
    <w:p w14:paraId="2CF09B31" w14:textId="172B9669" w:rsidR="008D5DB8" w:rsidRPr="009838C8" w:rsidRDefault="008D5DB8" w:rsidP="00522A70">
      <w:pPr>
        <w:jc w:val="both"/>
        <w:rPr>
          <w:rFonts w:asciiTheme="minorBidi" w:hAnsiTheme="minorBidi" w:cstheme="minorBidi"/>
        </w:rPr>
      </w:pPr>
      <w:r w:rsidRPr="009838C8">
        <w:rPr>
          <w:rFonts w:asciiTheme="minorBidi" w:hAnsiTheme="minorBidi" w:cstheme="minorBidi"/>
        </w:rPr>
        <w:t xml:space="preserve">Strategic management is a management process whereby organizations establish their long-term direction, make decisions concerning the use of their resources, and develop competitive advantages in the face of dynamic markets. One of the most significant strategic shifts in the past few decades in the global motor vehicle industry is the transition from internal combustion engines to electric vehicles (EVs). Technological innovations have been cited as an important source of competitive advantage for Chinese multinational firms </w:t>
      </w:r>
      <w:proofErr w:type="gramStart"/>
      <w:r w:rsidRPr="009838C8">
        <w:rPr>
          <w:rFonts w:asciiTheme="minorBidi" w:hAnsiTheme="minorBidi" w:cstheme="minorBidi"/>
        </w:rPr>
        <w:t>entering into</w:t>
      </w:r>
      <w:proofErr w:type="gramEnd"/>
      <w:r w:rsidRPr="009838C8">
        <w:rPr>
          <w:rFonts w:asciiTheme="minorBidi" w:hAnsiTheme="minorBidi" w:cstheme="minorBidi"/>
        </w:rPr>
        <w:t xml:space="preserve"> foreign markets (He et al. (2019). The UK government has pledged to phase out sales of new petrol and diesel cars and vans by 2030, and the market for battery electric vehicles (B-EVs) is rapidly expanding.</w:t>
      </w:r>
      <w:r w:rsidR="009838C8">
        <w:rPr>
          <w:rFonts w:asciiTheme="minorBidi" w:hAnsiTheme="minorBidi" w:cstheme="minorBidi"/>
        </w:rPr>
        <w:t xml:space="preserve"> T</w:t>
      </w:r>
      <w:r w:rsidRPr="009838C8">
        <w:rPr>
          <w:rFonts w:asciiTheme="minorBidi" w:hAnsiTheme="minorBidi" w:cstheme="minorBidi"/>
        </w:rPr>
        <w:t>he UK government has made a pledge to end the sales of new petrol and diesel vehicles by 2030, creating a growing market for battery electric vehicles (B-EVs). This policy landscape offers opportunities and challenges for new players that are being brought into the UK motor industry.</w:t>
      </w:r>
      <w:r w:rsidR="00522A70">
        <w:rPr>
          <w:rFonts w:asciiTheme="minorBidi" w:hAnsiTheme="minorBidi" w:cstheme="minorBidi"/>
        </w:rPr>
        <w:t xml:space="preserve"> </w:t>
      </w:r>
      <w:r w:rsidRPr="009838C8">
        <w:rPr>
          <w:rFonts w:asciiTheme="minorBidi" w:hAnsiTheme="minorBidi" w:cstheme="minorBidi"/>
        </w:rPr>
        <w:t>This report concentrates on the Chinese multinational company: BYD and their SEALION 7 electric SUV in the UK market. With its rapid growth and expansion from a battery manufacturing company to the world's largest maker of new energy vehicles, BYD's SEALION 7 is a very important product in its UK market strategy. As noted by Hossain (2024), Chinese companies like BYD have been steadily gaining market share in the global EV sector, benefiting from technological advancements and cost effectiveness.</w:t>
      </w:r>
      <w:r w:rsidR="00522A70">
        <w:rPr>
          <w:rFonts w:asciiTheme="minorBidi" w:hAnsiTheme="minorBidi" w:cstheme="minorBidi"/>
        </w:rPr>
        <w:t xml:space="preserve"> </w:t>
      </w:r>
      <w:r w:rsidRPr="009838C8">
        <w:rPr>
          <w:rFonts w:asciiTheme="minorBidi" w:hAnsiTheme="minorBidi" w:cstheme="minorBidi"/>
        </w:rPr>
        <w:t>The report is divided into two sections: In section 1, a detailed strategic analysis is conducted on the external and the internal environment, corporate social responsibility, balanced score card analysis and the strategic options for BYD SEALION 7 in the UK market. In Section 2, the reader will find the reflective story of the research and analysis process, following the Gibbs Reflective Cycle.</w:t>
      </w:r>
    </w:p>
    <w:p w14:paraId="783B0EBC" w14:textId="77777777" w:rsidR="00522A70" w:rsidRDefault="00522A70">
      <w:pPr>
        <w:rPr>
          <w:rFonts w:ascii="Arial" w:hAnsi="Arial"/>
          <w:b/>
          <w:bCs/>
          <w:color w:val="002060"/>
          <w:sz w:val="32"/>
          <w:szCs w:val="32"/>
        </w:rPr>
      </w:pPr>
      <w:r>
        <w:br w:type="page"/>
      </w:r>
    </w:p>
    <w:p w14:paraId="257E849D" w14:textId="7E35FD15" w:rsidR="008D5DB8" w:rsidRPr="009838C8" w:rsidRDefault="008D5DB8" w:rsidP="009838C8">
      <w:pPr>
        <w:pStyle w:val="Heading1"/>
      </w:pPr>
      <w:bookmarkStart w:id="3" w:name="_Toc237386297"/>
      <w:r w:rsidRPr="009838C8">
        <w:lastRenderedPageBreak/>
        <w:t>Section 1: Strategic Analysis Report</w:t>
      </w:r>
      <w:bookmarkEnd w:id="3"/>
    </w:p>
    <w:p w14:paraId="01B23E66" w14:textId="77777777" w:rsidR="008D5DB8" w:rsidRPr="009838C8" w:rsidRDefault="008D5DB8" w:rsidP="009838C8">
      <w:pPr>
        <w:pStyle w:val="Heading1"/>
      </w:pPr>
      <w:bookmarkStart w:id="4" w:name="_Toc237386298"/>
      <w:r w:rsidRPr="009838C8">
        <w:t>2. Organisational Context and Overview</w:t>
      </w:r>
      <w:bookmarkEnd w:id="4"/>
    </w:p>
    <w:p w14:paraId="2E108DD9" w14:textId="3EF24280" w:rsidR="008D5DB8" w:rsidRDefault="008D5DB8" w:rsidP="009838C8">
      <w:pPr>
        <w:jc w:val="both"/>
        <w:rPr>
          <w:rFonts w:asciiTheme="minorBidi" w:hAnsiTheme="minorBidi" w:cstheme="minorBidi"/>
        </w:rPr>
      </w:pPr>
      <w:r w:rsidRPr="009838C8">
        <w:rPr>
          <w:rFonts w:asciiTheme="minorBidi" w:hAnsiTheme="minorBidi" w:cstheme="minorBidi"/>
        </w:rPr>
        <w:t xml:space="preserve">In 1995, Wang </w:t>
      </w:r>
      <w:proofErr w:type="spellStart"/>
      <w:r w:rsidRPr="009838C8">
        <w:rPr>
          <w:rFonts w:asciiTheme="minorBidi" w:hAnsiTheme="minorBidi" w:cstheme="minorBidi"/>
        </w:rPr>
        <w:t>Chuanfu</w:t>
      </w:r>
      <w:proofErr w:type="spellEnd"/>
      <w:r w:rsidRPr="009838C8">
        <w:rPr>
          <w:rFonts w:asciiTheme="minorBidi" w:hAnsiTheme="minorBidi" w:cstheme="minorBidi"/>
        </w:rPr>
        <w:t xml:space="preserve"> started BYD Company Limited with 20 staff in Shenzhen, China, making rechargeable batteries. During the last 30 years, the company has expanded into a large multinational enterprise in the fields of automobiles, rail transportation, new energy and electronics. In 2003 the company got into the car industry and in 2005 introduced its first model, the F3. In 2022, BYD stopped making internal combustion car models, and concentrated on new energy cars all the way. According to BYD's 2024 revenue report, BYD achieved RMB 777.1 billion (USD 107.1 billion) in revenue and sold 4.27 million new energy cars worldwide in 2024 (BYD, 2025</w:t>
      </w:r>
      <w:r w:rsidR="00904CAD">
        <w:rPr>
          <w:rFonts w:asciiTheme="minorBidi" w:hAnsiTheme="minorBidi" w:cstheme="minorBidi"/>
        </w:rPr>
        <w:t>a</w:t>
      </w:r>
      <w:r w:rsidRPr="009838C8">
        <w:rPr>
          <w:rFonts w:asciiTheme="minorBidi" w:hAnsiTheme="minorBidi" w:cstheme="minorBidi"/>
        </w:rPr>
        <w:t>).</w:t>
      </w:r>
    </w:p>
    <w:p w14:paraId="13584BAC" w14:textId="6AA60B8A" w:rsidR="00457C00" w:rsidRDefault="00457C00" w:rsidP="00457C00">
      <w:pPr>
        <w:jc w:val="center"/>
        <w:rPr>
          <w:rFonts w:asciiTheme="minorBidi" w:hAnsiTheme="minorBidi" w:cstheme="minorBidi"/>
        </w:rPr>
      </w:pPr>
      <w:r>
        <w:rPr>
          <w:rFonts w:asciiTheme="minorBidi" w:hAnsiTheme="minorBidi" w:cstheme="minorBidi"/>
          <w:noProof/>
        </w:rPr>
        <w:drawing>
          <wp:inline distT="0" distB="0" distL="0" distR="0" wp14:anchorId="441826F5" wp14:editId="7461E549">
            <wp:extent cx="4432300" cy="22161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2300" cy="2216150"/>
                    </a:xfrm>
                    <a:prstGeom prst="rect">
                      <a:avLst/>
                    </a:prstGeom>
                    <a:noFill/>
                  </pic:spPr>
                </pic:pic>
              </a:graphicData>
            </a:graphic>
          </wp:inline>
        </w:drawing>
      </w:r>
    </w:p>
    <w:p w14:paraId="7F15AE3B" w14:textId="7AE85AD9" w:rsidR="00457C00" w:rsidRPr="00457C00" w:rsidRDefault="00457C00" w:rsidP="00457C00">
      <w:pPr>
        <w:jc w:val="center"/>
        <w:rPr>
          <w:rFonts w:asciiTheme="minorBidi" w:hAnsiTheme="minorBidi" w:cstheme="minorBidi"/>
          <w:i/>
          <w:iCs/>
        </w:rPr>
      </w:pPr>
      <w:r w:rsidRPr="00457C00">
        <w:rPr>
          <w:rFonts w:asciiTheme="minorBidi" w:hAnsiTheme="minorBidi" w:cstheme="minorBidi"/>
          <w:i/>
          <w:iCs/>
        </w:rPr>
        <w:t xml:space="preserve">Image: BYD SEALION 7 BYD </w:t>
      </w:r>
      <w:r w:rsidR="00904CAD">
        <w:rPr>
          <w:rFonts w:asciiTheme="minorBidi" w:hAnsiTheme="minorBidi" w:cstheme="minorBidi"/>
          <w:i/>
          <w:iCs/>
        </w:rPr>
        <w:t>(</w:t>
      </w:r>
      <w:r w:rsidRPr="00457C00">
        <w:rPr>
          <w:rFonts w:asciiTheme="minorBidi" w:hAnsiTheme="minorBidi" w:cstheme="minorBidi"/>
          <w:i/>
          <w:iCs/>
        </w:rPr>
        <w:t>Company Limited, 2025</w:t>
      </w:r>
      <w:r w:rsidR="00904CAD">
        <w:rPr>
          <w:rFonts w:asciiTheme="minorBidi" w:hAnsiTheme="minorBidi" w:cstheme="minorBidi"/>
          <w:i/>
          <w:iCs/>
        </w:rPr>
        <w:t>a)</w:t>
      </w:r>
    </w:p>
    <w:p w14:paraId="4C1E798D" w14:textId="6EEDF227" w:rsidR="008D5DB8" w:rsidRPr="009838C8" w:rsidRDefault="008D5DB8" w:rsidP="009838C8">
      <w:pPr>
        <w:jc w:val="both"/>
        <w:rPr>
          <w:rFonts w:asciiTheme="minorBidi" w:hAnsiTheme="minorBidi" w:cstheme="minorBidi"/>
        </w:rPr>
      </w:pPr>
      <w:r w:rsidRPr="009838C8">
        <w:rPr>
          <w:rFonts w:asciiTheme="minorBidi" w:hAnsiTheme="minorBidi" w:cstheme="minorBidi"/>
        </w:rPr>
        <w:t xml:space="preserve">BYD's business model is vertically </w:t>
      </w:r>
      <w:proofErr w:type="gramStart"/>
      <w:r w:rsidRPr="009838C8">
        <w:rPr>
          <w:rFonts w:asciiTheme="minorBidi" w:hAnsiTheme="minorBidi" w:cstheme="minorBidi"/>
        </w:rPr>
        <w:t>integrated</w:t>
      </w:r>
      <w:proofErr w:type="gramEnd"/>
      <w:r w:rsidRPr="009838C8">
        <w:rPr>
          <w:rFonts w:asciiTheme="minorBidi" w:hAnsiTheme="minorBidi" w:cstheme="minorBidi"/>
        </w:rPr>
        <w:t xml:space="preserve"> and their mission is “Technological Innovations for a Better Life” with their vision “Cool the Earth by 1°C</w:t>
      </w:r>
      <w:r w:rsidR="000B6AED">
        <w:rPr>
          <w:rFonts w:asciiTheme="minorBidi" w:hAnsiTheme="minorBidi" w:cstheme="minorBidi"/>
        </w:rPr>
        <w:t>” (BYD,2025</w:t>
      </w:r>
      <w:r w:rsidR="00904CAD">
        <w:rPr>
          <w:rFonts w:asciiTheme="minorBidi" w:hAnsiTheme="minorBidi" w:cstheme="minorBidi"/>
        </w:rPr>
        <w:t>b</w:t>
      </w:r>
      <w:r w:rsidR="000B6AED">
        <w:rPr>
          <w:rFonts w:asciiTheme="minorBidi" w:hAnsiTheme="minorBidi" w:cstheme="minorBidi"/>
        </w:rPr>
        <w:t xml:space="preserve">). </w:t>
      </w:r>
      <w:r w:rsidRPr="009838C8">
        <w:rPr>
          <w:rFonts w:asciiTheme="minorBidi" w:hAnsiTheme="minorBidi" w:cstheme="minorBidi"/>
        </w:rPr>
        <w:t>BYD is the only company in the competition to have developed its own batteries, electric motors, semiconductors, and electronic control systems. This vertical integration provides BYD with a valuable strategic asset, which enables them to manage the total production cost and quality (Rong et al., 2017). According to Dixon and Wei (2025), this type of capability with embedded resources can help automotive companies transform their value chains and make their businesses more resilient in global markets.</w:t>
      </w:r>
    </w:p>
    <w:p w14:paraId="73B6BDDC" w14:textId="6297A4EE" w:rsidR="008D5DB8" w:rsidRPr="009838C8" w:rsidRDefault="008D5DB8" w:rsidP="000B6AED">
      <w:pPr>
        <w:jc w:val="both"/>
        <w:rPr>
          <w:rFonts w:asciiTheme="minorBidi" w:hAnsiTheme="minorBidi" w:cstheme="minorBidi"/>
        </w:rPr>
      </w:pPr>
      <w:r w:rsidRPr="009838C8">
        <w:rPr>
          <w:rFonts w:asciiTheme="minorBidi" w:hAnsiTheme="minorBidi" w:cstheme="minorBidi"/>
        </w:rPr>
        <w:t xml:space="preserve">When it comes to electric vehicles in the UK, BYD is a competitor to Tesla, BMW, Volkswagen, Kia, and Hyundai. The SEALION 7 will be joining the </w:t>
      </w:r>
      <w:r w:rsidRPr="009838C8">
        <w:rPr>
          <w:rFonts w:asciiTheme="minorBidi" w:hAnsiTheme="minorBidi" w:cstheme="minorBidi"/>
        </w:rPr>
        <w:lastRenderedPageBreak/>
        <w:t xml:space="preserve">electric SUV market in the UK in early </w:t>
      </w:r>
      <w:proofErr w:type="gramStart"/>
      <w:r w:rsidRPr="009838C8">
        <w:rPr>
          <w:rFonts w:asciiTheme="minorBidi" w:hAnsiTheme="minorBidi" w:cstheme="minorBidi"/>
        </w:rPr>
        <w:t>2025, and</w:t>
      </w:r>
      <w:proofErr w:type="gramEnd"/>
      <w:r w:rsidRPr="009838C8">
        <w:rPr>
          <w:rFonts w:asciiTheme="minorBidi" w:hAnsiTheme="minorBidi" w:cstheme="minorBidi"/>
        </w:rPr>
        <w:t xml:space="preserve"> is targeting the mid-premium sector from a base price of £46,990. This analysis is conducted in the UK as it has been well supported by the government with EV uptake, and it is one of the largest car markets in Europe. In all, BYD has sold 51,422 vehicles in the UK in 2025, and sold 37,995 vehicles in the first half of 2026 alone, a 95% increase on 2025 (BYD UK Media, 2026). The quick growth rate of this market provides with another reason why it's vital to be aware of BYD's strategic position. The SEALION 7 packs in a range of up to 312 miles with 133 mph acceleration and up to 230 kW fast </w:t>
      </w:r>
      <w:proofErr w:type="gramStart"/>
      <w:r w:rsidRPr="009838C8">
        <w:rPr>
          <w:rFonts w:asciiTheme="minorBidi" w:hAnsiTheme="minorBidi" w:cstheme="minorBidi"/>
        </w:rPr>
        <w:t>charge, and</w:t>
      </w:r>
      <w:proofErr w:type="gramEnd"/>
      <w:r w:rsidRPr="009838C8">
        <w:rPr>
          <w:rFonts w:asciiTheme="minorBidi" w:hAnsiTheme="minorBidi" w:cstheme="minorBidi"/>
        </w:rPr>
        <w:t xml:space="preserve"> is a competitive price and spec option compared to the Tesla Model Y, BMW iX3 and Kia EV6</w:t>
      </w:r>
      <w:r w:rsidR="000B6AED">
        <w:rPr>
          <w:rFonts w:asciiTheme="minorBidi" w:hAnsiTheme="minorBidi" w:cstheme="minorBidi"/>
        </w:rPr>
        <w:t xml:space="preserve"> </w:t>
      </w:r>
      <w:r w:rsidR="000B6AED" w:rsidRPr="000B6AED">
        <w:rPr>
          <w:rFonts w:asciiTheme="minorBidi" w:hAnsiTheme="minorBidi" w:cstheme="minorBidi"/>
        </w:rPr>
        <w:t>(Watson, 2026)</w:t>
      </w:r>
      <w:r w:rsidRPr="000B6AED">
        <w:rPr>
          <w:rFonts w:asciiTheme="minorBidi" w:hAnsiTheme="minorBidi" w:cstheme="minorBidi"/>
        </w:rPr>
        <w:t>.</w:t>
      </w:r>
    </w:p>
    <w:p w14:paraId="5BA77801" w14:textId="0CB13B4F" w:rsidR="0044686E" w:rsidRPr="00522A70" w:rsidRDefault="008D5DB8" w:rsidP="00522A70">
      <w:pPr>
        <w:pStyle w:val="Heading1"/>
        <w:rPr>
          <w:rFonts w:asciiTheme="minorBidi" w:hAnsiTheme="minorBidi" w:cstheme="minorBidi"/>
        </w:rPr>
      </w:pPr>
      <w:bookmarkStart w:id="5" w:name="_Toc235746069"/>
      <w:r w:rsidRPr="009838C8">
        <w:rPr>
          <w:rFonts w:asciiTheme="minorBidi" w:hAnsiTheme="minorBidi" w:cstheme="minorBidi"/>
          <w:sz w:val="24"/>
          <w:szCs w:val="24"/>
        </w:rPr>
        <w:br w:type="page"/>
      </w:r>
      <w:bookmarkStart w:id="6" w:name="_Toc237386299"/>
      <w:r w:rsidRPr="009838C8">
        <w:lastRenderedPageBreak/>
        <w:t>3. External and Internal Analysis</w:t>
      </w:r>
      <w:bookmarkEnd w:id="5"/>
      <w:bookmarkEnd w:id="6"/>
    </w:p>
    <w:p w14:paraId="42B3AE88" w14:textId="77777777" w:rsidR="0044686E" w:rsidRPr="009838C8" w:rsidRDefault="00155577" w:rsidP="009838C8">
      <w:pPr>
        <w:pStyle w:val="Heading2"/>
      </w:pPr>
      <w:bookmarkStart w:id="7" w:name="_Toc237386300"/>
      <w:r w:rsidRPr="009838C8">
        <w:t>3.1 PESTEL Analysis</w:t>
      </w:r>
      <w:bookmarkEnd w:id="7"/>
    </w:p>
    <w:p w14:paraId="1B939A95" w14:textId="290ADCA2" w:rsidR="000A2FF0" w:rsidRDefault="000A2FF0" w:rsidP="009838C8">
      <w:pPr>
        <w:spacing w:after="120"/>
        <w:jc w:val="both"/>
        <w:rPr>
          <w:rFonts w:asciiTheme="minorBidi" w:hAnsiTheme="minorBidi" w:cstheme="minorBidi"/>
        </w:rPr>
      </w:pPr>
      <w:r>
        <w:rPr>
          <w:noProof/>
        </w:rPr>
        <w:drawing>
          <wp:anchor distT="0" distB="0" distL="114300" distR="114300" simplePos="0" relativeHeight="251659264" behindDoc="0" locked="0" layoutInCell="1" allowOverlap="1" wp14:anchorId="519D2314" wp14:editId="632D38A5">
            <wp:simplePos x="0" y="0"/>
            <wp:positionH relativeFrom="margin">
              <wp:align>center</wp:align>
            </wp:positionH>
            <wp:positionV relativeFrom="paragraph">
              <wp:posOffset>5023</wp:posOffset>
            </wp:positionV>
            <wp:extent cx="3048000" cy="3048000"/>
            <wp:effectExtent l="0" t="0" r="0" b="0"/>
            <wp:wrapSquare wrapText="bothSides"/>
            <wp:docPr id="790417787" name="Picture 2"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Source: the authors.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3048000"/>
                    </a:xfrm>
                    <a:prstGeom prst="rect">
                      <a:avLst/>
                    </a:prstGeom>
                    <a:noFill/>
                    <a:ln>
                      <a:noFill/>
                    </a:ln>
                  </pic:spPr>
                </pic:pic>
              </a:graphicData>
            </a:graphic>
          </wp:anchor>
        </w:drawing>
      </w:r>
    </w:p>
    <w:p w14:paraId="2EEDC773" w14:textId="77777777" w:rsidR="000A2FF0" w:rsidRDefault="000A2FF0" w:rsidP="009838C8">
      <w:pPr>
        <w:spacing w:after="120"/>
        <w:jc w:val="both"/>
        <w:rPr>
          <w:rFonts w:asciiTheme="minorBidi" w:hAnsiTheme="minorBidi" w:cstheme="minorBidi"/>
        </w:rPr>
      </w:pPr>
    </w:p>
    <w:p w14:paraId="461D897D" w14:textId="77777777" w:rsidR="000A2FF0" w:rsidRDefault="000A2FF0" w:rsidP="009838C8">
      <w:pPr>
        <w:spacing w:after="120"/>
        <w:jc w:val="both"/>
        <w:rPr>
          <w:rFonts w:asciiTheme="minorBidi" w:hAnsiTheme="minorBidi" w:cstheme="minorBidi"/>
        </w:rPr>
      </w:pPr>
    </w:p>
    <w:p w14:paraId="39508BEC" w14:textId="77777777" w:rsidR="000A2FF0" w:rsidRDefault="000A2FF0" w:rsidP="009838C8">
      <w:pPr>
        <w:spacing w:after="120"/>
        <w:jc w:val="both"/>
        <w:rPr>
          <w:rFonts w:asciiTheme="minorBidi" w:hAnsiTheme="minorBidi" w:cstheme="minorBidi"/>
        </w:rPr>
      </w:pPr>
    </w:p>
    <w:p w14:paraId="4CFB161D" w14:textId="77777777" w:rsidR="000A2FF0" w:rsidRDefault="000A2FF0" w:rsidP="009838C8">
      <w:pPr>
        <w:spacing w:after="120"/>
        <w:jc w:val="both"/>
        <w:rPr>
          <w:rFonts w:asciiTheme="minorBidi" w:hAnsiTheme="minorBidi" w:cstheme="minorBidi"/>
        </w:rPr>
      </w:pPr>
    </w:p>
    <w:p w14:paraId="36D573CF" w14:textId="77777777" w:rsidR="000A2FF0" w:rsidRDefault="000A2FF0" w:rsidP="009838C8">
      <w:pPr>
        <w:spacing w:after="120"/>
        <w:jc w:val="both"/>
        <w:rPr>
          <w:rFonts w:asciiTheme="minorBidi" w:hAnsiTheme="minorBidi" w:cstheme="minorBidi"/>
        </w:rPr>
      </w:pPr>
    </w:p>
    <w:p w14:paraId="6BA8358C" w14:textId="77777777" w:rsidR="000A2FF0" w:rsidRDefault="000A2FF0" w:rsidP="009838C8">
      <w:pPr>
        <w:spacing w:after="120"/>
        <w:jc w:val="both"/>
        <w:rPr>
          <w:rFonts w:asciiTheme="minorBidi" w:hAnsiTheme="minorBidi" w:cstheme="minorBidi"/>
        </w:rPr>
      </w:pPr>
    </w:p>
    <w:p w14:paraId="3FC866FF" w14:textId="77777777" w:rsidR="000A2FF0" w:rsidRDefault="000A2FF0" w:rsidP="009838C8">
      <w:pPr>
        <w:spacing w:after="120"/>
        <w:jc w:val="both"/>
        <w:rPr>
          <w:rFonts w:asciiTheme="minorBidi" w:hAnsiTheme="minorBidi" w:cstheme="minorBidi"/>
        </w:rPr>
      </w:pPr>
    </w:p>
    <w:p w14:paraId="306A7A3F" w14:textId="77777777" w:rsidR="000A2FF0" w:rsidRDefault="000A2FF0" w:rsidP="009838C8">
      <w:pPr>
        <w:spacing w:after="120"/>
        <w:jc w:val="both"/>
        <w:rPr>
          <w:rFonts w:asciiTheme="minorBidi" w:hAnsiTheme="minorBidi" w:cstheme="minorBidi"/>
        </w:rPr>
      </w:pPr>
    </w:p>
    <w:p w14:paraId="08450B30" w14:textId="10973AB5" w:rsidR="000A2FF0" w:rsidRDefault="000A2FF0" w:rsidP="009838C8">
      <w:pPr>
        <w:spacing w:after="120"/>
        <w:jc w:val="both"/>
        <w:rPr>
          <w:rFonts w:asciiTheme="minorBidi" w:hAnsiTheme="minorBidi" w:cstheme="minorBidi"/>
        </w:rPr>
      </w:pPr>
      <w:r>
        <w:rPr>
          <w:noProof/>
        </w:rPr>
        <mc:AlternateContent>
          <mc:Choice Requires="wps">
            <w:drawing>
              <wp:anchor distT="0" distB="0" distL="114300" distR="114300" simplePos="0" relativeHeight="251661312" behindDoc="0" locked="0" layoutInCell="1" allowOverlap="1" wp14:anchorId="27A694D1" wp14:editId="12644FE8">
                <wp:simplePos x="0" y="0"/>
                <wp:positionH relativeFrom="margin">
                  <wp:align>center</wp:align>
                </wp:positionH>
                <wp:positionV relativeFrom="paragraph">
                  <wp:posOffset>118861</wp:posOffset>
                </wp:positionV>
                <wp:extent cx="2146935" cy="635"/>
                <wp:effectExtent l="0" t="0" r="5715" b="8255"/>
                <wp:wrapSquare wrapText="bothSides"/>
                <wp:docPr id="2117855561" name="Text Box 1"/>
                <wp:cNvGraphicFramePr/>
                <a:graphic xmlns:a="http://schemas.openxmlformats.org/drawingml/2006/main">
                  <a:graphicData uri="http://schemas.microsoft.com/office/word/2010/wordprocessingShape">
                    <wps:wsp>
                      <wps:cNvSpPr txBox="1"/>
                      <wps:spPr>
                        <a:xfrm>
                          <a:off x="0" y="0"/>
                          <a:ext cx="2146935" cy="635"/>
                        </a:xfrm>
                        <a:prstGeom prst="rect">
                          <a:avLst/>
                        </a:prstGeom>
                        <a:solidFill>
                          <a:prstClr val="white"/>
                        </a:solidFill>
                        <a:ln>
                          <a:noFill/>
                        </a:ln>
                      </wps:spPr>
                      <wps:txbx>
                        <w:txbxContent>
                          <w:p w14:paraId="142B7E80" w14:textId="1C9149F3" w:rsidR="000A2FF0" w:rsidRPr="000A2FF0" w:rsidRDefault="000A2FF0" w:rsidP="000A2FF0">
                            <w:pPr>
                              <w:pStyle w:val="Caption"/>
                              <w:rPr>
                                <w:b/>
                                <w:bCs/>
                                <w:noProof/>
                              </w:rPr>
                            </w:pPr>
                            <w:r w:rsidRPr="000A2FF0">
                              <w:rPr>
                                <w:b/>
                                <w:bCs/>
                              </w:rPr>
                              <w:t xml:space="preserve">Figure </w:t>
                            </w:r>
                            <w:r w:rsidRPr="000A2FF0">
                              <w:rPr>
                                <w:b/>
                                <w:bCs/>
                              </w:rPr>
                              <w:fldChar w:fldCharType="begin"/>
                            </w:r>
                            <w:r w:rsidRPr="000A2FF0">
                              <w:rPr>
                                <w:b/>
                                <w:bCs/>
                              </w:rPr>
                              <w:instrText xml:space="preserve"> SEQ Figure \* ARABIC </w:instrText>
                            </w:r>
                            <w:r w:rsidRPr="000A2FF0">
                              <w:rPr>
                                <w:b/>
                                <w:bCs/>
                              </w:rPr>
                              <w:fldChar w:fldCharType="separate"/>
                            </w:r>
                            <w:r w:rsidR="00800AF2">
                              <w:rPr>
                                <w:b/>
                                <w:bCs/>
                                <w:noProof/>
                              </w:rPr>
                              <w:t>1</w:t>
                            </w:r>
                            <w:r w:rsidRPr="000A2FF0">
                              <w:rPr>
                                <w:b/>
                                <w:bCs/>
                              </w:rPr>
                              <w:fldChar w:fldCharType="end"/>
                            </w:r>
                            <w:r w:rsidRPr="000A2FF0">
                              <w:rPr>
                                <w:b/>
                                <w:bCs/>
                                <w:lang w:val="en-US"/>
                              </w:rPr>
                              <w:t xml:space="preserve"> PESTEL Analysis (Mandys,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7A694D1" id="_x0000_t202" coordsize="21600,21600" o:spt="202" path="m,l,21600r21600,l21600,xe">
                <v:stroke joinstyle="miter"/>
                <v:path gradientshapeok="t" o:connecttype="rect"/>
              </v:shapetype>
              <v:shape id="Text Box 1" o:spid="_x0000_s1026" type="#_x0000_t202" style="position:absolute;left:0;text-align:left;margin-left:0;margin-top:9.35pt;width:169.05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ghFQIAADgEAAAOAAAAZHJzL2Uyb0RvYy54bWysU8GO0zAQvSPxD5bvNG2Bio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" stroked="f">
                <v:textbox style="mso-fit-shape-to-text:t" inset="0,0,0,0">
                  <w:txbxContent>
                    <w:p w14:paraId="142B7E80" w14:textId="1C9149F3" w:rsidR="000A2FF0" w:rsidRPr="000A2FF0" w:rsidRDefault="000A2FF0" w:rsidP="000A2FF0">
                      <w:pPr>
                        <w:pStyle w:val="Caption"/>
                        <w:rPr>
                          <w:b/>
                          <w:bCs/>
                          <w:noProof/>
                        </w:rPr>
                      </w:pPr>
                      <w:r w:rsidRPr="000A2FF0">
                        <w:rPr>
                          <w:b/>
                          <w:bCs/>
                        </w:rPr>
                        <w:t xml:space="preserve">Figure </w:t>
                      </w:r>
                      <w:r w:rsidRPr="000A2FF0">
                        <w:rPr>
                          <w:b/>
                          <w:bCs/>
                        </w:rPr>
                        <w:fldChar w:fldCharType="begin"/>
                      </w:r>
                      <w:r w:rsidRPr="000A2FF0">
                        <w:rPr>
                          <w:b/>
                          <w:bCs/>
                        </w:rPr>
                        <w:instrText xml:space="preserve"> SEQ Figure \* ARABIC </w:instrText>
                      </w:r>
                      <w:r w:rsidRPr="000A2FF0">
                        <w:rPr>
                          <w:b/>
                          <w:bCs/>
                        </w:rPr>
                        <w:fldChar w:fldCharType="separate"/>
                      </w:r>
                      <w:r w:rsidR="00800AF2">
                        <w:rPr>
                          <w:b/>
                          <w:bCs/>
                          <w:noProof/>
                        </w:rPr>
                        <w:t>1</w:t>
                      </w:r>
                      <w:r w:rsidRPr="000A2FF0">
                        <w:rPr>
                          <w:b/>
                          <w:bCs/>
                        </w:rPr>
                        <w:fldChar w:fldCharType="end"/>
                      </w:r>
                      <w:r w:rsidRPr="000A2FF0">
                        <w:rPr>
                          <w:b/>
                          <w:bCs/>
                          <w:lang w:val="en-US"/>
                        </w:rPr>
                        <w:t xml:space="preserve"> PESTEL Analysis (Mandys, 2021)</w:t>
                      </w:r>
                    </w:p>
                  </w:txbxContent>
                </v:textbox>
                <w10:wrap type="square" anchorx="margin"/>
              </v:shape>
            </w:pict>
          </mc:Fallback>
        </mc:AlternateContent>
      </w:r>
    </w:p>
    <w:p w14:paraId="54E0D4EE" w14:textId="77777777" w:rsidR="00457C00" w:rsidRDefault="00457C00" w:rsidP="009838C8">
      <w:pPr>
        <w:spacing w:after="120"/>
        <w:jc w:val="both"/>
        <w:rPr>
          <w:rFonts w:asciiTheme="minorBidi" w:hAnsiTheme="minorBidi" w:cstheme="minorBidi"/>
        </w:rPr>
      </w:pPr>
    </w:p>
    <w:p w14:paraId="023B6E07" w14:textId="14B3E83B" w:rsidR="0044686E"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PESTEL is a tool commonly used to analyse the external influences on organisations (Buye, 2021). This framework is helpful for managers to recognise external factors they cannot control but </w:t>
      </w:r>
      <w:proofErr w:type="gramStart"/>
      <w:r w:rsidRPr="009838C8">
        <w:rPr>
          <w:rFonts w:asciiTheme="minorBidi" w:hAnsiTheme="minorBidi" w:cstheme="minorBidi"/>
        </w:rPr>
        <w:t>have to</w:t>
      </w:r>
      <w:proofErr w:type="gramEnd"/>
      <w:r w:rsidRPr="009838C8">
        <w:rPr>
          <w:rFonts w:asciiTheme="minorBidi" w:hAnsiTheme="minorBidi" w:cstheme="minorBidi"/>
        </w:rPr>
        <w:t xml:space="preserve"> understand for making strategic decisions (Yusop, 2018). Bou Hatoum et al (2023) also posit that for organisations to expand into new geographical areas, the PESTEL analysis is crucial because it uncovers the political, economic, social, technological, environmental and legal conditions which are specific to that country. These six factors will be explored in the context of BYD's SEALION 7 in the UK market.</w:t>
      </w:r>
    </w:p>
    <w:p w14:paraId="145F399C" w14:textId="77777777" w:rsidR="000A2FF0" w:rsidRDefault="000A2FF0">
      <w:pPr>
        <w:rPr>
          <w:rFonts w:asciiTheme="minorBidi" w:hAnsiTheme="minorBidi" w:cstheme="minorBidi"/>
          <w:b/>
          <w:bCs/>
        </w:rPr>
      </w:pPr>
      <w:r>
        <w:rPr>
          <w:rFonts w:asciiTheme="minorBidi" w:hAnsiTheme="minorBidi" w:cstheme="minorBidi"/>
          <w:b/>
          <w:bCs/>
        </w:rPr>
        <w:br w:type="page"/>
      </w:r>
    </w:p>
    <w:p w14:paraId="3CF8B51F" w14:textId="5BCAF67E" w:rsidR="0044686E" w:rsidRPr="009838C8" w:rsidRDefault="00155577" w:rsidP="009838C8">
      <w:pPr>
        <w:spacing w:before="200" w:after="100"/>
        <w:jc w:val="both"/>
        <w:rPr>
          <w:rFonts w:asciiTheme="minorBidi" w:hAnsiTheme="minorBidi" w:cstheme="minorBidi"/>
        </w:rPr>
      </w:pPr>
      <w:r w:rsidRPr="009838C8">
        <w:rPr>
          <w:rFonts w:asciiTheme="minorBidi" w:hAnsiTheme="minorBidi" w:cstheme="minorBidi"/>
          <w:b/>
          <w:bCs/>
        </w:rPr>
        <w:lastRenderedPageBreak/>
        <w:t>Table 1: PESTEL Analysis of BYD SEALION 7 in the UK Market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7500"/>
      </w:tblGrid>
      <w:tr w:rsidR="0044686E" w:rsidRPr="009838C8" w14:paraId="733A678F" w14:textId="77777777">
        <w:tc>
          <w:tcPr>
            <w:tcW w:w="2000" w:type="dxa"/>
            <w:shd w:val="clear" w:color="auto" w:fill="1B4F72"/>
            <w:vAlign w:val="center"/>
          </w:tcPr>
          <w:p w14:paraId="2C49310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Factor</w:t>
            </w:r>
          </w:p>
        </w:tc>
        <w:tc>
          <w:tcPr>
            <w:tcW w:w="7500" w:type="dxa"/>
            <w:shd w:val="clear" w:color="auto" w:fill="1B4F72"/>
            <w:vAlign w:val="center"/>
          </w:tcPr>
          <w:p w14:paraId="0EEB481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Key Findings for BYD SEALION 7 in the UK</w:t>
            </w:r>
          </w:p>
        </w:tc>
      </w:tr>
      <w:tr w:rsidR="0044686E" w:rsidRPr="009838C8" w14:paraId="6E88E2E7" w14:textId="77777777">
        <w:tc>
          <w:tcPr>
            <w:tcW w:w="2000" w:type="dxa"/>
            <w:vAlign w:val="center"/>
          </w:tcPr>
          <w:p w14:paraId="22A3CFC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Political</w:t>
            </w:r>
          </w:p>
        </w:tc>
        <w:tc>
          <w:tcPr>
            <w:tcW w:w="7500" w:type="dxa"/>
            <w:vAlign w:val="center"/>
          </w:tcPr>
          <w:p w14:paraId="01672F29"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The UK government has set a Zero Emission Vehicle (ZEV) mandate requiring 28% of new car sales to be BEV by 2026, rising to 33% in 2027 (SMMT, 2026). The 2035 ban on new petrol and diesel cars creates a strong policy push for EV adoption (Jackson, 2024). However, new VED tax on EVs from April 2025 sends mixed signals to consumers.</w:t>
            </w:r>
          </w:p>
        </w:tc>
      </w:tr>
      <w:tr w:rsidR="0044686E" w:rsidRPr="009838C8" w14:paraId="7717317F" w14:textId="77777777">
        <w:tc>
          <w:tcPr>
            <w:tcW w:w="2000" w:type="dxa"/>
            <w:vAlign w:val="center"/>
          </w:tcPr>
          <w:p w14:paraId="14759BC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Economic</w:t>
            </w:r>
          </w:p>
        </w:tc>
        <w:tc>
          <w:tcPr>
            <w:tcW w:w="7500" w:type="dxa"/>
            <w:vAlign w:val="center"/>
          </w:tcPr>
          <w:p w14:paraId="7EE6CB6E"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The UK faces cost-of-living pressures affecting consumer spending power. However, the total cost of ownership for EVs is becoming more competitive compared to ICE vehicles (Palmer et al., 2018). BYD's competitive pricing starting at £46,990 offers strong value in the mid-premium SUV segment.</w:t>
            </w:r>
          </w:p>
        </w:tc>
      </w:tr>
      <w:tr w:rsidR="0044686E" w:rsidRPr="009838C8" w14:paraId="3E937CEA" w14:textId="77777777">
        <w:tc>
          <w:tcPr>
            <w:tcW w:w="2000" w:type="dxa"/>
            <w:vAlign w:val="center"/>
          </w:tcPr>
          <w:p w14:paraId="4FD2BCC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Social</w:t>
            </w:r>
          </w:p>
        </w:tc>
        <w:tc>
          <w:tcPr>
            <w:tcW w:w="7500" w:type="dxa"/>
            <w:vAlign w:val="center"/>
          </w:tcPr>
          <w:p w14:paraId="62A066C5"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Growing environmental awareness among UK consumers drives demand for sustainable transport (Mandys, 2021). Consumer innovativeness plays a key role in EV adoption decisions (Morton et al., 2016). However, brand unfamiliarity with Chinese manufacturers remains a barrier for some buyers.</w:t>
            </w:r>
          </w:p>
        </w:tc>
      </w:tr>
      <w:tr w:rsidR="0044686E" w:rsidRPr="009838C8" w14:paraId="73F4789A" w14:textId="77777777">
        <w:tc>
          <w:tcPr>
            <w:tcW w:w="2000" w:type="dxa"/>
            <w:vAlign w:val="center"/>
          </w:tcPr>
          <w:p w14:paraId="3B2C05A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Technological</w:t>
            </w:r>
          </w:p>
        </w:tc>
        <w:tc>
          <w:tcPr>
            <w:tcW w:w="7500" w:type="dxa"/>
            <w:vAlign w:val="center"/>
          </w:tcPr>
          <w:p w14:paraId="22E2DAE6" w14:textId="7FE23092" w:rsidR="0044686E" w:rsidRPr="009838C8" w:rsidRDefault="00155577" w:rsidP="000A2FF0">
            <w:pPr>
              <w:spacing w:before="40" w:after="40"/>
              <w:jc w:val="both"/>
              <w:rPr>
                <w:rFonts w:asciiTheme="minorBidi" w:hAnsiTheme="minorBidi" w:cstheme="minorBidi"/>
              </w:rPr>
            </w:pPr>
            <w:r w:rsidRPr="009838C8">
              <w:rPr>
                <w:rFonts w:asciiTheme="minorBidi" w:hAnsiTheme="minorBidi" w:cstheme="minorBidi"/>
              </w:rPr>
              <w:t>Rapid advances in EV battery technology, including BYD's proprietary Blade Battery, improve range and safety. The UK charging network reached 87,796 public points by end of 2025 (</w:t>
            </w:r>
            <w:proofErr w:type="spellStart"/>
            <w:r w:rsidRPr="009838C8">
              <w:rPr>
                <w:rFonts w:asciiTheme="minorBidi" w:hAnsiTheme="minorBidi" w:cstheme="minorBidi"/>
              </w:rPr>
              <w:t>Zapmap</w:t>
            </w:r>
            <w:proofErr w:type="spellEnd"/>
            <w:r w:rsidRPr="009838C8">
              <w:rPr>
                <w:rFonts w:asciiTheme="minorBidi" w:hAnsiTheme="minorBidi" w:cstheme="minorBidi"/>
              </w:rPr>
              <w:t>, 2026). BYD's 230kW fast-charging capability addresses range anxiety concerns (Chen et al., 2020).</w:t>
            </w:r>
            <w:r w:rsidR="000A2FF0">
              <w:rPr>
                <w:rFonts w:asciiTheme="minorBidi" w:hAnsiTheme="minorBidi" w:cstheme="minorBidi"/>
              </w:rPr>
              <w:t xml:space="preserve"> </w:t>
            </w:r>
            <w:r w:rsidR="000A2FF0" w:rsidRPr="000A2FF0">
              <w:rPr>
                <w:rFonts w:asciiTheme="minorBidi" w:hAnsiTheme="minorBidi" w:cstheme="minorBidi"/>
              </w:rPr>
              <w:t>The UK has been inconsistent in deploying ultra-rapid public charging stations for the 230kW vehicle with many competing stations now equipping with new battery chemistries, putting the vehicle at risk of losing its technological advantage.</w:t>
            </w:r>
          </w:p>
        </w:tc>
      </w:tr>
      <w:tr w:rsidR="0044686E" w:rsidRPr="009838C8" w14:paraId="4DF2571E" w14:textId="77777777">
        <w:tc>
          <w:tcPr>
            <w:tcW w:w="2000" w:type="dxa"/>
            <w:vAlign w:val="center"/>
          </w:tcPr>
          <w:p w14:paraId="04C39DF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Environmental</w:t>
            </w:r>
          </w:p>
        </w:tc>
        <w:tc>
          <w:tcPr>
            <w:tcW w:w="7500" w:type="dxa"/>
            <w:vAlign w:val="center"/>
          </w:tcPr>
          <w:p w14:paraId="5F90B811" w14:textId="0979F803" w:rsidR="0044686E" w:rsidRPr="009838C8" w:rsidRDefault="00155577" w:rsidP="000A2FF0">
            <w:pPr>
              <w:spacing w:before="40" w:after="40"/>
              <w:jc w:val="both"/>
              <w:rPr>
                <w:rFonts w:asciiTheme="minorBidi" w:hAnsiTheme="minorBidi" w:cstheme="minorBidi"/>
              </w:rPr>
            </w:pPr>
            <w:r w:rsidRPr="009838C8">
              <w:rPr>
                <w:rFonts w:asciiTheme="minorBidi" w:hAnsiTheme="minorBidi" w:cstheme="minorBidi"/>
              </w:rPr>
              <w:t>The UK's net-zero by 2050 commitment strongly supports EV growth. Carbon reduction targets push fleet operators toward BEVs. BYD's mission to "Cool the Earth by 1°C" aligns with UK sustainability goals (</w:t>
            </w:r>
            <w:proofErr w:type="spellStart"/>
            <w:r w:rsidRPr="009838C8">
              <w:rPr>
                <w:rFonts w:asciiTheme="minorBidi" w:hAnsiTheme="minorBidi" w:cstheme="minorBidi"/>
              </w:rPr>
              <w:t>Ulubeyli</w:t>
            </w:r>
            <w:proofErr w:type="spellEnd"/>
            <w:r w:rsidRPr="009838C8">
              <w:rPr>
                <w:rFonts w:asciiTheme="minorBidi" w:hAnsiTheme="minorBidi" w:cstheme="minorBidi"/>
              </w:rPr>
              <w:t xml:space="preserve"> et al., 2019).</w:t>
            </w:r>
            <w:r w:rsidR="000A2FF0">
              <w:rPr>
                <w:rFonts w:asciiTheme="minorBidi" w:hAnsiTheme="minorBidi" w:cstheme="minorBidi"/>
              </w:rPr>
              <w:t xml:space="preserve"> </w:t>
            </w:r>
            <w:r w:rsidR="000A2FF0" w:rsidRPr="000A2FF0">
              <w:rPr>
                <w:rFonts w:asciiTheme="minorBidi" w:hAnsiTheme="minorBidi" w:cstheme="minorBidi"/>
              </w:rPr>
              <w:t xml:space="preserve">UK's absence of industrial-scale lithium-ion battery recycling facilities poses a significant ecological challenge to </w:t>
            </w:r>
            <w:r w:rsidR="000A2FF0" w:rsidRPr="000A2FF0">
              <w:rPr>
                <w:rFonts w:asciiTheme="minorBidi" w:hAnsiTheme="minorBidi" w:cstheme="minorBidi"/>
              </w:rPr>
              <w:lastRenderedPageBreak/>
              <w:t>end-of-life vehicles potentially in the form of future regulatory fines and scrutiny of their supply chains.</w:t>
            </w:r>
          </w:p>
        </w:tc>
      </w:tr>
      <w:tr w:rsidR="0044686E" w:rsidRPr="009838C8" w14:paraId="3A84859B" w14:textId="77777777">
        <w:tc>
          <w:tcPr>
            <w:tcW w:w="2000" w:type="dxa"/>
            <w:vAlign w:val="center"/>
          </w:tcPr>
          <w:p w14:paraId="6504E5C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lastRenderedPageBreak/>
              <w:t>Legal</w:t>
            </w:r>
          </w:p>
        </w:tc>
        <w:tc>
          <w:tcPr>
            <w:tcW w:w="7500" w:type="dxa"/>
            <w:vAlign w:val="center"/>
          </w:tcPr>
          <w:p w14:paraId="07F0C364"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EU-style tariff risks on Chinese-made EVs could affect BYD's pricing competitiveness (Dou et al., 2026). UK consumer protection laws require robust warranty provisions. Compliance with UK vehicle safety and type-approval regulations is required for all models sold in the market.</w:t>
            </w:r>
          </w:p>
        </w:tc>
      </w:tr>
    </w:tbl>
    <w:p w14:paraId="3850BB59" w14:textId="77777777" w:rsidR="00522A70" w:rsidRDefault="00522A70" w:rsidP="009838C8">
      <w:pPr>
        <w:spacing w:after="120"/>
        <w:jc w:val="both"/>
        <w:rPr>
          <w:rFonts w:asciiTheme="minorBidi" w:hAnsiTheme="minorBidi" w:cstheme="minorBidi"/>
        </w:rPr>
      </w:pPr>
    </w:p>
    <w:p w14:paraId="6202A496" w14:textId="74E60B69"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PESTEL analysis indicates that the political and environmental context in the UK is highly pro-EV. A wider industrial transition and decarbonisation process, as proposed by Jackson (2024), is being driven by the UK's EV transition. The ZEV mandate that mandates a growing percentage of products to be sold as zero emission vehicles puts a strain on companies that sell only NEWVs such as BYD. The overall cost of ownership for EVs in the UK is becoming increasingly competitive with petrol/diesel vehicles, as shown by Palmer et al. (2018), lending weight to the increasing consumer demand for EVs.</w:t>
      </w:r>
    </w:p>
    <w:p w14:paraId="54B3DC5D" w14:textId="4B7A4D26" w:rsidR="0044686E" w:rsidRPr="009838C8" w:rsidRDefault="0044686E" w:rsidP="009838C8">
      <w:pPr>
        <w:spacing w:after="120"/>
        <w:jc w:val="both"/>
        <w:rPr>
          <w:rFonts w:asciiTheme="minorBidi" w:hAnsiTheme="minorBidi" w:cstheme="minorBidi"/>
        </w:rPr>
      </w:pPr>
    </w:p>
    <w:p w14:paraId="60583748" w14:textId="77777777" w:rsidR="008D5DB8" w:rsidRPr="009838C8" w:rsidRDefault="008D5DB8" w:rsidP="009838C8">
      <w:pPr>
        <w:spacing w:after="120"/>
        <w:jc w:val="both"/>
        <w:rPr>
          <w:rFonts w:asciiTheme="minorBidi" w:hAnsiTheme="minorBidi" w:cstheme="minorBidi"/>
        </w:rPr>
      </w:pPr>
    </w:p>
    <w:p w14:paraId="1319CA62" w14:textId="77777777" w:rsidR="0044686E" w:rsidRPr="009838C8" w:rsidRDefault="00155577" w:rsidP="00522A70">
      <w:pPr>
        <w:spacing w:before="200" w:after="40"/>
        <w:jc w:val="center"/>
        <w:rPr>
          <w:rFonts w:asciiTheme="minorBidi" w:hAnsiTheme="minorBidi" w:cstheme="minorBidi"/>
        </w:rPr>
      </w:pPr>
      <w:r w:rsidRPr="009838C8">
        <w:rPr>
          <w:rFonts w:asciiTheme="minorBidi" w:hAnsiTheme="minorBidi" w:cstheme="minorBidi"/>
          <w:noProof/>
        </w:rPr>
        <w:lastRenderedPageBreak/>
        <w:drawing>
          <wp:inline distT="0" distB="0" distL="0" distR="0" wp14:anchorId="7DB9473E" wp14:editId="47EEFEF3">
            <wp:extent cx="5524500"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24500" cy="3429000"/>
                    </a:xfrm>
                    <a:prstGeom prst="rect">
                      <a:avLst/>
                    </a:prstGeom>
                  </pic:spPr>
                </pic:pic>
              </a:graphicData>
            </a:graphic>
          </wp:inline>
        </w:drawing>
      </w:r>
    </w:p>
    <w:p w14:paraId="5F75C8F9" w14:textId="67EE239F" w:rsidR="0044686E" w:rsidRPr="00522A70" w:rsidRDefault="00155577" w:rsidP="00522A70">
      <w:pPr>
        <w:spacing w:before="80" w:after="200"/>
        <w:jc w:val="center"/>
        <w:rPr>
          <w:rFonts w:asciiTheme="minorBidi" w:hAnsiTheme="minorBidi" w:cstheme="minorBidi"/>
          <w:sz w:val="20"/>
          <w:szCs w:val="20"/>
        </w:rPr>
      </w:pPr>
      <w:r w:rsidRPr="00522A70">
        <w:rPr>
          <w:rFonts w:asciiTheme="minorBidi" w:hAnsiTheme="minorBidi" w:cstheme="minorBidi"/>
          <w:i/>
          <w:iCs/>
          <w:sz w:val="20"/>
          <w:szCs w:val="20"/>
        </w:rPr>
        <w:t xml:space="preserve">Figure </w:t>
      </w:r>
      <w:r w:rsidR="00800AF2">
        <w:rPr>
          <w:rFonts w:asciiTheme="minorBidi" w:hAnsiTheme="minorBidi" w:cstheme="minorBidi"/>
          <w:i/>
          <w:iCs/>
          <w:sz w:val="20"/>
          <w:szCs w:val="20"/>
        </w:rPr>
        <w:t>2</w:t>
      </w:r>
      <w:r w:rsidRPr="00522A70">
        <w:rPr>
          <w:rFonts w:asciiTheme="minorBidi" w:hAnsiTheme="minorBidi" w:cstheme="minorBidi"/>
          <w:i/>
          <w:iCs/>
          <w:sz w:val="20"/>
          <w:szCs w:val="20"/>
        </w:rPr>
        <w:t>: UK BEV Annual Registrations 2020-2025 (Source: SMMT/</w:t>
      </w:r>
      <w:proofErr w:type="spellStart"/>
      <w:r w:rsidRPr="00522A70">
        <w:rPr>
          <w:rFonts w:asciiTheme="minorBidi" w:hAnsiTheme="minorBidi" w:cstheme="minorBidi"/>
          <w:i/>
          <w:iCs/>
          <w:sz w:val="20"/>
          <w:szCs w:val="20"/>
        </w:rPr>
        <w:t>Zapmap</w:t>
      </w:r>
      <w:proofErr w:type="spellEnd"/>
      <w:r w:rsidRPr="00522A70">
        <w:rPr>
          <w:rFonts w:asciiTheme="minorBidi" w:hAnsiTheme="minorBidi" w:cstheme="minorBidi"/>
          <w:i/>
          <w:iCs/>
          <w:sz w:val="20"/>
          <w:szCs w:val="20"/>
        </w:rPr>
        <w:t>, 2026</w:t>
      </w:r>
      <w:r w:rsidR="00522A70" w:rsidRPr="00522A70">
        <w:rPr>
          <w:rFonts w:asciiTheme="minorBidi" w:hAnsiTheme="minorBidi" w:cstheme="minorBidi"/>
          <w:i/>
          <w:iCs/>
          <w:sz w:val="20"/>
          <w:szCs w:val="20"/>
        </w:rPr>
        <w:t>)</w:t>
      </w:r>
    </w:p>
    <w:p w14:paraId="6C088182"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From a technological perspective, the UK's charging infrastructure has been growing at a fast pace: the public charging network will supply 87,796 charging locations at the end of 2025 (Chen et al., 2020). The authors of Pemberton et al. (2021) point out that providing more rapid charging stations is particularly critical to increasing BEV uptake by consumers who travel greater distances. Nevertheless, </w:t>
      </w:r>
      <w:proofErr w:type="spellStart"/>
      <w:r w:rsidRPr="009838C8">
        <w:rPr>
          <w:rFonts w:asciiTheme="minorBidi" w:hAnsiTheme="minorBidi" w:cstheme="minorBidi"/>
        </w:rPr>
        <w:t>Ulubeyli</w:t>
      </w:r>
      <w:proofErr w:type="spellEnd"/>
      <w:r w:rsidRPr="009838C8">
        <w:rPr>
          <w:rFonts w:asciiTheme="minorBidi" w:hAnsiTheme="minorBidi" w:cstheme="minorBidi"/>
        </w:rPr>
        <w:t xml:space="preserve"> et al. (2019) warn that environmental policies can be a challenge or an opportunity for overseas companies. Socially, the fact that there is an increasing awareness of the environment among consumers in the UK is a positive trend for BYD, but brand trust is a hurdle for Chinese brands in the west. However, the legal aspect is also a potential hurdle: If the European Union imposes tariffs on Chinese-produced EVs, as is intended, then the matter might be a serious concern for BYD's price advantage in the UK market and thus its competitive situation (Dou et al. 2026).</w:t>
      </w:r>
    </w:p>
    <w:p w14:paraId="2A6F64E2" w14:textId="77777777" w:rsidR="00522A70" w:rsidRDefault="00522A70">
      <w:pPr>
        <w:rPr>
          <w:rFonts w:ascii="Arial" w:hAnsi="Arial"/>
          <w:b/>
          <w:bCs/>
          <w:color w:val="002060"/>
          <w:sz w:val="28"/>
          <w:szCs w:val="28"/>
        </w:rPr>
      </w:pPr>
      <w:r>
        <w:br w:type="page"/>
      </w:r>
    </w:p>
    <w:p w14:paraId="1D5D391C" w14:textId="7AC6747A" w:rsidR="008D5DB8" w:rsidRPr="009838C8" w:rsidRDefault="008D5DB8" w:rsidP="009838C8">
      <w:pPr>
        <w:pStyle w:val="Heading2"/>
      </w:pPr>
      <w:bookmarkStart w:id="8" w:name="_Toc237386301"/>
      <w:r w:rsidRPr="009838C8">
        <w:lastRenderedPageBreak/>
        <w:t>3.2 VRIO Analysis</w:t>
      </w:r>
      <w:bookmarkEnd w:id="8"/>
    </w:p>
    <w:p w14:paraId="1377D169" w14:textId="48F1A39D" w:rsidR="000A2FF0" w:rsidRDefault="000A2FF0" w:rsidP="009838C8">
      <w:pPr>
        <w:spacing w:after="120"/>
        <w:jc w:val="both"/>
        <w:rPr>
          <w:noProof/>
        </w:rPr>
      </w:pPr>
      <w:r>
        <w:rPr>
          <w:noProof/>
        </w:rPr>
        <w:drawing>
          <wp:anchor distT="0" distB="0" distL="114300" distR="114300" simplePos="0" relativeHeight="251662336" behindDoc="0" locked="0" layoutInCell="1" allowOverlap="1" wp14:anchorId="17FC9375" wp14:editId="138302DB">
            <wp:simplePos x="0" y="0"/>
            <wp:positionH relativeFrom="margin">
              <wp:align>center</wp:align>
            </wp:positionH>
            <wp:positionV relativeFrom="paragraph">
              <wp:posOffset>62635</wp:posOffset>
            </wp:positionV>
            <wp:extent cx="3650673" cy="2210606"/>
            <wp:effectExtent l="0" t="0" r="6985" b="0"/>
            <wp:wrapSquare wrapText="bothSides"/>
            <wp:docPr id="1970233765" name="Picture 3" descr="VRIO Analysis: A Comprehensive Guide | EPAM Solutions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RIO Analysis: A Comprehensive Guide | EPAM SolutionsHub"/>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3650673" cy="221060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8E870B" w14:textId="325C5816" w:rsidR="000A2FF0" w:rsidRDefault="000A2FF0" w:rsidP="009838C8">
      <w:pPr>
        <w:spacing w:after="120"/>
        <w:jc w:val="both"/>
        <w:rPr>
          <w:rFonts w:asciiTheme="minorBidi" w:hAnsiTheme="minorBidi" w:cstheme="minorBidi"/>
        </w:rPr>
      </w:pPr>
    </w:p>
    <w:p w14:paraId="598A7DA7" w14:textId="77777777" w:rsidR="000A2FF0" w:rsidRDefault="000A2FF0" w:rsidP="009838C8">
      <w:pPr>
        <w:spacing w:after="120"/>
        <w:jc w:val="both"/>
        <w:rPr>
          <w:rFonts w:asciiTheme="minorBidi" w:hAnsiTheme="minorBidi" w:cstheme="minorBidi"/>
        </w:rPr>
      </w:pPr>
    </w:p>
    <w:p w14:paraId="6946EDF2" w14:textId="77777777" w:rsidR="000A2FF0" w:rsidRDefault="000A2FF0" w:rsidP="009838C8">
      <w:pPr>
        <w:spacing w:after="120"/>
        <w:jc w:val="both"/>
        <w:rPr>
          <w:rFonts w:asciiTheme="minorBidi" w:hAnsiTheme="minorBidi" w:cstheme="minorBidi"/>
        </w:rPr>
      </w:pPr>
    </w:p>
    <w:p w14:paraId="1FB05383" w14:textId="77777777" w:rsidR="000A2FF0" w:rsidRDefault="000A2FF0" w:rsidP="009838C8">
      <w:pPr>
        <w:spacing w:after="120"/>
        <w:jc w:val="both"/>
        <w:rPr>
          <w:rFonts w:asciiTheme="minorBidi" w:hAnsiTheme="minorBidi" w:cstheme="minorBidi"/>
        </w:rPr>
      </w:pPr>
    </w:p>
    <w:p w14:paraId="3ECB2259" w14:textId="77777777" w:rsidR="000A2FF0" w:rsidRDefault="000A2FF0" w:rsidP="009838C8">
      <w:pPr>
        <w:spacing w:after="120"/>
        <w:jc w:val="both"/>
        <w:rPr>
          <w:rFonts w:asciiTheme="minorBidi" w:hAnsiTheme="minorBidi" w:cstheme="minorBidi"/>
        </w:rPr>
      </w:pPr>
    </w:p>
    <w:p w14:paraId="78EA1BB1" w14:textId="51CB3B50" w:rsidR="000A2FF0" w:rsidRDefault="000A2FF0" w:rsidP="009838C8">
      <w:pPr>
        <w:spacing w:after="120"/>
        <w:jc w:val="both"/>
        <w:rPr>
          <w:rFonts w:asciiTheme="minorBidi" w:hAnsiTheme="minorBidi" w:cstheme="minorBidi"/>
        </w:rPr>
      </w:pPr>
    </w:p>
    <w:p w14:paraId="3D247564" w14:textId="7CAF3DBB" w:rsidR="000A2FF0" w:rsidRDefault="000A2FF0" w:rsidP="009838C8">
      <w:pPr>
        <w:spacing w:after="120"/>
        <w:jc w:val="both"/>
        <w:rPr>
          <w:rFonts w:asciiTheme="minorBidi" w:hAnsiTheme="minorBidi" w:cstheme="minorBidi"/>
        </w:rPr>
      </w:pPr>
      <w:r>
        <w:rPr>
          <w:noProof/>
        </w:rPr>
        <mc:AlternateContent>
          <mc:Choice Requires="wps">
            <w:drawing>
              <wp:anchor distT="0" distB="0" distL="114300" distR="114300" simplePos="0" relativeHeight="251664384" behindDoc="0" locked="0" layoutInCell="1" allowOverlap="1" wp14:anchorId="11C00023" wp14:editId="598E6C83">
                <wp:simplePos x="0" y="0"/>
                <wp:positionH relativeFrom="margin">
                  <wp:posOffset>1454150</wp:posOffset>
                </wp:positionH>
                <wp:positionV relativeFrom="paragraph">
                  <wp:posOffset>69215</wp:posOffset>
                </wp:positionV>
                <wp:extent cx="2781300" cy="635"/>
                <wp:effectExtent l="0" t="0" r="0" b="8255"/>
                <wp:wrapSquare wrapText="bothSides"/>
                <wp:docPr id="1591897814" name="Text Box 1"/>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381585E3" w14:textId="746E20A1" w:rsidR="000A2FF0" w:rsidRPr="000A2FF0" w:rsidRDefault="000A2FF0" w:rsidP="000A2FF0">
                            <w:pPr>
                              <w:pStyle w:val="Caption"/>
                              <w:rPr>
                                <w:b/>
                                <w:bCs/>
                                <w:noProof/>
                              </w:rPr>
                            </w:pPr>
                            <w:r w:rsidRPr="000A2FF0">
                              <w:rPr>
                                <w:b/>
                                <w:bCs/>
                              </w:rPr>
                              <w:t>Figure</w:t>
                            </w:r>
                            <w:r w:rsidR="00800AF2">
                              <w:rPr>
                                <w:b/>
                                <w:bCs/>
                              </w:rPr>
                              <w:t xml:space="preserve"> 3</w:t>
                            </w:r>
                            <w:r w:rsidRPr="000A2FF0">
                              <w:rPr>
                                <w:b/>
                                <w:bCs/>
                                <w:lang w:val="en-US"/>
                              </w:rPr>
                              <w:t xml:space="preserve"> VRIO Analysis (</w:t>
                            </w:r>
                            <w:r w:rsidR="00904CAD">
                              <w:rPr>
                                <w:b/>
                                <w:bCs/>
                                <w:lang w:val="en-US"/>
                              </w:rPr>
                              <w:t xml:space="preserve">See </w:t>
                            </w:r>
                            <w:r w:rsidRPr="000A2FF0">
                              <w:rPr>
                                <w:b/>
                                <w:bCs/>
                                <w:lang w:val="en-US"/>
                              </w:rPr>
                              <w:t>Wei and Homer,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C00023" id="_x0000_s1027" type="#_x0000_t202" style="position:absolute;left:0;text-align:left;margin-left:114.5pt;margin-top:5.45pt;width:219pt;height:.0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" stroked="f">
                <v:textbox style="mso-fit-shape-to-text:t" inset="0,0,0,0">
                  <w:txbxContent>
                    <w:p w14:paraId="381585E3" w14:textId="746E20A1" w:rsidR="000A2FF0" w:rsidRPr="000A2FF0" w:rsidRDefault="000A2FF0" w:rsidP="000A2FF0">
                      <w:pPr>
                        <w:pStyle w:val="Caption"/>
                        <w:rPr>
                          <w:b/>
                          <w:bCs/>
                          <w:noProof/>
                        </w:rPr>
                      </w:pPr>
                      <w:r w:rsidRPr="000A2FF0">
                        <w:rPr>
                          <w:b/>
                          <w:bCs/>
                        </w:rPr>
                        <w:t>Figure</w:t>
                      </w:r>
                      <w:r w:rsidR="00800AF2">
                        <w:rPr>
                          <w:b/>
                          <w:bCs/>
                        </w:rPr>
                        <w:t xml:space="preserve"> 3</w:t>
                      </w:r>
                      <w:r w:rsidRPr="000A2FF0">
                        <w:rPr>
                          <w:b/>
                          <w:bCs/>
                          <w:lang w:val="en-US"/>
                        </w:rPr>
                        <w:t xml:space="preserve"> VRIO Analysis (</w:t>
                      </w:r>
                      <w:r w:rsidR="00904CAD">
                        <w:rPr>
                          <w:b/>
                          <w:bCs/>
                          <w:lang w:val="en-US"/>
                        </w:rPr>
                        <w:t xml:space="preserve">See </w:t>
                      </w:r>
                      <w:r w:rsidRPr="000A2FF0">
                        <w:rPr>
                          <w:b/>
                          <w:bCs/>
                          <w:lang w:val="en-US"/>
                        </w:rPr>
                        <w:t>Wei and Homer, 2025)</w:t>
                      </w:r>
                    </w:p>
                  </w:txbxContent>
                </v:textbox>
                <w10:wrap type="square" anchorx="margin"/>
              </v:shape>
            </w:pict>
          </mc:Fallback>
        </mc:AlternateContent>
      </w:r>
    </w:p>
    <w:p w14:paraId="34DD27A3" w14:textId="47E5BCC0"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VRIO analyses help determine if an organisation's resources and capabilities are Valuable, Rare, Inimitable, and Organised, which means that they can provide sustainable competitive benefits (Hernández and Garcia, 2018). Vargas-Hernández and Garcia (2019) give a detailed explanation of how VRIO analysis is related to the performance outcome of the firm. From the RBV perspective, green management practices can offer competitive advantages for the long run, particularly for EV manufacturers such as BYD.</w:t>
      </w:r>
      <w:r w:rsidR="00522A70">
        <w:rPr>
          <w:rFonts w:asciiTheme="minorBidi" w:hAnsiTheme="minorBidi" w:cstheme="minorBidi"/>
        </w:rPr>
        <w:t xml:space="preserve"> T</w:t>
      </w:r>
      <w:r w:rsidRPr="009838C8">
        <w:rPr>
          <w:rFonts w:asciiTheme="minorBidi" w:hAnsiTheme="minorBidi" w:cstheme="minorBidi"/>
        </w:rPr>
        <w:t>he resource-based view (Liu 2025) suggests that green management practices have the potential to provide long-term competitive advantages, especially for companies like BYD in the field of EVs.</w:t>
      </w:r>
      <w:r w:rsidR="00904CAD" w:rsidRPr="00904CAD">
        <w:t xml:space="preserve"> </w:t>
      </w:r>
    </w:p>
    <w:p w14:paraId="56F0FF36" w14:textId="1E5819A9"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2: VRIO Analysis of BYD's Strategic Resources and Capabilities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900"/>
        <w:gridCol w:w="900"/>
        <w:gridCol w:w="900"/>
        <w:gridCol w:w="900"/>
        <w:gridCol w:w="3300"/>
      </w:tblGrid>
      <w:tr w:rsidR="0044686E" w:rsidRPr="009838C8" w14:paraId="4101025B" w14:textId="77777777">
        <w:tc>
          <w:tcPr>
            <w:tcW w:w="2600" w:type="dxa"/>
            <w:shd w:val="clear" w:color="auto" w:fill="1B4F72"/>
            <w:vAlign w:val="center"/>
          </w:tcPr>
          <w:p w14:paraId="767BAFA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Resource/Capability</w:t>
            </w:r>
          </w:p>
        </w:tc>
        <w:tc>
          <w:tcPr>
            <w:tcW w:w="900" w:type="dxa"/>
            <w:shd w:val="clear" w:color="auto" w:fill="1B4F72"/>
            <w:vAlign w:val="center"/>
          </w:tcPr>
          <w:p w14:paraId="020E8F3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V</w:t>
            </w:r>
          </w:p>
        </w:tc>
        <w:tc>
          <w:tcPr>
            <w:tcW w:w="900" w:type="dxa"/>
            <w:shd w:val="clear" w:color="auto" w:fill="1B4F72"/>
            <w:vAlign w:val="center"/>
          </w:tcPr>
          <w:p w14:paraId="0399A42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R</w:t>
            </w:r>
          </w:p>
        </w:tc>
        <w:tc>
          <w:tcPr>
            <w:tcW w:w="900" w:type="dxa"/>
            <w:shd w:val="clear" w:color="auto" w:fill="1B4F72"/>
            <w:vAlign w:val="center"/>
          </w:tcPr>
          <w:p w14:paraId="383A23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I</w:t>
            </w:r>
          </w:p>
        </w:tc>
        <w:tc>
          <w:tcPr>
            <w:tcW w:w="900" w:type="dxa"/>
            <w:shd w:val="clear" w:color="auto" w:fill="1B4F72"/>
            <w:vAlign w:val="center"/>
          </w:tcPr>
          <w:p w14:paraId="296B790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O</w:t>
            </w:r>
          </w:p>
        </w:tc>
        <w:tc>
          <w:tcPr>
            <w:tcW w:w="3300" w:type="dxa"/>
            <w:shd w:val="clear" w:color="auto" w:fill="1B4F72"/>
            <w:vAlign w:val="center"/>
          </w:tcPr>
          <w:p w14:paraId="1B0F9CD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Competitive Implication</w:t>
            </w:r>
          </w:p>
        </w:tc>
      </w:tr>
      <w:tr w:rsidR="0044686E" w:rsidRPr="009838C8" w14:paraId="5785270D" w14:textId="77777777">
        <w:tc>
          <w:tcPr>
            <w:tcW w:w="2600" w:type="dxa"/>
            <w:vAlign w:val="center"/>
          </w:tcPr>
          <w:p w14:paraId="5EC4288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Blade Battery Technology</w:t>
            </w:r>
          </w:p>
        </w:tc>
        <w:tc>
          <w:tcPr>
            <w:tcW w:w="900" w:type="dxa"/>
            <w:vAlign w:val="center"/>
          </w:tcPr>
          <w:p w14:paraId="2653000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59360A7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093BD72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57BA239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1AF581E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Sustained competitive advantage</w:t>
            </w:r>
          </w:p>
        </w:tc>
      </w:tr>
      <w:tr w:rsidR="0044686E" w:rsidRPr="009838C8" w14:paraId="44ADF43A" w14:textId="77777777">
        <w:tc>
          <w:tcPr>
            <w:tcW w:w="2600" w:type="dxa"/>
            <w:vAlign w:val="center"/>
          </w:tcPr>
          <w:p w14:paraId="2A37F70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Vertical Integration (supply chain)</w:t>
            </w:r>
          </w:p>
        </w:tc>
        <w:tc>
          <w:tcPr>
            <w:tcW w:w="900" w:type="dxa"/>
            <w:vAlign w:val="center"/>
          </w:tcPr>
          <w:p w14:paraId="400D01E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4E0E57B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17475FF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283A77A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660E10F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Sustained competitive advantage</w:t>
            </w:r>
          </w:p>
        </w:tc>
      </w:tr>
      <w:tr w:rsidR="0044686E" w:rsidRPr="009838C8" w14:paraId="3E7D72DF" w14:textId="77777777">
        <w:tc>
          <w:tcPr>
            <w:tcW w:w="2600" w:type="dxa"/>
            <w:vAlign w:val="center"/>
          </w:tcPr>
          <w:p w14:paraId="607F31C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Cost Leadership through Scale</w:t>
            </w:r>
          </w:p>
        </w:tc>
        <w:tc>
          <w:tcPr>
            <w:tcW w:w="900" w:type="dxa"/>
            <w:vAlign w:val="center"/>
          </w:tcPr>
          <w:p w14:paraId="0AA4AD6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6A9D1EA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28AE15D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Partially</w:t>
            </w:r>
          </w:p>
        </w:tc>
        <w:tc>
          <w:tcPr>
            <w:tcW w:w="900" w:type="dxa"/>
            <w:vAlign w:val="center"/>
          </w:tcPr>
          <w:p w14:paraId="398951F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64196D2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Temporary competitive advantage</w:t>
            </w:r>
          </w:p>
        </w:tc>
      </w:tr>
      <w:tr w:rsidR="0044686E" w:rsidRPr="009838C8" w14:paraId="7A912507" w14:textId="77777777">
        <w:tc>
          <w:tcPr>
            <w:tcW w:w="2600" w:type="dxa"/>
            <w:vAlign w:val="center"/>
          </w:tcPr>
          <w:p w14:paraId="6DAC989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R&amp;D Investment (54.2bn RMB, 2024)</w:t>
            </w:r>
          </w:p>
        </w:tc>
        <w:tc>
          <w:tcPr>
            <w:tcW w:w="900" w:type="dxa"/>
            <w:vAlign w:val="center"/>
          </w:tcPr>
          <w:p w14:paraId="1166F94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3675EE9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654EC98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1A9551F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6D769DD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Sustained competitive advantage</w:t>
            </w:r>
          </w:p>
        </w:tc>
      </w:tr>
      <w:tr w:rsidR="0044686E" w:rsidRPr="009838C8" w14:paraId="6C3502FF" w14:textId="77777777">
        <w:tc>
          <w:tcPr>
            <w:tcW w:w="2600" w:type="dxa"/>
            <w:vAlign w:val="center"/>
          </w:tcPr>
          <w:p w14:paraId="2D46701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lastRenderedPageBreak/>
              <w:t>Brand Recognition in UK</w:t>
            </w:r>
          </w:p>
        </w:tc>
        <w:tc>
          <w:tcPr>
            <w:tcW w:w="900" w:type="dxa"/>
            <w:vAlign w:val="center"/>
          </w:tcPr>
          <w:p w14:paraId="0247B1A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1377E29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793D4D5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3FCC1AA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Partial</w:t>
            </w:r>
          </w:p>
        </w:tc>
        <w:tc>
          <w:tcPr>
            <w:tcW w:w="3300" w:type="dxa"/>
            <w:vAlign w:val="center"/>
          </w:tcPr>
          <w:p w14:paraId="1428619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Competitive parity</w:t>
            </w:r>
          </w:p>
        </w:tc>
      </w:tr>
      <w:tr w:rsidR="0044686E" w:rsidRPr="009838C8" w14:paraId="4EE34BA2" w14:textId="77777777">
        <w:tc>
          <w:tcPr>
            <w:tcW w:w="2600" w:type="dxa"/>
            <w:vAlign w:val="center"/>
          </w:tcPr>
          <w:p w14:paraId="48C0D7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Dealer Network (132 UK sites)</w:t>
            </w:r>
          </w:p>
        </w:tc>
        <w:tc>
          <w:tcPr>
            <w:tcW w:w="900" w:type="dxa"/>
            <w:vAlign w:val="center"/>
          </w:tcPr>
          <w:p w14:paraId="2912E5D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55079DB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203ACCC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0ACDB5F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10CACB3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Competitive parity</w:t>
            </w:r>
          </w:p>
        </w:tc>
      </w:tr>
    </w:tbl>
    <w:p w14:paraId="1B7D9521"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VRIO analysis indicated that the Blade Battery technology and vertical integration are the major strengths of BYD in the competitive position. The Blade Battery is lithium iron phosphate chemistry for enhanced safety since it failed to catch fire during the nail penetration test. This technology is only unique in the marketplace and extremely hard for other companies to replicate, and that gives BYD a long-term competitive edge. By analysing BYD's resource capabilities, the company's trajectory in future market entry, growth, and its EMS approach, Cho et al. (2025) conclude that one of the important rules for achieving the necessary growth for market entry in the EV industry is to identify the set of key resources.</w:t>
      </w:r>
    </w:p>
    <w:p w14:paraId="4B8925E4" w14:textId="3BCEDA52"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RJD expense in 2024, at RMB 54.2 billion and with a research staff of 122,000, is also one of the additional differentiators of BYD. Despite that, brand recognition in the UK is still competitive thanks to BYD's still modest size in their market. The network of dealers is expanding rapidly and by mid-2026 reached 132 locations, but it still hasn't reached a comparable size to that of established players. He et al. 2019 are right in stating that Chinese multinationals tend to focus more on technological innovations than brand power in international markets which is BYD's situation in the UK right now. With green management capabilities installed in a company's resources, Liu adds that they may also provide long-term business benefits that are hard for business competition to replicate, supporting BYD's strategic resource profile.</w:t>
      </w:r>
    </w:p>
    <w:p w14:paraId="164A7647" w14:textId="77777777" w:rsidR="000A2FF0" w:rsidRDefault="000A2FF0">
      <w:pPr>
        <w:rPr>
          <w:rFonts w:ascii="Arial" w:hAnsi="Arial"/>
          <w:b/>
          <w:bCs/>
          <w:color w:val="002060"/>
          <w:sz w:val="28"/>
          <w:szCs w:val="28"/>
        </w:rPr>
      </w:pPr>
      <w:r>
        <w:br w:type="page"/>
      </w:r>
    </w:p>
    <w:p w14:paraId="1CB3C9E9" w14:textId="74FF8EFB" w:rsidR="0044686E" w:rsidRPr="009838C8" w:rsidRDefault="00155577" w:rsidP="009838C8">
      <w:pPr>
        <w:pStyle w:val="Heading2"/>
      </w:pPr>
      <w:bookmarkStart w:id="9" w:name="_Toc237386302"/>
      <w:r w:rsidRPr="009838C8">
        <w:lastRenderedPageBreak/>
        <w:t>3.3 SWOT Analysis</w:t>
      </w:r>
      <w:bookmarkEnd w:id="9"/>
    </w:p>
    <w:p w14:paraId="67A7BAD9" w14:textId="16507C26" w:rsidR="000A2FF0" w:rsidRDefault="000A2FF0" w:rsidP="009838C8">
      <w:pPr>
        <w:spacing w:after="120"/>
        <w:jc w:val="both"/>
        <w:rPr>
          <w:rFonts w:asciiTheme="minorBidi" w:hAnsiTheme="minorBidi" w:cstheme="minorBidi"/>
        </w:rPr>
      </w:pPr>
      <w:r>
        <w:rPr>
          <w:noProof/>
        </w:rPr>
        <w:drawing>
          <wp:anchor distT="0" distB="0" distL="114300" distR="114300" simplePos="0" relativeHeight="251665408" behindDoc="0" locked="0" layoutInCell="1" allowOverlap="1" wp14:anchorId="34552177" wp14:editId="2834BA7B">
            <wp:simplePos x="0" y="0"/>
            <wp:positionH relativeFrom="margin">
              <wp:align>center</wp:align>
            </wp:positionH>
            <wp:positionV relativeFrom="paragraph">
              <wp:posOffset>17145</wp:posOffset>
            </wp:positionV>
            <wp:extent cx="4325932" cy="2476500"/>
            <wp:effectExtent l="0" t="0" r="0" b="0"/>
            <wp:wrapSquare wrapText="bothSides"/>
            <wp:docPr id="2128519626" name="Picture 4" descr="Why Your Business Needs Regular HR SWOT Analysis to Attract Top Talent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Your Business Needs Regular HR SWOT Analysis to Attract Top Talent | TM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5932"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1948CA" w14:textId="77777777" w:rsidR="000A2FF0" w:rsidRDefault="000A2FF0" w:rsidP="009838C8">
      <w:pPr>
        <w:spacing w:after="120"/>
        <w:jc w:val="both"/>
        <w:rPr>
          <w:rFonts w:asciiTheme="minorBidi" w:hAnsiTheme="minorBidi" w:cstheme="minorBidi"/>
        </w:rPr>
      </w:pPr>
    </w:p>
    <w:p w14:paraId="13A0D251" w14:textId="77777777" w:rsidR="000A2FF0" w:rsidRDefault="000A2FF0" w:rsidP="009838C8">
      <w:pPr>
        <w:spacing w:after="120"/>
        <w:jc w:val="both"/>
        <w:rPr>
          <w:rFonts w:asciiTheme="minorBidi" w:hAnsiTheme="minorBidi" w:cstheme="minorBidi"/>
        </w:rPr>
      </w:pPr>
    </w:p>
    <w:p w14:paraId="79082464" w14:textId="77777777" w:rsidR="000A2FF0" w:rsidRDefault="000A2FF0" w:rsidP="009838C8">
      <w:pPr>
        <w:spacing w:after="120"/>
        <w:jc w:val="both"/>
        <w:rPr>
          <w:rFonts w:asciiTheme="minorBidi" w:hAnsiTheme="minorBidi" w:cstheme="minorBidi"/>
        </w:rPr>
      </w:pPr>
    </w:p>
    <w:p w14:paraId="024CFBEA" w14:textId="77777777" w:rsidR="000A2FF0" w:rsidRDefault="000A2FF0" w:rsidP="009838C8">
      <w:pPr>
        <w:spacing w:after="120"/>
        <w:jc w:val="both"/>
        <w:rPr>
          <w:rFonts w:asciiTheme="minorBidi" w:hAnsiTheme="minorBidi" w:cstheme="minorBidi"/>
        </w:rPr>
      </w:pPr>
    </w:p>
    <w:p w14:paraId="7C34C380" w14:textId="77777777" w:rsidR="000A2FF0" w:rsidRDefault="000A2FF0" w:rsidP="009838C8">
      <w:pPr>
        <w:spacing w:after="120"/>
        <w:jc w:val="both"/>
        <w:rPr>
          <w:rFonts w:asciiTheme="minorBidi" w:hAnsiTheme="minorBidi" w:cstheme="minorBidi"/>
        </w:rPr>
      </w:pPr>
    </w:p>
    <w:p w14:paraId="33A6156A" w14:textId="77777777" w:rsidR="000A2FF0" w:rsidRDefault="000A2FF0" w:rsidP="009838C8">
      <w:pPr>
        <w:spacing w:after="120"/>
        <w:jc w:val="both"/>
        <w:rPr>
          <w:rFonts w:asciiTheme="minorBidi" w:hAnsiTheme="minorBidi" w:cstheme="minorBidi"/>
        </w:rPr>
      </w:pPr>
    </w:p>
    <w:p w14:paraId="0BF5AC8E" w14:textId="28B77960" w:rsidR="000A2FF0" w:rsidRDefault="00800AF2" w:rsidP="009838C8">
      <w:pPr>
        <w:spacing w:after="120"/>
        <w:jc w:val="both"/>
        <w:rPr>
          <w:rFonts w:asciiTheme="minorBidi" w:hAnsiTheme="minorBidi" w:cstheme="minorBidi"/>
        </w:rPr>
      </w:pPr>
      <w:r>
        <w:rPr>
          <w:noProof/>
        </w:rPr>
        <mc:AlternateContent>
          <mc:Choice Requires="wps">
            <w:drawing>
              <wp:anchor distT="0" distB="0" distL="114300" distR="114300" simplePos="0" relativeHeight="251667456" behindDoc="0" locked="0" layoutInCell="1" allowOverlap="1" wp14:anchorId="280E8B5F" wp14:editId="30616C17">
                <wp:simplePos x="0" y="0"/>
                <wp:positionH relativeFrom="margin">
                  <wp:align>center</wp:align>
                </wp:positionH>
                <wp:positionV relativeFrom="paragraph">
                  <wp:posOffset>247015</wp:posOffset>
                </wp:positionV>
                <wp:extent cx="2006600" cy="635"/>
                <wp:effectExtent l="0" t="0" r="0" b="8255"/>
                <wp:wrapSquare wrapText="bothSides"/>
                <wp:docPr id="1903711906" name="Text Box 1"/>
                <wp:cNvGraphicFramePr/>
                <a:graphic xmlns:a="http://schemas.openxmlformats.org/drawingml/2006/main">
                  <a:graphicData uri="http://schemas.microsoft.com/office/word/2010/wordprocessingShape">
                    <wps:wsp>
                      <wps:cNvSpPr txBox="1"/>
                      <wps:spPr>
                        <a:xfrm>
                          <a:off x="0" y="0"/>
                          <a:ext cx="2006600" cy="635"/>
                        </a:xfrm>
                        <a:prstGeom prst="rect">
                          <a:avLst/>
                        </a:prstGeom>
                        <a:solidFill>
                          <a:prstClr val="white"/>
                        </a:solidFill>
                        <a:ln>
                          <a:noFill/>
                        </a:ln>
                      </wps:spPr>
                      <wps:txbx>
                        <w:txbxContent>
                          <w:p w14:paraId="7DCA70A0" w14:textId="195B9812" w:rsidR="00800AF2" w:rsidRPr="00800AF2" w:rsidRDefault="00800AF2" w:rsidP="00800AF2">
                            <w:pPr>
                              <w:pStyle w:val="Caption"/>
                              <w:rPr>
                                <w:b/>
                                <w:bCs/>
                                <w:noProof/>
                              </w:rPr>
                            </w:pPr>
                            <w:r w:rsidRPr="00800AF2">
                              <w:rPr>
                                <w:b/>
                                <w:bCs/>
                              </w:rPr>
                              <w:t xml:space="preserve">Figure </w:t>
                            </w:r>
                            <w:r>
                              <w:rPr>
                                <w:b/>
                                <w:bCs/>
                              </w:rPr>
                              <w:t>4</w:t>
                            </w:r>
                            <w:r w:rsidRPr="00800AF2">
                              <w:rPr>
                                <w:b/>
                                <w:bCs/>
                                <w:lang w:val="en-US"/>
                              </w:rPr>
                              <w:t xml:space="preserve"> SWOT Analysis (Jackson,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0E8B5F" id="_x0000_s1028" type="#_x0000_t202" style="position:absolute;left:0;text-align:left;margin-left:0;margin-top:19.45pt;width:158pt;height:.0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" stroked="f">
                <v:textbox style="mso-fit-shape-to-text:t" inset="0,0,0,0">
                  <w:txbxContent>
                    <w:p w14:paraId="7DCA70A0" w14:textId="195B9812" w:rsidR="00800AF2" w:rsidRPr="00800AF2" w:rsidRDefault="00800AF2" w:rsidP="00800AF2">
                      <w:pPr>
                        <w:pStyle w:val="Caption"/>
                        <w:rPr>
                          <w:b/>
                          <w:bCs/>
                          <w:noProof/>
                        </w:rPr>
                      </w:pPr>
                      <w:r w:rsidRPr="00800AF2">
                        <w:rPr>
                          <w:b/>
                          <w:bCs/>
                        </w:rPr>
                        <w:t xml:space="preserve">Figure </w:t>
                      </w:r>
                      <w:r>
                        <w:rPr>
                          <w:b/>
                          <w:bCs/>
                        </w:rPr>
                        <w:t>4</w:t>
                      </w:r>
                      <w:r w:rsidRPr="00800AF2">
                        <w:rPr>
                          <w:b/>
                          <w:bCs/>
                          <w:lang w:val="en-US"/>
                        </w:rPr>
                        <w:t xml:space="preserve"> SWOT Analysis (Jackson, 2024)</w:t>
                      </w:r>
                    </w:p>
                  </w:txbxContent>
                </v:textbox>
                <w10:wrap type="square" anchorx="margin"/>
              </v:shape>
            </w:pict>
          </mc:Fallback>
        </mc:AlternateContent>
      </w:r>
    </w:p>
    <w:p w14:paraId="4E49A3CE" w14:textId="77777777" w:rsidR="00800AF2" w:rsidRDefault="00800AF2" w:rsidP="009838C8">
      <w:pPr>
        <w:spacing w:after="120"/>
        <w:jc w:val="both"/>
        <w:rPr>
          <w:rFonts w:asciiTheme="minorBidi" w:hAnsiTheme="minorBidi" w:cstheme="minorBidi"/>
        </w:rPr>
      </w:pPr>
    </w:p>
    <w:p w14:paraId="3855BCB6" w14:textId="588A5772" w:rsidR="0044686E"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The SWOT analysis is used to integrate the results of the external (PESTEL) and internal (VRIO) analysis for an overall strategic understanding of BYD's position in the UK market, as shown by </w:t>
      </w:r>
      <w:proofErr w:type="spellStart"/>
      <w:r w:rsidRPr="009838C8">
        <w:rPr>
          <w:rFonts w:asciiTheme="minorBidi" w:hAnsiTheme="minorBidi" w:cstheme="minorBidi"/>
        </w:rPr>
        <w:t>Öneren</w:t>
      </w:r>
      <w:proofErr w:type="spellEnd"/>
      <w:r w:rsidRPr="009838C8">
        <w:rPr>
          <w:rFonts w:asciiTheme="minorBidi" w:hAnsiTheme="minorBidi" w:cstheme="minorBidi"/>
        </w:rPr>
        <w:t xml:space="preserve"> et al. (2017), which they found to be more effective when combined with other strategic allocations, such as Porter's Five Forces. Similarly, Birru et al. (2022) state that SWOT analysis combined with industry analysis gives a better support to the decision-making process of strategy. The key strengths and weaknesses and opportunities and threats are summarised in Table 3, for BYD SEALION 7 in the UK.</w:t>
      </w:r>
    </w:p>
    <w:p w14:paraId="4C3551C5" w14:textId="77777777" w:rsidR="0044686E" w:rsidRPr="009838C8" w:rsidRDefault="00155577" w:rsidP="009838C8">
      <w:pPr>
        <w:spacing w:before="200" w:after="100"/>
        <w:jc w:val="both"/>
        <w:rPr>
          <w:rFonts w:asciiTheme="minorBidi" w:hAnsiTheme="minorBidi" w:cstheme="minorBidi"/>
        </w:rPr>
      </w:pPr>
      <w:r w:rsidRPr="009838C8">
        <w:rPr>
          <w:rFonts w:asciiTheme="minorBidi" w:hAnsiTheme="minorBidi" w:cstheme="minorBidi"/>
          <w:b/>
          <w:bCs/>
        </w:rPr>
        <w:t>Table 3: SWOT Analysis of BYD SEALION 7 in the UK</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750"/>
        <w:gridCol w:w="4750"/>
      </w:tblGrid>
      <w:tr w:rsidR="0044686E" w:rsidRPr="009838C8" w14:paraId="0EAC0B94" w14:textId="77777777">
        <w:tc>
          <w:tcPr>
            <w:tcW w:w="4750" w:type="dxa"/>
            <w:shd w:val="clear" w:color="auto" w:fill="1B4F72"/>
            <w:vAlign w:val="center"/>
          </w:tcPr>
          <w:p w14:paraId="348EC4D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Strengths</w:t>
            </w:r>
          </w:p>
        </w:tc>
        <w:tc>
          <w:tcPr>
            <w:tcW w:w="4750" w:type="dxa"/>
            <w:shd w:val="clear" w:color="auto" w:fill="1B4F72"/>
            <w:vAlign w:val="center"/>
          </w:tcPr>
          <w:p w14:paraId="6422308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Weaknesses</w:t>
            </w:r>
          </w:p>
        </w:tc>
      </w:tr>
      <w:tr w:rsidR="0044686E" w:rsidRPr="009838C8" w14:paraId="2A032BE3" w14:textId="77777777">
        <w:tc>
          <w:tcPr>
            <w:tcW w:w="4750" w:type="dxa"/>
            <w:vAlign w:val="center"/>
          </w:tcPr>
          <w:p w14:paraId="7944D52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Proprietary Blade Battery technology • Full vertical integration across supply chain • Competitive pricing vs. European rivals • Strong R&amp;D (122,000 research staff) • 312-mile WLTP range on SEALION 7</w:t>
            </w:r>
          </w:p>
        </w:tc>
        <w:tc>
          <w:tcPr>
            <w:tcW w:w="4750" w:type="dxa"/>
            <w:vAlign w:val="center"/>
          </w:tcPr>
          <w:p w14:paraId="60B20F5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Limited brand awareness in UK market • Perception challenges as a Chinese brand • Relatively new dealer network (since 2023) • Limited after-sales track record in UK • Ride quality not fully tuned for UK roads</w:t>
            </w:r>
          </w:p>
        </w:tc>
      </w:tr>
      <w:tr w:rsidR="0044686E" w:rsidRPr="009838C8" w14:paraId="0A6B08A9" w14:textId="77777777">
        <w:tc>
          <w:tcPr>
            <w:tcW w:w="4750" w:type="dxa"/>
            <w:shd w:val="clear" w:color="auto" w:fill="1B4F72"/>
            <w:vAlign w:val="center"/>
          </w:tcPr>
          <w:p w14:paraId="56B76E8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Opportunities</w:t>
            </w:r>
          </w:p>
        </w:tc>
        <w:tc>
          <w:tcPr>
            <w:tcW w:w="4750" w:type="dxa"/>
            <w:shd w:val="clear" w:color="auto" w:fill="1B4F72"/>
            <w:vAlign w:val="center"/>
          </w:tcPr>
          <w:p w14:paraId="5618A47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Threats</w:t>
            </w:r>
          </w:p>
        </w:tc>
      </w:tr>
      <w:tr w:rsidR="0044686E" w:rsidRPr="009838C8" w14:paraId="2792C1A6" w14:textId="77777777">
        <w:tc>
          <w:tcPr>
            <w:tcW w:w="4750" w:type="dxa"/>
            <w:vAlign w:val="center"/>
          </w:tcPr>
          <w:p w14:paraId="4737E62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xml:space="preserve">• UK ZEV mandate driving BEV demand • Growing fleet buyer segment • Expansion of UK charging infrastructure • Rising fuel </w:t>
            </w:r>
            <w:r w:rsidRPr="009838C8">
              <w:rPr>
                <w:rFonts w:asciiTheme="minorBidi" w:hAnsiTheme="minorBidi" w:cstheme="minorBidi"/>
              </w:rPr>
              <w:lastRenderedPageBreak/>
              <w:t>costs favouring EV ownership • Potential UK-specific model tuning</w:t>
            </w:r>
          </w:p>
        </w:tc>
        <w:tc>
          <w:tcPr>
            <w:tcW w:w="4750" w:type="dxa"/>
            <w:vAlign w:val="center"/>
          </w:tcPr>
          <w:p w14:paraId="468641A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lastRenderedPageBreak/>
              <w:t xml:space="preserve">• Potential import tariffs on Chinese EVs • Strong competition from Tesla, BMW, Kia • Consumer resistance to Chinese brands • </w:t>
            </w:r>
            <w:r w:rsidRPr="009838C8">
              <w:rPr>
                <w:rFonts w:asciiTheme="minorBidi" w:hAnsiTheme="minorBidi" w:cstheme="minorBidi"/>
              </w:rPr>
              <w:lastRenderedPageBreak/>
              <w:t>New VED tax reducing EV cost advantage • Geopolitical tensions affecting trade</w:t>
            </w:r>
          </w:p>
        </w:tc>
      </w:tr>
    </w:tbl>
    <w:p w14:paraId="0EA33B7F"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lastRenderedPageBreak/>
        <w:t>The SWOT analysis shows that BYD has some key internal strengths, such as its use of battery technology and cost benefits, which give it a good base to compete in the UK. But the brand awareness and after-sales shortcomings need to be corrected with specific investments. Berkeley et al. (2018) list three main obstacles to the BEV market adoption in the UK: upfront cost, range anxiety and charging infrastructure. BYD's competitive pricing and superior range performance is helping to combat upfront cost and range anxiety. Additionally, consumer attitudes and social interactions are proven to have a key effect on EV purchasing decision, as highlighted by Xu et al. (2026); therefore, fostering a sense of trust with consumers through facilitating positive experiences is vital for BYD's sustainable future in the UK.</w:t>
      </w:r>
    </w:p>
    <w:p w14:paraId="0F737F6E" w14:textId="77777777" w:rsidR="00522A70" w:rsidRDefault="00522A70">
      <w:pPr>
        <w:rPr>
          <w:rFonts w:ascii="Arial" w:hAnsi="Arial"/>
          <w:b/>
          <w:bCs/>
          <w:color w:val="002060"/>
          <w:sz w:val="32"/>
          <w:szCs w:val="32"/>
        </w:rPr>
      </w:pPr>
      <w:r>
        <w:br w:type="page"/>
      </w:r>
    </w:p>
    <w:p w14:paraId="272E315C" w14:textId="105E5F1C" w:rsidR="008D5DB8" w:rsidRPr="009838C8" w:rsidRDefault="008D5DB8" w:rsidP="009838C8">
      <w:pPr>
        <w:pStyle w:val="Heading1"/>
      </w:pPr>
      <w:bookmarkStart w:id="10" w:name="_Toc237386303"/>
      <w:r w:rsidRPr="009838C8">
        <w:lastRenderedPageBreak/>
        <w:t>4. Organisational-wide and holistic view</w:t>
      </w:r>
      <w:bookmarkEnd w:id="10"/>
    </w:p>
    <w:p w14:paraId="32284F12" w14:textId="77777777" w:rsidR="008D5DB8" w:rsidRPr="009838C8" w:rsidRDefault="008D5DB8" w:rsidP="009838C8">
      <w:pPr>
        <w:pStyle w:val="Heading2"/>
      </w:pPr>
      <w:bookmarkStart w:id="11" w:name="_Toc237386304"/>
      <w:r w:rsidRPr="009838C8">
        <w:t>4.1 Corporate Social Responsibility (CSR) Strategy</w:t>
      </w:r>
      <w:bookmarkEnd w:id="11"/>
    </w:p>
    <w:p w14:paraId="65DA1423" w14:textId="4F6E254D"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As society becomes more aware of the importance of corporate social responsibility, automakers and other businesses are being judged on their financial results, as well as their environmental and social footprint. Gong et al. (2023) prove that sustainable marketing practice has a direct effect on customer engagement and sustainable purchasing intention, and CSR has a moderating effect. The authors of Cao et al. (2021) believe that in the context of sustainable development, the company's stakeholder engagement must consider the interests of customers, communities, governments and investors at the same time.</w:t>
      </w:r>
    </w:p>
    <w:p w14:paraId="48BFD9E7" w14:textId="57DD74E3"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4: CSR Strategy and Alignment with Business Objectives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4100"/>
        <w:gridCol w:w="3200"/>
      </w:tblGrid>
      <w:tr w:rsidR="0044686E" w:rsidRPr="009838C8" w14:paraId="087DD30B" w14:textId="77777777">
        <w:tc>
          <w:tcPr>
            <w:tcW w:w="2200" w:type="dxa"/>
            <w:shd w:val="clear" w:color="auto" w:fill="1B4F72"/>
            <w:vAlign w:val="center"/>
          </w:tcPr>
          <w:p w14:paraId="031758D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CSR Area</w:t>
            </w:r>
          </w:p>
        </w:tc>
        <w:tc>
          <w:tcPr>
            <w:tcW w:w="4100" w:type="dxa"/>
            <w:shd w:val="clear" w:color="auto" w:fill="1B4F72"/>
            <w:vAlign w:val="center"/>
          </w:tcPr>
          <w:p w14:paraId="31B74B5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Key Initiatives</w:t>
            </w:r>
          </w:p>
        </w:tc>
        <w:tc>
          <w:tcPr>
            <w:tcW w:w="3200" w:type="dxa"/>
            <w:shd w:val="clear" w:color="auto" w:fill="1B4F72"/>
            <w:vAlign w:val="center"/>
          </w:tcPr>
          <w:p w14:paraId="5FD1A39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Alignment with Business Objectives</w:t>
            </w:r>
          </w:p>
        </w:tc>
      </w:tr>
      <w:tr w:rsidR="0044686E" w:rsidRPr="009838C8" w14:paraId="66475E38" w14:textId="77777777">
        <w:tc>
          <w:tcPr>
            <w:tcW w:w="2200" w:type="dxa"/>
            <w:vAlign w:val="center"/>
          </w:tcPr>
          <w:p w14:paraId="5E15F1C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Environmental Sustainability</w:t>
            </w:r>
          </w:p>
        </w:tc>
        <w:tc>
          <w:tcPr>
            <w:tcW w:w="4100" w:type="dxa"/>
            <w:vAlign w:val="center"/>
          </w:tcPr>
          <w:p w14:paraId="0AE98CF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Carbon neutrality target by 2045; 50% operational carbon reduction by 2030; 410+ energy-saving projects in 2024</w:t>
            </w:r>
          </w:p>
        </w:tc>
        <w:tc>
          <w:tcPr>
            <w:tcW w:w="3200" w:type="dxa"/>
            <w:vAlign w:val="center"/>
          </w:tcPr>
          <w:p w14:paraId="3CD22E4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Directly supports product value proposition as zero-emission vehicle maker</w:t>
            </w:r>
          </w:p>
        </w:tc>
      </w:tr>
      <w:tr w:rsidR="0044686E" w:rsidRPr="009838C8" w14:paraId="01632968" w14:textId="77777777">
        <w:tc>
          <w:tcPr>
            <w:tcW w:w="2200" w:type="dxa"/>
            <w:vAlign w:val="center"/>
          </w:tcPr>
          <w:p w14:paraId="5AF67C2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Supply Chain Ethics</w:t>
            </w:r>
          </w:p>
        </w:tc>
        <w:tc>
          <w:tcPr>
            <w:tcW w:w="4100" w:type="dxa"/>
            <w:vAlign w:val="center"/>
          </w:tcPr>
          <w:p w14:paraId="3D0607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Monitoring of human rights and environmental standards across supply chain; responsible sourcing of battery minerals</w:t>
            </w:r>
          </w:p>
        </w:tc>
        <w:tc>
          <w:tcPr>
            <w:tcW w:w="3200" w:type="dxa"/>
            <w:vAlign w:val="center"/>
          </w:tcPr>
          <w:p w14:paraId="2B5545C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Builds consumer trust and addresses ESG investor requirements</w:t>
            </w:r>
          </w:p>
        </w:tc>
      </w:tr>
      <w:tr w:rsidR="0044686E" w:rsidRPr="009838C8" w14:paraId="4CE0D9DE" w14:textId="77777777">
        <w:tc>
          <w:tcPr>
            <w:tcW w:w="2200" w:type="dxa"/>
            <w:vAlign w:val="center"/>
          </w:tcPr>
          <w:p w14:paraId="5438382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Workforce Development</w:t>
            </w:r>
          </w:p>
        </w:tc>
        <w:tc>
          <w:tcPr>
            <w:tcW w:w="4100" w:type="dxa"/>
            <w:vAlign w:val="center"/>
          </w:tcPr>
          <w:p w14:paraId="0BCEDA95" w14:textId="09C4E61D"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xml:space="preserve">Investment in apprenticeship programmes; 122,000 R&amp;D staff; recognised as 'Best Companies to Work </w:t>
            </w:r>
            <w:r w:rsidR="000A2FF0">
              <w:rPr>
                <w:rFonts w:asciiTheme="minorBidi" w:hAnsiTheme="minorBidi" w:cstheme="minorBidi"/>
              </w:rPr>
              <w:t>f</w:t>
            </w:r>
            <w:r w:rsidRPr="009838C8">
              <w:rPr>
                <w:rFonts w:asciiTheme="minorBidi" w:hAnsiTheme="minorBidi" w:cstheme="minorBidi"/>
              </w:rPr>
              <w:t>or in Asia'</w:t>
            </w:r>
          </w:p>
        </w:tc>
        <w:tc>
          <w:tcPr>
            <w:tcW w:w="3200" w:type="dxa"/>
            <w:vAlign w:val="center"/>
          </w:tcPr>
          <w:p w14:paraId="19A43DB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Supports innovation capacity and long-term talent pipeline</w:t>
            </w:r>
          </w:p>
        </w:tc>
      </w:tr>
      <w:tr w:rsidR="0044686E" w:rsidRPr="009838C8" w14:paraId="45057D5B" w14:textId="77777777">
        <w:tc>
          <w:tcPr>
            <w:tcW w:w="2200" w:type="dxa"/>
            <w:vAlign w:val="center"/>
          </w:tcPr>
          <w:p w14:paraId="6912F68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Community Engagement</w:t>
            </w:r>
          </w:p>
        </w:tc>
        <w:tc>
          <w:tcPr>
            <w:tcW w:w="4100" w:type="dxa"/>
            <w:vAlign w:val="center"/>
          </w:tcPr>
          <w:p w14:paraId="1789AEC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Local community partnerships; donations to education; support for clean energy transition in cities</w:t>
            </w:r>
          </w:p>
        </w:tc>
        <w:tc>
          <w:tcPr>
            <w:tcW w:w="3200" w:type="dxa"/>
            <w:vAlign w:val="center"/>
          </w:tcPr>
          <w:p w14:paraId="1802F88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Enhances brand reputation and social licence to operate in new markets</w:t>
            </w:r>
          </w:p>
        </w:tc>
      </w:tr>
    </w:tbl>
    <w:p w14:paraId="7EA6E0E0" w14:textId="77777777" w:rsidR="0044686E" w:rsidRPr="009838C8" w:rsidRDefault="0044686E" w:rsidP="009838C8">
      <w:pPr>
        <w:spacing w:after="120"/>
        <w:jc w:val="both"/>
        <w:rPr>
          <w:rFonts w:asciiTheme="minorBidi" w:hAnsiTheme="minorBidi" w:cstheme="minorBidi"/>
        </w:rPr>
      </w:pPr>
    </w:p>
    <w:p w14:paraId="655B65CF" w14:textId="40A1347C"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lastRenderedPageBreak/>
        <w:t>In view of BYD's new energy vehicle business model, its CSR efforts are tightly integrated with its business.</w:t>
      </w:r>
      <w:r w:rsidR="00522A70">
        <w:rPr>
          <w:rFonts w:asciiTheme="minorBidi" w:hAnsiTheme="minorBidi" w:cstheme="minorBidi"/>
        </w:rPr>
        <w:t xml:space="preserve"> B</w:t>
      </w:r>
      <w:r w:rsidRPr="009838C8">
        <w:rPr>
          <w:rFonts w:asciiTheme="minorBidi" w:hAnsiTheme="minorBidi" w:cstheme="minorBidi"/>
        </w:rPr>
        <w:t xml:space="preserve">y virtue of its business model, BYD's CSR focuses closely on the new energy vehicle business. The Company has established operational carbon emissions intensity reduction target for reduction by 50% by 2030 and its target is to achieve full value chain carbon neutrality by 2045. In 2024, BYD has completed more than 410 energy-saving renovation </w:t>
      </w:r>
      <w:proofErr w:type="gramStart"/>
      <w:r w:rsidRPr="009838C8">
        <w:rPr>
          <w:rFonts w:asciiTheme="minorBidi" w:hAnsiTheme="minorBidi" w:cstheme="minorBidi"/>
        </w:rPr>
        <w:t>projects</w:t>
      </w:r>
      <w:proofErr w:type="gramEnd"/>
      <w:r w:rsidRPr="009838C8">
        <w:rPr>
          <w:rFonts w:asciiTheme="minorBidi" w:hAnsiTheme="minorBidi" w:cstheme="minorBidi"/>
        </w:rPr>
        <w:t xml:space="preserve"> and the total cost of waste treatment is about 1.41 billion RMB (BYD ESG Report, 2025). See Wei and Homer (2025) assert that the attitude consumers hold towards sustainability practices influences their experience with EVs, especially in emerging markets where brand familiarity is being built.</w:t>
      </w:r>
    </w:p>
    <w:p w14:paraId="7E5DA1A5"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But BYD hasn't been without trouble when it comes to CSR. According to Severiano et al. (2024), the extraction of raw materials for batteries is facing major sustainability challenges such as environmental effects and ethical issues related to supply chains. Singh et al. (2024) also state that the sustainability of EV adoption is not just about the vehicle itself but about the whole lifecycle, from the extraction of raw materials to the end of life with batteries. In the UK tying a strong CSR message to the brand is particularly significant due to the UK consumer's growing concern about environmental and ethical issues affecting their purchasing decisions. These expectations are met through the structured approach of BYD's DREAMS sustainability framework, which encompasses Decarbonisation, Revolution, Equality, Alliance, Moral Integrity and Shared Value.</w:t>
      </w:r>
    </w:p>
    <w:p w14:paraId="690F22E9" w14:textId="77777777" w:rsidR="008D5DB8" w:rsidRPr="009838C8" w:rsidRDefault="008D5DB8" w:rsidP="009838C8">
      <w:pPr>
        <w:pStyle w:val="Heading2"/>
      </w:pPr>
      <w:bookmarkStart w:id="12" w:name="_Toc237386305"/>
      <w:r w:rsidRPr="009838C8">
        <w:t>4.2 Balanced Scorecard Analysis</w:t>
      </w:r>
      <w:bookmarkEnd w:id="12"/>
    </w:p>
    <w:p w14:paraId="034DDF67" w14:textId="04BB3B1C"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Developed by Kaplan and Norton (1992), the Balanced Scorecard is a framework that allows an organisation to measure its performance on four areas: Financial, Customer, Internal Business Processes and Learning and Growth. This framework is geared towards more than just the numbers – it's based on operational and strategic indicators that lead to long-term success. A Balanced Scorecard analysis is shown for BYD SEALION 7's strategy in the UK in Table 5.</w:t>
      </w:r>
    </w:p>
    <w:p w14:paraId="2C51323E" w14:textId="77777777" w:rsidR="00522A70" w:rsidRDefault="00522A70">
      <w:pPr>
        <w:rPr>
          <w:rFonts w:asciiTheme="minorBidi" w:hAnsiTheme="minorBidi" w:cstheme="minorBidi"/>
          <w:b/>
          <w:bCs/>
        </w:rPr>
      </w:pPr>
      <w:r>
        <w:rPr>
          <w:rFonts w:asciiTheme="minorBidi" w:hAnsiTheme="minorBidi" w:cstheme="minorBidi"/>
          <w:b/>
          <w:bCs/>
        </w:rPr>
        <w:br w:type="page"/>
      </w:r>
    </w:p>
    <w:p w14:paraId="67908067" w14:textId="03674866"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lastRenderedPageBreak/>
        <w:t>Table 5: Balanced Scorecard for BYD SEALION 7 UK Strategy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2200"/>
        <w:gridCol w:w="1600"/>
        <w:gridCol w:w="1700"/>
      </w:tblGrid>
      <w:tr w:rsidR="0044686E" w:rsidRPr="009838C8" w14:paraId="161683D0" w14:textId="77777777">
        <w:tc>
          <w:tcPr>
            <w:tcW w:w="1800" w:type="dxa"/>
            <w:shd w:val="clear" w:color="auto" w:fill="1B4F72"/>
            <w:vAlign w:val="center"/>
          </w:tcPr>
          <w:p w14:paraId="2D9AE8B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Perspective</w:t>
            </w:r>
          </w:p>
        </w:tc>
        <w:tc>
          <w:tcPr>
            <w:tcW w:w="2200" w:type="dxa"/>
            <w:shd w:val="clear" w:color="auto" w:fill="1B4F72"/>
            <w:vAlign w:val="center"/>
          </w:tcPr>
          <w:p w14:paraId="2ADF045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Objectives</w:t>
            </w:r>
          </w:p>
        </w:tc>
        <w:tc>
          <w:tcPr>
            <w:tcW w:w="2200" w:type="dxa"/>
            <w:shd w:val="clear" w:color="auto" w:fill="1B4F72"/>
            <w:vAlign w:val="center"/>
          </w:tcPr>
          <w:p w14:paraId="48B605C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KPIs</w:t>
            </w:r>
          </w:p>
        </w:tc>
        <w:tc>
          <w:tcPr>
            <w:tcW w:w="1600" w:type="dxa"/>
            <w:shd w:val="clear" w:color="auto" w:fill="1B4F72"/>
            <w:vAlign w:val="center"/>
          </w:tcPr>
          <w:p w14:paraId="0A084F0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Targets</w:t>
            </w:r>
          </w:p>
        </w:tc>
        <w:tc>
          <w:tcPr>
            <w:tcW w:w="1700" w:type="dxa"/>
            <w:shd w:val="clear" w:color="auto" w:fill="1B4F72"/>
            <w:vAlign w:val="center"/>
          </w:tcPr>
          <w:p w14:paraId="7BCD828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Initiatives</w:t>
            </w:r>
          </w:p>
        </w:tc>
      </w:tr>
      <w:tr w:rsidR="0044686E" w:rsidRPr="009838C8" w14:paraId="16014AFA" w14:textId="77777777">
        <w:tc>
          <w:tcPr>
            <w:tcW w:w="1800" w:type="dxa"/>
            <w:vAlign w:val="center"/>
          </w:tcPr>
          <w:p w14:paraId="78CB90B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Financial</w:t>
            </w:r>
          </w:p>
        </w:tc>
        <w:tc>
          <w:tcPr>
            <w:tcW w:w="2200" w:type="dxa"/>
            <w:vAlign w:val="center"/>
          </w:tcPr>
          <w:p w14:paraId="347B814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Grow UK revenue and market share</w:t>
            </w:r>
          </w:p>
        </w:tc>
        <w:tc>
          <w:tcPr>
            <w:tcW w:w="2200" w:type="dxa"/>
            <w:vAlign w:val="center"/>
          </w:tcPr>
          <w:p w14:paraId="011ADDF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UK registration volume; revenue growth rate</w:t>
            </w:r>
          </w:p>
        </w:tc>
        <w:tc>
          <w:tcPr>
            <w:tcW w:w="1600" w:type="dxa"/>
            <w:vAlign w:val="center"/>
          </w:tcPr>
          <w:p w14:paraId="7EC1A1B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10% BEV market share by 2027</w:t>
            </w:r>
          </w:p>
        </w:tc>
        <w:tc>
          <w:tcPr>
            <w:tcW w:w="1700" w:type="dxa"/>
            <w:vAlign w:val="center"/>
          </w:tcPr>
          <w:p w14:paraId="6566060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Expand model range; fleet partnerships</w:t>
            </w:r>
          </w:p>
        </w:tc>
      </w:tr>
      <w:tr w:rsidR="0044686E" w:rsidRPr="009838C8" w14:paraId="579F06A2" w14:textId="77777777">
        <w:tc>
          <w:tcPr>
            <w:tcW w:w="1800" w:type="dxa"/>
            <w:vAlign w:val="center"/>
          </w:tcPr>
          <w:p w14:paraId="4AA620E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Customer</w:t>
            </w:r>
          </w:p>
        </w:tc>
        <w:tc>
          <w:tcPr>
            <w:tcW w:w="2200" w:type="dxa"/>
            <w:vAlign w:val="center"/>
          </w:tcPr>
          <w:p w14:paraId="62490DB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Build brand trust and customer satisfaction</w:t>
            </w:r>
          </w:p>
        </w:tc>
        <w:tc>
          <w:tcPr>
            <w:tcW w:w="2200" w:type="dxa"/>
            <w:vAlign w:val="center"/>
          </w:tcPr>
          <w:p w14:paraId="27A0107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Customer satisfaction score; repeat purchase rate</w:t>
            </w:r>
          </w:p>
        </w:tc>
        <w:tc>
          <w:tcPr>
            <w:tcW w:w="1600" w:type="dxa"/>
            <w:vAlign w:val="center"/>
          </w:tcPr>
          <w:p w14:paraId="42A500D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90% satisfaction rating</w:t>
            </w:r>
          </w:p>
        </w:tc>
        <w:tc>
          <w:tcPr>
            <w:tcW w:w="1700" w:type="dxa"/>
            <w:vAlign w:val="center"/>
          </w:tcPr>
          <w:p w14:paraId="4F1E473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After-sales service improvement; warranty programmes</w:t>
            </w:r>
          </w:p>
        </w:tc>
      </w:tr>
      <w:tr w:rsidR="0044686E" w:rsidRPr="009838C8" w14:paraId="527A9895" w14:textId="77777777">
        <w:tc>
          <w:tcPr>
            <w:tcW w:w="1800" w:type="dxa"/>
            <w:vAlign w:val="center"/>
          </w:tcPr>
          <w:p w14:paraId="0ACE662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Internal Business Processes</w:t>
            </w:r>
          </w:p>
        </w:tc>
        <w:tc>
          <w:tcPr>
            <w:tcW w:w="2200" w:type="dxa"/>
            <w:vAlign w:val="center"/>
          </w:tcPr>
          <w:p w14:paraId="2B31657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Optimise UK distribution and supply chain</w:t>
            </w:r>
          </w:p>
        </w:tc>
        <w:tc>
          <w:tcPr>
            <w:tcW w:w="2200" w:type="dxa"/>
            <w:vAlign w:val="center"/>
          </w:tcPr>
          <w:p w14:paraId="210F7AA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Delivery lead time; dealer network coverage</w:t>
            </w:r>
          </w:p>
        </w:tc>
        <w:tc>
          <w:tcPr>
            <w:tcW w:w="1600" w:type="dxa"/>
            <w:vAlign w:val="center"/>
          </w:tcPr>
          <w:p w14:paraId="69E01C8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150 UK dealers by mid-2026</w:t>
            </w:r>
          </w:p>
        </w:tc>
        <w:tc>
          <w:tcPr>
            <w:tcW w:w="1700" w:type="dxa"/>
            <w:vAlign w:val="center"/>
          </w:tcPr>
          <w:p w14:paraId="55B316B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Regional distribution centres; digital ordering</w:t>
            </w:r>
          </w:p>
        </w:tc>
      </w:tr>
      <w:tr w:rsidR="0044686E" w:rsidRPr="009838C8" w14:paraId="4230F23D" w14:textId="77777777">
        <w:tc>
          <w:tcPr>
            <w:tcW w:w="1800" w:type="dxa"/>
            <w:vAlign w:val="center"/>
          </w:tcPr>
          <w:p w14:paraId="443C77E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Learning and Growth</w:t>
            </w:r>
          </w:p>
        </w:tc>
        <w:tc>
          <w:tcPr>
            <w:tcW w:w="2200" w:type="dxa"/>
            <w:vAlign w:val="center"/>
          </w:tcPr>
          <w:p w14:paraId="5ECFADD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Develop UK-specific capabilities and talent</w:t>
            </w:r>
          </w:p>
        </w:tc>
        <w:tc>
          <w:tcPr>
            <w:tcW w:w="2200" w:type="dxa"/>
            <w:vAlign w:val="center"/>
          </w:tcPr>
          <w:p w14:paraId="604D907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Staff training hours; localisation projects</w:t>
            </w:r>
          </w:p>
        </w:tc>
        <w:tc>
          <w:tcPr>
            <w:tcW w:w="1600" w:type="dxa"/>
            <w:vAlign w:val="center"/>
          </w:tcPr>
          <w:p w14:paraId="1AABD9E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Full UK support team by 2027</w:t>
            </w:r>
          </w:p>
        </w:tc>
        <w:tc>
          <w:tcPr>
            <w:tcW w:w="1700" w:type="dxa"/>
            <w:vAlign w:val="center"/>
          </w:tcPr>
          <w:p w14:paraId="4DD3675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UK R&amp;D centre; dealer staff training</w:t>
            </w:r>
          </w:p>
        </w:tc>
      </w:tr>
    </w:tbl>
    <w:p w14:paraId="6AC9E261" w14:textId="77777777" w:rsidR="0044686E" w:rsidRPr="009838C8" w:rsidRDefault="0044686E" w:rsidP="009838C8">
      <w:pPr>
        <w:spacing w:after="120"/>
        <w:jc w:val="both"/>
        <w:rPr>
          <w:rFonts w:asciiTheme="minorBidi" w:hAnsiTheme="minorBidi" w:cstheme="minorBidi"/>
        </w:rPr>
      </w:pPr>
    </w:p>
    <w:p w14:paraId="20615369" w14:textId="77777777" w:rsidR="008D5DB8"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Financial Perspective:</w:t>
      </w:r>
    </w:p>
    <w:p w14:paraId="48F346A0"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For the UK, BYD's financial goals are geared towards expanding its share of the BEV market. The company has also seen significant momentum, with its registration in the UK increasing by 95% in the first half of 2026. Changing the 10% goal for BEVs could mean more dealer locations and additional products. The SEALION 7 Excellence AWD, which is priced at £58,990, is a higher-margin variant expected to help boost revenue.</w:t>
      </w:r>
    </w:p>
    <w:p w14:paraId="37E937C6" w14:textId="77777777" w:rsidR="008D5DB8" w:rsidRPr="009838C8" w:rsidRDefault="008D5DB8" w:rsidP="009838C8">
      <w:pPr>
        <w:spacing w:after="120"/>
        <w:jc w:val="both"/>
        <w:rPr>
          <w:rFonts w:asciiTheme="minorBidi" w:hAnsiTheme="minorBidi" w:cstheme="minorBidi"/>
          <w:b/>
          <w:bCs/>
        </w:rPr>
      </w:pPr>
      <w:r w:rsidRPr="009838C8">
        <w:rPr>
          <w:rFonts w:asciiTheme="minorBidi" w:hAnsiTheme="minorBidi" w:cstheme="minorBidi"/>
          <w:b/>
          <w:bCs/>
        </w:rPr>
        <w:t>Customer Perspective:</w:t>
      </w:r>
    </w:p>
    <w:p w14:paraId="6278DE88" w14:textId="491847B1"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For the BYD, establishing trust is an essential step in their brand development in the UK, as a relatively new carmaker. The market potential is driven directly by the consumer perception of the EV manufacturers, according to Earl </w:t>
      </w:r>
      <w:r w:rsidR="000A2FF0">
        <w:rPr>
          <w:rFonts w:asciiTheme="minorBidi" w:hAnsiTheme="minorBidi" w:cstheme="minorBidi"/>
        </w:rPr>
        <w:t>and</w:t>
      </w:r>
      <w:r w:rsidRPr="009838C8">
        <w:rPr>
          <w:rFonts w:asciiTheme="minorBidi" w:hAnsiTheme="minorBidi" w:cstheme="minorBidi"/>
        </w:rPr>
        <w:t xml:space="preserve"> Fell (2019). UK buyers can feel reassured with BYD's 6-year and 8-year warranties. The SEALION 7 already has favourable reviews from UK motoring </w:t>
      </w:r>
      <w:r w:rsidRPr="009838C8">
        <w:rPr>
          <w:rFonts w:asciiTheme="minorBidi" w:hAnsiTheme="minorBidi" w:cstheme="minorBidi"/>
        </w:rPr>
        <w:lastRenderedPageBreak/>
        <w:t xml:space="preserve">journalists for its double </w:t>
      </w:r>
      <w:proofErr w:type="spellStart"/>
      <w:r w:rsidRPr="009838C8">
        <w:rPr>
          <w:rFonts w:asciiTheme="minorBidi" w:hAnsiTheme="minorBidi" w:cstheme="minorBidi"/>
        </w:rPr>
        <w:t>glaz</w:t>
      </w:r>
      <w:proofErr w:type="spellEnd"/>
      <w:r w:rsidRPr="009838C8">
        <w:rPr>
          <w:rFonts w:asciiTheme="minorBidi" w:hAnsiTheme="minorBidi" w:cstheme="minorBidi"/>
        </w:rPr>
        <w:t xml:space="preserve"> side windows and quiet cabin, further adding to the levels of customer satisfaction. Achieving a customer satisfaction target of 90% means that the quality of after-sales services, response time and relationship building with customers during the whole process </w:t>
      </w:r>
      <w:proofErr w:type="gramStart"/>
      <w:r w:rsidRPr="009838C8">
        <w:rPr>
          <w:rFonts w:asciiTheme="minorBidi" w:hAnsiTheme="minorBidi" w:cstheme="minorBidi"/>
        </w:rPr>
        <w:t>have to</w:t>
      </w:r>
      <w:proofErr w:type="gramEnd"/>
      <w:r w:rsidRPr="009838C8">
        <w:rPr>
          <w:rFonts w:asciiTheme="minorBidi" w:hAnsiTheme="minorBidi" w:cstheme="minorBidi"/>
        </w:rPr>
        <w:t xml:space="preserve"> be carried out continuously.</w:t>
      </w:r>
    </w:p>
    <w:p w14:paraId="6A062443" w14:textId="77777777" w:rsidR="0044686E" w:rsidRPr="009838C8" w:rsidRDefault="00155577" w:rsidP="00522A70">
      <w:pPr>
        <w:spacing w:before="200" w:after="40"/>
        <w:jc w:val="center"/>
        <w:rPr>
          <w:rFonts w:asciiTheme="minorBidi" w:hAnsiTheme="minorBidi" w:cstheme="minorBidi"/>
        </w:rPr>
      </w:pPr>
      <w:r w:rsidRPr="009838C8">
        <w:rPr>
          <w:rFonts w:asciiTheme="minorBidi" w:hAnsiTheme="minorBidi" w:cstheme="minorBidi"/>
          <w:noProof/>
        </w:rPr>
        <w:drawing>
          <wp:inline distT="0" distB="0" distL="0" distR="0" wp14:anchorId="36B779A2" wp14:editId="37C20F06">
            <wp:extent cx="5524500" cy="3429000"/>
            <wp:effectExtent l="0" t="0" r="0" b="0"/>
            <wp:docPr id="222147680" name="Picture 222147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524500" cy="3429000"/>
                    </a:xfrm>
                    <a:prstGeom prst="rect">
                      <a:avLst/>
                    </a:prstGeom>
                  </pic:spPr>
                </pic:pic>
              </a:graphicData>
            </a:graphic>
          </wp:inline>
        </w:drawing>
      </w:r>
    </w:p>
    <w:p w14:paraId="43F13589" w14:textId="28C672CF" w:rsidR="00522A70" w:rsidRPr="00522A70" w:rsidRDefault="00155577" w:rsidP="00522A70">
      <w:pPr>
        <w:spacing w:before="80" w:after="200"/>
        <w:jc w:val="center"/>
        <w:rPr>
          <w:rFonts w:asciiTheme="minorBidi" w:hAnsiTheme="minorBidi" w:cstheme="minorBidi"/>
          <w:i/>
          <w:iCs/>
          <w:sz w:val="20"/>
          <w:szCs w:val="20"/>
        </w:rPr>
      </w:pPr>
      <w:r w:rsidRPr="00522A70">
        <w:rPr>
          <w:rFonts w:asciiTheme="minorBidi" w:hAnsiTheme="minorBidi" w:cstheme="minorBidi"/>
          <w:i/>
          <w:iCs/>
          <w:sz w:val="20"/>
          <w:szCs w:val="20"/>
        </w:rPr>
        <w:t xml:space="preserve">Figure </w:t>
      </w:r>
      <w:r w:rsidR="00800AF2">
        <w:rPr>
          <w:rFonts w:asciiTheme="minorBidi" w:hAnsiTheme="minorBidi" w:cstheme="minorBidi"/>
          <w:i/>
          <w:iCs/>
          <w:sz w:val="20"/>
          <w:szCs w:val="20"/>
        </w:rPr>
        <w:t>5</w:t>
      </w:r>
      <w:r w:rsidRPr="00522A70">
        <w:rPr>
          <w:rFonts w:asciiTheme="minorBidi" w:hAnsiTheme="minorBidi" w:cstheme="minorBidi"/>
          <w:i/>
          <w:iCs/>
          <w:sz w:val="20"/>
          <w:szCs w:val="20"/>
        </w:rPr>
        <w:t xml:space="preserve">: UK Public EV Charging Points Growth 2020-2025 (Source: </w:t>
      </w:r>
      <w:proofErr w:type="spellStart"/>
      <w:r w:rsidRPr="00522A70">
        <w:rPr>
          <w:rFonts w:asciiTheme="minorBidi" w:hAnsiTheme="minorBidi" w:cstheme="minorBidi"/>
          <w:i/>
          <w:iCs/>
          <w:sz w:val="20"/>
          <w:szCs w:val="20"/>
        </w:rPr>
        <w:t>Zapmap</w:t>
      </w:r>
      <w:proofErr w:type="spellEnd"/>
      <w:r w:rsidRPr="00522A70">
        <w:rPr>
          <w:rFonts w:asciiTheme="minorBidi" w:hAnsiTheme="minorBidi" w:cstheme="minorBidi"/>
          <w:i/>
          <w:iCs/>
          <w:sz w:val="20"/>
          <w:szCs w:val="20"/>
        </w:rPr>
        <w:t>/UK Gov DfT, 2026</w:t>
      </w:r>
      <w:r w:rsidR="00522A70" w:rsidRPr="00522A70">
        <w:rPr>
          <w:rFonts w:asciiTheme="minorBidi" w:hAnsiTheme="minorBidi" w:cstheme="minorBidi"/>
          <w:i/>
          <w:iCs/>
          <w:sz w:val="20"/>
          <w:szCs w:val="20"/>
        </w:rPr>
        <w:t>)</w:t>
      </w:r>
    </w:p>
    <w:p w14:paraId="18ECC38E" w14:textId="18D87AF1" w:rsidR="008D5DB8" w:rsidRPr="009838C8" w:rsidRDefault="00155577" w:rsidP="00522A70">
      <w:pPr>
        <w:spacing w:before="80" w:after="200"/>
        <w:jc w:val="both"/>
        <w:rPr>
          <w:rFonts w:asciiTheme="minorBidi" w:hAnsiTheme="minorBidi" w:cstheme="minorBidi"/>
        </w:rPr>
      </w:pPr>
      <w:r w:rsidRPr="009838C8">
        <w:rPr>
          <w:rFonts w:asciiTheme="minorBidi" w:hAnsiTheme="minorBidi" w:cstheme="minorBidi"/>
          <w:b/>
          <w:bCs/>
        </w:rPr>
        <w:t>Internal Business Processes Perspective:</w:t>
      </w:r>
      <w:r w:rsidRPr="009838C8">
        <w:rPr>
          <w:rFonts w:asciiTheme="minorBidi" w:hAnsiTheme="minorBidi" w:cstheme="minorBidi"/>
        </w:rPr>
        <w:t xml:space="preserve"> </w:t>
      </w:r>
    </w:p>
    <w:p w14:paraId="0AFF86AD"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BYD's dealer rollout in the UK from zero to 132 in mid-2026 is impressive. The goal to have 150 operational locations by summer 2026 would result in better geographical coverage and customer accessibility. To be able to compete with established brands that have "decades of UK distribution experience," efficient supply chain management and shorter delivery times are key.</w:t>
      </w:r>
    </w:p>
    <w:p w14:paraId="07DE55F8" w14:textId="77777777" w:rsidR="008D5DB8" w:rsidRPr="009838C8" w:rsidRDefault="008D5DB8" w:rsidP="009838C8">
      <w:pPr>
        <w:spacing w:after="120"/>
        <w:jc w:val="both"/>
        <w:rPr>
          <w:rFonts w:asciiTheme="minorBidi" w:hAnsiTheme="minorBidi" w:cstheme="minorBidi"/>
          <w:b/>
          <w:bCs/>
        </w:rPr>
      </w:pPr>
      <w:r w:rsidRPr="009838C8">
        <w:rPr>
          <w:rFonts w:asciiTheme="minorBidi" w:hAnsiTheme="minorBidi" w:cstheme="minorBidi"/>
          <w:b/>
          <w:bCs/>
        </w:rPr>
        <w:t xml:space="preserve">Learning and Growth Perspective: </w:t>
      </w:r>
    </w:p>
    <w:p w14:paraId="7794CAA1"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BYD will need to build local capabilities such as providing technical support services in the UK, training dealer personnel and possibly even setting up a research and development facility in the UK to ensure long term success in this market. Mandys (2021) highlights the importance of local consumer preference </w:t>
      </w:r>
      <w:r w:rsidRPr="009838C8">
        <w:rPr>
          <w:rFonts w:asciiTheme="minorBidi" w:hAnsiTheme="minorBidi" w:cstheme="minorBidi"/>
        </w:rPr>
        <w:lastRenderedPageBreak/>
        <w:t>for an EV brand entering a new market and capitalising upon this requires a strong emphasis on collecting UK-specific market intelligence and customer insight to pinpoint the local market's needs and preferences.</w:t>
      </w:r>
    </w:p>
    <w:p w14:paraId="602E635D" w14:textId="77777777" w:rsidR="00522A70" w:rsidRDefault="00522A70">
      <w:pPr>
        <w:rPr>
          <w:rFonts w:ascii="Arial" w:hAnsi="Arial"/>
          <w:b/>
          <w:bCs/>
          <w:color w:val="002060"/>
          <w:sz w:val="32"/>
          <w:szCs w:val="32"/>
        </w:rPr>
      </w:pPr>
      <w:r>
        <w:br w:type="page"/>
      </w:r>
    </w:p>
    <w:p w14:paraId="222E83E4" w14:textId="179F9546" w:rsidR="008D5DB8" w:rsidRPr="009838C8" w:rsidRDefault="008D5DB8" w:rsidP="009838C8">
      <w:pPr>
        <w:pStyle w:val="Heading1"/>
      </w:pPr>
      <w:bookmarkStart w:id="13" w:name="_Toc237386306"/>
      <w:r w:rsidRPr="009838C8">
        <w:lastRenderedPageBreak/>
        <w:t>5. Strategic Decisions and Action</w:t>
      </w:r>
      <w:bookmarkEnd w:id="13"/>
    </w:p>
    <w:p w14:paraId="6D868FFA" w14:textId="77777777" w:rsidR="008D5DB8" w:rsidRPr="009838C8" w:rsidRDefault="008D5DB8" w:rsidP="009838C8">
      <w:pPr>
        <w:pStyle w:val="Heading2"/>
      </w:pPr>
      <w:bookmarkStart w:id="14" w:name="_Toc237386307"/>
      <w:r w:rsidRPr="009838C8">
        <w:t>5.1 Business-Level Strategic Choices</w:t>
      </w:r>
      <w:bookmarkEnd w:id="14"/>
    </w:p>
    <w:p w14:paraId="5032A76B" w14:textId="5E4E54F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Based on Porter's generic strategies framework, along with SWOT analysis, it is possible to develop competitive strategies in three different types of strategies, which are cost leadership, differentiation, and focus and it provides a good foundation for strategic decision making (</w:t>
      </w:r>
      <w:proofErr w:type="spellStart"/>
      <w:r w:rsidRPr="009838C8">
        <w:rPr>
          <w:rFonts w:asciiTheme="minorBidi" w:hAnsiTheme="minorBidi" w:cstheme="minorBidi"/>
        </w:rPr>
        <w:t>Öneren</w:t>
      </w:r>
      <w:proofErr w:type="spellEnd"/>
      <w:r w:rsidRPr="009838C8">
        <w:rPr>
          <w:rFonts w:asciiTheme="minorBidi" w:hAnsiTheme="minorBidi" w:cstheme="minorBidi"/>
        </w:rPr>
        <w:t xml:space="preserve"> et al., 2017). Bühler (2026) specifically discusses the strategies of </w:t>
      </w:r>
      <w:proofErr w:type="gramStart"/>
      <w:r w:rsidRPr="009838C8">
        <w:rPr>
          <w:rFonts w:asciiTheme="minorBidi" w:hAnsiTheme="minorBidi" w:cstheme="minorBidi"/>
        </w:rPr>
        <w:t>OEM's</w:t>
      </w:r>
      <w:proofErr w:type="gramEnd"/>
      <w:r w:rsidRPr="009838C8">
        <w:rPr>
          <w:rFonts w:asciiTheme="minorBidi" w:hAnsiTheme="minorBidi" w:cstheme="minorBidi"/>
        </w:rPr>
        <w:t xml:space="preserve"> from China for breaking into the mature markets of Europe, particularly suggesting that the most successful way to do so is by combining cost-leadership and differentiation.</w:t>
      </w:r>
    </w:p>
    <w:p w14:paraId="30499574" w14:textId="0B8A357D"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6: Porter's Five Forces Analysis of the UK Electric SUV Market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400"/>
        <w:gridCol w:w="5700"/>
      </w:tblGrid>
      <w:tr w:rsidR="0044686E" w:rsidRPr="009838C8" w14:paraId="780D4748" w14:textId="77777777">
        <w:tc>
          <w:tcPr>
            <w:tcW w:w="2400" w:type="dxa"/>
            <w:shd w:val="clear" w:color="auto" w:fill="1B4F72"/>
            <w:vAlign w:val="center"/>
          </w:tcPr>
          <w:p w14:paraId="11F74C4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Force</w:t>
            </w:r>
          </w:p>
        </w:tc>
        <w:tc>
          <w:tcPr>
            <w:tcW w:w="1400" w:type="dxa"/>
            <w:shd w:val="clear" w:color="auto" w:fill="1B4F72"/>
            <w:vAlign w:val="center"/>
          </w:tcPr>
          <w:p w14:paraId="5735D7B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Intensity</w:t>
            </w:r>
          </w:p>
        </w:tc>
        <w:tc>
          <w:tcPr>
            <w:tcW w:w="5700" w:type="dxa"/>
            <w:shd w:val="clear" w:color="auto" w:fill="1B4F72"/>
            <w:vAlign w:val="center"/>
          </w:tcPr>
          <w:p w14:paraId="47A09F5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Analysis</w:t>
            </w:r>
          </w:p>
        </w:tc>
      </w:tr>
      <w:tr w:rsidR="0044686E" w:rsidRPr="009838C8" w14:paraId="76C4A124" w14:textId="77777777">
        <w:tc>
          <w:tcPr>
            <w:tcW w:w="2400" w:type="dxa"/>
            <w:vAlign w:val="center"/>
          </w:tcPr>
          <w:p w14:paraId="3074995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Threat of New Entrants</w:t>
            </w:r>
          </w:p>
        </w:tc>
        <w:tc>
          <w:tcPr>
            <w:tcW w:w="1400" w:type="dxa"/>
            <w:vAlign w:val="center"/>
          </w:tcPr>
          <w:p w14:paraId="042B153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Moderate</w:t>
            </w:r>
          </w:p>
        </w:tc>
        <w:tc>
          <w:tcPr>
            <w:tcW w:w="5700" w:type="dxa"/>
            <w:vAlign w:val="center"/>
          </w:tcPr>
          <w:p w14:paraId="03DAAA5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 capital requirements and technological expertise create barriers. However, new Chinese and start-up EV brands continue to enter the UK market, increasing competitive pressure.</w:t>
            </w:r>
          </w:p>
        </w:tc>
      </w:tr>
      <w:tr w:rsidR="0044686E" w:rsidRPr="009838C8" w14:paraId="41D97EC0" w14:textId="77777777">
        <w:tc>
          <w:tcPr>
            <w:tcW w:w="2400" w:type="dxa"/>
            <w:vAlign w:val="center"/>
          </w:tcPr>
          <w:p w14:paraId="7066D9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Bargaining Power of Buyers</w:t>
            </w:r>
          </w:p>
        </w:tc>
        <w:tc>
          <w:tcPr>
            <w:tcW w:w="1400" w:type="dxa"/>
            <w:vAlign w:val="center"/>
          </w:tcPr>
          <w:p w14:paraId="34ADA53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w:t>
            </w:r>
          </w:p>
        </w:tc>
        <w:tc>
          <w:tcPr>
            <w:tcW w:w="5700" w:type="dxa"/>
            <w:vAlign w:val="center"/>
          </w:tcPr>
          <w:p w14:paraId="04A8267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UK consumers have many EV options from Tesla, BMW, Kia, Hyundai, and Volkswagen. Price sensitivity and brand loyalty give buyers strong negotiating position in this growing market.</w:t>
            </w:r>
          </w:p>
        </w:tc>
      </w:tr>
      <w:tr w:rsidR="0044686E" w:rsidRPr="009838C8" w14:paraId="6251D671" w14:textId="77777777">
        <w:tc>
          <w:tcPr>
            <w:tcW w:w="2400" w:type="dxa"/>
            <w:vAlign w:val="center"/>
          </w:tcPr>
          <w:p w14:paraId="4FE0507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Bargaining Power of Suppliers</w:t>
            </w:r>
          </w:p>
        </w:tc>
        <w:tc>
          <w:tcPr>
            <w:tcW w:w="1400" w:type="dxa"/>
            <w:vAlign w:val="center"/>
          </w:tcPr>
          <w:p w14:paraId="6B7B87F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Low</w:t>
            </w:r>
          </w:p>
        </w:tc>
        <w:tc>
          <w:tcPr>
            <w:tcW w:w="5700" w:type="dxa"/>
            <w:vAlign w:val="center"/>
          </w:tcPr>
          <w:p w14:paraId="7D1D264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BYD's vertical integration means it produces its own batteries, motors, and semiconductors. This reduces dependence on external suppliers and gives BYD significant cost control.</w:t>
            </w:r>
          </w:p>
        </w:tc>
      </w:tr>
      <w:tr w:rsidR="0044686E" w:rsidRPr="009838C8" w14:paraId="7BE086CA" w14:textId="77777777">
        <w:tc>
          <w:tcPr>
            <w:tcW w:w="2400" w:type="dxa"/>
            <w:vAlign w:val="center"/>
          </w:tcPr>
          <w:p w14:paraId="789CA1D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Threat of Substitutes</w:t>
            </w:r>
          </w:p>
        </w:tc>
        <w:tc>
          <w:tcPr>
            <w:tcW w:w="1400" w:type="dxa"/>
            <w:vAlign w:val="center"/>
          </w:tcPr>
          <w:p w14:paraId="2BFA7BF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Moderate</w:t>
            </w:r>
          </w:p>
        </w:tc>
        <w:tc>
          <w:tcPr>
            <w:tcW w:w="5700" w:type="dxa"/>
            <w:vAlign w:val="center"/>
          </w:tcPr>
          <w:p w14:paraId="4371B2A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Plug-in hybrids and hydrogen vehicles offer alternatives. Public transport and car-sharing schemes also compete. However, policy direction strongly favours pure BEVs over alternatives.</w:t>
            </w:r>
          </w:p>
        </w:tc>
      </w:tr>
      <w:tr w:rsidR="0044686E" w:rsidRPr="009838C8" w14:paraId="0F889601" w14:textId="77777777">
        <w:tc>
          <w:tcPr>
            <w:tcW w:w="2400" w:type="dxa"/>
            <w:vAlign w:val="center"/>
          </w:tcPr>
          <w:p w14:paraId="6F9FDB7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Competitive Rivalry</w:t>
            </w:r>
          </w:p>
        </w:tc>
        <w:tc>
          <w:tcPr>
            <w:tcW w:w="1400" w:type="dxa"/>
            <w:vAlign w:val="center"/>
          </w:tcPr>
          <w:p w14:paraId="62B2FCE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w:t>
            </w:r>
          </w:p>
        </w:tc>
        <w:tc>
          <w:tcPr>
            <w:tcW w:w="5700" w:type="dxa"/>
            <w:vAlign w:val="center"/>
          </w:tcPr>
          <w:p w14:paraId="079C3AC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xml:space="preserve">The UK electric SUV segment is highly competitive with established players like Tesla Model Y, BMW </w:t>
            </w:r>
            <w:r w:rsidRPr="009838C8">
              <w:rPr>
                <w:rFonts w:asciiTheme="minorBidi" w:hAnsiTheme="minorBidi" w:cstheme="minorBidi"/>
              </w:rPr>
              <w:lastRenderedPageBreak/>
              <w:t>iX3, and Kia EV6. Price competition and rapid model updates intensify rivalry.</w:t>
            </w:r>
          </w:p>
        </w:tc>
      </w:tr>
    </w:tbl>
    <w:p w14:paraId="05EF5B70" w14:textId="77777777" w:rsidR="0044686E" w:rsidRPr="009838C8" w:rsidRDefault="0044686E" w:rsidP="009838C8">
      <w:pPr>
        <w:spacing w:after="120"/>
        <w:jc w:val="both"/>
        <w:rPr>
          <w:rFonts w:asciiTheme="minorBidi" w:hAnsiTheme="minorBidi" w:cstheme="minorBidi"/>
        </w:rPr>
      </w:pPr>
    </w:p>
    <w:p w14:paraId="4A939E92" w14:textId="77777777" w:rsidR="0044686E" w:rsidRPr="009838C8" w:rsidRDefault="00155577" w:rsidP="009838C8">
      <w:pPr>
        <w:spacing w:before="200" w:after="100"/>
        <w:jc w:val="both"/>
        <w:rPr>
          <w:rFonts w:asciiTheme="minorBidi" w:hAnsiTheme="minorBidi" w:cstheme="minorBidi"/>
        </w:rPr>
      </w:pPr>
      <w:r w:rsidRPr="009838C8">
        <w:rPr>
          <w:rFonts w:asciiTheme="minorBidi" w:hAnsiTheme="minorBidi" w:cstheme="minorBidi"/>
          <w:b/>
          <w:bCs/>
        </w:rPr>
        <w:t>Table 7: Porter's Generic Strategies Analysis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300"/>
        <w:gridCol w:w="2800"/>
      </w:tblGrid>
      <w:tr w:rsidR="0044686E" w:rsidRPr="009838C8" w14:paraId="7EC0B68E" w14:textId="77777777">
        <w:tc>
          <w:tcPr>
            <w:tcW w:w="2400" w:type="dxa"/>
            <w:shd w:val="clear" w:color="auto" w:fill="1B4F72"/>
            <w:vAlign w:val="center"/>
          </w:tcPr>
          <w:p w14:paraId="1C371A7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Strategy</w:t>
            </w:r>
          </w:p>
        </w:tc>
        <w:tc>
          <w:tcPr>
            <w:tcW w:w="4300" w:type="dxa"/>
            <w:shd w:val="clear" w:color="auto" w:fill="1B4F72"/>
            <w:vAlign w:val="center"/>
          </w:tcPr>
          <w:p w14:paraId="08FDF48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Applicability to BYD SEALION 7</w:t>
            </w:r>
          </w:p>
        </w:tc>
        <w:tc>
          <w:tcPr>
            <w:tcW w:w="2800" w:type="dxa"/>
            <w:shd w:val="clear" w:color="auto" w:fill="1B4F72"/>
            <w:vAlign w:val="center"/>
          </w:tcPr>
          <w:p w14:paraId="119AE7F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Suitability</w:t>
            </w:r>
          </w:p>
        </w:tc>
      </w:tr>
      <w:tr w:rsidR="0044686E" w:rsidRPr="009838C8" w14:paraId="5E1DA15D" w14:textId="77777777">
        <w:tc>
          <w:tcPr>
            <w:tcW w:w="2400" w:type="dxa"/>
            <w:vAlign w:val="center"/>
          </w:tcPr>
          <w:p w14:paraId="422853A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Cost Leadership</w:t>
            </w:r>
          </w:p>
        </w:tc>
        <w:tc>
          <w:tcPr>
            <w:tcW w:w="4300" w:type="dxa"/>
            <w:vAlign w:val="center"/>
          </w:tcPr>
          <w:p w14:paraId="201E276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BYD's vertical integration and manufacturing scale enable lower production costs than many competitors. The SEALION 7 is priced below comparable European electric SUVs.</w:t>
            </w:r>
          </w:p>
        </w:tc>
        <w:tc>
          <w:tcPr>
            <w:tcW w:w="2800" w:type="dxa"/>
            <w:vAlign w:val="center"/>
          </w:tcPr>
          <w:p w14:paraId="3FDB60C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 – core competitive strength</w:t>
            </w:r>
          </w:p>
        </w:tc>
      </w:tr>
      <w:tr w:rsidR="0044686E" w:rsidRPr="009838C8" w14:paraId="03ED25BE" w14:textId="77777777">
        <w:tc>
          <w:tcPr>
            <w:tcW w:w="2400" w:type="dxa"/>
            <w:vAlign w:val="center"/>
          </w:tcPr>
          <w:p w14:paraId="31C4678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Differentiation</w:t>
            </w:r>
          </w:p>
        </w:tc>
        <w:tc>
          <w:tcPr>
            <w:tcW w:w="4300" w:type="dxa"/>
            <w:vAlign w:val="center"/>
          </w:tcPr>
          <w:p w14:paraId="56C4210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Blade Battery technology, 312-mile range, 230kW charging speed, and comprehensive standard features differentiate the SEALION 7 from rivals at a similar price point.</w:t>
            </w:r>
          </w:p>
        </w:tc>
        <w:tc>
          <w:tcPr>
            <w:tcW w:w="2800" w:type="dxa"/>
            <w:vAlign w:val="center"/>
          </w:tcPr>
          <w:p w14:paraId="3D33B68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 – supports value proposition</w:t>
            </w:r>
          </w:p>
        </w:tc>
      </w:tr>
      <w:tr w:rsidR="0044686E" w:rsidRPr="009838C8" w14:paraId="28B6E1C6" w14:textId="77777777">
        <w:tc>
          <w:tcPr>
            <w:tcW w:w="2400" w:type="dxa"/>
            <w:vAlign w:val="center"/>
          </w:tcPr>
          <w:p w14:paraId="3BCDAA5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Focus (Niche)</w:t>
            </w:r>
          </w:p>
        </w:tc>
        <w:tc>
          <w:tcPr>
            <w:tcW w:w="4300" w:type="dxa"/>
            <w:vAlign w:val="center"/>
          </w:tcPr>
          <w:p w14:paraId="5C0B930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The SEALION 7 targets the mid-premium electric SUV segment, competing with vehicles priced between £45,000 and £60,000. This is a focused segment within the broader market.</w:t>
            </w:r>
          </w:p>
        </w:tc>
        <w:tc>
          <w:tcPr>
            <w:tcW w:w="2800" w:type="dxa"/>
            <w:vAlign w:val="center"/>
          </w:tcPr>
          <w:p w14:paraId="431571A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Moderate – segment focus within broader strategy</w:t>
            </w:r>
          </w:p>
        </w:tc>
      </w:tr>
    </w:tbl>
    <w:p w14:paraId="0B00404D" w14:textId="77777777" w:rsidR="0044686E" w:rsidRPr="009838C8" w:rsidRDefault="0044686E" w:rsidP="009838C8">
      <w:pPr>
        <w:spacing w:after="120"/>
        <w:jc w:val="both"/>
        <w:rPr>
          <w:rFonts w:asciiTheme="minorBidi" w:hAnsiTheme="minorBidi" w:cstheme="minorBidi"/>
        </w:rPr>
      </w:pPr>
    </w:p>
    <w:p w14:paraId="77DBC150" w14:textId="77777777" w:rsidR="009838C8" w:rsidRPr="009838C8" w:rsidRDefault="009838C8" w:rsidP="009838C8">
      <w:pPr>
        <w:spacing w:after="120"/>
        <w:jc w:val="both"/>
        <w:rPr>
          <w:rFonts w:asciiTheme="minorBidi" w:hAnsiTheme="minorBidi" w:cstheme="minorBidi"/>
        </w:rPr>
      </w:pPr>
      <w:r w:rsidRPr="009838C8">
        <w:rPr>
          <w:rFonts w:asciiTheme="minorBidi" w:hAnsiTheme="minorBidi" w:cstheme="minorBidi"/>
        </w:rPr>
        <w:t>The analysis shows that BYD's best cost provider strategy is effective in the UK as a hybrid between cost leadership and differentiation. This way, BYD can compete with its European counterparts at a price that is not competitive, while still providing them with advanced technology and features. Successful companies in competitive markets tend to have product features that distinguish themselves from competitors, and cost advantages, (Birru et al., 2022).</w:t>
      </w:r>
    </w:p>
    <w:p w14:paraId="0ED9848F" w14:textId="77777777" w:rsidR="00522A70" w:rsidRDefault="00522A70">
      <w:pPr>
        <w:rPr>
          <w:rFonts w:ascii="Arial" w:hAnsi="Arial"/>
          <w:b/>
          <w:bCs/>
          <w:color w:val="002060"/>
          <w:sz w:val="28"/>
          <w:szCs w:val="28"/>
        </w:rPr>
      </w:pPr>
      <w:r>
        <w:br w:type="page"/>
      </w:r>
    </w:p>
    <w:p w14:paraId="44940788" w14:textId="6EA6C4D1" w:rsidR="009838C8" w:rsidRPr="009838C8" w:rsidRDefault="009838C8" w:rsidP="009838C8">
      <w:pPr>
        <w:pStyle w:val="Heading2"/>
      </w:pPr>
      <w:bookmarkStart w:id="15" w:name="_Toc237386308"/>
      <w:r w:rsidRPr="009838C8">
        <w:lastRenderedPageBreak/>
        <w:t>5.2 Strategy Validation Using Ansoff Matrix</w:t>
      </w:r>
      <w:bookmarkEnd w:id="15"/>
    </w:p>
    <w:p w14:paraId="6488A746" w14:textId="7DF1D4C7" w:rsidR="009838C8" w:rsidRPr="009838C8" w:rsidRDefault="009838C8" w:rsidP="009838C8">
      <w:pPr>
        <w:spacing w:after="120"/>
        <w:jc w:val="both"/>
        <w:rPr>
          <w:rFonts w:asciiTheme="minorBidi" w:hAnsiTheme="minorBidi" w:cstheme="minorBidi"/>
        </w:rPr>
      </w:pPr>
      <w:r w:rsidRPr="009838C8">
        <w:rPr>
          <w:rFonts w:asciiTheme="minorBidi" w:hAnsiTheme="minorBidi" w:cstheme="minorBidi"/>
        </w:rPr>
        <w:t>The Ansoff Matrix assists organisations in the identification of growth strategies, depending on the relationship between markets and products. The UK market strategy for BYD's SEALION 7 is market penetration; that is to say, to grow sales of the current product in the current UK market.</w:t>
      </w:r>
    </w:p>
    <w:p w14:paraId="0ECC515B" w14:textId="7FBF2F5B"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8: Ansoff Matrix for BYD SEALION 7 UK Growth</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600"/>
        <w:gridCol w:w="2500"/>
      </w:tblGrid>
      <w:tr w:rsidR="0044686E" w:rsidRPr="009838C8" w14:paraId="7F0E5AFD" w14:textId="77777777">
        <w:tc>
          <w:tcPr>
            <w:tcW w:w="2400" w:type="dxa"/>
            <w:shd w:val="clear" w:color="auto" w:fill="1B4F72"/>
            <w:vAlign w:val="center"/>
          </w:tcPr>
          <w:p w14:paraId="4F59D17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Strategy</w:t>
            </w:r>
          </w:p>
        </w:tc>
        <w:tc>
          <w:tcPr>
            <w:tcW w:w="4600" w:type="dxa"/>
            <w:shd w:val="clear" w:color="auto" w:fill="1B4F72"/>
            <w:vAlign w:val="center"/>
          </w:tcPr>
          <w:p w14:paraId="43C5D86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Description</w:t>
            </w:r>
          </w:p>
        </w:tc>
        <w:tc>
          <w:tcPr>
            <w:tcW w:w="2500" w:type="dxa"/>
            <w:shd w:val="clear" w:color="auto" w:fill="1B4F72"/>
            <w:vAlign w:val="center"/>
          </w:tcPr>
          <w:p w14:paraId="180B281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Relevance</w:t>
            </w:r>
          </w:p>
        </w:tc>
      </w:tr>
      <w:tr w:rsidR="0044686E" w:rsidRPr="009838C8" w14:paraId="3CCE8C3C" w14:textId="77777777">
        <w:tc>
          <w:tcPr>
            <w:tcW w:w="2400" w:type="dxa"/>
            <w:vAlign w:val="center"/>
          </w:tcPr>
          <w:p w14:paraId="64C58B2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Market Penetration</w:t>
            </w:r>
          </w:p>
        </w:tc>
        <w:tc>
          <w:tcPr>
            <w:tcW w:w="4600" w:type="dxa"/>
            <w:vAlign w:val="center"/>
          </w:tcPr>
          <w:p w14:paraId="0979338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Increase SEALION 7 sales within the existing UK electric SUV segment through dealer expansion to 150 sites, fleet partnerships, and competitive pricing strategies.</w:t>
            </w:r>
          </w:p>
        </w:tc>
        <w:tc>
          <w:tcPr>
            <w:tcW w:w="2500" w:type="dxa"/>
            <w:vAlign w:val="center"/>
          </w:tcPr>
          <w:p w14:paraId="09B9ED3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Primary strategy – immediate focus</w:t>
            </w:r>
          </w:p>
        </w:tc>
      </w:tr>
      <w:tr w:rsidR="0044686E" w:rsidRPr="009838C8" w14:paraId="04110652" w14:textId="77777777">
        <w:tc>
          <w:tcPr>
            <w:tcW w:w="2400" w:type="dxa"/>
            <w:vAlign w:val="center"/>
          </w:tcPr>
          <w:p w14:paraId="5AE69C2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Market Development</w:t>
            </w:r>
          </w:p>
        </w:tc>
        <w:tc>
          <w:tcPr>
            <w:tcW w:w="4600" w:type="dxa"/>
            <w:vAlign w:val="center"/>
          </w:tcPr>
          <w:p w14:paraId="5C028E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Expand into underserved UK regions and target new customer groups such as corporate fleets and government agencies.</w:t>
            </w:r>
          </w:p>
        </w:tc>
        <w:tc>
          <w:tcPr>
            <w:tcW w:w="2500" w:type="dxa"/>
            <w:vAlign w:val="center"/>
          </w:tcPr>
          <w:p w14:paraId="691C771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Secondary strategy – growth phase</w:t>
            </w:r>
          </w:p>
        </w:tc>
      </w:tr>
      <w:tr w:rsidR="0044686E" w:rsidRPr="009838C8" w14:paraId="26A1C9D9" w14:textId="77777777">
        <w:tc>
          <w:tcPr>
            <w:tcW w:w="2400" w:type="dxa"/>
            <w:vAlign w:val="center"/>
          </w:tcPr>
          <w:p w14:paraId="1C2C394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Product Development</w:t>
            </w:r>
          </w:p>
        </w:tc>
        <w:tc>
          <w:tcPr>
            <w:tcW w:w="4600" w:type="dxa"/>
            <w:vAlign w:val="center"/>
          </w:tcPr>
          <w:p w14:paraId="679E293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Introduce updated SEALION 7 variants with UK-tuned suspension and additional trim levels to address local preferences and ride quality concerns.</w:t>
            </w:r>
          </w:p>
        </w:tc>
        <w:tc>
          <w:tcPr>
            <w:tcW w:w="2500" w:type="dxa"/>
            <w:vAlign w:val="center"/>
          </w:tcPr>
          <w:p w14:paraId="399F12D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Medium-term strategy</w:t>
            </w:r>
          </w:p>
        </w:tc>
      </w:tr>
      <w:tr w:rsidR="0044686E" w:rsidRPr="009838C8" w14:paraId="255D069B" w14:textId="77777777">
        <w:tc>
          <w:tcPr>
            <w:tcW w:w="2400" w:type="dxa"/>
            <w:vAlign w:val="center"/>
          </w:tcPr>
          <w:p w14:paraId="27C94F3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Diversification</w:t>
            </w:r>
          </w:p>
        </w:tc>
        <w:tc>
          <w:tcPr>
            <w:tcW w:w="4600" w:type="dxa"/>
            <w:vAlign w:val="center"/>
          </w:tcPr>
          <w:p w14:paraId="70F0D27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Expand BYD UK portfolio with DM-</w:t>
            </w:r>
            <w:proofErr w:type="spellStart"/>
            <w:r w:rsidRPr="009838C8">
              <w:rPr>
                <w:rFonts w:asciiTheme="minorBidi" w:hAnsiTheme="minorBidi" w:cstheme="minorBidi"/>
              </w:rPr>
              <w:t>i</w:t>
            </w:r>
            <w:proofErr w:type="spellEnd"/>
            <w:r w:rsidRPr="009838C8">
              <w:rPr>
                <w:rFonts w:asciiTheme="minorBidi" w:hAnsiTheme="minorBidi" w:cstheme="minorBidi"/>
              </w:rPr>
              <w:t xml:space="preserve"> hybrids and commercial vehicles to reduce dependence on a single product segment.</w:t>
            </w:r>
          </w:p>
        </w:tc>
        <w:tc>
          <w:tcPr>
            <w:tcW w:w="2500" w:type="dxa"/>
            <w:vAlign w:val="center"/>
          </w:tcPr>
          <w:p w14:paraId="61C6DEC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Long-term strategy</w:t>
            </w:r>
          </w:p>
        </w:tc>
      </w:tr>
    </w:tbl>
    <w:p w14:paraId="44BC9A1D" w14:textId="77777777" w:rsidR="008D5DB8" w:rsidRPr="009838C8" w:rsidRDefault="008D5DB8" w:rsidP="009838C8">
      <w:pPr>
        <w:spacing w:after="120"/>
        <w:jc w:val="both"/>
        <w:rPr>
          <w:rFonts w:asciiTheme="minorBidi" w:hAnsiTheme="minorBidi" w:cstheme="minorBidi"/>
        </w:rPr>
      </w:pPr>
      <w:bookmarkStart w:id="16" w:name="_Toc235746072"/>
      <w:r w:rsidRPr="009838C8">
        <w:rPr>
          <w:rFonts w:asciiTheme="minorBidi" w:hAnsiTheme="minorBidi" w:cstheme="minorBidi"/>
        </w:rPr>
        <w:t xml:space="preserve">The market penetration strategy is justified by the quick rate of market penetration that is underway. Gong and co. (2026) explore how EV battery companies in China have begun to infuse their international growth with geo-economic strategies and BYD's UK strategy follows this trend. The recommended strategy can provide BYD with the maximum performance that would enable it to reap scale economies in the UK, build brand awareness and gain market share from rivals who are higher priced. O'Neill et al. (2019) point out that meeting dealer and consumer expectations is essential to achieving EV market penetration, and that this is why BYD is prioritizing faster deployment </w:t>
      </w:r>
      <w:r w:rsidRPr="009838C8">
        <w:rPr>
          <w:rFonts w:asciiTheme="minorBidi" w:hAnsiTheme="minorBidi" w:cstheme="minorBidi"/>
        </w:rPr>
        <w:lastRenderedPageBreak/>
        <w:t>of its dealer network. Product development in the form of variants designed for the UK market, and market development via fleet partnerships will back this core strategy in the medium term, providing ongoing competitive advantage.</w:t>
      </w:r>
    </w:p>
    <w:p w14:paraId="127118FD" w14:textId="77777777" w:rsidR="008D5DB8" w:rsidRPr="009838C8" w:rsidRDefault="008D5DB8" w:rsidP="009838C8">
      <w:pPr>
        <w:pStyle w:val="Heading2"/>
      </w:pPr>
      <w:bookmarkStart w:id="17" w:name="_Toc237386309"/>
      <w:r w:rsidRPr="009838C8">
        <w:t>5.3 Implementation Challenges and Solutions</w:t>
      </w:r>
      <w:bookmarkEnd w:id="17"/>
    </w:p>
    <w:p w14:paraId="789724F2"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 xml:space="preserve">The BYD SEALION 7's introduction to the UK market under the recommended best-cost provider strategy has </w:t>
      </w:r>
      <w:proofErr w:type="gramStart"/>
      <w:r w:rsidRPr="00522A70">
        <w:rPr>
          <w:rFonts w:asciiTheme="minorBidi" w:hAnsiTheme="minorBidi" w:cstheme="minorBidi"/>
        </w:rPr>
        <w:t>a number of</w:t>
      </w:r>
      <w:proofErr w:type="gramEnd"/>
      <w:r w:rsidRPr="00522A70">
        <w:rPr>
          <w:rFonts w:asciiTheme="minorBidi" w:hAnsiTheme="minorBidi" w:cstheme="minorBidi"/>
        </w:rPr>
        <w:t xml:space="preserve"> key challenges that must be recognized and mitigated if the vehicle is to have a long-term success. The following challenges and solutions are developed for each challenge.</w:t>
      </w:r>
    </w:p>
    <w:p w14:paraId="59716168"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1 – Brand Trust and Consumer Perception:</w:t>
      </w:r>
    </w:p>
    <w:p w14:paraId="6DB2C425"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The most important obstacle that BYD faces in the UK is not nearly enough consumers know about and trust the brand. While Tesla, BMW and Kia have already established good reputations over many years, BYD hasn't introduced itself to many buyers in the UK – it came in a little later in 2023. Consumer innovativeness plays an important role in EV adoption, as illustrated by the fact that individuals who tend to be more innovative are more open to trying a new and unfamiliar brand, according to Morton et al. (2016). But the thing is mainstream market needs a lot more reassurance to make a purchase. Also noted by Berkeley et al. (2018) is that trust among consumers is a major hurdle to EV adoption, especially when owning a BEV is a new experience in the UK. To compensate for this, BYD needs to invest in focused campaigns in the UK that are designed to tell the story of its successes elsewhere in the world, particularly as the world's largest manufacturer of new energy vehicles. The company also needs to highlight its better warranty policies, such as the 6-year vehicle warranty and 8-year battery warranty. It would also help to increase familiarity and confidence for potential buyers by working in synergy with trusted motoring publications and providing further extended test drive programmes.</w:t>
      </w:r>
    </w:p>
    <w:p w14:paraId="7E1BB8D2"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2 – Tariff and Trade Policy Risks:</w:t>
      </w:r>
    </w:p>
    <w:p w14:paraId="088E5A63"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 xml:space="preserve">European introduction of tariffs on Chinese made EVs put doubt in Chinese companies in the European markets. As shown by Dou et al. (2026), this kind of tariff has substantial distributional effects on Chinese EV brands, which leads to increased prices and decreased competitiveness. The UK is not part of the </w:t>
      </w:r>
      <w:r w:rsidRPr="00522A70">
        <w:rPr>
          <w:rFonts w:asciiTheme="minorBidi" w:hAnsiTheme="minorBidi" w:cstheme="minorBidi"/>
        </w:rPr>
        <w:lastRenderedPageBreak/>
        <w:t>EU now, but there is the danger that tariffs may be re-introduced in the future as geopolitical skirmishes build up. Chinese EV companies are already taking steps to respond to these geo-economic pressures by adapting their internationalisation strategies, Gong et al. (2026) note. This can be mitigated by increasing its supply chain localisation in the UK or in wider Europe. The company has already started building manufacturing plant in Hungary to minimise the impact of possible tariffs. Investigating UK based component partners could solidify BYD's footing in the face of possible changes in trade policy.</w:t>
      </w:r>
    </w:p>
    <w:p w14:paraId="582E3273"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3 – After-Sales Service Infrastructure:</w:t>
      </w:r>
    </w:p>
    <w:p w14:paraId="7F523F3D"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As BYD dealers expand exponentially, expanding from zero to 132 across the UK since 2023, some areas may still have a small number of dealers or qualified technicians available. Establishing a robust network of services and support is crucial, as pointed by Rong et al., (2017), for long-term success in the EV industry. O'Neill et al. (2019) also mention that dealer readiness and after-sales support are important factors that affect consumer EV adoption. In response to this, BYD needs to speed up its dealer network deployment to reach the target size of 150 dealers by 2026. Moreover, the company should ensure mobile service units to be able to go to the customer in corners, and a robust web customer support tool with remote diagnostics and online scheduling for maintenance services.</w:t>
      </w:r>
    </w:p>
    <w:p w14:paraId="115102B8"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4 – Product Localisation:</w:t>
      </w:r>
    </w:p>
    <w:p w14:paraId="1F4098A0" w14:textId="1EF1D183" w:rsidR="00522A70" w:rsidRDefault="00522A70" w:rsidP="00522A70">
      <w:pPr>
        <w:spacing w:after="120"/>
        <w:jc w:val="both"/>
        <w:rPr>
          <w:rFonts w:asciiTheme="minorBidi" w:hAnsiTheme="minorBidi" w:cstheme="minorBidi"/>
        </w:rPr>
      </w:pPr>
      <w:r w:rsidRPr="00522A70">
        <w:rPr>
          <w:rFonts w:asciiTheme="minorBidi" w:hAnsiTheme="minorBidi" w:cstheme="minorBidi"/>
        </w:rPr>
        <w:t xml:space="preserve">A few observations have been recorded by UK motoring reviews about how the SEALION 7 rides on the UK road network; in some instances, it has been reported as not being quite tuned for the UK road quality and is slightly less comfortable on the speedway network, but more so on rough surfaces. This is often a problem for manufacturers who are new to the UK market. </w:t>
      </w:r>
      <w:proofErr w:type="gramStart"/>
      <w:r w:rsidRPr="00522A70">
        <w:rPr>
          <w:rFonts w:asciiTheme="minorBidi" w:hAnsiTheme="minorBidi" w:cstheme="minorBidi"/>
        </w:rPr>
        <w:t>In order to</w:t>
      </w:r>
      <w:proofErr w:type="gramEnd"/>
      <w:r w:rsidRPr="00522A70">
        <w:rPr>
          <w:rFonts w:asciiTheme="minorBidi" w:hAnsiTheme="minorBidi" w:cstheme="minorBidi"/>
        </w:rPr>
        <w:t xml:space="preserve"> be competitive in mature European markets, the Chinese original equipment manufacturers will have to adjust their cars to the demands of their foreign market, states Bühler (2026). Better suspension tuning programmes that take place locally at testing facilities will solve this problem, which is why BYD should invest in them. Having worked with the British automotive engineers to dial up </w:t>
      </w:r>
      <w:r w:rsidRPr="00522A70">
        <w:rPr>
          <w:rFonts w:asciiTheme="minorBidi" w:hAnsiTheme="minorBidi" w:cstheme="minorBidi"/>
        </w:rPr>
        <w:lastRenderedPageBreak/>
        <w:t xml:space="preserve">the chassis and ride settings would show a true commitment to the UK </w:t>
      </w:r>
      <w:proofErr w:type="gramStart"/>
      <w:r w:rsidRPr="00522A70">
        <w:rPr>
          <w:rFonts w:asciiTheme="minorBidi" w:hAnsiTheme="minorBidi" w:cstheme="minorBidi"/>
        </w:rPr>
        <w:t>market, and</w:t>
      </w:r>
      <w:proofErr w:type="gramEnd"/>
      <w:r w:rsidRPr="00522A70">
        <w:rPr>
          <w:rFonts w:asciiTheme="minorBidi" w:hAnsiTheme="minorBidi" w:cstheme="minorBidi"/>
        </w:rPr>
        <w:t xml:space="preserve"> would help the SEALION 7 to hold its own against established competitors like the Tesla Model Y and Kia EV6 when it comes to driving comfort and refinement.</w:t>
      </w:r>
    </w:p>
    <w:p w14:paraId="31778A81" w14:textId="3DFF5061" w:rsidR="0044686E" w:rsidRPr="00522A70" w:rsidRDefault="00522A70" w:rsidP="00522A70">
      <w:pPr>
        <w:pStyle w:val="Heading1"/>
      </w:pPr>
      <w:r>
        <w:br w:type="page"/>
      </w:r>
      <w:bookmarkStart w:id="18" w:name="_Toc237386310"/>
      <w:r w:rsidRPr="009838C8">
        <w:lastRenderedPageBreak/>
        <w:t>Section 2: Reflective Account</w:t>
      </w:r>
      <w:bookmarkEnd w:id="16"/>
      <w:bookmarkEnd w:id="18"/>
    </w:p>
    <w:p w14:paraId="52094038" w14:textId="5F988393" w:rsidR="0044686E" w:rsidRPr="009838C8" w:rsidRDefault="00155577" w:rsidP="009838C8">
      <w:pPr>
        <w:pStyle w:val="Heading1"/>
      </w:pPr>
      <w:bookmarkStart w:id="19" w:name="_Toc235746073"/>
      <w:bookmarkStart w:id="20" w:name="_Toc237386311"/>
      <w:r w:rsidRPr="009838C8">
        <w:t>Reflective Account Using Gibbs Reflective Cycle</w:t>
      </w:r>
      <w:bookmarkEnd w:id="19"/>
      <w:bookmarkEnd w:id="20"/>
    </w:p>
    <w:p w14:paraId="4A86A700" w14:textId="5055A2D3" w:rsidR="009838C8" w:rsidRDefault="009838C8" w:rsidP="009838C8">
      <w:pPr>
        <w:jc w:val="both"/>
        <w:rPr>
          <w:rFonts w:asciiTheme="minorBidi" w:hAnsiTheme="minorBidi" w:cstheme="minorBidi"/>
        </w:rPr>
      </w:pPr>
      <w:r w:rsidRPr="009838C8">
        <w:rPr>
          <w:rFonts w:asciiTheme="minorBidi" w:hAnsiTheme="minorBidi" w:cstheme="minorBidi"/>
        </w:rPr>
        <w:t>Here is a personal reflection on the process of researching, analysing and preparing the above strategic analysis report. The reflection is based on the Gibbs Reflective Cycle (Bassot, 2023), which involves six steps: Description, Feelings, Evaluation, Analysis, Conclusion, and Action Plan.</w:t>
      </w:r>
    </w:p>
    <w:p w14:paraId="005455DE" w14:textId="3AEAEB9C" w:rsidR="00457C00" w:rsidRDefault="00457C00" w:rsidP="00457C00">
      <w:pPr>
        <w:jc w:val="center"/>
        <w:rPr>
          <w:rFonts w:asciiTheme="minorBidi" w:hAnsiTheme="minorBidi" w:cstheme="minorBidi"/>
        </w:rPr>
      </w:pPr>
      <w:r>
        <w:rPr>
          <w:rFonts w:asciiTheme="minorBidi" w:hAnsiTheme="minorBidi" w:cstheme="minorBidi"/>
          <w:noProof/>
        </w:rPr>
        <w:drawing>
          <wp:inline distT="0" distB="0" distL="0" distR="0" wp14:anchorId="3D52F4E3" wp14:editId="5230F319">
            <wp:extent cx="3941900" cy="249999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3951212" cy="2505901"/>
                    </a:xfrm>
                    <a:prstGeom prst="rect">
                      <a:avLst/>
                    </a:prstGeom>
                    <a:noFill/>
                    <a:ln>
                      <a:noFill/>
                    </a:ln>
                    <a:extLst>
                      <a:ext uri="{53640926-AAD7-44D8-BBD7-CCE9431645EC}">
                        <a14:shadowObscured xmlns:a14="http://schemas.microsoft.com/office/drawing/2010/main"/>
                      </a:ext>
                    </a:extLst>
                  </pic:spPr>
                </pic:pic>
              </a:graphicData>
            </a:graphic>
          </wp:inline>
        </w:drawing>
      </w:r>
    </w:p>
    <w:p w14:paraId="615D9E3B" w14:textId="27CA24EC" w:rsidR="00457C00" w:rsidRPr="00457C00" w:rsidRDefault="00457C00" w:rsidP="00457C00">
      <w:pPr>
        <w:jc w:val="center"/>
        <w:rPr>
          <w:rFonts w:asciiTheme="minorBidi" w:hAnsiTheme="minorBidi" w:cstheme="minorBidi"/>
          <w:i/>
          <w:iCs/>
        </w:rPr>
      </w:pPr>
      <w:r w:rsidRPr="00457C00">
        <w:rPr>
          <w:rFonts w:asciiTheme="minorBidi" w:hAnsiTheme="minorBidi" w:cstheme="minorBidi"/>
          <w:i/>
          <w:iCs/>
        </w:rPr>
        <w:t>Figure 6: Gibbs Reflective Cycle</w:t>
      </w:r>
      <w:r w:rsidRPr="00457C00">
        <w:rPr>
          <w:i/>
          <w:iCs/>
        </w:rPr>
        <w:t xml:space="preserve"> </w:t>
      </w:r>
      <w:r w:rsidRPr="00457C00">
        <w:rPr>
          <w:rFonts w:asciiTheme="minorBidi" w:hAnsiTheme="minorBidi" w:cstheme="minorBidi"/>
          <w:i/>
          <w:iCs/>
        </w:rPr>
        <w:t>(Eldridge, 2023)</w:t>
      </w:r>
    </w:p>
    <w:p w14:paraId="2AC1922E"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Description:</w:t>
      </w:r>
      <w:r w:rsidRPr="009838C8">
        <w:rPr>
          <w:rFonts w:asciiTheme="minorBidi" w:hAnsiTheme="minorBidi" w:cstheme="minorBidi"/>
        </w:rPr>
        <w:t xml:space="preserve"> I was asked to assume the role of a strategic management consultant and produce a report analysing BYD's SEALION 7 in the UK market. I had to use several of the management frameworks, such as PESTEL, VRIO, SWOT, and Porter's Five Forces, Balanced Scorecard and Ansoff Matrix. Initially, I did research about BYD, and the Information about the UK EV market. I then organised the report based on the assessment brief and used each framework in turn. This involved several weeks of reading, data gathering and writing.</w:t>
      </w:r>
    </w:p>
    <w:p w14:paraId="5F11A6C1"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Feelings:</w:t>
      </w:r>
      <w:r w:rsidRPr="009838C8">
        <w:rPr>
          <w:rFonts w:asciiTheme="minorBidi" w:hAnsiTheme="minorBidi" w:cstheme="minorBidi"/>
        </w:rPr>
        <w:t xml:space="preserve"> At the start of this project, I felt a mixture of excitement and concern. The subject was of interest because the electric vehicle industry is evolving </w:t>
      </w:r>
      <w:proofErr w:type="gramStart"/>
      <w:r w:rsidRPr="009838C8">
        <w:rPr>
          <w:rFonts w:asciiTheme="minorBidi" w:hAnsiTheme="minorBidi" w:cstheme="minorBidi"/>
        </w:rPr>
        <w:t>quickly, and</w:t>
      </w:r>
      <w:proofErr w:type="gramEnd"/>
      <w:r w:rsidRPr="009838C8">
        <w:rPr>
          <w:rFonts w:asciiTheme="minorBidi" w:hAnsiTheme="minorBidi" w:cstheme="minorBidi"/>
        </w:rPr>
        <w:t xml:space="preserve"> has clear practical relevance. I was, however, concerned with how to handle the vast amount of information needed to keep hold of and making sure that I used each framework in the right manner. The challenge of reflective learning in higher education, as well as the rewards, can be both as pointed out </w:t>
      </w:r>
      <w:r w:rsidRPr="009838C8">
        <w:rPr>
          <w:rFonts w:asciiTheme="minorBidi" w:hAnsiTheme="minorBidi" w:cstheme="minorBidi"/>
        </w:rPr>
        <w:lastRenderedPageBreak/>
        <w:t xml:space="preserve">by </w:t>
      </w:r>
      <w:proofErr w:type="spellStart"/>
      <w:r w:rsidRPr="009838C8">
        <w:rPr>
          <w:rFonts w:asciiTheme="minorBidi" w:hAnsiTheme="minorBidi" w:cstheme="minorBidi"/>
        </w:rPr>
        <w:t>Fullana</w:t>
      </w:r>
      <w:proofErr w:type="spellEnd"/>
      <w:r w:rsidRPr="009838C8">
        <w:rPr>
          <w:rFonts w:asciiTheme="minorBidi" w:hAnsiTheme="minorBidi" w:cstheme="minorBidi"/>
        </w:rPr>
        <w:t xml:space="preserve"> et al. (2016) and as my experience with this project proved. My confidence stirred as I was developing my knowledge.</w:t>
      </w:r>
    </w:p>
    <w:p w14:paraId="43373538"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Evaluation:</w:t>
      </w:r>
      <w:r w:rsidRPr="009838C8">
        <w:rPr>
          <w:rFonts w:asciiTheme="minorBidi" w:hAnsiTheme="minorBidi" w:cstheme="minorBidi"/>
        </w:rPr>
        <w:t xml:space="preserve"> There were </w:t>
      </w:r>
      <w:proofErr w:type="gramStart"/>
      <w:r w:rsidRPr="009838C8">
        <w:rPr>
          <w:rFonts w:asciiTheme="minorBidi" w:hAnsiTheme="minorBidi" w:cstheme="minorBidi"/>
        </w:rPr>
        <w:t>a number of</w:t>
      </w:r>
      <w:proofErr w:type="gramEnd"/>
      <w:r w:rsidRPr="009838C8">
        <w:rPr>
          <w:rFonts w:asciiTheme="minorBidi" w:hAnsiTheme="minorBidi" w:cstheme="minorBidi"/>
        </w:rPr>
        <w:t xml:space="preserve"> positive factors with the project. I have perused a variety of reputable academic and industry sources, to aide in my analysis. One of the crucial pieces of analysis that facilitated the identification of BYD's opportunities and advantages was its PESTEL and VRIO analysis. I also discovered that when I used several frameworks together, I got a much more comprehensive understanding of the strategic position of the company rather than using any individual framework. One aspect that wasn't quite as successful was the lack of detailed UK-specific data, given that it is a relatively new player in the market. I needed to use some information from worldwide companies and make some adjustments to the information in the UK context.</w:t>
      </w:r>
    </w:p>
    <w:p w14:paraId="38018FE5"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Analysis:</w:t>
      </w:r>
      <w:r w:rsidRPr="009838C8">
        <w:rPr>
          <w:rFonts w:asciiTheme="minorBidi" w:hAnsiTheme="minorBidi" w:cstheme="minorBidi"/>
        </w:rPr>
        <w:t xml:space="preserve"> Wain (2017) states that reflection is a way for students to tie theory to practice. This was a very clear example of this, in this project. Using the concepts within a framework, like VRIO and the Balanced Scorecard, and applying them to a real company called me to dig a little deeper than just reading about the theory; it made me think about how each concept would apply in a real company. Ryan (2019) highlights the importance of reflection in higher education being a middle-ground between being guided and being free to interpret for me, the assessment brief offered structure with a bit of room for me to make my own judgments about what topics I needed to focus on, for BYD in the UK.</w:t>
      </w:r>
    </w:p>
    <w:p w14:paraId="2EFA02E8"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Conclusion:</w:t>
      </w:r>
      <w:r w:rsidRPr="009838C8">
        <w:rPr>
          <w:rFonts w:asciiTheme="minorBidi" w:hAnsiTheme="minorBidi" w:cstheme="minorBidi"/>
        </w:rPr>
        <w:t xml:space="preserve"> In conclusion, this project has enhanced my knowledge of strategic management, both as a field of study and as a management tool. I have learned how to collect and </w:t>
      </w:r>
      <w:proofErr w:type="spellStart"/>
      <w:r w:rsidRPr="009838C8">
        <w:rPr>
          <w:rFonts w:asciiTheme="minorBidi" w:hAnsiTheme="minorBidi" w:cstheme="minorBidi"/>
        </w:rPr>
        <w:t>analyze</w:t>
      </w:r>
      <w:proofErr w:type="spellEnd"/>
      <w:r w:rsidRPr="009838C8">
        <w:rPr>
          <w:rFonts w:asciiTheme="minorBidi" w:hAnsiTheme="minorBidi" w:cstheme="minorBidi"/>
        </w:rPr>
        <w:t xml:space="preserve"> information from a variety of sources and how to use theory in a critical and non-mechanical way and present that information in a clear and structured fashion. I also know that the first hurdle I encountered with UK data was learning how important it was to do my research early, and to be adaptable when collecting data.</w:t>
      </w:r>
    </w:p>
    <w:p w14:paraId="294C9DC2" w14:textId="48C10ADC" w:rsidR="0044686E" w:rsidRPr="009838C8" w:rsidRDefault="009838C8" w:rsidP="009838C8">
      <w:pPr>
        <w:jc w:val="both"/>
        <w:rPr>
          <w:rFonts w:asciiTheme="minorBidi" w:hAnsiTheme="minorBidi" w:cstheme="minorBidi"/>
        </w:rPr>
      </w:pPr>
      <w:r w:rsidRPr="009838C8">
        <w:rPr>
          <w:rFonts w:asciiTheme="minorBidi" w:hAnsiTheme="minorBidi" w:cstheme="minorBidi"/>
          <w:b/>
          <w:bCs/>
        </w:rPr>
        <w:t>Action Plan:</w:t>
      </w:r>
      <w:r w:rsidRPr="009838C8">
        <w:rPr>
          <w:rFonts w:asciiTheme="minorBidi" w:hAnsiTheme="minorBidi" w:cstheme="minorBidi"/>
        </w:rPr>
        <w:t xml:space="preserve"> Going forward, I will increase my research ability by using more academic databases, rather than just a few, at the outset of any research project, examples being Scopus and Web of Science. In addition, I will work towards enhancing my critical thinking skills through systematic practice of modelling various sets of organisations and industries with PESTEL and VRIO. </w:t>
      </w:r>
      <w:r w:rsidRPr="009838C8">
        <w:rPr>
          <w:rFonts w:asciiTheme="minorBidi" w:hAnsiTheme="minorBidi" w:cstheme="minorBidi"/>
        </w:rPr>
        <w:lastRenderedPageBreak/>
        <w:t>This will enable me to make a comparison about the functioning of these tools in other</w:t>
      </w:r>
      <w:r w:rsidR="00522A70">
        <w:rPr>
          <w:rFonts w:asciiTheme="minorBidi" w:hAnsiTheme="minorBidi" w:cstheme="minorBidi"/>
        </w:rPr>
        <w:t>’s</w:t>
      </w:r>
      <w:r w:rsidRPr="009838C8">
        <w:rPr>
          <w:rFonts w:asciiTheme="minorBidi" w:hAnsiTheme="minorBidi" w:cstheme="minorBidi"/>
        </w:rPr>
        <w:t xml:space="preserve"> context. Furthermore, I plan to develop my academic writing skills by soliciting feedback from classmates and tutors to help me correct flaws in my arguments before submitting them for the project, since I discovered some gaps in my arguments </w:t>
      </w:r>
      <w:proofErr w:type="gramStart"/>
      <w:r w:rsidRPr="009838C8">
        <w:rPr>
          <w:rFonts w:asciiTheme="minorBidi" w:hAnsiTheme="minorBidi" w:cstheme="minorBidi"/>
        </w:rPr>
        <w:t>in the course of</w:t>
      </w:r>
      <w:proofErr w:type="gramEnd"/>
      <w:r w:rsidRPr="009838C8">
        <w:rPr>
          <w:rFonts w:asciiTheme="minorBidi" w:hAnsiTheme="minorBidi" w:cstheme="minorBidi"/>
        </w:rPr>
        <w:t xml:space="preserve"> this project. I will also be much better organized and will be using a very detailed project timetable to help me take charge of my time when I have a project assigned. These steps will enable me to become a more effective strategic analyst and prepare me for jobs which demand analytical, systematic and evidence-based thinking.</w:t>
      </w:r>
      <w:r w:rsidRPr="009838C8">
        <w:rPr>
          <w:rFonts w:asciiTheme="minorBidi" w:hAnsiTheme="minorBidi" w:cstheme="minorBidi"/>
        </w:rPr>
        <w:br w:type="page"/>
      </w:r>
    </w:p>
    <w:p w14:paraId="7B4CEE45" w14:textId="3434E082" w:rsidR="0044686E" w:rsidRPr="009838C8" w:rsidRDefault="00155577" w:rsidP="00522A70">
      <w:pPr>
        <w:pStyle w:val="Heading1"/>
      </w:pPr>
      <w:bookmarkStart w:id="21" w:name="_Toc235746074"/>
      <w:bookmarkStart w:id="22" w:name="_Toc237386312"/>
      <w:r w:rsidRPr="009838C8">
        <w:lastRenderedPageBreak/>
        <w:t>Reference</w:t>
      </w:r>
      <w:bookmarkEnd w:id="21"/>
      <w:r w:rsidR="00522A70">
        <w:t>s</w:t>
      </w:r>
      <w:bookmarkEnd w:id="22"/>
    </w:p>
    <w:p w14:paraId="163B5354"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Bassot, B., 2023. The reflective practice guide: an interdisciplinary approach to critical reflection. London: Routledge.</w:t>
      </w:r>
    </w:p>
    <w:p w14:paraId="7CF8839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Berkeley, N., Jarvis, D. and Jones, A., 2018. Analysing the take up of battery electric vehicles: an investigation of barriers amongst drivers in the UK. Transportation Research Part D: Transport and Environment, 63, pp.466-481.</w:t>
      </w:r>
    </w:p>
    <w:p w14:paraId="64DC71DF"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Birru, A.C., </w:t>
      </w:r>
      <w:proofErr w:type="spellStart"/>
      <w:r w:rsidRPr="009838C8">
        <w:rPr>
          <w:rFonts w:asciiTheme="minorBidi" w:hAnsiTheme="minorBidi" w:cstheme="minorBidi"/>
        </w:rPr>
        <w:t>Sudarmiatin</w:t>
      </w:r>
      <w:proofErr w:type="spellEnd"/>
      <w:r w:rsidRPr="009838C8">
        <w:rPr>
          <w:rFonts w:asciiTheme="minorBidi" w:hAnsiTheme="minorBidi" w:cstheme="minorBidi"/>
        </w:rPr>
        <w:t>, S. and Hermawan, A., 2022. Competitive strategies in the lodging service sector: five porter analyses and case study SWOT analysis. Journal of Business and Management Review, 3(1), pp.001-017.</w:t>
      </w:r>
    </w:p>
    <w:p w14:paraId="78095F56"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Bou Hatoum, M., </w:t>
      </w:r>
      <w:proofErr w:type="spellStart"/>
      <w:r w:rsidRPr="009838C8">
        <w:rPr>
          <w:rFonts w:asciiTheme="minorBidi" w:hAnsiTheme="minorBidi" w:cstheme="minorBidi"/>
        </w:rPr>
        <w:t>Nassereddine</w:t>
      </w:r>
      <w:proofErr w:type="spellEnd"/>
      <w:r w:rsidRPr="009838C8">
        <w:rPr>
          <w:rFonts w:asciiTheme="minorBidi" w:hAnsiTheme="minorBidi" w:cstheme="minorBidi"/>
        </w:rPr>
        <w:t>, H., Musick, S. and El-Jazzar, M., 2023. Investigation of PESTEL factors driving change in capital project organizations. Frontiers in Built Environment, 9, p.1207564.</w:t>
      </w:r>
    </w:p>
    <w:p w14:paraId="1A9B5297"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Bühler, V.X., 2026. Building competitive advantage in a mature automotive market: strategies for Chinese original equipment manufacturers entering Germany.</w:t>
      </w:r>
    </w:p>
    <w:p w14:paraId="53BC378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Buye, R., 2021. Critical examination of the PESTEL Analysis Model. Project: Action Research for Development, pp.1-12.</w:t>
      </w:r>
    </w:p>
    <w:p w14:paraId="76AA4918" w14:textId="39AE1ED3" w:rsidR="00800AF2" w:rsidRDefault="00800AF2" w:rsidP="00457C00">
      <w:pPr>
        <w:spacing w:after="120"/>
        <w:jc w:val="both"/>
        <w:rPr>
          <w:rFonts w:asciiTheme="minorBidi" w:hAnsiTheme="minorBidi" w:cstheme="minorBidi"/>
        </w:rPr>
      </w:pPr>
      <w:r w:rsidRPr="000B6AED">
        <w:rPr>
          <w:rFonts w:asciiTheme="minorBidi" w:hAnsiTheme="minorBidi" w:cstheme="minorBidi"/>
        </w:rPr>
        <w:t>BYD Company Limited, 2025</w:t>
      </w:r>
      <w:r w:rsidR="00904CAD">
        <w:rPr>
          <w:rFonts w:asciiTheme="minorBidi" w:hAnsiTheme="minorBidi" w:cstheme="minorBidi"/>
        </w:rPr>
        <w:t>a</w:t>
      </w:r>
      <w:r w:rsidRPr="000B6AED">
        <w:rPr>
          <w:rFonts w:asciiTheme="minorBidi" w:hAnsiTheme="minorBidi" w:cstheme="minorBidi"/>
        </w:rPr>
        <w:t xml:space="preserve">. </w:t>
      </w:r>
      <w:r w:rsidRPr="000B6AED">
        <w:rPr>
          <w:rFonts w:asciiTheme="minorBidi" w:hAnsiTheme="minorBidi" w:cstheme="minorBidi"/>
          <w:i/>
          <w:iCs/>
        </w:rPr>
        <w:t>Annual Report 2024</w:t>
      </w:r>
      <w:r w:rsidRPr="000B6AED">
        <w:rPr>
          <w:rFonts w:asciiTheme="minorBidi" w:hAnsiTheme="minorBidi" w:cstheme="minorBidi"/>
        </w:rPr>
        <w:t xml:space="preserve">. [online] Shenzhen: BYD Company Limited. Available at: </w:t>
      </w:r>
      <w:hyperlink r:id="rId17" w:tgtFrame="_blank" w:history="1">
        <w:r w:rsidRPr="000B6AED">
          <w:rPr>
            <w:rStyle w:val="Hyperlink"/>
            <w:rFonts w:asciiTheme="minorBidi" w:hAnsiTheme="minorBidi" w:cstheme="minorBidi"/>
          </w:rPr>
          <w:t>https://www1.hkexnews.hk/listedco/listconews/sehk/2025/0324/2025032401238.pdf</w:t>
        </w:r>
      </w:hyperlink>
      <w:r w:rsidRPr="000B6AED">
        <w:rPr>
          <w:rFonts w:asciiTheme="minorBidi" w:hAnsiTheme="minorBidi" w:cstheme="minorBidi"/>
        </w:rPr>
        <w:t xml:space="preserve"> [Accessed </w:t>
      </w:r>
      <w:r w:rsidR="00324764">
        <w:rPr>
          <w:rFonts w:asciiTheme="minorBidi" w:hAnsiTheme="minorBidi" w:cstheme="minorBidi"/>
        </w:rPr>
        <w:t>14</w:t>
      </w:r>
      <w:r w:rsidRPr="000B6AED">
        <w:rPr>
          <w:rFonts w:asciiTheme="minorBidi" w:hAnsiTheme="minorBidi" w:cstheme="minorBidi"/>
        </w:rPr>
        <w:t xml:space="preserve"> July 2026].</w:t>
      </w:r>
    </w:p>
    <w:p w14:paraId="7DC319DF" w14:textId="5112F927" w:rsidR="00800AF2" w:rsidRDefault="00800AF2" w:rsidP="00457C00">
      <w:pPr>
        <w:spacing w:after="120"/>
        <w:jc w:val="both"/>
        <w:rPr>
          <w:rFonts w:asciiTheme="minorBidi" w:hAnsiTheme="minorBidi" w:cstheme="minorBidi"/>
        </w:rPr>
      </w:pPr>
      <w:r w:rsidRPr="000B6AED">
        <w:rPr>
          <w:rFonts w:asciiTheme="minorBidi" w:hAnsiTheme="minorBidi" w:cstheme="minorBidi"/>
        </w:rPr>
        <w:t>BYD Company Limited, 202</w:t>
      </w:r>
      <w:r>
        <w:rPr>
          <w:rFonts w:asciiTheme="minorBidi" w:hAnsiTheme="minorBidi" w:cstheme="minorBidi"/>
        </w:rPr>
        <w:t>5</w:t>
      </w:r>
      <w:r w:rsidR="00904CAD">
        <w:rPr>
          <w:rFonts w:asciiTheme="minorBidi" w:hAnsiTheme="minorBidi" w:cstheme="minorBidi"/>
        </w:rPr>
        <w:t>b</w:t>
      </w:r>
      <w:r w:rsidRPr="000B6AED">
        <w:rPr>
          <w:rFonts w:asciiTheme="minorBidi" w:hAnsiTheme="minorBidi" w:cstheme="minorBidi"/>
        </w:rPr>
        <w:t xml:space="preserve">. </w:t>
      </w:r>
      <w:r w:rsidRPr="000B6AED">
        <w:rPr>
          <w:rFonts w:asciiTheme="minorBidi" w:hAnsiTheme="minorBidi" w:cstheme="minorBidi"/>
          <w:i/>
          <w:iCs/>
        </w:rPr>
        <w:t>Annual Report 2025</w:t>
      </w:r>
      <w:r w:rsidRPr="000B6AED">
        <w:rPr>
          <w:rFonts w:asciiTheme="minorBidi" w:hAnsiTheme="minorBidi" w:cstheme="minorBidi"/>
        </w:rPr>
        <w:t xml:space="preserve">. [online] Shenzhen: BYD Company Limited. Available at: </w:t>
      </w:r>
      <w:hyperlink r:id="rId18" w:tgtFrame="_blank" w:history="1">
        <w:r w:rsidRPr="000B6AED">
          <w:rPr>
            <w:rStyle w:val="Hyperlink"/>
            <w:rFonts w:asciiTheme="minorBidi" w:hAnsiTheme="minorBidi" w:cstheme="minorBidi"/>
          </w:rPr>
          <w:t>https://www1.hkexnews.hk/listedco/listconews/sehk/2026/0422/2026042201333.pdf</w:t>
        </w:r>
      </w:hyperlink>
      <w:r w:rsidRPr="000B6AED">
        <w:rPr>
          <w:rFonts w:asciiTheme="minorBidi" w:hAnsiTheme="minorBidi" w:cstheme="minorBidi"/>
        </w:rPr>
        <w:t xml:space="preserve"> [Accessed </w:t>
      </w:r>
      <w:r w:rsidR="00324764">
        <w:rPr>
          <w:rFonts w:asciiTheme="minorBidi" w:hAnsiTheme="minorBidi" w:cstheme="minorBidi"/>
        </w:rPr>
        <w:t>14</w:t>
      </w:r>
      <w:r w:rsidRPr="000B6AED">
        <w:rPr>
          <w:rFonts w:asciiTheme="minorBidi" w:hAnsiTheme="minorBidi" w:cstheme="minorBidi"/>
        </w:rPr>
        <w:t xml:space="preserve"> July 2026].</w:t>
      </w:r>
    </w:p>
    <w:p w14:paraId="40C47F77" w14:textId="44B86ABF"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BYD ESG Report, 2025. BYD 2024 sustainability report. [online] Available at: </w:t>
      </w:r>
      <w:hyperlink r:id="rId19" w:history="1">
        <w:r w:rsidR="00AF1E16" w:rsidRPr="00327F69">
          <w:rPr>
            <w:rStyle w:val="Hyperlink"/>
            <w:rFonts w:asciiTheme="minorBidi" w:hAnsiTheme="minorBidi" w:cstheme="minorBidi"/>
          </w:rPr>
          <w:t>https://www.byd.com</w:t>
        </w:r>
      </w:hyperlink>
      <w:r w:rsidR="00AF1E16">
        <w:rPr>
          <w:rFonts w:asciiTheme="minorBidi" w:hAnsiTheme="minorBidi" w:cstheme="minorBidi"/>
        </w:rPr>
        <w:t xml:space="preserve"> </w:t>
      </w:r>
      <w:r w:rsidRPr="009838C8">
        <w:rPr>
          <w:rFonts w:asciiTheme="minorBidi" w:hAnsiTheme="minorBidi" w:cstheme="minorBidi"/>
        </w:rPr>
        <w:t xml:space="preserve">[Accessed </w:t>
      </w:r>
      <w:r w:rsidR="00324764">
        <w:rPr>
          <w:rFonts w:asciiTheme="minorBidi" w:hAnsiTheme="minorBidi" w:cstheme="minorBidi"/>
        </w:rPr>
        <w:t>22</w:t>
      </w:r>
      <w:r w:rsidRPr="009838C8">
        <w:rPr>
          <w:rFonts w:asciiTheme="minorBidi" w:hAnsiTheme="minorBidi" w:cstheme="minorBidi"/>
        </w:rPr>
        <w:t xml:space="preserve"> July 2026].</w:t>
      </w:r>
    </w:p>
    <w:p w14:paraId="4D5AD105" w14:textId="32B57E1D"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BYD UK Media, 2026. BYD continues to break UK sales records in the first half of 2026. [online] Available at: </w:t>
      </w:r>
      <w:hyperlink r:id="rId20" w:history="1">
        <w:r w:rsidR="00AF1E16" w:rsidRPr="00327F69">
          <w:rPr>
            <w:rStyle w:val="Hyperlink"/>
            <w:rFonts w:asciiTheme="minorBidi" w:hAnsiTheme="minorBidi" w:cstheme="minorBidi"/>
          </w:rPr>
          <w:t>https://bydukmedia.com</w:t>
        </w:r>
      </w:hyperlink>
      <w:r w:rsidR="00AF1E16">
        <w:rPr>
          <w:rFonts w:asciiTheme="minorBidi" w:hAnsiTheme="minorBidi" w:cstheme="minorBidi"/>
        </w:rPr>
        <w:t xml:space="preserve"> </w:t>
      </w:r>
      <w:r w:rsidRPr="009838C8">
        <w:rPr>
          <w:rFonts w:asciiTheme="minorBidi" w:hAnsiTheme="minorBidi" w:cstheme="minorBidi"/>
        </w:rPr>
        <w:t xml:space="preserve">[Accessed </w:t>
      </w:r>
      <w:r w:rsidR="00324764">
        <w:rPr>
          <w:rFonts w:asciiTheme="minorBidi" w:hAnsiTheme="minorBidi" w:cstheme="minorBidi"/>
        </w:rPr>
        <w:t xml:space="preserve">14 </w:t>
      </w:r>
      <w:r w:rsidRPr="009838C8">
        <w:rPr>
          <w:rFonts w:asciiTheme="minorBidi" w:hAnsiTheme="minorBidi" w:cstheme="minorBidi"/>
        </w:rPr>
        <w:t>July 2026].</w:t>
      </w:r>
    </w:p>
    <w:p w14:paraId="30119006"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lastRenderedPageBreak/>
        <w:t>Cao, J., Chen, X., Qiu, R. and Hou, S., 2021. Electric vehicle industry sustainable development with a stakeholder engagement system. Technology in Society, 67, p.101771.</w:t>
      </w:r>
    </w:p>
    <w:p w14:paraId="2CCEFC8A"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Chen, T., Zhang, X.P., Wang, J., Li, J., Wu, C., Hu, M. and Bian, H., 2020. A review on electric vehicle charging infrastructure development in the UK. Journal of Modern Power Systems and Clean Energy, 8(2), pp.193-205.</w:t>
      </w:r>
    </w:p>
    <w:p w14:paraId="1BBB031E"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Cho, M.J., Bae, K., Byun, J. and Shin, J., 2025. Expanding the identification of key resource combinations for mid-to long-term growth in electric vehicle market entry. </w:t>
      </w:r>
      <w:proofErr w:type="spellStart"/>
      <w:r w:rsidRPr="009838C8">
        <w:rPr>
          <w:rFonts w:asciiTheme="minorBidi" w:hAnsiTheme="minorBidi" w:cstheme="minorBidi"/>
        </w:rPr>
        <w:t>PLoS</w:t>
      </w:r>
      <w:proofErr w:type="spellEnd"/>
      <w:r w:rsidRPr="009838C8">
        <w:rPr>
          <w:rFonts w:asciiTheme="minorBidi" w:hAnsiTheme="minorBidi" w:cstheme="minorBidi"/>
        </w:rPr>
        <w:t xml:space="preserve"> One, 20(8), p.e0328563.</w:t>
      </w:r>
    </w:p>
    <w:p w14:paraId="70734639"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Dixon, T.D. and Wei, J., 2025. Business ecosystem transformation: embedded resources and their impact on automotive industry value chain transformation. Asian Journal of Technology Innovation, pp.1-28.</w:t>
      </w:r>
    </w:p>
    <w:p w14:paraId="1159FEFB"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Dou, H., Jiang, S., Ou, S.S., Hao, H., Liu, M., Geng, J., Liu, B., Mai, L., Qu, X., Geng, Y. and Hubacek, K., 2026. Distributional impacts of EU tariffs on Chinese electric vehicles across European markets. Nature Energy, pp.1-14.</w:t>
      </w:r>
    </w:p>
    <w:p w14:paraId="4497A9D7" w14:textId="5E1CE95F" w:rsidR="00800AF2" w:rsidRDefault="00800AF2" w:rsidP="00457C00">
      <w:pPr>
        <w:spacing w:after="120"/>
        <w:jc w:val="both"/>
        <w:rPr>
          <w:rFonts w:asciiTheme="minorBidi" w:hAnsiTheme="minorBidi" w:cstheme="minorBidi"/>
        </w:rPr>
      </w:pPr>
      <w:r w:rsidRPr="009838C8">
        <w:rPr>
          <w:rFonts w:asciiTheme="minorBidi" w:hAnsiTheme="minorBidi" w:cstheme="minorBidi"/>
        </w:rPr>
        <w:t>Earl, J. and Fell, M.J., 2019. Electric vehicle manufacturers' perceptions of the market potential for demand-side flexibility using electric vehicles in the United Kingdom. Energy Policy, 129, pp.646-652.</w:t>
      </w:r>
    </w:p>
    <w:p w14:paraId="1631D01C" w14:textId="4AC22727" w:rsidR="00457C00" w:rsidRPr="00457C00" w:rsidRDefault="00457C00" w:rsidP="00457C00">
      <w:pPr>
        <w:rPr>
          <w:rFonts w:ascii="Arial" w:hAnsi="Arial" w:cs="Arial"/>
        </w:rPr>
      </w:pPr>
      <w:r w:rsidRPr="00457C00">
        <w:rPr>
          <w:rFonts w:ascii="Arial" w:hAnsi="Arial" w:cs="Arial"/>
        </w:rPr>
        <w:t>Eldridge, L.</w:t>
      </w:r>
      <w:r>
        <w:rPr>
          <w:rFonts w:ascii="Arial" w:hAnsi="Arial" w:cs="Arial"/>
        </w:rPr>
        <w:t xml:space="preserve">, </w:t>
      </w:r>
      <w:r w:rsidRPr="00457C00">
        <w:rPr>
          <w:rFonts w:ascii="Arial" w:hAnsi="Arial" w:cs="Arial"/>
        </w:rPr>
        <w:t xml:space="preserve">2023. </w:t>
      </w:r>
      <w:r w:rsidRPr="00457C00">
        <w:rPr>
          <w:rFonts w:ascii="Arial" w:hAnsi="Arial" w:cs="Arial"/>
          <w:i/>
          <w:iCs/>
        </w:rPr>
        <w:t>Gibbs reflective cycle: Reflective practice made easy</w:t>
      </w:r>
      <w:r w:rsidRPr="00457C00">
        <w:rPr>
          <w:rFonts w:ascii="Arial" w:hAnsi="Arial" w:cs="Arial"/>
        </w:rPr>
        <w:t xml:space="preserve">. [online] </w:t>
      </w:r>
      <w:r w:rsidRPr="00457C00">
        <w:rPr>
          <w:rFonts w:ascii="Arial" w:hAnsi="Arial" w:cs="Arial"/>
          <w:i/>
          <w:iCs/>
        </w:rPr>
        <w:t>Cognitive Athlete</w:t>
      </w:r>
      <w:r w:rsidRPr="00457C00">
        <w:rPr>
          <w:rFonts w:ascii="Arial" w:hAnsi="Arial" w:cs="Arial"/>
        </w:rPr>
        <w:t xml:space="preserve">. Available at: https://cognitiveathlete.co.uk/the-gibbs-reflective-cycle-as-a-leader/ [Accessed </w:t>
      </w:r>
      <w:r w:rsidR="00324764">
        <w:rPr>
          <w:rFonts w:ascii="Arial" w:hAnsi="Arial" w:cs="Arial"/>
        </w:rPr>
        <w:t>1</w:t>
      </w:r>
      <w:r w:rsidRPr="00457C00">
        <w:rPr>
          <w:rFonts w:ascii="Arial" w:hAnsi="Arial" w:cs="Arial"/>
        </w:rPr>
        <w:t xml:space="preserve"> Aug. 2026].</w:t>
      </w:r>
    </w:p>
    <w:p w14:paraId="095B81F6" w14:textId="77777777" w:rsidR="00800AF2" w:rsidRPr="009838C8"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Fullana</w:t>
      </w:r>
      <w:proofErr w:type="spellEnd"/>
      <w:r w:rsidRPr="009838C8">
        <w:rPr>
          <w:rFonts w:asciiTheme="minorBidi" w:hAnsiTheme="minorBidi" w:cstheme="minorBidi"/>
        </w:rPr>
        <w:t xml:space="preserve">, J., </w:t>
      </w:r>
      <w:proofErr w:type="spellStart"/>
      <w:r w:rsidRPr="009838C8">
        <w:rPr>
          <w:rFonts w:asciiTheme="minorBidi" w:hAnsiTheme="minorBidi" w:cstheme="minorBidi"/>
        </w:rPr>
        <w:t>Pallisera</w:t>
      </w:r>
      <w:proofErr w:type="spellEnd"/>
      <w:r w:rsidRPr="009838C8">
        <w:rPr>
          <w:rFonts w:asciiTheme="minorBidi" w:hAnsiTheme="minorBidi" w:cstheme="minorBidi"/>
        </w:rPr>
        <w:t>, M., Colomer, J., Fernández Peña, R. and Pérez-Burriel, M., 2016. Reflective learning in higher education: a qualitative study on students' perceptions. Studies in Higher Education, 41(6), pp.1008-1022.</w:t>
      </w:r>
    </w:p>
    <w:p w14:paraId="16958094"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Gong, H., Guo, Y., Chen, Y. and Asheim, B., 2026. Integrating geoeconomics into the GPN framework: the internationalization of Chinese EV battery firms amid China–EU strategic interaction. Economic Geography, pp.1-30.</w:t>
      </w:r>
    </w:p>
    <w:p w14:paraId="007268D0"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Gong, Y., Xiao, J., Tang, X. and Li, J., 2023. How sustainable marketing influences the customer engagement and sustainable purchase intention? The moderating role of corporate social responsibility. Frontiers in Psychology, 14, p.1128686.</w:t>
      </w:r>
    </w:p>
    <w:p w14:paraId="402BAC2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lastRenderedPageBreak/>
        <w:t>He, S., Khan, Z., Lew, Y.K. and Fallon, G., 2019. Technological innovation as a source of Chinese multinationals' firm-specific advantages and internationalization. International Journal of Emerging Markets, 14(1), pp.115-133.</w:t>
      </w:r>
    </w:p>
    <w:p w14:paraId="6677738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Hernández, J.G.V. and Garcia, F.C., 2018. The link between a firm's internal characteristics and performance: GPTW &amp; VRIO dimension analysis. Revista de </w:t>
      </w:r>
      <w:proofErr w:type="spellStart"/>
      <w:r w:rsidRPr="009838C8">
        <w:rPr>
          <w:rFonts w:asciiTheme="minorBidi" w:hAnsiTheme="minorBidi" w:cstheme="minorBidi"/>
        </w:rPr>
        <w:t>Administração</w:t>
      </w:r>
      <w:proofErr w:type="spellEnd"/>
      <w:r w:rsidRPr="009838C8">
        <w:rPr>
          <w:rFonts w:asciiTheme="minorBidi" w:hAnsiTheme="minorBidi" w:cstheme="minorBidi"/>
        </w:rPr>
        <w:t xml:space="preserve"> IMED, 8(2), pp.222-235.</w:t>
      </w:r>
    </w:p>
    <w:p w14:paraId="0F9741C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Hossain, M., 2024. How Chinese companies are dominating electric vehicle market worldwide. California Management Review, 67(2), pp.1741840091-1.</w:t>
      </w:r>
    </w:p>
    <w:p w14:paraId="38C268C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Jackson, J., 2024. Decarbonisation through modernisation: the UK's EV transition as a vehicle for industrial change. Competition &amp; Change, 28(2), pp.231-250.</w:t>
      </w:r>
    </w:p>
    <w:p w14:paraId="153B323A"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Kaplan, R.S. and Norton, D.P., 1992. The balanced scorecard: measures that drive performance. Harvard Business Review, 70(1), pp.71-79.</w:t>
      </w:r>
    </w:p>
    <w:p w14:paraId="1B02A5ED"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Liu, S., 2025. Green management promotes long-term business competitive advantage through the resource-based view. Total Quality Management &amp; Business Excellence, 36(9-10), pp.946-973.</w:t>
      </w:r>
    </w:p>
    <w:p w14:paraId="4FA43A2E"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Mandys, F., 2021. Electric vehicles and consumer choices. Renewable and Sustainable Energy Reviews, 142, p.110874.</w:t>
      </w:r>
    </w:p>
    <w:p w14:paraId="6A58E2AE"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Morton, C., Anable, J. and Nelson, J.D., 2016. Exploring consumer preferences towards electric vehicles: the influence of consumer innovativeness. Research in Transportation Business &amp; Management, 18, pp.18-28.</w:t>
      </w:r>
    </w:p>
    <w:p w14:paraId="6EFD2398"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O'Neill, E., Moore, D., Kelleher, L. and Brereton, F., 2019. Barriers to electric vehicle uptake in Ireland: perspectives of car-dealers and </w:t>
      </w:r>
      <w:proofErr w:type="gramStart"/>
      <w:r w:rsidRPr="009838C8">
        <w:rPr>
          <w:rFonts w:asciiTheme="minorBidi" w:hAnsiTheme="minorBidi" w:cstheme="minorBidi"/>
        </w:rPr>
        <w:t>policy-makers</w:t>
      </w:r>
      <w:proofErr w:type="gramEnd"/>
      <w:r w:rsidRPr="009838C8">
        <w:rPr>
          <w:rFonts w:asciiTheme="minorBidi" w:hAnsiTheme="minorBidi" w:cstheme="minorBidi"/>
        </w:rPr>
        <w:t>. Case Studies on Transport Policy, 7(1), pp.118-127.</w:t>
      </w:r>
    </w:p>
    <w:p w14:paraId="004B7E20" w14:textId="77777777" w:rsidR="00800AF2" w:rsidRPr="009838C8"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Öneren</w:t>
      </w:r>
      <w:proofErr w:type="spellEnd"/>
      <w:r w:rsidRPr="009838C8">
        <w:rPr>
          <w:rFonts w:asciiTheme="minorBidi" w:hAnsiTheme="minorBidi" w:cstheme="minorBidi"/>
        </w:rPr>
        <w:t>, M., Arar, T. and Yurdakul, G., 2017. Developing competitive strategies based on SWOT analysis in Porter's five forces model by DANP. vol. 9, pp.511-528.</w:t>
      </w:r>
    </w:p>
    <w:p w14:paraId="6B32477F"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Palmer, K., Tate, J.E., Wadud, Z. and </w:t>
      </w:r>
      <w:proofErr w:type="spellStart"/>
      <w:r w:rsidRPr="009838C8">
        <w:rPr>
          <w:rFonts w:asciiTheme="minorBidi" w:hAnsiTheme="minorBidi" w:cstheme="minorBidi"/>
        </w:rPr>
        <w:t>Nellthorp</w:t>
      </w:r>
      <w:proofErr w:type="spellEnd"/>
      <w:r w:rsidRPr="009838C8">
        <w:rPr>
          <w:rFonts w:asciiTheme="minorBidi" w:hAnsiTheme="minorBidi" w:cstheme="minorBidi"/>
        </w:rPr>
        <w:t>, J., 2018. Total cost of ownership and market share for hybrid and electric vehicles in the UK, US and Japan. Applied Energy, 209, pp.108-119.</w:t>
      </w:r>
    </w:p>
    <w:p w14:paraId="02EDC3F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lastRenderedPageBreak/>
        <w:t xml:space="preserve">Pemberton, S., </w:t>
      </w:r>
      <w:proofErr w:type="spellStart"/>
      <w:r w:rsidRPr="009838C8">
        <w:rPr>
          <w:rFonts w:asciiTheme="minorBidi" w:hAnsiTheme="minorBidi" w:cstheme="minorBidi"/>
        </w:rPr>
        <w:t>Nobajas</w:t>
      </w:r>
      <w:proofErr w:type="spellEnd"/>
      <w:r w:rsidRPr="009838C8">
        <w:rPr>
          <w:rFonts w:asciiTheme="minorBidi" w:hAnsiTheme="minorBidi" w:cstheme="minorBidi"/>
        </w:rPr>
        <w:t>, A. and Waller, R., 2021. Rapid charging provision, multiplicity and battery electric vehicle (BEV) mobility in the UK. Journal of Transport Geography, 95, p.103137.</w:t>
      </w:r>
    </w:p>
    <w:p w14:paraId="76844B2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Rong, K., Shi, Y., Shang, T., Chen, Y. and Hao, H., 2017. Organizing business ecosystems in emerging electric vehicle industry: structure, mechanism, and integrated configuration. Energy Policy, 107, pp.234-247.</w:t>
      </w:r>
    </w:p>
    <w:p w14:paraId="4C44D2C5"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Ryan, M., 2019. The pedagogical balancing act: teaching reflection in higher education. Teaching in Higher Education, 24(6), pp.717-735.</w:t>
      </w:r>
    </w:p>
    <w:p w14:paraId="07569CD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See Wei, C. and Homer, S.T., 2025. Sustainability in emerging markets: how familiarity shapes consumer experiences in the EV industry through a consumer culture theory perspective in Malaysia. Asia Pacific Business Review, pp.1-24.</w:t>
      </w:r>
    </w:p>
    <w:p w14:paraId="20CAE22F"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Severiano, B.M., Northey, S.A. and Giurco, D., 2024. Drivers and barriers of voluntary sustainability initiatives in mining raw materials for batteries. The Extractive Industries and Society, 20, p.101552.</w:t>
      </w:r>
    </w:p>
    <w:p w14:paraId="2253D9E7"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Singh, G., Misra, S.C., </w:t>
      </w:r>
      <w:proofErr w:type="spellStart"/>
      <w:r w:rsidRPr="009838C8">
        <w:rPr>
          <w:rFonts w:asciiTheme="minorBidi" w:hAnsiTheme="minorBidi" w:cstheme="minorBidi"/>
        </w:rPr>
        <w:t>Daultani</w:t>
      </w:r>
      <w:proofErr w:type="spellEnd"/>
      <w:r w:rsidRPr="009838C8">
        <w:rPr>
          <w:rFonts w:asciiTheme="minorBidi" w:hAnsiTheme="minorBidi" w:cstheme="minorBidi"/>
        </w:rPr>
        <w:t>, Y. and Singh, S., 2024. Electric vehicle adoption and sustainability: insights from the bibliometric analysis, cluster analysis, and morphology analysis. Operations Management Research, 17(2), pp.635-659.</w:t>
      </w:r>
    </w:p>
    <w:p w14:paraId="05DB2892" w14:textId="762A87F1"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SMMT, 2026. UK new car market breaches two million as almost one in four buyers go electric. [online] Available at: https://www.smmt.co.uk [Accessed </w:t>
      </w:r>
      <w:r w:rsidR="00324764">
        <w:rPr>
          <w:rFonts w:asciiTheme="minorBidi" w:hAnsiTheme="minorBidi" w:cstheme="minorBidi"/>
        </w:rPr>
        <w:t>19</w:t>
      </w:r>
      <w:r w:rsidRPr="009838C8">
        <w:rPr>
          <w:rFonts w:asciiTheme="minorBidi" w:hAnsiTheme="minorBidi" w:cstheme="minorBidi"/>
        </w:rPr>
        <w:t xml:space="preserve"> July 2026].</w:t>
      </w:r>
    </w:p>
    <w:p w14:paraId="43B01E9D" w14:textId="77777777" w:rsidR="00800AF2" w:rsidRPr="009838C8"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Ulubeyli</w:t>
      </w:r>
      <w:proofErr w:type="spellEnd"/>
      <w:r w:rsidRPr="009838C8">
        <w:rPr>
          <w:rFonts w:asciiTheme="minorBidi" w:hAnsiTheme="minorBidi" w:cstheme="minorBidi"/>
        </w:rPr>
        <w:t xml:space="preserve">, S., </w:t>
      </w:r>
      <w:proofErr w:type="spellStart"/>
      <w:r w:rsidRPr="009838C8">
        <w:rPr>
          <w:rFonts w:asciiTheme="minorBidi" w:hAnsiTheme="minorBidi" w:cstheme="minorBidi"/>
        </w:rPr>
        <w:t>Kazancı</w:t>
      </w:r>
      <w:proofErr w:type="spellEnd"/>
      <w:r w:rsidRPr="009838C8">
        <w:rPr>
          <w:rFonts w:asciiTheme="minorBidi" w:hAnsiTheme="minorBidi" w:cstheme="minorBidi"/>
        </w:rPr>
        <w:t>, O., Kazaz, A. and Arslan, V., 2019. Strategic factors affecting green building industry: a macro-environmental analysis using PESTEL framework. Sakarya University Journal of Science, 23(6), pp.1042-1055.</w:t>
      </w:r>
    </w:p>
    <w:p w14:paraId="56934201"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Vargas-Hernández, J.G. and Garcia, F.C., 2019. The link between a firm's internal characteristics and performance: GPTW &amp; VRIO dimension analysis. REBRAE, 12(1), pp.19-30.</w:t>
      </w:r>
    </w:p>
    <w:p w14:paraId="6A57F973"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Wain, A., 2017. Learning through reflection. British Journal of Midwifery, 25(10), pp.662-666.</w:t>
      </w:r>
    </w:p>
    <w:p w14:paraId="4C09AFDB" w14:textId="5310703F" w:rsidR="00800AF2" w:rsidRDefault="00800AF2" w:rsidP="00457C00">
      <w:pPr>
        <w:spacing w:after="120"/>
        <w:jc w:val="both"/>
        <w:rPr>
          <w:rFonts w:asciiTheme="minorBidi" w:hAnsiTheme="minorBidi" w:cstheme="minorBidi"/>
        </w:rPr>
      </w:pPr>
      <w:r w:rsidRPr="000B6AED">
        <w:rPr>
          <w:rFonts w:asciiTheme="minorBidi" w:hAnsiTheme="minorBidi" w:cstheme="minorBidi"/>
        </w:rPr>
        <w:lastRenderedPageBreak/>
        <w:t xml:space="preserve">Watson, M., 2026. </w:t>
      </w:r>
      <w:r w:rsidRPr="000B6AED">
        <w:rPr>
          <w:rFonts w:asciiTheme="minorBidi" w:hAnsiTheme="minorBidi" w:cstheme="minorBidi"/>
          <w:i/>
          <w:iCs/>
        </w:rPr>
        <w:t>BYD Sealion 7 Review 2026 | Performance &amp; Pricing</w:t>
      </w:r>
      <w:r w:rsidRPr="000B6AED">
        <w:rPr>
          <w:rFonts w:asciiTheme="minorBidi" w:hAnsiTheme="minorBidi" w:cstheme="minorBidi"/>
        </w:rPr>
        <w:t xml:space="preserve">. [online] </w:t>
      </w:r>
      <w:proofErr w:type="spellStart"/>
      <w:r w:rsidRPr="000B6AED">
        <w:rPr>
          <w:rFonts w:asciiTheme="minorBidi" w:hAnsiTheme="minorBidi" w:cstheme="minorBidi"/>
        </w:rPr>
        <w:t>Carwow</w:t>
      </w:r>
      <w:proofErr w:type="spellEnd"/>
      <w:r w:rsidRPr="000B6AED">
        <w:rPr>
          <w:rFonts w:asciiTheme="minorBidi" w:hAnsiTheme="minorBidi" w:cstheme="minorBidi"/>
        </w:rPr>
        <w:t xml:space="preserve">. Available at: </w:t>
      </w:r>
      <w:hyperlink r:id="rId21" w:tgtFrame="_blank" w:history="1">
        <w:r w:rsidRPr="000B6AED">
          <w:rPr>
            <w:rStyle w:val="Hyperlink"/>
            <w:rFonts w:asciiTheme="minorBidi" w:hAnsiTheme="minorBidi" w:cstheme="minorBidi"/>
          </w:rPr>
          <w:t>https://www.carwow.co.uk/byd/sealion-7</w:t>
        </w:r>
      </w:hyperlink>
      <w:r w:rsidRPr="000B6AED">
        <w:rPr>
          <w:rFonts w:asciiTheme="minorBidi" w:hAnsiTheme="minorBidi" w:cstheme="minorBidi"/>
        </w:rPr>
        <w:t xml:space="preserve"> [Accessed 2</w:t>
      </w:r>
      <w:r w:rsidR="00324764">
        <w:rPr>
          <w:rFonts w:asciiTheme="minorBidi" w:hAnsiTheme="minorBidi" w:cstheme="minorBidi"/>
        </w:rPr>
        <w:t>2</w:t>
      </w:r>
      <w:r w:rsidRPr="000B6AED">
        <w:rPr>
          <w:rFonts w:asciiTheme="minorBidi" w:hAnsiTheme="minorBidi" w:cstheme="minorBidi"/>
        </w:rPr>
        <w:t xml:space="preserve"> July 2026].</w:t>
      </w:r>
    </w:p>
    <w:p w14:paraId="2AAC40C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Xu, W., Harris, I., Li, J., Wells, P. and Foxall, G., 2026. Influence of consumer attitudes and social interactions in electric vehicle </w:t>
      </w:r>
      <w:proofErr w:type="gramStart"/>
      <w:r w:rsidRPr="009838C8">
        <w:rPr>
          <w:rFonts w:asciiTheme="minorBidi" w:hAnsiTheme="minorBidi" w:cstheme="minorBidi"/>
        </w:rPr>
        <w:t>purchasing:</w:t>
      </w:r>
      <w:proofErr w:type="gramEnd"/>
      <w:r w:rsidRPr="009838C8">
        <w:rPr>
          <w:rFonts w:asciiTheme="minorBidi" w:hAnsiTheme="minorBidi" w:cstheme="minorBidi"/>
        </w:rPr>
        <w:t xml:space="preserve"> integrating agent-based modelling and machine learning. IMA Journal of Management Mathematics, 37(2), pp.533-561.</w:t>
      </w:r>
    </w:p>
    <w:p w14:paraId="2D3E9C97"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Yusop, Z., 2018. PESTEL analysis. Paper presented at COMRAP, pp.34-39.</w:t>
      </w:r>
    </w:p>
    <w:p w14:paraId="560A1576" w14:textId="6E7AC729" w:rsidR="00800AF2"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Zapmap</w:t>
      </w:r>
      <w:proofErr w:type="spellEnd"/>
      <w:r w:rsidRPr="009838C8">
        <w:rPr>
          <w:rFonts w:asciiTheme="minorBidi" w:hAnsiTheme="minorBidi" w:cstheme="minorBidi"/>
        </w:rPr>
        <w:t xml:space="preserve">, 2026. UK EV market statistics. [online] Available at: </w:t>
      </w:r>
      <w:hyperlink r:id="rId22" w:history="1">
        <w:r w:rsidR="00AF1E16" w:rsidRPr="00327F69">
          <w:rPr>
            <w:rStyle w:val="Hyperlink"/>
            <w:rFonts w:asciiTheme="minorBidi" w:hAnsiTheme="minorBidi" w:cstheme="minorBidi"/>
          </w:rPr>
          <w:t>https://www.zapmap.com/ev-stats/ev-market</w:t>
        </w:r>
      </w:hyperlink>
      <w:r w:rsidR="00AF1E16">
        <w:rPr>
          <w:rFonts w:asciiTheme="minorBidi" w:hAnsiTheme="minorBidi" w:cstheme="minorBidi"/>
        </w:rPr>
        <w:t xml:space="preserve"> </w:t>
      </w:r>
      <w:r w:rsidRPr="009838C8">
        <w:rPr>
          <w:rFonts w:asciiTheme="minorBidi" w:hAnsiTheme="minorBidi" w:cstheme="minorBidi"/>
        </w:rPr>
        <w:t>[Accessed 20 July 2026].</w:t>
      </w:r>
    </w:p>
    <w:p w14:paraId="08275852" w14:textId="77777777" w:rsidR="00AF1E16" w:rsidRDefault="00AF1E16" w:rsidP="009838C8">
      <w:pPr>
        <w:spacing w:after="120"/>
        <w:ind w:left="720" w:hanging="720"/>
        <w:jc w:val="both"/>
        <w:rPr>
          <w:rFonts w:asciiTheme="minorBidi" w:hAnsiTheme="minorBidi" w:cstheme="minorBidi"/>
        </w:rPr>
      </w:pPr>
    </w:p>
    <w:p w14:paraId="4D75CA33" w14:textId="77777777" w:rsidR="00522A70" w:rsidRPr="009838C8" w:rsidRDefault="00522A70" w:rsidP="009838C8">
      <w:pPr>
        <w:spacing w:after="120"/>
        <w:ind w:left="720" w:hanging="720"/>
        <w:jc w:val="both"/>
        <w:rPr>
          <w:rFonts w:asciiTheme="minorBidi" w:hAnsiTheme="minorBidi" w:cstheme="minorBidi"/>
        </w:rPr>
      </w:pPr>
    </w:p>
    <w:sectPr w:rsidR="00522A70" w:rsidRPr="009838C8">
      <w:footerReference w:type="default" r:id="rId23"/>
      <w:pgSz w:w="11906" w:h="16838"/>
      <w:pgMar w:top="1440" w:right="180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833F4" w14:textId="77777777" w:rsidR="009B5063" w:rsidRPr="009838C8" w:rsidRDefault="009B5063" w:rsidP="009838C8">
      <w:pPr>
        <w:spacing w:line="240" w:lineRule="auto"/>
      </w:pPr>
      <w:r w:rsidRPr="009838C8">
        <w:separator/>
      </w:r>
    </w:p>
  </w:endnote>
  <w:endnote w:type="continuationSeparator" w:id="0">
    <w:p w14:paraId="19B2B5C0" w14:textId="77777777" w:rsidR="009B5063" w:rsidRPr="009838C8" w:rsidRDefault="009B5063" w:rsidP="009838C8">
      <w:pPr>
        <w:spacing w:line="240" w:lineRule="auto"/>
      </w:pPr>
      <w:r w:rsidRPr="009838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5594922"/>
      <w:docPartObj>
        <w:docPartGallery w:val="Page Numbers (Bottom of Page)"/>
        <w:docPartUnique/>
      </w:docPartObj>
    </w:sdtPr>
    <w:sdtEndPr>
      <w:rPr>
        <w:color w:val="7F7F7F" w:themeColor="background1" w:themeShade="7F"/>
        <w:spacing w:val="60"/>
      </w:rPr>
    </w:sdtEndPr>
    <w:sdtContent>
      <w:p w14:paraId="7E6ED393" w14:textId="0B320696" w:rsidR="009838C8" w:rsidRPr="009838C8" w:rsidRDefault="009838C8">
        <w:pPr>
          <w:pStyle w:val="Footer"/>
          <w:pBdr>
            <w:top w:val="single" w:sz="4" w:space="1" w:color="D9D9D9" w:themeColor="background1" w:themeShade="D9"/>
          </w:pBdr>
          <w:jc w:val="right"/>
        </w:pPr>
        <w:r w:rsidRPr="009838C8">
          <w:fldChar w:fldCharType="begin"/>
        </w:r>
        <w:r w:rsidRPr="009838C8">
          <w:instrText xml:space="preserve"> PAGE   \* MERGEFORMAT </w:instrText>
        </w:r>
        <w:r w:rsidRPr="009838C8">
          <w:fldChar w:fldCharType="separate"/>
        </w:r>
        <w:r w:rsidRPr="009838C8">
          <w:t>2</w:t>
        </w:r>
        <w:r w:rsidRPr="009838C8">
          <w:fldChar w:fldCharType="end"/>
        </w:r>
        <w:r w:rsidRPr="009838C8">
          <w:t xml:space="preserve"> | </w:t>
        </w:r>
        <w:r w:rsidRPr="009838C8">
          <w:rPr>
            <w:color w:val="7F7F7F" w:themeColor="background1" w:themeShade="7F"/>
            <w:spacing w:val="60"/>
          </w:rPr>
          <w:t>Page</w:t>
        </w:r>
      </w:p>
    </w:sdtContent>
  </w:sdt>
  <w:p w14:paraId="063EC92B" w14:textId="77777777" w:rsidR="009838C8" w:rsidRPr="009838C8" w:rsidRDefault="00983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089CB" w14:textId="77777777" w:rsidR="009B5063" w:rsidRPr="009838C8" w:rsidRDefault="009B5063" w:rsidP="009838C8">
      <w:pPr>
        <w:spacing w:line="240" w:lineRule="auto"/>
      </w:pPr>
      <w:r w:rsidRPr="009838C8">
        <w:separator/>
      </w:r>
    </w:p>
  </w:footnote>
  <w:footnote w:type="continuationSeparator" w:id="0">
    <w:p w14:paraId="1897B62F" w14:textId="77777777" w:rsidR="009B5063" w:rsidRPr="009838C8" w:rsidRDefault="009B5063" w:rsidP="009838C8">
      <w:pPr>
        <w:spacing w:line="240" w:lineRule="auto"/>
      </w:pPr>
      <w:r w:rsidRPr="009838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F379E"/>
    <w:multiLevelType w:val="hybridMultilevel"/>
    <w:tmpl w:val="BAEC62D2"/>
    <w:lvl w:ilvl="0" w:tplc="9246107C">
      <w:start w:val="1"/>
      <w:numFmt w:val="bullet"/>
      <w:lvlText w:val="●"/>
      <w:lvlJc w:val="left"/>
      <w:pPr>
        <w:ind w:left="720" w:hanging="360"/>
      </w:pPr>
    </w:lvl>
    <w:lvl w:ilvl="1" w:tplc="DEF62A2A">
      <w:start w:val="1"/>
      <w:numFmt w:val="bullet"/>
      <w:lvlText w:val="○"/>
      <w:lvlJc w:val="left"/>
      <w:pPr>
        <w:ind w:left="1440" w:hanging="360"/>
      </w:pPr>
    </w:lvl>
    <w:lvl w:ilvl="2" w:tplc="14EE74C8">
      <w:start w:val="1"/>
      <w:numFmt w:val="bullet"/>
      <w:lvlText w:val="■"/>
      <w:lvlJc w:val="left"/>
      <w:pPr>
        <w:ind w:left="2160" w:hanging="360"/>
      </w:pPr>
    </w:lvl>
    <w:lvl w:ilvl="3" w:tplc="9AF41FD6">
      <w:start w:val="1"/>
      <w:numFmt w:val="bullet"/>
      <w:lvlText w:val="●"/>
      <w:lvlJc w:val="left"/>
      <w:pPr>
        <w:ind w:left="2880" w:hanging="360"/>
      </w:pPr>
    </w:lvl>
    <w:lvl w:ilvl="4" w:tplc="A74CAD50">
      <w:start w:val="1"/>
      <w:numFmt w:val="bullet"/>
      <w:lvlText w:val="○"/>
      <w:lvlJc w:val="left"/>
      <w:pPr>
        <w:ind w:left="3600" w:hanging="360"/>
      </w:pPr>
    </w:lvl>
    <w:lvl w:ilvl="5" w:tplc="53E03CFC">
      <w:start w:val="1"/>
      <w:numFmt w:val="bullet"/>
      <w:lvlText w:val="■"/>
      <w:lvlJc w:val="left"/>
      <w:pPr>
        <w:ind w:left="4320" w:hanging="360"/>
      </w:pPr>
    </w:lvl>
    <w:lvl w:ilvl="6" w:tplc="E7124392">
      <w:start w:val="1"/>
      <w:numFmt w:val="bullet"/>
      <w:lvlText w:val="●"/>
      <w:lvlJc w:val="left"/>
      <w:pPr>
        <w:ind w:left="5040" w:hanging="360"/>
      </w:pPr>
    </w:lvl>
    <w:lvl w:ilvl="7" w:tplc="975405B4">
      <w:start w:val="1"/>
      <w:numFmt w:val="bullet"/>
      <w:lvlText w:val="●"/>
      <w:lvlJc w:val="left"/>
      <w:pPr>
        <w:ind w:left="5760" w:hanging="360"/>
      </w:pPr>
    </w:lvl>
    <w:lvl w:ilvl="8" w:tplc="04408D6C">
      <w:start w:val="1"/>
      <w:numFmt w:val="bullet"/>
      <w:lvlText w:val="●"/>
      <w:lvlJc w:val="left"/>
      <w:pPr>
        <w:ind w:left="6480" w:hanging="360"/>
      </w:pPr>
    </w:lvl>
  </w:abstractNum>
  <w:num w:numId="1" w16cid:durableId="61814875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86E"/>
    <w:rsid w:val="000007C2"/>
    <w:rsid w:val="000A2FF0"/>
    <w:rsid w:val="000B2926"/>
    <w:rsid w:val="000B6AED"/>
    <w:rsid w:val="00155577"/>
    <w:rsid w:val="00172A09"/>
    <w:rsid w:val="001E3512"/>
    <w:rsid w:val="00236230"/>
    <w:rsid w:val="002A7678"/>
    <w:rsid w:val="00324764"/>
    <w:rsid w:val="00334DC8"/>
    <w:rsid w:val="003F18E9"/>
    <w:rsid w:val="0044686E"/>
    <w:rsid w:val="00457C00"/>
    <w:rsid w:val="00462BAD"/>
    <w:rsid w:val="004B2AD7"/>
    <w:rsid w:val="00522A70"/>
    <w:rsid w:val="005417A2"/>
    <w:rsid w:val="0057770D"/>
    <w:rsid w:val="00641295"/>
    <w:rsid w:val="00641733"/>
    <w:rsid w:val="00725AAE"/>
    <w:rsid w:val="00800AF2"/>
    <w:rsid w:val="0086328A"/>
    <w:rsid w:val="008D5DB8"/>
    <w:rsid w:val="00904CAD"/>
    <w:rsid w:val="0090710E"/>
    <w:rsid w:val="009838C8"/>
    <w:rsid w:val="009B5063"/>
    <w:rsid w:val="009B58D0"/>
    <w:rsid w:val="009E0FFB"/>
    <w:rsid w:val="00A05A5D"/>
    <w:rsid w:val="00A53A50"/>
    <w:rsid w:val="00AC24F5"/>
    <w:rsid w:val="00AF1E16"/>
    <w:rsid w:val="00B343C9"/>
    <w:rsid w:val="00B6417E"/>
    <w:rsid w:val="00BB6382"/>
    <w:rsid w:val="00BE4B7C"/>
    <w:rsid w:val="00D40FCB"/>
    <w:rsid w:val="00D46A1D"/>
    <w:rsid w:val="00E24F53"/>
    <w:rsid w:val="00F57B7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75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9838C8"/>
    <w:pPr>
      <w:spacing w:before="360" w:after="200"/>
      <w:outlineLvl w:val="0"/>
    </w:pPr>
    <w:rPr>
      <w:rFonts w:ascii="Arial" w:hAnsi="Arial"/>
      <w:b/>
      <w:bCs/>
      <w:color w:val="002060"/>
      <w:sz w:val="32"/>
      <w:szCs w:val="32"/>
    </w:rPr>
  </w:style>
  <w:style w:type="paragraph" w:styleId="Heading2">
    <w:name w:val="heading 2"/>
    <w:uiPriority w:val="9"/>
    <w:unhideWhenUsed/>
    <w:qFormat/>
    <w:rsid w:val="009838C8"/>
    <w:pPr>
      <w:spacing w:before="280" w:after="160"/>
      <w:outlineLvl w:val="1"/>
    </w:pPr>
    <w:rPr>
      <w:rFonts w:ascii="Arial" w:hAnsi="Arial"/>
      <w:b/>
      <w:bCs/>
      <w:color w:val="00206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8D5DB8"/>
    <w:pPr>
      <w:spacing w:after="100"/>
    </w:pPr>
  </w:style>
  <w:style w:type="paragraph" w:styleId="TOC2">
    <w:name w:val="toc 2"/>
    <w:basedOn w:val="Normal"/>
    <w:next w:val="Normal"/>
    <w:autoRedefine/>
    <w:uiPriority w:val="39"/>
    <w:unhideWhenUsed/>
    <w:rsid w:val="008D5DB8"/>
    <w:pPr>
      <w:spacing w:after="100"/>
      <w:ind w:left="240"/>
    </w:pPr>
  </w:style>
  <w:style w:type="paragraph" w:styleId="Header">
    <w:name w:val="header"/>
    <w:basedOn w:val="Normal"/>
    <w:link w:val="HeaderChar"/>
    <w:uiPriority w:val="99"/>
    <w:unhideWhenUsed/>
    <w:rsid w:val="009838C8"/>
    <w:pPr>
      <w:tabs>
        <w:tab w:val="center" w:pos="4680"/>
        <w:tab w:val="right" w:pos="9360"/>
      </w:tabs>
      <w:spacing w:line="240" w:lineRule="auto"/>
    </w:pPr>
  </w:style>
  <w:style w:type="character" w:customStyle="1" w:styleId="HeaderChar">
    <w:name w:val="Header Char"/>
    <w:basedOn w:val="DefaultParagraphFont"/>
    <w:link w:val="Header"/>
    <w:uiPriority w:val="99"/>
    <w:rsid w:val="009838C8"/>
  </w:style>
  <w:style w:type="paragraph" w:styleId="Footer">
    <w:name w:val="footer"/>
    <w:basedOn w:val="Normal"/>
    <w:link w:val="FooterChar"/>
    <w:uiPriority w:val="99"/>
    <w:unhideWhenUsed/>
    <w:rsid w:val="009838C8"/>
    <w:pPr>
      <w:tabs>
        <w:tab w:val="center" w:pos="4680"/>
        <w:tab w:val="right" w:pos="9360"/>
      </w:tabs>
      <w:spacing w:line="240" w:lineRule="auto"/>
    </w:pPr>
  </w:style>
  <w:style w:type="character" w:customStyle="1" w:styleId="FooterChar">
    <w:name w:val="Footer Char"/>
    <w:basedOn w:val="DefaultParagraphFont"/>
    <w:link w:val="Footer"/>
    <w:uiPriority w:val="99"/>
    <w:rsid w:val="009838C8"/>
  </w:style>
  <w:style w:type="paragraph" w:styleId="TOCHeading">
    <w:name w:val="TOC Heading"/>
    <w:basedOn w:val="Heading1"/>
    <w:next w:val="Normal"/>
    <w:uiPriority w:val="39"/>
    <w:unhideWhenUsed/>
    <w:qFormat/>
    <w:rsid w:val="00522A70"/>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character" w:styleId="UnresolvedMention">
    <w:name w:val="Unresolved Mention"/>
    <w:basedOn w:val="DefaultParagraphFont"/>
    <w:uiPriority w:val="99"/>
    <w:semiHidden/>
    <w:unhideWhenUsed/>
    <w:rsid w:val="000B6AED"/>
    <w:rPr>
      <w:color w:val="605E5C"/>
      <w:shd w:val="clear" w:color="auto" w:fill="E1DFDD"/>
    </w:rPr>
  </w:style>
  <w:style w:type="paragraph" w:styleId="Caption">
    <w:name w:val="caption"/>
    <w:basedOn w:val="Normal"/>
    <w:next w:val="Normal"/>
    <w:uiPriority w:val="35"/>
    <w:unhideWhenUsed/>
    <w:qFormat/>
    <w:rsid w:val="000A2FF0"/>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F1E16"/>
    <w:rPr>
      <w:color w:val="954F72" w:themeColor="followedHyperlink"/>
      <w:u w:val="single"/>
    </w:rPr>
  </w:style>
  <w:style w:type="paragraph" w:styleId="NormalWeb">
    <w:name w:val="Normal (Web)"/>
    <w:basedOn w:val="Normal"/>
    <w:uiPriority w:val="99"/>
    <w:unhideWhenUsed/>
    <w:rsid w:val="00457C00"/>
    <w:pPr>
      <w:spacing w:before="100" w:beforeAutospacing="1" w:after="100" w:afterAutospacing="1"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177629">
      <w:bodyDiv w:val="1"/>
      <w:marLeft w:val="0"/>
      <w:marRight w:val="0"/>
      <w:marTop w:val="0"/>
      <w:marBottom w:val="0"/>
      <w:divBdr>
        <w:top w:val="none" w:sz="0" w:space="0" w:color="auto"/>
        <w:left w:val="none" w:sz="0" w:space="0" w:color="auto"/>
        <w:bottom w:val="none" w:sz="0" w:space="0" w:color="auto"/>
        <w:right w:val="none" w:sz="0" w:space="0" w:color="auto"/>
      </w:divBdr>
      <w:divsChild>
        <w:div w:id="14137726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1.hkexnews.hk/listedco/listconews/sehk/2026/0422/2026042201333.pdf" TargetMode="External"/><Relationship Id="rId3" Type="http://schemas.openxmlformats.org/officeDocument/2006/relationships/styles" Target="styles.xml"/><Relationship Id="rId21" Type="http://schemas.openxmlformats.org/officeDocument/2006/relationships/hyperlink" Target="https://www.carwow.co.uk/byd/sealion-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1.hkexnews.hk/listedco/listconews/sehk/2025/0324/2025032401238.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ydukmedi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yd.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zapmap.com/ev-stats/ev-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59564-A818-41CA-B488-1DF58B5D1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6965</Words>
  <Characters>39702</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Strategic Managment</dc:subject>
  <dc:creator/>
  <cp:lastModifiedBy/>
  <cp:revision>1</cp:revision>
  <dcterms:created xsi:type="dcterms:W3CDTF">2026-08-11T19:43:00Z</dcterms:created>
  <dcterms:modified xsi:type="dcterms:W3CDTF">2026-08-11T19:43:00Z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3dc171ae-8498-4e88-8976-160ef52b87cb</vt:lpwstr>
  </property>
</Properties>
</file>