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3509A2" w14:textId="77777777" w:rsidR="00A93CB8" w:rsidRDefault="00A93CB8" w:rsidP="00A93CB8">
      <w:pPr>
        <w:pStyle w:val="Heading3"/>
        <w:rPr>
          <w:color w:val="000000"/>
        </w:rPr>
      </w:pPr>
      <w:r>
        <w:rPr>
          <w:rStyle w:val="Strong"/>
          <w:b w:val="0"/>
          <w:bCs w:val="0"/>
          <w:color w:val="000000"/>
        </w:rPr>
        <w:t>Public Health Report</w:t>
      </w:r>
    </w:p>
    <w:p w14:paraId="1ABF7607" w14:textId="77777777" w:rsidR="00A93CB8" w:rsidRDefault="00A93CB8" w:rsidP="00A93CB8">
      <w:pPr>
        <w:pStyle w:val="NormalWeb"/>
        <w:rPr>
          <w:color w:val="000000"/>
        </w:rPr>
      </w:pPr>
      <w:r>
        <w:rPr>
          <w:color w:val="000000"/>
        </w:rPr>
        <w:t>Bellis, M.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et al.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(2025)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Adverse Childhood Experiences and their Impact on Health-Harming Behaviours</w:t>
      </w:r>
      <w:r>
        <w:rPr>
          <w:color w:val="000000"/>
        </w:rPr>
        <w:t>. Public Health Wales.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Strong"/>
          <w:rFonts w:eastAsiaTheme="majorEastAsia"/>
          <w:color w:val="000000"/>
        </w:rPr>
        <w:t>Public health report</w:t>
      </w:r>
      <w:r>
        <w:rPr>
          <w:color w:val="000000"/>
        </w:rPr>
        <w:t>.</w:t>
      </w:r>
      <w:r>
        <w:rPr>
          <w:color w:val="000000"/>
        </w:rPr>
        <w:br/>
        <w:t>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4" w:tgtFrame="_new" w:history="1">
        <w:r>
          <w:rPr>
            <w:rStyle w:val="Hyperlink"/>
            <w:rFonts w:eastAsiaTheme="majorEastAsia"/>
          </w:rPr>
          <w:t>https://phw.nhs.wales</w:t>
        </w:r>
      </w:hyperlink>
      <w:r>
        <w:rPr>
          <w:color w:val="000000"/>
        </w:rPr>
        <w:br/>
        <w:t>Accessed: 10 November 2025.</w:t>
      </w:r>
    </w:p>
    <w:p w14:paraId="3E1FACDB" w14:textId="77777777" w:rsidR="00A93CB8" w:rsidRDefault="004F4F36" w:rsidP="00A93CB8">
      <w:r>
        <w:rPr>
          <w:noProof/>
        </w:rPr>
        <w:pict w14:anchorId="5436A85B">
          <v:rect id="_x0000_i1029" alt="" style="width:451.3pt;height:.05pt;mso-width-percent:0;mso-height-percent:0;mso-width-percent:0;mso-height-percent:0" o:hralign="center" o:hrstd="t" o:hr="t" fillcolor="#a0a0a0" stroked="f"/>
        </w:pict>
      </w:r>
    </w:p>
    <w:p w14:paraId="60371DE1" w14:textId="77777777" w:rsidR="00A93CB8" w:rsidRDefault="00A93CB8" w:rsidP="00A93CB8">
      <w:pPr>
        <w:pStyle w:val="Heading3"/>
        <w:rPr>
          <w:color w:val="000000"/>
        </w:rPr>
      </w:pPr>
      <w:r>
        <w:rPr>
          <w:rStyle w:val="Strong"/>
          <w:b w:val="0"/>
          <w:bCs w:val="0"/>
          <w:color w:val="000000"/>
        </w:rPr>
        <w:t>Government Guidance (DfE)</w:t>
      </w:r>
    </w:p>
    <w:p w14:paraId="3D823627" w14:textId="77777777" w:rsidR="00A93CB8" w:rsidRDefault="00A93CB8" w:rsidP="00A93CB8">
      <w:pPr>
        <w:pStyle w:val="NormalWeb"/>
        <w:rPr>
          <w:color w:val="000000"/>
        </w:rPr>
      </w:pPr>
      <w:r>
        <w:rPr>
          <w:color w:val="000000"/>
        </w:rPr>
        <w:t>Department for Education (DfE) (2025)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Alternative Provision: Statutory Guidance for Local Authorities</w:t>
      </w:r>
      <w:r>
        <w:rPr>
          <w:color w:val="000000"/>
        </w:rPr>
        <w:t>. London: DfE.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Strong"/>
          <w:rFonts w:eastAsiaTheme="majorEastAsia"/>
          <w:color w:val="000000"/>
        </w:rPr>
        <w:t>Statutory government guidance</w:t>
      </w:r>
      <w:r>
        <w:rPr>
          <w:color w:val="000000"/>
        </w:rPr>
        <w:t>.</w:t>
      </w:r>
      <w:r>
        <w:rPr>
          <w:color w:val="000000"/>
        </w:rPr>
        <w:br/>
        <w:t>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5" w:tgtFrame="_new" w:history="1">
        <w:r>
          <w:rPr>
            <w:rStyle w:val="Hyperlink"/>
            <w:rFonts w:eastAsiaTheme="majorEastAsia"/>
          </w:rPr>
          <w:t>https://www.gov.uk/government/publications/alternative-provision</w:t>
        </w:r>
      </w:hyperlink>
      <w:r>
        <w:rPr>
          <w:color w:val="000000"/>
        </w:rPr>
        <w:br/>
        <w:t>Accessed: 04 October 2025.</w:t>
      </w:r>
    </w:p>
    <w:p w14:paraId="476441D8" w14:textId="77777777" w:rsidR="00A93CB8" w:rsidRDefault="00A93CB8" w:rsidP="00A93CB8">
      <w:pPr>
        <w:pStyle w:val="NormalWeb"/>
        <w:rPr>
          <w:color w:val="000000"/>
        </w:rPr>
      </w:pPr>
      <w:r>
        <w:rPr>
          <w:color w:val="000000"/>
        </w:rPr>
        <w:t>Department for Education (DfE) (2025)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Keeping Children Safe in Education</w:t>
      </w:r>
      <w:r>
        <w:rPr>
          <w:color w:val="000000"/>
        </w:rPr>
        <w:t>. London: DfE.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Strong"/>
          <w:rFonts w:eastAsiaTheme="majorEastAsia"/>
          <w:color w:val="000000"/>
        </w:rPr>
        <w:t>Mandatory legal guidance for schools in England</w:t>
      </w:r>
      <w:r>
        <w:rPr>
          <w:color w:val="000000"/>
        </w:rPr>
        <w:t>.</w:t>
      </w:r>
      <w:r>
        <w:rPr>
          <w:color w:val="000000"/>
        </w:rPr>
        <w:br/>
        <w:t>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6" w:tgtFrame="_new" w:history="1">
        <w:r>
          <w:rPr>
            <w:rStyle w:val="Hyperlink"/>
            <w:rFonts w:eastAsiaTheme="majorEastAsia"/>
          </w:rPr>
          <w:t>https://www.gov.uk/government/publications/keeping-children-safe-in-education--2</w:t>
        </w:r>
      </w:hyperlink>
      <w:r>
        <w:rPr>
          <w:color w:val="000000"/>
        </w:rPr>
        <w:br/>
        <w:t>Accessed: 08 October 2025.</w:t>
      </w:r>
    </w:p>
    <w:p w14:paraId="6C3EE6D7" w14:textId="77777777" w:rsidR="00A93CB8" w:rsidRDefault="00A93CB8" w:rsidP="00A93CB8">
      <w:pPr>
        <w:pStyle w:val="NormalWeb"/>
        <w:rPr>
          <w:color w:val="000000"/>
        </w:rPr>
      </w:pPr>
      <w:r>
        <w:rPr>
          <w:color w:val="000000"/>
        </w:rPr>
        <w:t>Department for Education (DfE) (2025)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Working Together to Safeguard Children</w:t>
      </w:r>
      <w:r>
        <w:rPr>
          <w:color w:val="000000"/>
        </w:rPr>
        <w:t>. London: DfE.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Strong"/>
          <w:rFonts w:eastAsiaTheme="majorEastAsia"/>
          <w:color w:val="000000"/>
        </w:rPr>
        <w:t>Inter-agency guidance from the UK government</w:t>
      </w:r>
      <w:r>
        <w:rPr>
          <w:color w:val="000000"/>
        </w:rPr>
        <w:t>.</w:t>
      </w:r>
      <w:r>
        <w:rPr>
          <w:color w:val="000000"/>
        </w:rPr>
        <w:br/>
        <w:t>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7" w:tgtFrame="_new" w:history="1">
        <w:r>
          <w:rPr>
            <w:rStyle w:val="Hyperlink"/>
            <w:rFonts w:eastAsiaTheme="majorEastAsia"/>
          </w:rPr>
          <w:t>https://www.gov.uk/government/publications/working-together-to-safeguard-children</w:t>
        </w:r>
      </w:hyperlink>
      <w:r>
        <w:rPr>
          <w:color w:val="000000"/>
        </w:rPr>
        <w:br/>
        <w:t>Accessed: 12 October 2025.</w:t>
      </w:r>
    </w:p>
    <w:p w14:paraId="442AAB1C" w14:textId="77777777" w:rsidR="00A93CB8" w:rsidRDefault="00A93CB8" w:rsidP="00A93CB8">
      <w:pPr>
        <w:pStyle w:val="NormalWeb"/>
        <w:rPr>
          <w:color w:val="000000"/>
        </w:rPr>
      </w:pPr>
      <w:r>
        <w:rPr>
          <w:color w:val="000000"/>
        </w:rPr>
        <w:t>Department for Education &amp; Department of Health (2025)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SEND Code of Practice: 0 to 25 years</w:t>
      </w:r>
      <w:r>
        <w:rPr>
          <w:color w:val="000000"/>
        </w:rPr>
        <w:t>. London: DfE.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Strong"/>
          <w:rFonts w:eastAsiaTheme="majorEastAsia"/>
          <w:color w:val="000000"/>
        </w:rPr>
        <w:t>Statutory code of practice for special educational needs and disabilities</w:t>
      </w:r>
      <w:r>
        <w:rPr>
          <w:color w:val="000000"/>
        </w:rPr>
        <w:t>.</w:t>
      </w:r>
      <w:r>
        <w:rPr>
          <w:color w:val="000000"/>
        </w:rPr>
        <w:br/>
        <w:t>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8" w:tgtFrame="_new" w:history="1">
        <w:r>
          <w:rPr>
            <w:rStyle w:val="Hyperlink"/>
            <w:rFonts w:eastAsiaTheme="majorEastAsia"/>
          </w:rPr>
          <w:t>https://www.gov.uk/government/publications/send-code-of-practice-0-to-25</w:t>
        </w:r>
      </w:hyperlink>
      <w:r>
        <w:rPr>
          <w:color w:val="000000"/>
        </w:rPr>
        <w:br/>
        <w:t>Accessed: 19 November 2025.</w:t>
      </w:r>
    </w:p>
    <w:p w14:paraId="33F32551" w14:textId="77777777" w:rsidR="00A93CB8" w:rsidRDefault="004F4F36" w:rsidP="00A93CB8">
      <w:r>
        <w:rPr>
          <w:noProof/>
        </w:rPr>
        <w:pict w14:anchorId="6AE9AB38">
          <v:rect id="_x0000_i1028" alt="" style="width:451.3pt;height:.05pt;mso-width-percent:0;mso-height-percent:0;mso-width-percent:0;mso-height-percent:0" o:hralign="center" o:hrstd="t" o:hr="t" fillcolor="#a0a0a0" stroked="f"/>
        </w:pict>
      </w:r>
    </w:p>
    <w:p w14:paraId="11EB6D98" w14:textId="77777777" w:rsidR="00A93CB8" w:rsidRDefault="00A93CB8" w:rsidP="00A93CB8">
      <w:pPr>
        <w:pStyle w:val="Heading3"/>
        <w:rPr>
          <w:color w:val="000000"/>
        </w:rPr>
      </w:pPr>
      <w:r>
        <w:rPr>
          <w:rStyle w:val="Strong"/>
          <w:b w:val="0"/>
          <w:bCs w:val="0"/>
          <w:color w:val="000000"/>
        </w:rPr>
        <w:t>Government Strategies and Reports</w:t>
      </w:r>
    </w:p>
    <w:p w14:paraId="0FD8198B" w14:textId="77777777" w:rsidR="00A93CB8" w:rsidRDefault="00A93CB8" w:rsidP="00A93CB8">
      <w:pPr>
        <w:pStyle w:val="NormalWeb"/>
        <w:rPr>
          <w:color w:val="000000"/>
        </w:rPr>
      </w:pPr>
      <w:r>
        <w:rPr>
          <w:color w:val="000000"/>
        </w:rPr>
        <w:t>HM Government (2025)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Serious Violence Strategy</w:t>
      </w:r>
      <w:r>
        <w:rPr>
          <w:color w:val="000000"/>
        </w:rPr>
        <w:t>. London: HMSO.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Strong"/>
          <w:rFonts w:eastAsiaTheme="majorEastAsia"/>
          <w:color w:val="000000"/>
        </w:rPr>
        <w:t>National government strategy on serious violence</w:t>
      </w:r>
      <w:r>
        <w:rPr>
          <w:color w:val="000000"/>
        </w:rPr>
        <w:t>.</w:t>
      </w:r>
      <w:r>
        <w:rPr>
          <w:color w:val="000000"/>
        </w:rPr>
        <w:br/>
        <w:t>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9" w:tgtFrame="_new" w:history="1">
        <w:r>
          <w:rPr>
            <w:rStyle w:val="Hyperlink"/>
            <w:rFonts w:eastAsiaTheme="majorEastAsia"/>
          </w:rPr>
          <w:t>https://www.gov.uk/government/publications/serious-violence-strategy</w:t>
        </w:r>
      </w:hyperlink>
      <w:r>
        <w:rPr>
          <w:color w:val="000000"/>
        </w:rPr>
        <w:br/>
        <w:t>Accessed: 10 October 2025.</w:t>
      </w:r>
    </w:p>
    <w:p w14:paraId="70589B3F" w14:textId="77777777" w:rsidR="00A93CB8" w:rsidRDefault="004F4F36" w:rsidP="00A93CB8">
      <w:r>
        <w:rPr>
          <w:noProof/>
        </w:rPr>
        <w:pict w14:anchorId="697AA452">
          <v:rect id="_x0000_i1027" alt="" style="width:451.3pt;height:.05pt;mso-width-percent:0;mso-height-percent:0;mso-width-percent:0;mso-height-percent:0" o:hralign="center" o:hrstd="t" o:hr="t" fillcolor="#a0a0a0" stroked="f"/>
        </w:pict>
      </w:r>
    </w:p>
    <w:p w14:paraId="1248B11B" w14:textId="77777777" w:rsidR="00A93CB8" w:rsidRDefault="00A93CB8" w:rsidP="00A93CB8">
      <w:pPr>
        <w:pStyle w:val="Heading3"/>
        <w:rPr>
          <w:color w:val="000000"/>
        </w:rPr>
      </w:pPr>
      <w:r>
        <w:rPr>
          <w:rStyle w:val="Strong"/>
          <w:b w:val="0"/>
          <w:bCs w:val="0"/>
          <w:color w:val="000000"/>
        </w:rPr>
        <w:lastRenderedPageBreak/>
        <w:t>Institutional Security and Crime Reports</w:t>
      </w:r>
    </w:p>
    <w:p w14:paraId="09BF1DF9" w14:textId="77777777" w:rsidR="00A93CB8" w:rsidRDefault="00A93CB8" w:rsidP="00A93CB8">
      <w:pPr>
        <w:pStyle w:val="NormalWeb"/>
        <w:rPr>
          <w:color w:val="000000"/>
        </w:rPr>
      </w:pPr>
      <w:r>
        <w:rPr>
          <w:color w:val="000000"/>
        </w:rPr>
        <w:t>National Crime Agency (NCA) (2025)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County Lines Drug Supply, Vulnerability and Harm</w:t>
      </w:r>
      <w:r>
        <w:rPr>
          <w:color w:val="000000"/>
        </w:rPr>
        <w:t>. London: NCA.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Strong"/>
          <w:rFonts w:eastAsiaTheme="majorEastAsia"/>
          <w:color w:val="000000"/>
        </w:rPr>
        <w:t>Institutional report from the UK National Crime Agency</w:t>
      </w:r>
      <w:r>
        <w:rPr>
          <w:color w:val="000000"/>
        </w:rPr>
        <w:t>.</w:t>
      </w:r>
      <w:r>
        <w:rPr>
          <w:color w:val="000000"/>
        </w:rPr>
        <w:br/>
        <w:t>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10" w:tgtFrame="_new" w:history="1">
        <w:r>
          <w:rPr>
            <w:rStyle w:val="Hyperlink"/>
            <w:rFonts w:eastAsiaTheme="majorEastAsia"/>
          </w:rPr>
          <w:t>https://www.nationalcrimeagency.gov.uk</w:t>
        </w:r>
      </w:hyperlink>
      <w:r>
        <w:rPr>
          <w:color w:val="000000"/>
        </w:rPr>
        <w:br/>
        <w:t>Accessed: 15 October 2025.</w:t>
      </w:r>
    </w:p>
    <w:p w14:paraId="03ED7FAD" w14:textId="77777777" w:rsidR="00A93CB8" w:rsidRDefault="00A93CB8" w:rsidP="00A93CB8">
      <w:pPr>
        <w:pStyle w:val="NormalWeb"/>
        <w:rPr>
          <w:color w:val="000000"/>
        </w:rPr>
      </w:pPr>
      <w:r>
        <w:rPr>
          <w:color w:val="000000"/>
        </w:rPr>
        <w:t>National Youth Agency (NYA) (2025)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Out of Sight: Criminal Exploitation of Children and Vulnerable Adults</w:t>
      </w:r>
      <w:r>
        <w:rPr>
          <w:color w:val="000000"/>
        </w:rPr>
        <w:t>. Leicester: NYA.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Strong"/>
          <w:rFonts w:eastAsiaTheme="majorEastAsia"/>
          <w:color w:val="000000"/>
        </w:rPr>
        <w:t>Report from the national youth organization</w:t>
      </w:r>
      <w:r>
        <w:rPr>
          <w:color w:val="000000"/>
        </w:rPr>
        <w:t>.</w:t>
      </w:r>
      <w:r>
        <w:rPr>
          <w:color w:val="000000"/>
        </w:rPr>
        <w:br/>
        <w:t>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11" w:tgtFrame="_new" w:history="1">
        <w:r>
          <w:rPr>
            <w:rStyle w:val="Hyperlink"/>
            <w:rFonts w:eastAsiaTheme="majorEastAsia"/>
          </w:rPr>
          <w:t>https://nya.org.uk</w:t>
        </w:r>
      </w:hyperlink>
      <w:r>
        <w:rPr>
          <w:color w:val="000000"/>
        </w:rPr>
        <w:br/>
        <w:t>Accessed: 17 October 2025.</w:t>
      </w:r>
    </w:p>
    <w:p w14:paraId="4947B563" w14:textId="77777777" w:rsidR="00A93CB8" w:rsidRDefault="004F4F36" w:rsidP="00A93CB8">
      <w:r>
        <w:rPr>
          <w:noProof/>
        </w:rPr>
        <w:pict w14:anchorId="1D690933">
          <v:rect id="_x0000_i1026" alt="" style="width:451.3pt;height:.05pt;mso-width-percent:0;mso-height-percent:0;mso-width-percent:0;mso-height-percent:0" o:hralign="center" o:hrstd="t" o:hr="t" fillcolor="#a0a0a0" stroked="f"/>
        </w:pict>
      </w:r>
    </w:p>
    <w:p w14:paraId="5F0670E1" w14:textId="77777777" w:rsidR="00A93CB8" w:rsidRDefault="00A93CB8" w:rsidP="00A93CB8">
      <w:pPr>
        <w:pStyle w:val="Heading3"/>
        <w:rPr>
          <w:color w:val="000000"/>
        </w:rPr>
      </w:pPr>
      <w:r>
        <w:rPr>
          <w:rStyle w:val="Strong"/>
          <w:b w:val="0"/>
          <w:bCs w:val="0"/>
          <w:color w:val="000000"/>
        </w:rPr>
        <w:t>Academic Journal Article</w:t>
      </w:r>
    </w:p>
    <w:p w14:paraId="15254062" w14:textId="77777777" w:rsidR="00A93CB8" w:rsidRDefault="00A93CB8" w:rsidP="00A93CB8">
      <w:pPr>
        <w:pStyle w:val="NormalWeb"/>
        <w:rPr>
          <w:color w:val="000000"/>
        </w:rPr>
      </w:pPr>
      <w:r>
        <w:rPr>
          <w:color w:val="000000"/>
        </w:rPr>
        <w:t>Parsons, C. (2025) ‘School exclusion and the erosion of democratic citizenship’,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International Journal of Inclusive Education</w:t>
      </w:r>
      <w:r>
        <w:rPr>
          <w:color w:val="000000"/>
        </w:rPr>
        <w:t>, 15(5), pp. 541–555.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Strong"/>
          <w:rFonts w:eastAsiaTheme="majorEastAsia"/>
          <w:color w:val="000000"/>
        </w:rPr>
        <w:t>Peer-reviewed academic journal article</w:t>
      </w:r>
      <w:r>
        <w:rPr>
          <w:color w:val="000000"/>
        </w:rPr>
        <w:t>.</w:t>
      </w:r>
      <w:r>
        <w:rPr>
          <w:color w:val="000000"/>
        </w:rPr>
        <w:br/>
        <w:t>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12" w:tgtFrame="_new" w:history="1">
        <w:r>
          <w:rPr>
            <w:rStyle w:val="Hyperlink"/>
            <w:rFonts w:eastAsiaTheme="majorEastAsia"/>
          </w:rPr>
          <w:t>https://www.tandfonline.com</w:t>
        </w:r>
      </w:hyperlink>
      <w:r>
        <w:rPr>
          <w:color w:val="000000"/>
        </w:rPr>
        <w:br/>
        <w:t>Accessed: 25 October 2025.</w:t>
      </w:r>
    </w:p>
    <w:p w14:paraId="51239E82" w14:textId="77777777" w:rsidR="00A93CB8" w:rsidRDefault="004F4F36" w:rsidP="00A93CB8">
      <w:r>
        <w:rPr>
          <w:noProof/>
        </w:rPr>
        <w:pict w14:anchorId="198A5194">
          <v:rect id="_x0000_i1025" alt="" style="width:451.3pt;height:.05pt;mso-width-percent:0;mso-height-percent:0;mso-width-percent:0;mso-height-percent:0" o:hralign="center" o:hrstd="t" o:hr="t" fillcolor="#a0a0a0" stroked="f"/>
        </w:pict>
      </w:r>
    </w:p>
    <w:p w14:paraId="5E84AFD3" w14:textId="77777777" w:rsidR="00A93CB8" w:rsidRDefault="00A93CB8" w:rsidP="00A93CB8">
      <w:pPr>
        <w:pStyle w:val="Heading3"/>
        <w:rPr>
          <w:color w:val="000000"/>
        </w:rPr>
      </w:pPr>
      <w:r>
        <w:rPr>
          <w:rStyle w:val="Strong"/>
          <w:b w:val="0"/>
          <w:bCs w:val="0"/>
          <w:color w:val="000000"/>
        </w:rPr>
        <w:t>UK Legislation</w:t>
      </w:r>
    </w:p>
    <w:p w14:paraId="235A2040" w14:textId="77777777" w:rsidR="00A93CB8" w:rsidRDefault="00A93CB8" w:rsidP="00A93CB8">
      <w:pPr>
        <w:pStyle w:val="NormalWeb"/>
        <w:rPr>
          <w:color w:val="000000"/>
        </w:rPr>
      </w:pPr>
      <w:r>
        <w:rPr>
          <w:color w:val="000000"/>
        </w:rPr>
        <w:t>UK Government (2025)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Modern Slavery Act 2015</w:t>
      </w:r>
      <w:r>
        <w:rPr>
          <w:color w:val="000000"/>
        </w:rPr>
        <w:t>. London: The Stationery Office.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Strong"/>
          <w:rFonts w:eastAsiaTheme="majorEastAsia"/>
          <w:color w:val="000000"/>
        </w:rPr>
        <w:t>Official UK legislation</w:t>
      </w:r>
      <w:r>
        <w:rPr>
          <w:color w:val="000000"/>
        </w:rPr>
        <w:t>.</w:t>
      </w:r>
      <w:r>
        <w:rPr>
          <w:color w:val="000000"/>
        </w:rPr>
        <w:br/>
        <w:t>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13" w:tgtFrame="_new" w:history="1">
        <w:r>
          <w:rPr>
            <w:rStyle w:val="Hyperlink"/>
            <w:rFonts w:eastAsiaTheme="majorEastAsia"/>
          </w:rPr>
          <w:t>https://www.legislation.gov.uk/ukpga/2015/30</w:t>
        </w:r>
      </w:hyperlink>
      <w:r>
        <w:rPr>
          <w:color w:val="000000"/>
        </w:rPr>
        <w:br/>
        <w:t>Accessed: 30 October 2025.</w:t>
      </w:r>
    </w:p>
    <w:p w14:paraId="78CD2A1C" w14:textId="73FB498F" w:rsidR="00430F7F" w:rsidRPr="00430F7F" w:rsidRDefault="00430F7F" w:rsidP="00430F7F">
      <w:pPr>
        <w:pStyle w:val="NormalWeb"/>
        <w:rPr>
          <w:color w:val="000000"/>
        </w:rPr>
      </w:pPr>
    </w:p>
    <w:sectPr w:rsidR="00430F7F" w:rsidRPr="00430F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0F7F"/>
    <w:rsid w:val="00271931"/>
    <w:rsid w:val="00430F7F"/>
    <w:rsid w:val="004F4F36"/>
    <w:rsid w:val="00784B48"/>
    <w:rsid w:val="00A93CB8"/>
    <w:rsid w:val="00A96D62"/>
    <w:rsid w:val="00B60F40"/>
    <w:rsid w:val="00C445C2"/>
    <w:rsid w:val="00C946FA"/>
    <w:rsid w:val="00FA3C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5430D9"/>
  <w15:chartTrackingRefBased/>
  <w15:docId w15:val="{AEA8C952-9BD0-C840-9307-D51BA0B8FA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0F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0F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30F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0F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0F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0F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0F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0F7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0F7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0F7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0F7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30F7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0F7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0F7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0F7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0F7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0F7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0F7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0F7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0F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0F7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0F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0F7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0F7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0F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0F7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0F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0F7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0F7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430F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430F7F"/>
    <w:rPr>
      <w:b/>
      <w:bCs/>
    </w:rPr>
  </w:style>
  <w:style w:type="character" w:customStyle="1" w:styleId="apple-converted-space">
    <w:name w:val="apple-converted-space"/>
    <w:basedOn w:val="DefaultParagraphFont"/>
    <w:rsid w:val="00430F7F"/>
  </w:style>
  <w:style w:type="character" w:styleId="Emphasis">
    <w:name w:val="Emphasis"/>
    <w:basedOn w:val="DefaultParagraphFont"/>
    <w:uiPriority w:val="20"/>
    <w:qFormat/>
    <w:rsid w:val="00430F7F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430F7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445C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send-code-of-practice-0-to-25" TargetMode="External"/><Relationship Id="rId13" Type="http://schemas.openxmlformats.org/officeDocument/2006/relationships/hyperlink" Target="https://www.legislation.gov.uk/ukpga/2015/3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working-together-to-safeguard-children" TargetMode="External"/><Relationship Id="rId12" Type="http://schemas.openxmlformats.org/officeDocument/2006/relationships/hyperlink" Target="https://www.tandfonline.com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keeping-children-safe-in-education--2" TargetMode="External"/><Relationship Id="rId11" Type="http://schemas.openxmlformats.org/officeDocument/2006/relationships/hyperlink" Target="https://nya.org.uk/" TargetMode="External"/><Relationship Id="rId5" Type="http://schemas.openxmlformats.org/officeDocument/2006/relationships/hyperlink" Target="https://www.gov.uk/government/publications/alternative-provision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nationalcrimeagency.gov.uk/" TargetMode="External"/><Relationship Id="rId4" Type="http://schemas.openxmlformats.org/officeDocument/2006/relationships/hyperlink" Target="https://phw.nhs.wales/" TargetMode="External"/><Relationship Id="rId9" Type="http://schemas.openxmlformats.org/officeDocument/2006/relationships/hyperlink" Target="https://www.gov.uk/government/publications/serious-violence-strategy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500</Words>
  <Characters>2853</Characters>
  <Application>Microsoft Office Word</Application>
  <DocSecurity>0</DocSecurity>
  <Lines>23</Lines>
  <Paragraphs>6</Paragraphs>
  <ScaleCrop>false</ScaleCrop>
  <Company/>
  <LinksUpToDate>false</LinksUpToDate>
  <CharactersWithSpaces>3347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Flores Rodrigues (2336878)</dc:creator>
  <cp:keywords/>
  <dc:description/>
  <cp:lastModifiedBy>Deborah Flores Rodrigues (2336878)</cp:lastModifiedBy>
  <cp:revision>7</cp:revision>
  <dcterms:created xsi:type="dcterms:W3CDTF">2025-11-21T09:40:00Z</dcterms:created>
  <dcterms:modified xsi:type="dcterms:W3CDTF">2025-11-27T11:53:00Z</dcterms:modified>
</cp:coreProperties>
</file>