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D392D" w14:textId="77777777" w:rsidR="00E11FAA" w:rsidRPr="00C43814" w:rsidRDefault="00E11FAA" w:rsidP="00E11FAA">
      <w:pPr>
        <w:jc w:val="center"/>
        <w:rPr>
          <w:rFonts w:ascii="Arial" w:eastAsia="Times New Roman" w:hAnsi="Arial" w:cs="Arial"/>
          <w:lang w:eastAsia="en-GB" w:bidi="bn-BD"/>
        </w:rPr>
      </w:pPr>
      <w:r w:rsidRPr="00C43814">
        <w:rPr>
          <w:rFonts w:ascii="Arial" w:eastAsia="Times New Roman" w:hAnsi="Arial" w:cs="Arial"/>
          <w:noProof/>
          <w:lang w:val="en-US"/>
        </w:rPr>
        <w:drawing>
          <wp:inline distT="114300" distB="114300" distL="114300" distR="114300" wp14:anchorId="643AF81D" wp14:editId="454D4FB2">
            <wp:extent cx="3917950" cy="1877060"/>
            <wp:effectExtent l="0" t="0" r="6350" b="889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1F675EA6" w14:textId="77777777" w:rsidR="00E11FAA" w:rsidRPr="00C43814" w:rsidRDefault="00E11FAA" w:rsidP="00E11FAA">
      <w:pPr>
        <w:widowControl w:val="0"/>
        <w:spacing w:after="0" w:line="360" w:lineRule="auto"/>
        <w:jc w:val="center"/>
        <w:rPr>
          <w:rFonts w:ascii="Arial" w:eastAsia="Times New Roman" w:hAnsi="Arial" w:cs="Arial"/>
          <w:b/>
          <w:sz w:val="28"/>
          <w:szCs w:val="28"/>
          <w:lang w:eastAsia="en-GB" w:bidi="bn-BD"/>
        </w:rPr>
      </w:pPr>
    </w:p>
    <w:p w14:paraId="5BA6BDFA" w14:textId="77777777" w:rsidR="00E11FAA" w:rsidRPr="00C43814" w:rsidRDefault="00E11FAA" w:rsidP="00E11FAA">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Assessment 1</w:t>
      </w:r>
    </w:p>
    <w:p w14:paraId="26D2F816" w14:textId="77777777" w:rsidR="00E11FAA" w:rsidRPr="00C43814" w:rsidRDefault="00E11FAA" w:rsidP="00E11FAA">
      <w:pPr>
        <w:widowControl w:val="0"/>
        <w:spacing w:after="0" w:line="360" w:lineRule="auto"/>
        <w:jc w:val="center"/>
        <w:rPr>
          <w:rFonts w:ascii="Arial" w:eastAsia="Times New Roman" w:hAnsi="Arial" w:cs="Arial"/>
          <w:b/>
          <w:sz w:val="28"/>
          <w:szCs w:val="28"/>
          <w:lang w:eastAsia="en-GB" w:bidi="bn-BD"/>
        </w:rPr>
      </w:pPr>
    </w:p>
    <w:p w14:paraId="58608FA4" w14:textId="2CF65C11" w:rsidR="00E11FAA" w:rsidRDefault="00E11FAA" w:rsidP="00E11FAA">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4"/>
          <w:lang w:eastAsia="en-GB" w:bidi="bn-BD"/>
        </w:rPr>
        <w:t xml:space="preserve">Module Name: </w:t>
      </w:r>
      <w:r w:rsidR="00467419" w:rsidRPr="00467419">
        <w:rPr>
          <w:rFonts w:ascii="Arial" w:hAnsi="Arial" w:cs="Arial"/>
          <w:b/>
          <w:sz w:val="28"/>
          <w:szCs w:val="28"/>
        </w:rPr>
        <w:t>Community Care and Management of Longer-term Conditions</w:t>
      </w:r>
    </w:p>
    <w:p w14:paraId="0B7375ED" w14:textId="139FDC0D" w:rsidR="00E11FAA" w:rsidRPr="00C43814" w:rsidRDefault="00E11FAA" w:rsidP="00E11FAA">
      <w:pPr>
        <w:widowControl w:val="0"/>
        <w:spacing w:after="0" w:line="360" w:lineRule="auto"/>
        <w:jc w:val="center"/>
        <w:rPr>
          <w:rFonts w:ascii="Arial" w:eastAsia="Times New Roman" w:hAnsi="Arial" w:cs="Arial"/>
          <w:b/>
          <w:sz w:val="28"/>
          <w:szCs w:val="24"/>
          <w:lang w:eastAsia="en-GB" w:bidi="bn-BD"/>
        </w:rPr>
      </w:pPr>
      <w:r w:rsidRPr="00C6610C">
        <w:rPr>
          <w:rFonts w:ascii="Arial" w:eastAsia="Times New Roman" w:hAnsi="Arial" w:cs="Arial"/>
          <w:b/>
          <w:sz w:val="28"/>
          <w:szCs w:val="28"/>
          <w:lang w:eastAsia="en-GB" w:bidi="bn-BD"/>
        </w:rPr>
        <w:t xml:space="preserve">Module Code: </w:t>
      </w:r>
      <w:r w:rsidR="00467419" w:rsidRPr="00467419">
        <w:rPr>
          <w:rFonts w:ascii="Arial" w:eastAsia="Times New Roman" w:hAnsi="Arial" w:cs="Arial"/>
          <w:b/>
          <w:sz w:val="28"/>
          <w:szCs w:val="28"/>
          <w:lang w:eastAsia="en-GB" w:bidi="bn-BD"/>
        </w:rPr>
        <w:t>LCHS7003</w:t>
      </w:r>
    </w:p>
    <w:p w14:paraId="677FB56D" w14:textId="60E45C37" w:rsidR="00E11FAA" w:rsidRDefault="00E11FAA" w:rsidP="00E11FAA">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Lecturer: </w:t>
      </w:r>
      <w:proofErr w:type="spellStart"/>
      <w:proofErr w:type="gramStart"/>
      <w:r w:rsidR="00B632C2">
        <w:rPr>
          <w:rFonts w:ascii="Arial" w:eastAsia="Times New Roman" w:hAnsi="Arial" w:cs="Arial"/>
          <w:b/>
          <w:sz w:val="28"/>
          <w:szCs w:val="28"/>
          <w:lang w:eastAsia="en-GB" w:bidi="bn-BD"/>
        </w:rPr>
        <w:t>Dr.Brain</w:t>
      </w:r>
      <w:proofErr w:type="spellEnd"/>
      <w:proofErr w:type="gramEnd"/>
      <w:r w:rsidR="00B632C2">
        <w:rPr>
          <w:rFonts w:ascii="Arial" w:eastAsia="Times New Roman" w:hAnsi="Arial" w:cs="Arial"/>
          <w:b/>
          <w:sz w:val="28"/>
          <w:szCs w:val="28"/>
          <w:lang w:eastAsia="en-GB" w:bidi="bn-BD"/>
        </w:rPr>
        <w:t xml:space="preserve"> </w:t>
      </w:r>
      <w:r w:rsidR="00350762">
        <w:rPr>
          <w:rFonts w:ascii="Arial" w:eastAsia="Times New Roman" w:hAnsi="Arial" w:cs="Arial"/>
          <w:b/>
          <w:sz w:val="28"/>
          <w:szCs w:val="28"/>
          <w:lang w:eastAsia="en-GB" w:bidi="bn-BD"/>
        </w:rPr>
        <w:t>Mashumba</w:t>
      </w:r>
    </w:p>
    <w:p w14:paraId="3C1125A7" w14:textId="1FAEA28B" w:rsidR="00805C65" w:rsidRPr="00805C65" w:rsidRDefault="00805C65" w:rsidP="00805C65">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Assessment title</w:t>
      </w:r>
      <w:r w:rsidRPr="00805C65">
        <w:rPr>
          <w:rFonts w:ascii="Arial" w:eastAsia="Times New Roman" w:hAnsi="Arial" w:cs="Arial"/>
          <w:b/>
          <w:sz w:val="28"/>
          <w:szCs w:val="28"/>
          <w:lang w:eastAsia="en-GB" w:bidi="bn-BD"/>
        </w:rPr>
        <w:t>:</w:t>
      </w:r>
      <w:r w:rsidR="007F1E03" w:rsidRPr="007F1E03">
        <w:t xml:space="preserve"> </w:t>
      </w:r>
      <w:r w:rsidR="007F1E03" w:rsidRPr="007F1E03">
        <w:rPr>
          <w:rFonts w:ascii="Arial" w:eastAsia="Times New Roman" w:hAnsi="Arial" w:cs="Arial"/>
          <w:b/>
          <w:sz w:val="28"/>
          <w:szCs w:val="28"/>
          <w:lang w:eastAsia="en-GB" w:bidi="bn-BD"/>
        </w:rPr>
        <w:t>Living with Parkinson's Disease: A UK Professional Guide to Integrated Multidisciplinary Care and Symptom Management"</w:t>
      </w:r>
    </w:p>
    <w:p w14:paraId="7B9DE07B" w14:textId="77777777" w:rsidR="002416DC" w:rsidRPr="00C43814" w:rsidRDefault="002416DC" w:rsidP="002416DC">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lastRenderedPageBreak/>
        <w:t xml:space="preserve">Student Name: </w:t>
      </w:r>
      <w:proofErr w:type="spellStart"/>
      <w:r w:rsidRPr="00467419">
        <w:rPr>
          <w:rFonts w:ascii="Arial" w:eastAsia="Times New Roman" w:hAnsi="Arial" w:cs="Arial"/>
          <w:b/>
          <w:sz w:val="28"/>
          <w:szCs w:val="28"/>
          <w:lang w:eastAsia="en-GB" w:bidi="bn-BD"/>
        </w:rPr>
        <w:t>Tarikul</w:t>
      </w:r>
      <w:proofErr w:type="spellEnd"/>
      <w:r w:rsidRPr="00467419">
        <w:rPr>
          <w:rFonts w:ascii="Arial" w:eastAsia="Times New Roman" w:hAnsi="Arial" w:cs="Arial"/>
          <w:b/>
          <w:sz w:val="28"/>
          <w:szCs w:val="28"/>
          <w:lang w:eastAsia="en-GB" w:bidi="bn-BD"/>
        </w:rPr>
        <w:t xml:space="preserve"> Islam</w:t>
      </w:r>
    </w:p>
    <w:p w14:paraId="72B9D421" w14:textId="77777777" w:rsidR="002416DC" w:rsidRPr="00C43814" w:rsidRDefault="002416DC" w:rsidP="002416DC">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Pr="00467419">
        <w:rPr>
          <w:rFonts w:ascii="Arial" w:eastAsia="Times New Roman" w:hAnsi="Arial" w:cs="Arial"/>
          <w:b/>
          <w:sz w:val="28"/>
          <w:szCs w:val="28"/>
          <w:lang w:eastAsia="en-GB" w:bidi="bn-BD"/>
        </w:rPr>
        <w:t>2422390</w:t>
      </w:r>
    </w:p>
    <w:p w14:paraId="09E04403" w14:textId="77777777" w:rsidR="002416DC" w:rsidRDefault="002416DC" w:rsidP="00E11FAA">
      <w:pPr>
        <w:widowControl w:val="0"/>
        <w:spacing w:after="0" w:line="360" w:lineRule="auto"/>
        <w:jc w:val="center"/>
        <w:rPr>
          <w:rFonts w:ascii="Arial" w:hAnsi="Arial" w:cs="Arial"/>
          <w:b/>
          <w:sz w:val="24"/>
        </w:rPr>
      </w:pPr>
    </w:p>
    <w:p w14:paraId="295FF682" w14:textId="2693A9A7" w:rsidR="00E11FAA" w:rsidRDefault="00E11FAA" w:rsidP="00E11FAA">
      <w:pPr>
        <w:widowControl w:val="0"/>
        <w:spacing w:after="0" w:line="360" w:lineRule="auto"/>
        <w:jc w:val="center"/>
        <w:rPr>
          <w:rFonts w:ascii="Arial" w:eastAsia="Times New Roman" w:hAnsi="Arial" w:cs="Arial"/>
          <w:b/>
          <w:sz w:val="28"/>
          <w:szCs w:val="28"/>
          <w:lang w:eastAsia="en-GB" w:bidi="bn-BD"/>
        </w:rPr>
      </w:pPr>
      <w:r>
        <w:rPr>
          <w:rFonts w:ascii="Arial" w:hAnsi="Arial" w:cs="Arial"/>
          <w:b/>
          <w:sz w:val="24"/>
        </w:rPr>
        <w:t>Word Count</w:t>
      </w:r>
      <w:r w:rsidRPr="00C43814">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913345">
        <w:rPr>
          <w:rFonts w:ascii="Arial" w:eastAsia="Times New Roman" w:hAnsi="Arial" w:cs="Arial"/>
          <w:b/>
          <w:sz w:val="28"/>
          <w:szCs w:val="28"/>
          <w:lang w:eastAsia="en-GB" w:bidi="bn-BD"/>
        </w:rPr>
        <w:t>3288</w:t>
      </w:r>
    </w:p>
    <w:p w14:paraId="61809FE2" w14:textId="77777777" w:rsidR="00E11FAA" w:rsidRDefault="00E11FAA" w:rsidP="00E11FAA">
      <w:pPr>
        <w:widowControl w:val="0"/>
        <w:spacing w:after="0" w:line="360" w:lineRule="auto"/>
        <w:jc w:val="center"/>
        <w:rPr>
          <w:rFonts w:ascii="Arial" w:eastAsia="Times New Roman" w:hAnsi="Arial" w:cs="Arial"/>
          <w:b/>
          <w:sz w:val="28"/>
          <w:szCs w:val="28"/>
          <w:lang w:eastAsia="en-GB" w:bidi="bn-BD"/>
        </w:rPr>
      </w:pPr>
    </w:p>
    <w:p w14:paraId="1E8285F5" w14:textId="77777777" w:rsidR="00E11FAA" w:rsidRDefault="00E11FAA" w:rsidP="00E11FAA">
      <w:pPr>
        <w:widowControl w:val="0"/>
        <w:spacing w:after="0" w:line="360" w:lineRule="auto"/>
        <w:jc w:val="center"/>
        <w:rPr>
          <w:rFonts w:ascii="Arial" w:eastAsia="Times New Roman" w:hAnsi="Arial" w:cs="Arial"/>
          <w:b/>
          <w:sz w:val="28"/>
          <w:szCs w:val="28"/>
          <w:lang w:eastAsia="en-GB" w:bidi="bn-BD"/>
        </w:rPr>
      </w:pPr>
    </w:p>
    <w:p w14:paraId="1059CE37" w14:textId="77777777" w:rsidR="00E11FAA" w:rsidRDefault="00E11FAA" w:rsidP="00E11FAA">
      <w:pPr>
        <w:widowControl w:val="0"/>
        <w:spacing w:after="0" w:line="360" w:lineRule="auto"/>
        <w:jc w:val="center"/>
        <w:rPr>
          <w:rFonts w:ascii="Arial" w:eastAsia="Times New Roman" w:hAnsi="Arial" w:cs="Arial"/>
          <w:b/>
          <w:sz w:val="28"/>
          <w:szCs w:val="28"/>
          <w:lang w:eastAsia="en-GB" w:bidi="bn-BD"/>
        </w:rPr>
      </w:pPr>
    </w:p>
    <w:p w14:paraId="6048CF06" w14:textId="548DB9CE" w:rsidR="00E11FAA" w:rsidRPr="00C43814" w:rsidRDefault="00E11FAA" w:rsidP="00E11FAA">
      <w:pPr>
        <w:widowControl w:val="0"/>
        <w:spacing w:after="0" w:line="360" w:lineRule="auto"/>
        <w:jc w:val="center"/>
        <w:rPr>
          <w:rFonts w:ascii="Arial" w:eastAsia="Times New Roman" w:hAnsi="Arial" w:cs="Arial"/>
          <w:b/>
          <w:sz w:val="28"/>
          <w:szCs w:val="28"/>
          <w:lang w:eastAsia="en-GB" w:bidi="bn-BD"/>
        </w:rPr>
      </w:pPr>
    </w:p>
    <w:p w14:paraId="1577FB28" w14:textId="4A24DE3D" w:rsidR="000A022F" w:rsidRDefault="000A022F" w:rsidP="007E194F">
      <w:pPr>
        <w:spacing w:before="100" w:beforeAutospacing="1" w:after="100" w:afterAutospacing="1" w:line="360" w:lineRule="auto"/>
        <w:jc w:val="both"/>
        <w:rPr>
          <w:rFonts w:ascii="Arial" w:eastAsia="Times New Roman" w:hAnsi="Arial" w:cs="Arial"/>
          <w:sz w:val="24"/>
          <w:szCs w:val="24"/>
          <w:lang w:eastAsia="en-GB"/>
        </w:rPr>
      </w:pPr>
    </w:p>
    <w:p w14:paraId="0CC01960" w14:textId="2C96ABEE" w:rsidR="00E11FAA" w:rsidRDefault="00E11FAA" w:rsidP="007E194F">
      <w:pPr>
        <w:spacing w:before="100" w:beforeAutospacing="1" w:after="100" w:afterAutospacing="1" w:line="360" w:lineRule="auto"/>
        <w:jc w:val="both"/>
        <w:rPr>
          <w:rFonts w:ascii="Arial" w:eastAsia="Times New Roman" w:hAnsi="Arial" w:cs="Arial"/>
          <w:sz w:val="24"/>
          <w:szCs w:val="24"/>
          <w:lang w:eastAsia="en-GB"/>
        </w:rPr>
      </w:pPr>
    </w:p>
    <w:p w14:paraId="09166866"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p w14:paraId="63B128F1"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p w14:paraId="2EB35181"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p w14:paraId="34EBAC1D"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p w14:paraId="5A45A7A5"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p w14:paraId="728725DA" w14:textId="77777777" w:rsidR="002416DC" w:rsidRDefault="002416DC" w:rsidP="007E194F">
      <w:pPr>
        <w:spacing w:before="100" w:beforeAutospacing="1" w:after="100" w:afterAutospacing="1"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58235061"/>
        <w:docPartObj>
          <w:docPartGallery w:val="Table of Contents"/>
          <w:docPartUnique/>
        </w:docPartObj>
      </w:sdtPr>
      <w:sdtEndPr>
        <w:rPr>
          <w:bCs/>
          <w:noProof/>
        </w:rPr>
      </w:sdtEndPr>
      <w:sdtContent>
        <w:p w14:paraId="4DC15247" w14:textId="3C659EFF" w:rsidR="00C81AA3" w:rsidRDefault="00C81AA3" w:rsidP="00EF7DFB">
          <w:pPr>
            <w:pStyle w:val="TOCHeading"/>
            <w:spacing w:after="240"/>
            <w:jc w:val="center"/>
          </w:pPr>
          <w:r>
            <w:t>Contents</w:t>
          </w:r>
        </w:p>
        <w:p w14:paraId="2009CD3A" w14:textId="64828188" w:rsidR="00C81AA3" w:rsidRPr="00C81AA3" w:rsidRDefault="00C81AA3" w:rsidP="00C81AA3">
          <w:pPr>
            <w:pStyle w:val="TOC1"/>
            <w:tabs>
              <w:tab w:val="right" w:leader="dot" w:pos="9350"/>
            </w:tabs>
            <w:jc w:val="both"/>
            <w:rPr>
              <w:rFonts w:ascii="Arial" w:eastAsiaTheme="minorEastAsia" w:hAnsi="Arial" w:cs="Arial"/>
              <w:noProof/>
              <w:sz w:val="24"/>
              <w:lang w:eastAsia="en-GB"/>
            </w:rPr>
          </w:pPr>
          <w:r>
            <w:fldChar w:fldCharType="begin"/>
          </w:r>
          <w:r>
            <w:instrText xml:space="preserve"> TOC \o "1-3" \h \z \u </w:instrText>
          </w:r>
          <w:r>
            <w:fldChar w:fldCharType="separate"/>
          </w:r>
          <w:hyperlink w:anchor="_Toc213973679" w:history="1">
            <w:r w:rsidRPr="00C81AA3">
              <w:rPr>
                <w:rStyle w:val="Hyperlink"/>
                <w:rFonts w:ascii="Arial" w:eastAsia="Times New Roman" w:hAnsi="Arial" w:cs="Arial"/>
                <w:noProof/>
                <w:sz w:val="24"/>
                <w:lang w:eastAsia="en-GB"/>
              </w:rPr>
              <w:t>Introduction</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_Toc213973679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w:t>
            </w:r>
            <w:r w:rsidRPr="00C81AA3">
              <w:rPr>
                <w:rFonts w:ascii="Arial" w:hAnsi="Arial" w:cs="Arial"/>
                <w:noProof/>
                <w:webHidden/>
                <w:sz w:val="24"/>
              </w:rPr>
              <w:fldChar w:fldCharType="end"/>
            </w:r>
          </w:hyperlink>
        </w:p>
        <w:p w14:paraId="3312ED6F" w14:textId="6A7639D6"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0" w:history="1">
            <w:r w:rsidRPr="00C81AA3">
              <w:rPr>
                <w:rStyle w:val="Hyperlink"/>
                <w:rFonts w:ascii="Arial" w:eastAsia="Times New Roman" w:hAnsi="Arial" w:cs="Arial"/>
                <w:noProof/>
                <w:sz w:val="24"/>
                <w:lang w:eastAsia="en-GB"/>
              </w:rPr>
              <w:t>Definition, Epidemiology &amp; Aetiology</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_Toc213973680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2</w:t>
            </w:r>
            <w:r w:rsidRPr="00C81AA3">
              <w:rPr>
                <w:rFonts w:ascii="Arial" w:hAnsi="Arial" w:cs="Arial"/>
                <w:noProof/>
                <w:webHidden/>
                <w:sz w:val="24"/>
              </w:rPr>
              <w:fldChar w:fldCharType="end"/>
            </w:r>
          </w:hyperlink>
        </w:p>
        <w:p w14:paraId="782B7A1C" w14:textId="0FEA1001"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1" w:history="1">
            <w:r w:rsidRPr="00C81AA3">
              <w:rPr>
                <w:rStyle w:val="Hyperlink"/>
                <w:rFonts w:ascii="Arial" w:eastAsia="Times New Roman" w:hAnsi="Arial" w:cs="Arial"/>
                <w:noProof/>
                <w:sz w:val="24"/>
                <w:lang w:eastAsia="en-GB"/>
              </w:rPr>
              <w:t>Impacts on Individuals, Families &amp; Carers</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_Toc213973681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4</w:t>
            </w:r>
            <w:r w:rsidRPr="00C81AA3">
              <w:rPr>
                <w:rFonts w:ascii="Arial" w:hAnsi="Arial" w:cs="Arial"/>
                <w:noProof/>
                <w:webHidden/>
                <w:sz w:val="24"/>
              </w:rPr>
              <w:fldChar w:fldCharType="end"/>
            </w:r>
          </w:hyperlink>
        </w:p>
        <w:p w14:paraId="36F88C9E" w14:textId="155F1ADD"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2" w:history="1">
            <w:r w:rsidRPr="00C81AA3">
              <w:rPr>
                <w:rStyle w:val="Hyperlink"/>
                <w:rFonts w:ascii="Arial" w:eastAsia="Times New Roman" w:hAnsi="Arial" w:cs="Arial"/>
                <w:noProof/>
                <w:sz w:val="24"/>
                <w:lang w:eastAsia="en-GB"/>
              </w:rPr>
              <w:t>Evidence-based Treatments &amp; UK Management</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_Toc213973682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8</w:t>
            </w:r>
            <w:r w:rsidRPr="00C81AA3">
              <w:rPr>
                <w:rFonts w:ascii="Arial" w:hAnsi="Arial" w:cs="Arial"/>
                <w:noProof/>
                <w:webHidden/>
                <w:sz w:val="24"/>
              </w:rPr>
              <w:fldChar w:fldCharType="end"/>
            </w:r>
          </w:hyperlink>
        </w:p>
        <w:p w14:paraId="78375A65" w14:textId="2E41C407"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3" w:history="1">
            <w:r w:rsidRPr="00C81AA3">
              <w:rPr>
                <w:rStyle w:val="Hyperlink"/>
                <w:rFonts w:ascii="Arial" w:eastAsia="Times New Roman" w:hAnsi="Arial" w:cs="Arial"/>
                <w:noProof/>
                <w:sz w:val="24"/>
                <w:lang w:eastAsia="en-GB"/>
              </w:rPr>
              <w:t>Theoretical Frameworks &amp; Models</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_Toc213973683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10</w:t>
            </w:r>
            <w:r w:rsidRPr="00C81AA3">
              <w:rPr>
                <w:rFonts w:ascii="Arial" w:hAnsi="Arial" w:cs="Arial"/>
                <w:noProof/>
                <w:webHidden/>
                <w:sz w:val="24"/>
              </w:rPr>
              <w:fldChar w:fldCharType="end"/>
            </w:r>
          </w:hyperlink>
        </w:p>
        <w:p w14:paraId="7E93BC17" w14:textId="17C31462"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4" w:history="1">
            <w:r w:rsidRPr="00C81AA3">
              <w:rPr>
                <w:rStyle w:val="Hyperlink"/>
                <w:rFonts w:ascii="Arial" w:eastAsia="Times New Roman" w:hAnsi="Arial" w:cs="Arial"/>
                <w:noProof/>
                <w:sz w:val="24"/>
                <w:lang w:eastAsia="en-GB"/>
              </w:rPr>
              <w:t>UK Policy &amp; Political Agendas</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_Toc213973684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11</w:t>
            </w:r>
            <w:r w:rsidRPr="00C81AA3">
              <w:rPr>
                <w:rFonts w:ascii="Arial" w:hAnsi="Arial" w:cs="Arial"/>
                <w:noProof/>
                <w:webHidden/>
                <w:sz w:val="24"/>
              </w:rPr>
              <w:fldChar w:fldCharType="end"/>
            </w:r>
          </w:hyperlink>
        </w:p>
        <w:p w14:paraId="04A3B1AD" w14:textId="21721B9C"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5" w:history="1">
            <w:r w:rsidRPr="00C81AA3">
              <w:rPr>
                <w:rStyle w:val="Hyperlink"/>
                <w:rFonts w:ascii="Arial" w:eastAsia="Times New Roman" w:hAnsi="Arial" w:cs="Arial"/>
                <w:noProof/>
                <w:sz w:val="24"/>
                <w:lang w:eastAsia="en-GB"/>
              </w:rPr>
              <w:t>Recommendations &amp; Person-centred Approaches</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_Toc213973685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13</w:t>
            </w:r>
            <w:r w:rsidRPr="00C81AA3">
              <w:rPr>
                <w:rFonts w:ascii="Arial" w:hAnsi="Arial" w:cs="Arial"/>
                <w:noProof/>
                <w:webHidden/>
                <w:sz w:val="24"/>
              </w:rPr>
              <w:fldChar w:fldCharType="end"/>
            </w:r>
          </w:hyperlink>
        </w:p>
        <w:p w14:paraId="16E3DBF1" w14:textId="786F71AE"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6" w:history="1">
            <w:r w:rsidRPr="00C81AA3">
              <w:rPr>
                <w:rStyle w:val="Hyperlink"/>
                <w:rFonts w:ascii="Arial" w:eastAsia="Times New Roman" w:hAnsi="Arial" w:cs="Arial"/>
                <w:noProof/>
                <w:sz w:val="24"/>
                <w:lang w:eastAsia="en-GB"/>
              </w:rPr>
              <w:t>Conclusion</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_Toc213973686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14</w:t>
            </w:r>
            <w:r w:rsidRPr="00C81AA3">
              <w:rPr>
                <w:rFonts w:ascii="Arial" w:hAnsi="Arial" w:cs="Arial"/>
                <w:noProof/>
                <w:webHidden/>
                <w:sz w:val="24"/>
              </w:rPr>
              <w:fldChar w:fldCharType="end"/>
            </w:r>
          </w:hyperlink>
        </w:p>
        <w:p w14:paraId="3E7978D4" w14:textId="683BA934" w:rsidR="00C81AA3" w:rsidRPr="00C81AA3" w:rsidRDefault="00C81AA3" w:rsidP="00C81AA3">
          <w:pPr>
            <w:pStyle w:val="TOC1"/>
            <w:tabs>
              <w:tab w:val="right" w:leader="dot" w:pos="9350"/>
            </w:tabs>
            <w:jc w:val="both"/>
            <w:rPr>
              <w:rFonts w:ascii="Arial" w:eastAsiaTheme="minorEastAsia" w:hAnsi="Arial" w:cs="Arial"/>
              <w:noProof/>
              <w:sz w:val="24"/>
              <w:lang w:eastAsia="en-GB"/>
            </w:rPr>
          </w:pPr>
          <w:hyperlink w:anchor="_Toc213973687" w:history="1">
            <w:r w:rsidRPr="00C81AA3">
              <w:rPr>
                <w:rStyle w:val="Hyperlink"/>
                <w:rFonts w:ascii="Arial" w:eastAsia="Times New Roman" w:hAnsi="Arial" w:cs="Arial"/>
                <w:noProof/>
                <w:sz w:val="24"/>
                <w:lang w:eastAsia="en-GB"/>
              </w:rPr>
              <w:t>References</w:t>
            </w:r>
            <w:r w:rsidRPr="00C81AA3">
              <w:rPr>
                <w:rFonts w:ascii="Arial" w:hAnsi="Arial" w:cs="Arial"/>
                <w:noProof/>
                <w:webHidden/>
                <w:sz w:val="24"/>
              </w:rPr>
              <w:tab/>
            </w:r>
            <w:r w:rsidRPr="00C81AA3">
              <w:rPr>
                <w:rFonts w:ascii="Arial" w:hAnsi="Arial" w:cs="Arial"/>
                <w:noProof/>
                <w:webHidden/>
                <w:sz w:val="24"/>
              </w:rPr>
              <w:fldChar w:fldCharType="begin"/>
            </w:r>
            <w:r w:rsidRPr="00C81AA3">
              <w:rPr>
                <w:rFonts w:ascii="Arial" w:hAnsi="Arial" w:cs="Arial"/>
                <w:noProof/>
                <w:webHidden/>
                <w:sz w:val="24"/>
              </w:rPr>
              <w:instrText xml:space="preserve"> PAGEREF _Toc213973687 \h </w:instrText>
            </w:r>
            <w:r w:rsidRPr="00C81AA3">
              <w:rPr>
                <w:rFonts w:ascii="Arial" w:hAnsi="Arial" w:cs="Arial"/>
                <w:noProof/>
                <w:webHidden/>
                <w:sz w:val="24"/>
              </w:rPr>
            </w:r>
            <w:r w:rsidRPr="00C81AA3">
              <w:rPr>
                <w:rFonts w:ascii="Arial" w:hAnsi="Arial" w:cs="Arial"/>
                <w:noProof/>
                <w:webHidden/>
                <w:sz w:val="24"/>
              </w:rPr>
              <w:fldChar w:fldCharType="separate"/>
            </w:r>
            <w:r w:rsidR="00787D96">
              <w:rPr>
                <w:rFonts w:ascii="Arial" w:hAnsi="Arial" w:cs="Arial"/>
                <w:noProof/>
                <w:webHidden/>
                <w:sz w:val="24"/>
              </w:rPr>
              <w:t>15</w:t>
            </w:r>
            <w:r w:rsidRPr="00C81AA3">
              <w:rPr>
                <w:rFonts w:ascii="Arial" w:hAnsi="Arial" w:cs="Arial"/>
                <w:noProof/>
                <w:webHidden/>
                <w:sz w:val="24"/>
              </w:rPr>
              <w:fldChar w:fldCharType="end"/>
            </w:r>
          </w:hyperlink>
        </w:p>
        <w:p w14:paraId="0C7E46A9" w14:textId="7EA93510" w:rsidR="00C81AA3" w:rsidRDefault="00C81AA3">
          <w:r>
            <w:rPr>
              <w:b/>
              <w:bCs/>
              <w:noProof/>
            </w:rPr>
            <w:fldChar w:fldCharType="end"/>
          </w:r>
        </w:p>
      </w:sdtContent>
    </w:sdt>
    <w:p w14:paraId="43785B3E" w14:textId="77777777" w:rsidR="00C81AA3" w:rsidRDefault="00C81AA3" w:rsidP="00C81AA3">
      <w:pPr>
        <w:spacing w:before="100" w:beforeAutospacing="1" w:after="100" w:afterAutospacing="1" w:line="360" w:lineRule="auto"/>
        <w:jc w:val="both"/>
        <w:rPr>
          <w:rFonts w:ascii="Arial" w:eastAsia="Times New Roman" w:hAnsi="Arial" w:cs="Arial"/>
          <w:sz w:val="24"/>
          <w:szCs w:val="24"/>
          <w:lang w:eastAsia="en-GB"/>
        </w:rPr>
        <w:sectPr w:rsidR="00C81AA3" w:rsidSect="002416DC">
          <w:footerReference w:type="default" r:id="rId9"/>
          <w:pgSz w:w="7920" w:h="12240" w:orient="landscape"/>
          <w:pgMar w:top="1440" w:right="1440" w:bottom="1440" w:left="1440" w:header="720" w:footer="720" w:gutter="0"/>
          <w:pgNumType w:fmt="lowerRoman"/>
          <w:cols w:space="720"/>
        </w:sectPr>
      </w:pPr>
    </w:p>
    <w:p w14:paraId="0675DD3D" w14:textId="39395D5D" w:rsidR="00602C98" w:rsidRDefault="00233FA6" w:rsidP="00EF7DFB">
      <w:pPr>
        <w:pStyle w:val="Heading1"/>
        <w:spacing w:after="240"/>
        <w:rPr>
          <w:rFonts w:eastAsia="Times New Roman"/>
          <w:lang w:eastAsia="en-GB"/>
        </w:rPr>
      </w:pPr>
      <w:bookmarkStart w:id="0" w:name="_Toc213973679"/>
      <w:r>
        <w:rPr>
          <w:rFonts w:eastAsia="Times New Roman"/>
          <w:lang w:eastAsia="en-GB"/>
        </w:rPr>
        <w:lastRenderedPageBreak/>
        <w:t>Introduction</w:t>
      </w:r>
      <w:bookmarkEnd w:id="0"/>
      <w:r>
        <w:rPr>
          <w:rFonts w:eastAsia="Times New Roman"/>
          <w:lang w:eastAsia="en-GB"/>
        </w:rPr>
        <w:t xml:space="preserve"> </w:t>
      </w:r>
    </w:p>
    <w:p w14:paraId="1FF636C9" w14:textId="3CE6CBC8" w:rsidR="00BC00CB" w:rsidRDefault="00233FA6" w:rsidP="00EF7DFB">
      <w:pPr>
        <w:spacing w:after="240" w:line="360" w:lineRule="auto"/>
        <w:jc w:val="both"/>
        <w:rPr>
          <w:rFonts w:ascii="Arial" w:hAnsi="Arial" w:cs="Arial"/>
          <w:sz w:val="24"/>
          <w:lang w:eastAsia="en-GB"/>
        </w:rPr>
      </w:pPr>
      <w:r>
        <w:rPr>
          <w:rFonts w:ascii="Arial" w:hAnsi="Arial" w:cs="Arial"/>
          <w:sz w:val="24"/>
          <w:lang w:eastAsia="en-GB"/>
        </w:rPr>
        <w:t>Parkinson’</w:t>
      </w:r>
      <w:r w:rsidRPr="00233FA6">
        <w:rPr>
          <w:rFonts w:ascii="Arial" w:hAnsi="Arial" w:cs="Arial"/>
          <w:sz w:val="24"/>
          <w:lang w:eastAsia="en-GB"/>
        </w:rPr>
        <w:t>s disease (PD) is a chronic, dynamic neurodegenerative clutter that essentially influences the engine and non-motor capacities of the apprehensive framework, driving to considerable challenges for people, families, and wellbeing and social care experts. Inside the UK, around 153,000 individuals are as of now living with PD, a figure anticipated to rise due to populace maturing and made strides symptom</w:t>
      </w:r>
      <w:r>
        <w:rPr>
          <w:rFonts w:ascii="Arial" w:hAnsi="Arial" w:cs="Arial"/>
          <w:sz w:val="24"/>
          <w:lang w:eastAsia="en-GB"/>
        </w:rPr>
        <w:t>atic awareness (Parkinson’</w:t>
      </w:r>
      <w:r w:rsidRPr="00233FA6">
        <w:rPr>
          <w:rFonts w:ascii="Arial" w:hAnsi="Arial" w:cs="Arial"/>
          <w:sz w:val="24"/>
          <w:lang w:eastAsia="en-GB"/>
        </w:rPr>
        <w:t>s UK, 2024). As one of the foremost complex long-term conditions, Parkinson</w:t>
      </w:r>
      <w:r>
        <w:rPr>
          <w:rFonts w:ascii="Arial" w:hAnsi="Arial" w:cs="Arial"/>
          <w:sz w:val="24"/>
          <w:lang w:eastAsia="en-GB"/>
        </w:rPr>
        <w:t>’</w:t>
      </w:r>
      <w:r w:rsidRPr="00233FA6">
        <w:rPr>
          <w:rFonts w:ascii="Arial" w:hAnsi="Arial" w:cs="Arial"/>
          <w:sz w:val="24"/>
          <w:lang w:eastAsia="en-GB"/>
        </w:rPr>
        <w:t xml:space="preserve">s requires progressing, facilitated, and multidisciplinary administration to address the wide extend of side effects and keep up quality of life. The NHS Long Term Arrange (2019) and </w:t>
      </w:r>
      <w:proofErr w:type="gramStart"/>
      <w:r w:rsidRPr="00233FA6">
        <w:rPr>
          <w:rFonts w:ascii="Arial" w:hAnsi="Arial" w:cs="Arial"/>
          <w:sz w:val="24"/>
          <w:lang w:eastAsia="en-GB"/>
        </w:rPr>
        <w:t>Pleasant</w:t>
      </w:r>
      <w:proofErr w:type="gramEnd"/>
      <w:r w:rsidRPr="00233FA6">
        <w:rPr>
          <w:rFonts w:ascii="Arial" w:hAnsi="Arial" w:cs="Arial"/>
          <w:sz w:val="24"/>
          <w:lang w:eastAsia="en-GB"/>
        </w:rPr>
        <w:t xml:space="preserve"> rules (NG71, 2024) accentuate coordinates, person-centred care as the foundation of viable PD administration, advancing early intercession, self-management back, and get to pro administrations. This proficient direct gives an </w:t>
      </w:r>
      <w:r w:rsidRPr="00233FA6">
        <w:rPr>
          <w:rFonts w:ascii="Arial" w:hAnsi="Arial" w:cs="Arial"/>
          <w:sz w:val="24"/>
          <w:lang w:eastAsia="en-GB"/>
        </w:rPr>
        <w:lastRenderedPageBreak/>
        <w:t>evid</w:t>
      </w:r>
      <w:r>
        <w:rPr>
          <w:rFonts w:ascii="Arial" w:hAnsi="Arial" w:cs="Arial"/>
          <w:sz w:val="24"/>
          <w:lang w:eastAsia="en-GB"/>
        </w:rPr>
        <w:t>ence-based outline of Parkinson’</w:t>
      </w:r>
      <w:r w:rsidRPr="00233FA6">
        <w:rPr>
          <w:rFonts w:ascii="Arial" w:hAnsi="Arial" w:cs="Arial"/>
          <w:sz w:val="24"/>
          <w:lang w:eastAsia="en-GB"/>
        </w:rPr>
        <w:t xml:space="preserve">s illness, counting its definition, burden, and affect, and fundamentally assesses current UK treatment systems, hypothetical models, and arrangement activities that shape benefit conveyance. It points to back specialists in conveying collaborative, all encompassing, and compassionate care that adjusts with the standards of multidisciplinary cooperation and advances ideal results </w:t>
      </w:r>
      <w:r>
        <w:rPr>
          <w:rFonts w:ascii="Arial" w:hAnsi="Arial" w:cs="Arial"/>
          <w:sz w:val="24"/>
          <w:lang w:eastAsia="en-GB"/>
        </w:rPr>
        <w:t>for those living with Parkinson’</w:t>
      </w:r>
      <w:r w:rsidRPr="00233FA6">
        <w:rPr>
          <w:rFonts w:ascii="Arial" w:hAnsi="Arial" w:cs="Arial"/>
          <w:sz w:val="24"/>
          <w:lang w:eastAsia="en-GB"/>
        </w:rPr>
        <w:t>s infection over community and auxiliary care settings</w:t>
      </w:r>
      <w:r w:rsidR="00BC00CB" w:rsidRPr="00BC00CB">
        <w:rPr>
          <w:rFonts w:ascii="Arial" w:hAnsi="Arial" w:cs="Arial"/>
          <w:sz w:val="24"/>
          <w:lang w:eastAsia="en-GB"/>
        </w:rPr>
        <w:t>.</w:t>
      </w:r>
    </w:p>
    <w:p w14:paraId="7D249E9B" w14:textId="236BFC35" w:rsidR="00F3412D" w:rsidRDefault="00F3412D" w:rsidP="00233FA6">
      <w:pPr>
        <w:spacing w:line="360" w:lineRule="auto"/>
        <w:jc w:val="both"/>
        <w:rPr>
          <w:rFonts w:ascii="Arial" w:hAnsi="Arial" w:cs="Arial"/>
          <w:sz w:val="24"/>
          <w:lang w:eastAsia="en-GB"/>
        </w:rPr>
      </w:pPr>
    </w:p>
    <w:p w14:paraId="00B74916" w14:textId="45EEB4B5" w:rsidR="00F3412D" w:rsidRDefault="00F3412D" w:rsidP="00233FA6">
      <w:pPr>
        <w:spacing w:line="360" w:lineRule="auto"/>
        <w:jc w:val="both"/>
        <w:rPr>
          <w:rFonts w:ascii="Arial" w:hAnsi="Arial" w:cs="Arial"/>
          <w:sz w:val="24"/>
          <w:lang w:eastAsia="en-GB"/>
        </w:rPr>
      </w:pPr>
    </w:p>
    <w:p w14:paraId="71976682" w14:textId="64788A62" w:rsidR="00F3412D" w:rsidRDefault="00F3412D" w:rsidP="00233FA6">
      <w:pPr>
        <w:spacing w:line="360" w:lineRule="auto"/>
        <w:jc w:val="both"/>
        <w:rPr>
          <w:rFonts w:ascii="Arial" w:hAnsi="Arial" w:cs="Arial"/>
          <w:sz w:val="24"/>
          <w:lang w:eastAsia="en-GB"/>
        </w:rPr>
      </w:pPr>
    </w:p>
    <w:p w14:paraId="7F61C5D0" w14:textId="4CF3F072" w:rsidR="00F3412D" w:rsidRDefault="00F3412D" w:rsidP="00233FA6">
      <w:pPr>
        <w:spacing w:line="360" w:lineRule="auto"/>
        <w:jc w:val="both"/>
        <w:rPr>
          <w:rFonts w:ascii="Arial" w:hAnsi="Arial" w:cs="Arial"/>
          <w:sz w:val="24"/>
          <w:lang w:eastAsia="en-GB"/>
        </w:rPr>
      </w:pPr>
    </w:p>
    <w:p w14:paraId="455C2D0A" w14:textId="2B9111A0" w:rsidR="00F3412D" w:rsidRDefault="00F3412D" w:rsidP="00233FA6">
      <w:pPr>
        <w:spacing w:line="360" w:lineRule="auto"/>
        <w:jc w:val="both"/>
        <w:rPr>
          <w:rFonts w:ascii="Arial" w:hAnsi="Arial" w:cs="Arial"/>
          <w:sz w:val="24"/>
          <w:lang w:eastAsia="en-GB"/>
        </w:rPr>
      </w:pPr>
    </w:p>
    <w:p w14:paraId="775DE8FC" w14:textId="4DD43712" w:rsidR="00F3412D" w:rsidRDefault="00F3412D" w:rsidP="00233FA6">
      <w:pPr>
        <w:spacing w:line="360" w:lineRule="auto"/>
        <w:jc w:val="both"/>
        <w:rPr>
          <w:rFonts w:ascii="Arial" w:hAnsi="Arial" w:cs="Arial"/>
          <w:sz w:val="24"/>
          <w:lang w:eastAsia="en-GB"/>
        </w:rPr>
      </w:pPr>
    </w:p>
    <w:p w14:paraId="61518EA5" w14:textId="003CB95D" w:rsidR="00F3412D" w:rsidRDefault="00F3412D" w:rsidP="00233FA6">
      <w:pPr>
        <w:spacing w:line="360" w:lineRule="auto"/>
        <w:jc w:val="both"/>
        <w:rPr>
          <w:rFonts w:ascii="Arial" w:hAnsi="Arial" w:cs="Arial"/>
          <w:sz w:val="24"/>
          <w:lang w:eastAsia="en-GB"/>
        </w:rPr>
      </w:pPr>
    </w:p>
    <w:p w14:paraId="349FD1D1" w14:textId="2A058852" w:rsidR="00F3412D" w:rsidRDefault="00F3412D" w:rsidP="00233FA6">
      <w:pPr>
        <w:spacing w:line="360" w:lineRule="auto"/>
        <w:jc w:val="both"/>
        <w:rPr>
          <w:rFonts w:ascii="Arial" w:hAnsi="Arial" w:cs="Arial"/>
          <w:sz w:val="24"/>
          <w:lang w:eastAsia="en-GB"/>
        </w:rPr>
      </w:pPr>
    </w:p>
    <w:p w14:paraId="314B741A" w14:textId="77777777" w:rsidR="00F3412D" w:rsidRPr="00BC00CB" w:rsidRDefault="00F3412D" w:rsidP="00233FA6">
      <w:pPr>
        <w:spacing w:line="360" w:lineRule="auto"/>
        <w:jc w:val="both"/>
        <w:rPr>
          <w:rFonts w:ascii="Arial" w:hAnsi="Arial" w:cs="Arial"/>
          <w:sz w:val="24"/>
          <w:lang w:eastAsia="en-GB"/>
        </w:rPr>
      </w:pPr>
    </w:p>
    <w:p w14:paraId="0E32D97F" w14:textId="322B456F" w:rsidR="00602C98" w:rsidRDefault="00602C98" w:rsidP="00EF7DFB">
      <w:pPr>
        <w:pStyle w:val="Heading1"/>
        <w:spacing w:after="240"/>
        <w:rPr>
          <w:rFonts w:eastAsia="Times New Roman"/>
          <w:lang w:eastAsia="en-GB"/>
        </w:rPr>
      </w:pPr>
      <w:bookmarkStart w:id="1" w:name="_Toc213973680"/>
      <w:r w:rsidRPr="00602C98">
        <w:rPr>
          <w:rFonts w:eastAsia="Times New Roman"/>
          <w:lang w:eastAsia="en-GB"/>
        </w:rPr>
        <w:t>Definition, Epidemiology &amp; Aetiology</w:t>
      </w:r>
      <w:bookmarkEnd w:id="1"/>
      <w:r w:rsidRPr="00602C98">
        <w:rPr>
          <w:rFonts w:eastAsia="Times New Roman"/>
          <w:lang w:eastAsia="en-GB"/>
        </w:rPr>
        <w:t xml:space="preserve"> </w:t>
      </w:r>
    </w:p>
    <w:p w14:paraId="0237F733" w14:textId="5DDE817B" w:rsidR="00E705BB" w:rsidRPr="00E705BB" w:rsidRDefault="00E705BB" w:rsidP="00EF7DFB">
      <w:pPr>
        <w:spacing w:after="240" w:line="360" w:lineRule="auto"/>
        <w:jc w:val="both"/>
        <w:rPr>
          <w:rFonts w:ascii="Arial" w:hAnsi="Arial" w:cs="Arial"/>
          <w:b/>
          <w:sz w:val="24"/>
          <w:lang w:eastAsia="en-GB"/>
        </w:rPr>
      </w:pPr>
      <w:r w:rsidRPr="00E705BB">
        <w:rPr>
          <w:rFonts w:ascii="Arial" w:hAnsi="Arial" w:cs="Arial"/>
          <w:b/>
          <w:sz w:val="24"/>
          <w:lang w:eastAsia="en-GB"/>
        </w:rPr>
        <w:t>Definition</w:t>
      </w:r>
    </w:p>
    <w:p w14:paraId="4C82796B" w14:textId="7EA662AB" w:rsidR="00E705BB" w:rsidRPr="00E705BB" w:rsidRDefault="00E705BB" w:rsidP="00E705BB">
      <w:pPr>
        <w:spacing w:line="360" w:lineRule="auto"/>
        <w:jc w:val="both"/>
        <w:rPr>
          <w:rFonts w:ascii="Arial" w:hAnsi="Arial" w:cs="Arial"/>
          <w:sz w:val="24"/>
          <w:lang w:eastAsia="en-GB"/>
        </w:rPr>
      </w:pPr>
      <w:r>
        <w:rPr>
          <w:rFonts w:ascii="Arial" w:hAnsi="Arial" w:cs="Arial"/>
          <w:sz w:val="24"/>
          <w:lang w:eastAsia="en-GB"/>
        </w:rPr>
        <w:t>Parkinson’</w:t>
      </w:r>
      <w:r w:rsidRPr="00E705BB">
        <w:rPr>
          <w:rFonts w:ascii="Arial" w:hAnsi="Arial" w:cs="Arial"/>
          <w:sz w:val="24"/>
          <w:lang w:eastAsia="en-GB"/>
        </w:rPr>
        <w:t>s disease (PD) may be an inveterate, dynamic neurodegenerative clutter of the central apprehensive framework, basically influencing development and coordination. It is characterised by bradykinesia, solid unbending nature, resting t</w:t>
      </w:r>
      <w:r>
        <w:rPr>
          <w:rFonts w:ascii="Arial" w:hAnsi="Arial" w:cs="Arial"/>
          <w:sz w:val="24"/>
          <w:lang w:eastAsia="en-GB"/>
        </w:rPr>
        <w:t xml:space="preserve">remor, and postural instability </w:t>
      </w:r>
      <w:r w:rsidRPr="00E705BB">
        <w:rPr>
          <w:rFonts w:ascii="Arial" w:hAnsi="Arial" w:cs="Arial"/>
          <w:sz w:val="24"/>
          <w:lang w:eastAsia="en-GB"/>
        </w:rPr>
        <w:t xml:space="preserve">collectively alluded to as engine side effects. In any case, PD too incorporates a wide run of non-motor highlights, such as cognitive decay, disposition disarranges, rest unsettling influences, and autonomic brokenness (Decent, 2024). The illness comes about from the dynamic misfortune of dopaminergic neurons inside the substantia nigari pars compacta, driving to dopamine insufficiency within the </w:t>
      </w:r>
      <w:r w:rsidRPr="00E705BB">
        <w:rPr>
          <w:rFonts w:ascii="Arial" w:hAnsi="Arial" w:cs="Arial"/>
          <w:sz w:val="24"/>
          <w:lang w:eastAsia="en-GB"/>
        </w:rPr>
        <w:lastRenderedPageBreak/>
        <w:t>basal ga</w:t>
      </w:r>
      <w:r>
        <w:rPr>
          <w:rFonts w:ascii="Arial" w:hAnsi="Arial" w:cs="Arial"/>
          <w:sz w:val="24"/>
          <w:lang w:eastAsia="en-GB"/>
        </w:rPr>
        <w:t>nglia, which disables the brain’</w:t>
      </w:r>
      <w:r w:rsidRPr="00E705BB">
        <w:rPr>
          <w:rFonts w:ascii="Arial" w:hAnsi="Arial" w:cs="Arial"/>
          <w:sz w:val="24"/>
          <w:lang w:eastAsia="en-GB"/>
        </w:rPr>
        <w:t>s capacity to control deliberate development (Kalia and Lang, 2015). The condition is serious but reasonable, with treatment centring on side effect control, restoration, a</w:t>
      </w:r>
      <w:r>
        <w:rPr>
          <w:rFonts w:ascii="Arial" w:hAnsi="Arial" w:cs="Arial"/>
          <w:sz w:val="24"/>
          <w:lang w:eastAsia="en-GB"/>
        </w:rPr>
        <w:t>nd quality-of-life improvement.</w:t>
      </w:r>
    </w:p>
    <w:p w14:paraId="6DDAF18D" w14:textId="5BE505A1" w:rsidR="00E705BB" w:rsidRPr="00E705BB" w:rsidRDefault="00E705BB" w:rsidP="00E705BB">
      <w:pPr>
        <w:spacing w:line="360" w:lineRule="auto"/>
        <w:jc w:val="both"/>
        <w:rPr>
          <w:rFonts w:ascii="Arial" w:hAnsi="Arial" w:cs="Arial"/>
          <w:b/>
          <w:sz w:val="24"/>
          <w:lang w:eastAsia="en-GB"/>
        </w:rPr>
      </w:pPr>
      <w:r>
        <w:rPr>
          <w:rFonts w:ascii="Arial" w:hAnsi="Arial" w:cs="Arial"/>
          <w:b/>
          <w:sz w:val="24"/>
          <w:lang w:eastAsia="en-GB"/>
        </w:rPr>
        <w:t>Epidemiology</w:t>
      </w:r>
    </w:p>
    <w:p w14:paraId="37AE266B" w14:textId="14446A2D" w:rsidR="00E705BB" w:rsidRPr="00E705BB" w:rsidRDefault="00E705BB" w:rsidP="00E705BB">
      <w:pPr>
        <w:spacing w:line="360" w:lineRule="auto"/>
        <w:jc w:val="both"/>
        <w:rPr>
          <w:rFonts w:ascii="Arial" w:hAnsi="Arial" w:cs="Arial"/>
          <w:sz w:val="24"/>
          <w:lang w:eastAsia="en-GB"/>
        </w:rPr>
      </w:pPr>
      <w:r>
        <w:rPr>
          <w:rFonts w:ascii="Arial" w:hAnsi="Arial" w:cs="Arial"/>
          <w:sz w:val="24"/>
          <w:lang w:eastAsia="en-GB"/>
        </w:rPr>
        <w:t>Parkinson’</w:t>
      </w:r>
      <w:r w:rsidRPr="00E705BB">
        <w:rPr>
          <w:rFonts w:ascii="Arial" w:hAnsi="Arial" w:cs="Arial"/>
          <w:sz w:val="24"/>
          <w:lang w:eastAsia="en-GB"/>
        </w:rPr>
        <w:t>s malady is the moment most common neurodegenerative condition all-inclusive</w:t>
      </w:r>
      <w:r>
        <w:rPr>
          <w:rFonts w:ascii="Arial" w:hAnsi="Arial" w:cs="Arial"/>
          <w:sz w:val="24"/>
          <w:lang w:eastAsia="en-GB"/>
        </w:rPr>
        <w:t xml:space="preserve"> after Alzheimer’</w:t>
      </w:r>
      <w:r w:rsidRPr="00E705BB">
        <w:rPr>
          <w:rFonts w:ascii="Arial" w:hAnsi="Arial" w:cs="Arial"/>
          <w:sz w:val="24"/>
          <w:lang w:eastAsia="en-GB"/>
        </w:rPr>
        <w:t>s malady, influencing around 10 million individuals around the world (WHO, 2023). Within the UK, current gauges propose that around 153,000 people live with Parkinson</w:t>
      </w:r>
      <w:r>
        <w:rPr>
          <w:rFonts w:ascii="Arial" w:hAnsi="Arial" w:cs="Arial"/>
          <w:sz w:val="24"/>
          <w:lang w:eastAsia="en-GB"/>
        </w:rPr>
        <w:t>’</w:t>
      </w:r>
      <w:r w:rsidRPr="00E705BB">
        <w:rPr>
          <w:rFonts w:ascii="Arial" w:hAnsi="Arial" w:cs="Arial"/>
          <w:sz w:val="24"/>
          <w:lang w:eastAsia="en-GB"/>
        </w:rPr>
        <w:t>s, with 1 in 37 individuals anticipated to be analysed amid their lifetime (</w:t>
      </w:r>
      <w:r w:rsidR="007F6760">
        <w:rPr>
          <w:rFonts w:ascii="Arial" w:hAnsi="Arial" w:cs="Arial"/>
          <w:sz w:val="24"/>
          <w:lang w:eastAsia="en-GB"/>
        </w:rPr>
        <w:t>Parkinson’s</w:t>
      </w:r>
      <w:r w:rsidRPr="00E705BB">
        <w:rPr>
          <w:rFonts w:ascii="Arial" w:hAnsi="Arial" w:cs="Arial"/>
          <w:sz w:val="24"/>
          <w:lang w:eastAsia="en-GB"/>
        </w:rPr>
        <w:t xml:space="preserve"> UK, 2024). The predominance increments uniquely with age, most commonly happening in individuals over 60, in spite of the fact that around 5</w:t>
      </w:r>
      <w:r w:rsidR="007F6760">
        <w:rPr>
          <w:rFonts w:ascii="Arial" w:hAnsi="Arial" w:cs="Arial"/>
          <w:sz w:val="24"/>
          <w:lang w:eastAsia="en-GB"/>
        </w:rPr>
        <w:t>-</w:t>
      </w:r>
      <w:r w:rsidRPr="00E705BB">
        <w:rPr>
          <w:rFonts w:ascii="Arial" w:hAnsi="Arial" w:cs="Arial"/>
          <w:sz w:val="24"/>
          <w:lang w:eastAsia="en-GB"/>
        </w:rPr>
        <w:t xml:space="preserve">10% of cases are analysed some time recently age 50, frequently alluded to as early-onset </w:t>
      </w:r>
      <w:r w:rsidR="007F6760">
        <w:rPr>
          <w:rFonts w:ascii="Arial" w:hAnsi="Arial" w:cs="Arial"/>
          <w:sz w:val="24"/>
          <w:lang w:eastAsia="en-GB"/>
        </w:rPr>
        <w:t>Parkinson’s</w:t>
      </w:r>
      <w:r w:rsidRPr="00E705BB">
        <w:rPr>
          <w:rFonts w:ascii="Arial" w:hAnsi="Arial" w:cs="Arial"/>
          <w:sz w:val="24"/>
          <w:lang w:eastAsia="en-GB"/>
        </w:rPr>
        <w:t xml:space="preserve"> (Schapira </w:t>
      </w:r>
      <w:r w:rsidR="00EF7DFB">
        <w:rPr>
          <w:rFonts w:ascii="Arial" w:hAnsi="Arial" w:cs="Arial"/>
          <w:sz w:val="24"/>
          <w:lang w:eastAsia="en-GB"/>
        </w:rPr>
        <w:t>et al</w:t>
      </w:r>
      <w:r w:rsidRPr="00E705BB">
        <w:rPr>
          <w:rFonts w:ascii="Arial" w:hAnsi="Arial" w:cs="Arial"/>
          <w:sz w:val="24"/>
          <w:lang w:eastAsia="en-GB"/>
        </w:rPr>
        <w:t xml:space="preserve">., 2020). Men are somewhat more influenced than ladies, with </w:t>
      </w:r>
      <w:r w:rsidRPr="00E705BB">
        <w:rPr>
          <w:rFonts w:ascii="Arial" w:hAnsi="Arial" w:cs="Arial"/>
          <w:sz w:val="24"/>
          <w:lang w:eastAsia="en-GB"/>
        </w:rPr>
        <w:lastRenderedPageBreak/>
        <w:t>a male-to-female ratio of around 1.</w:t>
      </w:r>
      <w:r w:rsidR="007F6760">
        <w:rPr>
          <w:rFonts w:ascii="Arial" w:hAnsi="Arial" w:cs="Arial"/>
          <w:sz w:val="24"/>
          <w:lang w:eastAsia="en-GB"/>
        </w:rPr>
        <w:t xml:space="preserve">5:1 (Cerri and </w:t>
      </w:r>
      <w:proofErr w:type="spellStart"/>
      <w:r w:rsidR="007F6760">
        <w:rPr>
          <w:rFonts w:ascii="Arial" w:hAnsi="Arial" w:cs="Arial"/>
          <w:sz w:val="24"/>
          <w:lang w:eastAsia="en-GB"/>
        </w:rPr>
        <w:t>Blandini</w:t>
      </w:r>
      <w:proofErr w:type="spellEnd"/>
      <w:r w:rsidR="007F6760">
        <w:rPr>
          <w:rFonts w:ascii="Arial" w:hAnsi="Arial" w:cs="Arial"/>
          <w:sz w:val="24"/>
          <w:lang w:eastAsia="en-GB"/>
        </w:rPr>
        <w:t>, 2019).</w:t>
      </w:r>
    </w:p>
    <w:p w14:paraId="5E8F4F3B" w14:textId="74FFB367" w:rsidR="00E705BB" w:rsidRPr="00E705BB" w:rsidRDefault="00E705BB" w:rsidP="00E705BB">
      <w:pPr>
        <w:spacing w:line="360" w:lineRule="auto"/>
        <w:jc w:val="both"/>
        <w:rPr>
          <w:rFonts w:ascii="Arial" w:hAnsi="Arial" w:cs="Arial"/>
          <w:sz w:val="24"/>
          <w:lang w:eastAsia="en-GB"/>
        </w:rPr>
      </w:pPr>
      <w:r w:rsidRPr="00E705BB">
        <w:rPr>
          <w:rFonts w:ascii="Arial" w:hAnsi="Arial" w:cs="Arial"/>
          <w:sz w:val="24"/>
          <w:lang w:eastAsia="en-GB"/>
        </w:rPr>
        <w:t xml:space="preserve">The burden of PD in the UK is considerable. It contributes altogether to disability-adjusted life a long time (DALYs), wellbeing and social care costs, and casual caregiver strain. Yearly NHS consumption on </w:t>
      </w:r>
      <w:r w:rsidR="007F6760">
        <w:rPr>
          <w:rFonts w:ascii="Arial" w:hAnsi="Arial" w:cs="Arial"/>
          <w:sz w:val="24"/>
          <w:lang w:eastAsia="en-GB"/>
        </w:rPr>
        <w:t>Parkinson’s</w:t>
      </w:r>
      <w:r w:rsidRPr="00E705BB">
        <w:rPr>
          <w:rFonts w:ascii="Arial" w:hAnsi="Arial" w:cs="Arial"/>
          <w:sz w:val="24"/>
          <w:lang w:eastAsia="en-GB"/>
        </w:rPr>
        <w:t>-related administrations surpasses Â£200 million, with add up to societal costs</w:t>
      </w:r>
      <w:r w:rsidR="007F6760">
        <w:rPr>
          <w:rFonts w:ascii="Arial" w:hAnsi="Arial" w:cs="Arial"/>
          <w:sz w:val="24"/>
          <w:lang w:eastAsia="en-GB"/>
        </w:rPr>
        <w:t xml:space="preserve"> </w:t>
      </w:r>
      <w:r w:rsidRPr="00E705BB">
        <w:rPr>
          <w:rFonts w:ascii="Arial" w:hAnsi="Arial" w:cs="Arial"/>
          <w:sz w:val="24"/>
          <w:lang w:eastAsia="en-GB"/>
        </w:rPr>
        <w:t>including misplaced effici</w:t>
      </w:r>
      <w:r w:rsidR="007F6760">
        <w:rPr>
          <w:rFonts w:ascii="Arial" w:hAnsi="Arial" w:cs="Arial"/>
          <w:sz w:val="24"/>
          <w:lang w:eastAsia="en-GB"/>
        </w:rPr>
        <w:t xml:space="preserve">ency and casual care </w:t>
      </w:r>
      <w:r w:rsidRPr="00E705BB">
        <w:rPr>
          <w:rFonts w:ascii="Arial" w:hAnsi="Arial" w:cs="Arial"/>
          <w:sz w:val="24"/>
          <w:lang w:eastAsia="en-GB"/>
        </w:rPr>
        <w:t>estimated to surpass Â£1.5 billion per year (Open Wellbeing Britain, 2021). Statistic maturing, expanding survival rates, and upgraded mindfulness are anticipated to raise these numbers impressively over the coming decades, underscoring the criticalness for adap</w:t>
      </w:r>
      <w:r w:rsidR="007F6760">
        <w:rPr>
          <w:rFonts w:ascii="Arial" w:hAnsi="Arial" w:cs="Arial"/>
          <w:sz w:val="24"/>
          <w:lang w:eastAsia="en-GB"/>
        </w:rPr>
        <w:t>table, coordinates care models.</w:t>
      </w:r>
    </w:p>
    <w:p w14:paraId="2B695150" w14:textId="064E673E" w:rsidR="00E705BB" w:rsidRPr="007F6760" w:rsidRDefault="007F6760" w:rsidP="00E705BB">
      <w:pPr>
        <w:spacing w:line="360" w:lineRule="auto"/>
        <w:jc w:val="both"/>
        <w:rPr>
          <w:rFonts w:ascii="Arial" w:hAnsi="Arial" w:cs="Arial"/>
          <w:b/>
          <w:sz w:val="24"/>
          <w:lang w:eastAsia="en-GB"/>
        </w:rPr>
      </w:pPr>
      <w:r>
        <w:rPr>
          <w:rFonts w:ascii="Arial" w:hAnsi="Arial" w:cs="Arial"/>
          <w:b/>
          <w:sz w:val="24"/>
          <w:lang w:eastAsia="en-GB"/>
        </w:rPr>
        <w:t>Aetiology and Risk Factors</w:t>
      </w:r>
    </w:p>
    <w:p w14:paraId="66577F08" w14:textId="4F9CF0CC" w:rsidR="00E705BB" w:rsidRPr="00E705BB" w:rsidRDefault="00E705BB" w:rsidP="00E705BB">
      <w:pPr>
        <w:spacing w:line="360" w:lineRule="auto"/>
        <w:jc w:val="both"/>
        <w:rPr>
          <w:rFonts w:ascii="Arial" w:hAnsi="Arial" w:cs="Arial"/>
          <w:sz w:val="24"/>
          <w:lang w:eastAsia="en-GB"/>
        </w:rPr>
      </w:pPr>
      <w:r w:rsidRPr="00E705BB">
        <w:rPr>
          <w:rFonts w:ascii="Arial" w:hAnsi="Arial" w:cs="Arial"/>
          <w:sz w:val="24"/>
          <w:lang w:eastAsia="en-GB"/>
        </w:rPr>
        <w:t xml:space="preserve">The aetiology of </w:t>
      </w:r>
      <w:r w:rsidR="007F6760">
        <w:rPr>
          <w:rFonts w:ascii="Arial" w:hAnsi="Arial" w:cs="Arial"/>
          <w:sz w:val="24"/>
          <w:lang w:eastAsia="en-GB"/>
        </w:rPr>
        <w:t>Parkinson’s</w:t>
      </w:r>
      <w:r w:rsidRPr="00E705BB">
        <w:rPr>
          <w:rFonts w:ascii="Arial" w:hAnsi="Arial" w:cs="Arial"/>
          <w:sz w:val="24"/>
          <w:lang w:eastAsia="en-GB"/>
        </w:rPr>
        <w:t xml:space="preserve"> malady is multifactorial, including a complex exchange of </w:t>
      </w:r>
      <w:r w:rsidRPr="00E705BB">
        <w:rPr>
          <w:rFonts w:ascii="Arial" w:hAnsi="Arial" w:cs="Arial"/>
          <w:sz w:val="24"/>
          <w:lang w:eastAsia="en-GB"/>
        </w:rPr>
        <w:lastRenderedPageBreak/>
        <w:t>hereditary inclination, natural exposures, and age-r</w:t>
      </w:r>
      <w:r w:rsidR="007F6760">
        <w:rPr>
          <w:rFonts w:ascii="Arial" w:hAnsi="Arial" w:cs="Arial"/>
          <w:sz w:val="24"/>
          <w:lang w:eastAsia="en-GB"/>
        </w:rPr>
        <w:t>elated neurobiological changes.</w:t>
      </w:r>
    </w:p>
    <w:p w14:paraId="3B2DE7CB" w14:textId="56CA0050" w:rsidR="00E705BB" w:rsidRPr="007F6760" w:rsidRDefault="007F6760" w:rsidP="00352E25">
      <w:pPr>
        <w:pStyle w:val="ListParagraph"/>
        <w:numPr>
          <w:ilvl w:val="0"/>
          <w:numId w:val="1"/>
        </w:numPr>
        <w:spacing w:line="360" w:lineRule="auto"/>
        <w:jc w:val="both"/>
        <w:rPr>
          <w:rFonts w:ascii="Arial" w:hAnsi="Arial" w:cs="Arial"/>
          <w:sz w:val="24"/>
          <w:lang w:eastAsia="en-GB"/>
        </w:rPr>
      </w:pPr>
      <w:r w:rsidRPr="007F6760">
        <w:rPr>
          <w:rFonts w:ascii="Arial" w:hAnsi="Arial" w:cs="Arial"/>
          <w:b/>
          <w:sz w:val="24"/>
          <w:lang w:eastAsia="en-GB"/>
        </w:rPr>
        <w:t>Genetic factors:</w:t>
      </w:r>
      <w:r w:rsidRPr="007F6760">
        <w:rPr>
          <w:rFonts w:ascii="Arial" w:hAnsi="Arial" w:cs="Arial"/>
          <w:sz w:val="24"/>
          <w:lang w:eastAsia="en-GB"/>
        </w:rPr>
        <w:t xml:space="preserve"> Almost 10-</w:t>
      </w:r>
      <w:r w:rsidR="00E705BB" w:rsidRPr="007F6760">
        <w:rPr>
          <w:rFonts w:ascii="Arial" w:hAnsi="Arial" w:cs="Arial"/>
          <w:sz w:val="24"/>
          <w:lang w:eastAsia="en-GB"/>
        </w:rPr>
        <w:t>15% of PD cases have a familial connect. Transformations in qualities such as SNCA, LRRK2, PARK2, and GBA are related with expanded vulnerability and prior onset (</w:t>
      </w:r>
      <w:proofErr w:type="spellStart"/>
      <w:r w:rsidR="00E705BB" w:rsidRPr="007F6760">
        <w:rPr>
          <w:rFonts w:ascii="Arial" w:hAnsi="Arial" w:cs="Arial"/>
          <w:sz w:val="24"/>
          <w:lang w:eastAsia="en-GB"/>
        </w:rPr>
        <w:t>Blauwendra</w:t>
      </w:r>
      <w:r w:rsidRPr="007F6760">
        <w:rPr>
          <w:rFonts w:ascii="Arial" w:hAnsi="Arial" w:cs="Arial"/>
          <w:sz w:val="24"/>
          <w:lang w:eastAsia="en-GB"/>
        </w:rPr>
        <w:t>at</w:t>
      </w:r>
      <w:proofErr w:type="spellEnd"/>
      <w:r w:rsidRPr="007F6760">
        <w:rPr>
          <w:rFonts w:ascii="Arial" w:hAnsi="Arial" w:cs="Arial"/>
          <w:sz w:val="24"/>
          <w:lang w:eastAsia="en-GB"/>
        </w:rPr>
        <w:t>, Nalls and Singleton, 2020).</w:t>
      </w:r>
    </w:p>
    <w:p w14:paraId="18390CFB" w14:textId="5535603F" w:rsidR="00E705BB" w:rsidRPr="007F6760" w:rsidRDefault="00E705BB" w:rsidP="00352E25">
      <w:pPr>
        <w:pStyle w:val="ListParagraph"/>
        <w:numPr>
          <w:ilvl w:val="0"/>
          <w:numId w:val="1"/>
        </w:numPr>
        <w:spacing w:line="360" w:lineRule="auto"/>
        <w:jc w:val="both"/>
        <w:rPr>
          <w:rFonts w:ascii="Arial" w:hAnsi="Arial" w:cs="Arial"/>
          <w:sz w:val="24"/>
          <w:lang w:eastAsia="en-GB"/>
        </w:rPr>
      </w:pPr>
      <w:r w:rsidRPr="007F6760">
        <w:rPr>
          <w:rFonts w:ascii="Arial" w:hAnsi="Arial" w:cs="Arial"/>
          <w:b/>
          <w:sz w:val="24"/>
          <w:lang w:eastAsia="en-GB"/>
        </w:rPr>
        <w:t>Environmental influences:</w:t>
      </w:r>
      <w:r w:rsidRPr="007F6760">
        <w:rPr>
          <w:rFonts w:ascii="Arial" w:hAnsi="Arial" w:cs="Arial"/>
          <w:sz w:val="24"/>
          <w:lang w:eastAsia="en-GB"/>
        </w:rPr>
        <w:t xml:space="preserve"> Persistent introduction to pesticides, herbicides, and overwhelming metals, as well as provincial living and well-water utilisation, have been connected to expanded chance (Ball </w:t>
      </w:r>
      <w:r w:rsidR="00EF7DFB">
        <w:rPr>
          <w:rFonts w:ascii="Arial" w:hAnsi="Arial" w:cs="Arial"/>
          <w:sz w:val="24"/>
          <w:lang w:eastAsia="en-GB"/>
        </w:rPr>
        <w:t>et al</w:t>
      </w:r>
      <w:r w:rsidRPr="007F6760">
        <w:rPr>
          <w:rFonts w:ascii="Arial" w:hAnsi="Arial" w:cs="Arial"/>
          <w:sz w:val="24"/>
          <w:lang w:eastAsia="en-GB"/>
        </w:rPr>
        <w:t xml:space="preserve">., 2019). On the other hand, variables such as standard caffeine admissions, smoking, and physical movement show up to have a </w:t>
      </w:r>
      <w:r w:rsidR="007F6760" w:rsidRPr="007F6760">
        <w:rPr>
          <w:rFonts w:ascii="Arial" w:hAnsi="Arial" w:cs="Arial"/>
          <w:sz w:val="24"/>
          <w:lang w:eastAsia="en-GB"/>
        </w:rPr>
        <w:t>defensive</w:t>
      </w:r>
      <w:r w:rsidRPr="007F6760">
        <w:rPr>
          <w:rFonts w:ascii="Arial" w:hAnsi="Arial" w:cs="Arial"/>
          <w:sz w:val="24"/>
          <w:lang w:eastAsia="en-GB"/>
        </w:rPr>
        <w:t xml:space="preserve"> impact (</w:t>
      </w:r>
      <w:proofErr w:type="spellStart"/>
      <w:r w:rsidRPr="007F6760">
        <w:rPr>
          <w:rFonts w:ascii="Arial" w:hAnsi="Arial" w:cs="Arial"/>
          <w:sz w:val="24"/>
          <w:lang w:eastAsia="en-GB"/>
        </w:rPr>
        <w:t>Asche</w:t>
      </w:r>
      <w:r w:rsidR="007F6760" w:rsidRPr="007F6760">
        <w:rPr>
          <w:rFonts w:ascii="Arial" w:hAnsi="Arial" w:cs="Arial"/>
          <w:sz w:val="24"/>
          <w:lang w:eastAsia="en-GB"/>
        </w:rPr>
        <w:t>rio</w:t>
      </w:r>
      <w:proofErr w:type="spellEnd"/>
      <w:r w:rsidR="007F6760" w:rsidRPr="007F6760">
        <w:rPr>
          <w:rFonts w:ascii="Arial" w:hAnsi="Arial" w:cs="Arial"/>
          <w:sz w:val="24"/>
          <w:lang w:eastAsia="en-GB"/>
        </w:rPr>
        <w:t xml:space="preserve"> and Schwarzschild, 2016).</w:t>
      </w:r>
    </w:p>
    <w:p w14:paraId="0AAEA42C" w14:textId="10E05AEB" w:rsidR="00E705BB" w:rsidRPr="007F6760" w:rsidRDefault="00E705BB" w:rsidP="00352E25">
      <w:pPr>
        <w:pStyle w:val="ListParagraph"/>
        <w:numPr>
          <w:ilvl w:val="0"/>
          <w:numId w:val="1"/>
        </w:numPr>
        <w:spacing w:line="360" w:lineRule="auto"/>
        <w:jc w:val="both"/>
        <w:rPr>
          <w:rFonts w:ascii="Arial" w:hAnsi="Arial" w:cs="Arial"/>
          <w:sz w:val="24"/>
          <w:lang w:eastAsia="en-GB"/>
        </w:rPr>
      </w:pPr>
      <w:r w:rsidRPr="007F6760">
        <w:rPr>
          <w:rFonts w:ascii="Arial" w:hAnsi="Arial" w:cs="Arial"/>
          <w:b/>
          <w:sz w:val="24"/>
          <w:lang w:eastAsia="en-GB"/>
        </w:rPr>
        <w:t>Ageing:</w:t>
      </w:r>
      <w:r w:rsidRPr="007F6760">
        <w:rPr>
          <w:rFonts w:ascii="Arial" w:hAnsi="Arial" w:cs="Arial"/>
          <w:sz w:val="24"/>
          <w:lang w:eastAsia="en-GB"/>
        </w:rPr>
        <w:t xml:space="preserve"> Progressing age remains the most grounded chance figure, reflecting </w:t>
      </w:r>
      <w:r w:rsidRPr="007F6760">
        <w:rPr>
          <w:rFonts w:ascii="Arial" w:hAnsi="Arial" w:cs="Arial"/>
          <w:sz w:val="24"/>
          <w:lang w:eastAsia="en-GB"/>
        </w:rPr>
        <w:lastRenderedPageBreak/>
        <w:t xml:space="preserve">aggregate oxidative push, mitochondrial brokenness, and neuroinflammation driving to dopaminergic neuronal </w:t>
      </w:r>
      <w:r w:rsidR="007F6760" w:rsidRPr="007F6760">
        <w:rPr>
          <w:rFonts w:ascii="Arial" w:hAnsi="Arial" w:cs="Arial"/>
          <w:sz w:val="24"/>
          <w:lang w:eastAsia="en-GB"/>
        </w:rPr>
        <w:t>passing (Kalia and Lang, 2015).</w:t>
      </w:r>
    </w:p>
    <w:p w14:paraId="7FB71E08" w14:textId="478D3D39" w:rsidR="00E705BB" w:rsidRPr="007F6760" w:rsidRDefault="00E705BB" w:rsidP="00352E25">
      <w:pPr>
        <w:pStyle w:val="ListParagraph"/>
        <w:numPr>
          <w:ilvl w:val="0"/>
          <w:numId w:val="1"/>
        </w:numPr>
        <w:spacing w:line="360" w:lineRule="auto"/>
        <w:jc w:val="both"/>
        <w:rPr>
          <w:rFonts w:ascii="Arial" w:hAnsi="Arial" w:cs="Arial"/>
          <w:sz w:val="24"/>
          <w:lang w:eastAsia="en-GB"/>
        </w:rPr>
      </w:pPr>
      <w:r w:rsidRPr="007F6760">
        <w:rPr>
          <w:rFonts w:ascii="Arial" w:hAnsi="Arial" w:cs="Arial"/>
          <w:b/>
          <w:sz w:val="24"/>
          <w:lang w:eastAsia="en-GB"/>
        </w:rPr>
        <w:t>Gender:</w:t>
      </w:r>
      <w:r w:rsidRPr="007F6760">
        <w:rPr>
          <w:rFonts w:ascii="Arial" w:hAnsi="Arial" w:cs="Arial"/>
          <w:sz w:val="24"/>
          <w:lang w:eastAsia="en-GB"/>
        </w:rPr>
        <w:t xml:space="preserve"> Men show somewhat higher chance, possibly due to neuroprotective impacts of oestrogen in lad</w:t>
      </w:r>
      <w:r w:rsidR="007F6760" w:rsidRPr="007F6760">
        <w:rPr>
          <w:rFonts w:ascii="Arial" w:hAnsi="Arial" w:cs="Arial"/>
          <w:sz w:val="24"/>
          <w:lang w:eastAsia="en-GB"/>
        </w:rPr>
        <w:t xml:space="preserve">ies (Cerri and </w:t>
      </w:r>
      <w:proofErr w:type="spellStart"/>
      <w:r w:rsidR="007F6760" w:rsidRPr="007F6760">
        <w:rPr>
          <w:rFonts w:ascii="Arial" w:hAnsi="Arial" w:cs="Arial"/>
          <w:sz w:val="24"/>
          <w:lang w:eastAsia="en-GB"/>
        </w:rPr>
        <w:t>Blandini</w:t>
      </w:r>
      <w:proofErr w:type="spellEnd"/>
      <w:r w:rsidR="007F6760" w:rsidRPr="007F6760">
        <w:rPr>
          <w:rFonts w:ascii="Arial" w:hAnsi="Arial" w:cs="Arial"/>
          <w:sz w:val="24"/>
          <w:lang w:eastAsia="en-GB"/>
        </w:rPr>
        <w:t>, 2019).</w:t>
      </w:r>
    </w:p>
    <w:p w14:paraId="7043B201" w14:textId="181A9F8E" w:rsidR="00E705BB" w:rsidRPr="007F6760" w:rsidRDefault="00E705BB" w:rsidP="00352E25">
      <w:pPr>
        <w:pStyle w:val="ListParagraph"/>
        <w:numPr>
          <w:ilvl w:val="0"/>
          <w:numId w:val="1"/>
        </w:numPr>
        <w:spacing w:line="360" w:lineRule="auto"/>
        <w:jc w:val="both"/>
        <w:rPr>
          <w:rFonts w:ascii="Arial" w:hAnsi="Arial" w:cs="Arial"/>
          <w:sz w:val="24"/>
          <w:lang w:eastAsia="en-GB"/>
        </w:rPr>
      </w:pPr>
      <w:r w:rsidRPr="007F6760">
        <w:rPr>
          <w:rFonts w:ascii="Arial" w:hAnsi="Arial" w:cs="Arial"/>
          <w:b/>
          <w:sz w:val="24"/>
          <w:lang w:eastAsia="en-GB"/>
        </w:rPr>
        <w:t>Lifestyle and comorbidities:</w:t>
      </w:r>
      <w:r w:rsidRPr="007F6760">
        <w:rPr>
          <w:rFonts w:ascii="Arial" w:hAnsi="Arial" w:cs="Arial"/>
          <w:sz w:val="24"/>
          <w:lang w:eastAsia="en-GB"/>
        </w:rPr>
        <w:t xml:space="preserve"> Diabetes, dyslipidaemia, and unremitting obstruction have been watched as comorbid hazard pointers, recommending systemic metabolic association (Chen et</w:t>
      </w:r>
      <w:r w:rsidR="00EF7DFB">
        <w:rPr>
          <w:rFonts w:ascii="Arial" w:hAnsi="Arial" w:cs="Arial"/>
          <w:sz w:val="24"/>
          <w:lang w:eastAsia="en-GB"/>
        </w:rPr>
        <w:t xml:space="preserve"> </w:t>
      </w:r>
      <w:r w:rsidRPr="007F6760">
        <w:rPr>
          <w:rFonts w:ascii="Arial" w:hAnsi="Arial" w:cs="Arial"/>
          <w:sz w:val="24"/>
          <w:lang w:eastAsia="en-GB"/>
        </w:rPr>
        <w:t>al., 2020).</w:t>
      </w:r>
    </w:p>
    <w:p w14:paraId="65945170" w14:textId="26474EBA" w:rsidR="00BC00CB" w:rsidRDefault="00E705BB" w:rsidP="00E705BB">
      <w:pPr>
        <w:spacing w:line="360" w:lineRule="auto"/>
        <w:jc w:val="both"/>
        <w:rPr>
          <w:rFonts w:ascii="Arial" w:hAnsi="Arial" w:cs="Arial"/>
          <w:sz w:val="24"/>
          <w:lang w:eastAsia="en-GB"/>
        </w:rPr>
      </w:pPr>
      <w:r w:rsidRPr="00E705BB">
        <w:rPr>
          <w:rFonts w:ascii="Arial" w:hAnsi="Arial" w:cs="Arial"/>
          <w:sz w:val="24"/>
          <w:lang w:eastAsia="en-GB"/>
        </w:rPr>
        <w:t xml:space="preserve">In summary, </w:t>
      </w:r>
      <w:r w:rsidR="007F6760">
        <w:rPr>
          <w:rFonts w:ascii="Arial" w:hAnsi="Arial" w:cs="Arial"/>
          <w:sz w:val="24"/>
          <w:lang w:eastAsia="en-GB"/>
        </w:rPr>
        <w:t>Parkinson’s</w:t>
      </w:r>
      <w:r w:rsidRPr="00E705BB">
        <w:rPr>
          <w:rFonts w:ascii="Arial" w:hAnsi="Arial" w:cs="Arial"/>
          <w:sz w:val="24"/>
          <w:lang w:eastAsia="en-GB"/>
        </w:rPr>
        <w:t xml:space="preserve"> malady speaks to a developing open wellbeing challenge within the UK, formed by maturing socioeconomics and complex aetiological pathways. Understanding its definition, predominance, and chance profile is fundamental for experts to plan evidence-based, preventative, and person-centred administration techniques. </w:t>
      </w:r>
    </w:p>
    <w:p w14:paraId="18A3F052" w14:textId="1E1A0C6E" w:rsidR="007F6760" w:rsidRDefault="007F6760" w:rsidP="00E705BB">
      <w:pPr>
        <w:spacing w:line="360" w:lineRule="auto"/>
        <w:jc w:val="both"/>
        <w:rPr>
          <w:rFonts w:ascii="Arial" w:hAnsi="Arial" w:cs="Arial"/>
          <w:sz w:val="24"/>
          <w:lang w:eastAsia="en-GB"/>
        </w:rPr>
      </w:pPr>
    </w:p>
    <w:p w14:paraId="685B8B0F" w14:textId="77777777" w:rsidR="007F6760" w:rsidRPr="00BC00CB" w:rsidRDefault="007F6760" w:rsidP="00E705BB">
      <w:pPr>
        <w:spacing w:line="360" w:lineRule="auto"/>
        <w:jc w:val="both"/>
        <w:rPr>
          <w:rFonts w:ascii="Arial" w:hAnsi="Arial" w:cs="Arial"/>
          <w:sz w:val="24"/>
          <w:lang w:eastAsia="en-GB"/>
        </w:rPr>
      </w:pPr>
    </w:p>
    <w:p w14:paraId="7E8B9180" w14:textId="0B7156D5" w:rsidR="00602C98" w:rsidRDefault="00602C98" w:rsidP="009B5DEE">
      <w:pPr>
        <w:pStyle w:val="Heading1"/>
        <w:rPr>
          <w:rFonts w:eastAsia="Times New Roman"/>
          <w:lang w:eastAsia="en-GB"/>
        </w:rPr>
      </w:pPr>
      <w:bookmarkStart w:id="2" w:name="_Toc213973681"/>
      <w:r w:rsidRPr="00602C98">
        <w:rPr>
          <w:rFonts w:eastAsia="Times New Roman"/>
          <w:lang w:eastAsia="en-GB"/>
        </w:rPr>
        <w:t>Impacts on Individuals, Families &amp; Carers</w:t>
      </w:r>
      <w:bookmarkEnd w:id="2"/>
      <w:r w:rsidRPr="00602C98">
        <w:rPr>
          <w:rFonts w:eastAsia="Times New Roman"/>
          <w:lang w:eastAsia="en-GB"/>
        </w:rPr>
        <w:t xml:space="preserve"> </w:t>
      </w:r>
    </w:p>
    <w:p w14:paraId="74B0D7CC" w14:textId="2F84D02D" w:rsidR="009B5DEE" w:rsidRPr="009B5DEE" w:rsidRDefault="00D952EC" w:rsidP="00D952EC">
      <w:pPr>
        <w:spacing w:line="360" w:lineRule="auto"/>
        <w:jc w:val="both"/>
        <w:rPr>
          <w:rFonts w:ascii="Arial" w:hAnsi="Arial" w:cs="Arial"/>
          <w:sz w:val="24"/>
          <w:szCs w:val="24"/>
          <w:lang w:eastAsia="en-GB"/>
        </w:rPr>
      </w:pPr>
      <w:r>
        <w:rPr>
          <w:rFonts w:ascii="Arial" w:hAnsi="Arial" w:cs="Arial"/>
          <w:sz w:val="24"/>
          <w:szCs w:val="24"/>
          <w:lang w:eastAsia="en-GB"/>
        </w:rPr>
        <w:t>Parkinson’s</w:t>
      </w:r>
      <w:r w:rsidR="009B5DEE" w:rsidRPr="009B5DEE">
        <w:rPr>
          <w:rFonts w:ascii="Arial" w:hAnsi="Arial" w:cs="Arial"/>
          <w:sz w:val="24"/>
          <w:szCs w:val="24"/>
          <w:lang w:eastAsia="en-GB"/>
        </w:rPr>
        <w:t xml:space="preserve"> disease (PD) applies a significant and multifaceted </w:t>
      </w:r>
      <w:r w:rsidRPr="009B5DEE">
        <w:rPr>
          <w:rFonts w:ascii="Arial" w:hAnsi="Arial" w:cs="Arial"/>
          <w:sz w:val="24"/>
          <w:szCs w:val="24"/>
          <w:lang w:eastAsia="en-GB"/>
        </w:rPr>
        <w:t>effect</w:t>
      </w:r>
      <w:r w:rsidR="009B5DEE" w:rsidRPr="009B5DEE">
        <w:rPr>
          <w:rFonts w:ascii="Arial" w:hAnsi="Arial" w:cs="Arial"/>
          <w:sz w:val="24"/>
          <w:szCs w:val="24"/>
          <w:lang w:eastAsia="en-GB"/>
        </w:rPr>
        <w:t xml:space="preserve"> on the physical, mental, and social well-being of people, whereas moreover impacting the quality of life of families and casual carers. As a persistent, dynamic condition, its impacts amplify past the person to the broader organise of connections and back frameworks, requiring </w:t>
      </w:r>
      <w:r w:rsidRPr="009B5DEE">
        <w:rPr>
          <w:rFonts w:ascii="Arial" w:hAnsi="Arial" w:cs="Arial"/>
          <w:sz w:val="24"/>
          <w:szCs w:val="24"/>
          <w:lang w:eastAsia="en-GB"/>
        </w:rPr>
        <w:t>an</w:t>
      </w:r>
      <w:r w:rsidR="009B5DEE" w:rsidRPr="009B5DEE">
        <w:rPr>
          <w:rFonts w:ascii="Arial" w:hAnsi="Arial" w:cs="Arial"/>
          <w:sz w:val="24"/>
          <w:szCs w:val="24"/>
          <w:lang w:eastAsia="en-GB"/>
        </w:rPr>
        <w:t xml:space="preserve"> </w:t>
      </w:r>
      <w:r w:rsidRPr="009B5DEE">
        <w:rPr>
          <w:rFonts w:ascii="Arial" w:hAnsi="Arial" w:cs="Arial"/>
          <w:sz w:val="24"/>
          <w:szCs w:val="24"/>
          <w:lang w:eastAsia="en-GB"/>
        </w:rPr>
        <w:t>all-encompassing</w:t>
      </w:r>
      <w:r w:rsidR="009B5DEE" w:rsidRPr="009B5DEE">
        <w:rPr>
          <w:rFonts w:ascii="Arial" w:hAnsi="Arial" w:cs="Arial"/>
          <w:sz w:val="24"/>
          <w:szCs w:val="24"/>
          <w:lang w:eastAsia="en-GB"/>
        </w:rPr>
        <w:t xml:space="preserve"> and coordinates care reaction (Pleasant, 2024).</w:t>
      </w:r>
    </w:p>
    <w:p w14:paraId="05F94129" w14:textId="030E5F8D" w:rsidR="009B5DEE" w:rsidRPr="00D952EC" w:rsidRDefault="00D952EC" w:rsidP="00D952EC">
      <w:pPr>
        <w:spacing w:line="360" w:lineRule="auto"/>
        <w:jc w:val="both"/>
        <w:rPr>
          <w:rFonts w:ascii="Arial" w:hAnsi="Arial" w:cs="Arial"/>
          <w:b/>
          <w:sz w:val="24"/>
          <w:szCs w:val="24"/>
          <w:lang w:eastAsia="en-GB"/>
        </w:rPr>
      </w:pPr>
      <w:r>
        <w:rPr>
          <w:rFonts w:ascii="Arial" w:hAnsi="Arial" w:cs="Arial"/>
          <w:b/>
          <w:sz w:val="24"/>
          <w:szCs w:val="24"/>
          <w:lang w:eastAsia="en-GB"/>
        </w:rPr>
        <w:t>1. Physical Impacts</w:t>
      </w:r>
    </w:p>
    <w:p w14:paraId="46457DFD" w14:textId="77777777"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PD primarily influences engine control, creating dynamic physical incapacity that limits every day working and freedom.</w:t>
      </w:r>
    </w:p>
    <w:p w14:paraId="408768E4" w14:textId="06F9288F" w:rsidR="009B5DEE" w:rsidRPr="00D952EC" w:rsidRDefault="00D952EC" w:rsidP="00D952EC">
      <w:pPr>
        <w:spacing w:line="360" w:lineRule="auto"/>
        <w:jc w:val="both"/>
        <w:rPr>
          <w:rFonts w:ascii="Arial" w:hAnsi="Arial" w:cs="Arial"/>
          <w:b/>
          <w:sz w:val="24"/>
          <w:szCs w:val="24"/>
          <w:lang w:eastAsia="en-GB"/>
        </w:rPr>
      </w:pPr>
      <w:r w:rsidRPr="00D952EC">
        <w:rPr>
          <w:rFonts w:ascii="Arial" w:hAnsi="Arial" w:cs="Arial"/>
          <w:b/>
          <w:sz w:val="24"/>
          <w:szCs w:val="24"/>
          <w:lang w:eastAsia="en-GB"/>
        </w:rPr>
        <w:t>Key manifestations include:</w:t>
      </w:r>
    </w:p>
    <w:p w14:paraId="2EE319B1" w14:textId="586A0448" w:rsidR="009B5DEE" w:rsidRPr="00D952EC" w:rsidRDefault="009B5DEE" w:rsidP="00352E25">
      <w:pPr>
        <w:pStyle w:val="ListParagraph"/>
        <w:numPr>
          <w:ilvl w:val="0"/>
          <w:numId w:val="2"/>
        </w:numPr>
        <w:spacing w:line="360" w:lineRule="auto"/>
        <w:jc w:val="both"/>
        <w:rPr>
          <w:rFonts w:ascii="Arial" w:hAnsi="Arial" w:cs="Arial"/>
          <w:sz w:val="24"/>
          <w:szCs w:val="24"/>
          <w:lang w:eastAsia="en-GB"/>
        </w:rPr>
      </w:pPr>
      <w:r w:rsidRPr="00D952EC">
        <w:rPr>
          <w:rFonts w:ascii="Arial" w:hAnsi="Arial" w:cs="Arial"/>
          <w:b/>
          <w:sz w:val="24"/>
          <w:szCs w:val="24"/>
          <w:lang w:eastAsia="en-GB"/>
        </w:rPr>
        <w:t>Motor symptoms:</w:t>
      </w:r>
      <w:r w:rsidRPr="00D952EC">
        <w:rPr>
          <w:rFonts w:ascii="Arial" w:hAnsi="Arial" w:cs="Arial"/>
          <w:sz w:val="24"/>
          <w:szCs w:val="24"/>
          <w:lang w:eastAsia="en-GB"/>
        </w:rPr>
        <w:t xml:space="preserve"> bradykinesia (gradualness of development), solid </w:t>
      </w:r>
      <w:r w:rsidRPr="00D952EC">
        <w:rPr>
          <w:rFonts w:ascii="Arial" w:hAnsi="Arial" w:cs="Arial"/>
          <w:sz w:val="24"/>
          <w:szCs w:val="24"/>
          <w:lang w:eastAsia="en-GB"/>
        </w:rPr>
        <w:lastRenderedPageBreak/>
        <w:t xml:space="preserve">inflexibility, resting tremor, and postural flimsiness (Kalia and Lang, 2015). These contribute to decreased versatility, disabled adjust, and expanded hazard of falls, regularly driving to breaks and healing centre affirmations </w:t>
      </w:r>
      <w:r w:rsidR="00D952EC" w:rsidRPr="00D952EC">
        <w:rPr>
          <w:rFonts w:ascii="Arial" w:hAnsi="Arial" w:cs="Arial"/>
          <w:sz w:val="24"/>
          <w:szCs w:val="24"/>
          <w:lang w:eastAsia="en-GB"/>
        </w:rPr>
        <w:t>(Open Wellbeing Britain, 2021).</w:t>
      </w:r>
    </w:p>
    <w:p w14:paraId="70A60048" w14:textId="0679DD3D" w:rsidR="009B5DEE" w:rsidRPr="00D952EC" w:rsidRDefault="009B5DEE" w:rsidP="00352E25">
      <w:pPr>
        <w:pStyle w:val="ListParagraph"/>
        <w:numPr>
          <w:ilvl w:val="0"/>
          <w:numId w:val="2"/>
        </w:numPr>
        <w:spacing w:line="360" w:lineRule="auto"/>
        <w:jc w:val="both"/>
        <w:rPr>
          <w:rFonts w:ascii="Arial" w:hAnsi="Arial" w:cs="Arial"/>
          <w:sz w:val="24"/>
          <w:szCs w:val="24"/>
          <w:lang w:eastAsia="en-GB"/>
        </w:rPr>
      </w:pPr>
      <w:r w:rsidRPr="00D952EC">
        <w:rPr>
          <w:rFonts w:ascii="Arial" w:hAnsi="Arial" w:cs="Arial"/>
          <w:b/>
          <w:sz w:val="24"/>
          <w:szCs w:val="24"/>
          <w:lang w:eastAsia="en-GB"/>
        </w:rPr>
        <w:t>Functional decline</w:t>
      </w:r>
      <w:r w:rsidRPr="00D952EC">
        <w:rPr>
          <w:rFonts w:ascii="Arial" w:hAnsi="Arial" w:cs="Arial"/>
          <w:sz w:val="24"/>
          <w:szCs w:val="24"/>
          <w:lang w:eastAsia="en-GB"/>
        </w:rPr>
        <w:t>: misfortune of smoothness, troubles in composing, dressing, and eating, which decrease independence and require adjustment inside the domestic environment (</w:t>
      </w:r>
      <w:r w:rsidR="00D952EC" w:rsidRPr="00D952EC">
        <w:rPr>
          <w:rFonts w:ascii="Arial" w:hAnsi="Arial" w:cs="Arial"/>
          <w:sz w:val="24"/>
          <w:szCs w:val="24"/>
          <w:lang w:eastAsia="en-GB"/>
        </w:rPr>
        <w:t>Parkinson’s</w:t>
      </w:r>
      <w:r w:rsidRPr="00D952EC">
        <w:rPr>
          <w:rFonts w:ascii="Arial" w:hAnsi="Arial" w:cs="Arial"/>
          <w:sz w:val="24"/>
          <w:szCs w:val="24"/>
          <w:lang w:eastAsia="en-GB"/>
        </w:rPr>
        <w:t xml:space="preserve"> UK, 2024</w:t>
      </w:r>
      <w:r w:rsidR="00D952EC" w:rsidRPr="00D952EC">
        <w:rPr>
          <w:rFonts w:ascii="Arial" w:hAnsi="Arial" w:cs="Arial"/>
          <w:sz w:val="24"/>
          <w:szCs w:val="24"/>
          <w:lang w:eastAsia="en-GB"/>
        </w:rPr>
        <w:t>).</w:t>
      </w:r>
    </w:p>
    <w:p w14:paraId="7B83F7FE" w14:textId="4E14848A" w:rsidR="009B5DEE" w:rsidRPr="00D952EC" w:rsidRDefault="009B5DEE" w:rsidP="00352E25">
      <w:pPr>
        <w:pStyle w:val="ListParagraph"/>
        <w:numPr>
          <w:ilvl w:val="0"/>
          <w:numId w:val="2"/>
        </w:numPr>
        <w:spacing w:line="360" w:lineRule="auto"/>
        <w:jc w:val="both"/>
        <w:rPr>
          <w:rFonts w:ascii="Arial" w:hAnsi="Arial" w:cs="Arial"/>
          <w:sz w:val="24"/>
          <w:szCs w:val="24"/>
          <w:lang w:eastAsia="en-GB"/>
        </w:rPr>
      </w:pPr>
      <w:r w:rsidRPr="00D952EC">
        <w:rPr>
          <w:rFonts w:ascii="Arial" w:hAnsi="Arial" w:cs="Arial"/>
          <w:b/>
          <w:sz w:val="24"/>
          <w:szCs w:val="24"/>
          <w:lang w:eastAsia="en-GB"/>
        </w:rPr>
        <w:t>Non-motor symptoms:</w:t>
      </w:r>
      <w:r w:rsidRPr="00D952EC">
        <w:rPr>
          <w:rFonts w:ascii="Arial" w:hAnsi="Arial" w:cs="Arial"/>
          <w:sz w:val="24"/>
          <w:szCs w:val="24"/>
          <w:lang w:eastAsia="en-GB"/>
        </w:rPr>
        <w:t xml:space="preserve"> cognitive disability, weariness, torment, rest clutters, dysphagia, obstruction, and discourse changes altogether disable day-to-day living (Schapir</w:t>
      </w:r>
      <w:r w:rsidR="00D952EC" w:rsidRPr="00D952EC">
        <w:rPr>
          <w:rFonts w:ascii="Arial" w:hAnsi="Arial" w:cs="Arial"/>
          <w:sz w:val="24"/>
          <w:szCs w:val="24"/>
          <w:lang w:eastAsia="en-GB"/>
        </w:rPr>
        <w:t>a, Chaudhuri and Jenner, 2020).</w:t>
      </w:r>
    </w:p>
    <w:p w14:paraId="4149018C" w14:textId="4AF67A34" w:rsidR="009B5DEE" w:rsidRPr="00D952EC" w:rsidRDefault="009B5DEE" w:rsidP="00352E25">
      <w:pPr>
        <w:pStyle w:val="ListParagraph"/>
        <w:numPr>
          <w:ilvl w:val="0"/>
          <w:numId w:val="2"/>
        </w:numPr>
        <w:spacing w:line="360" w:lineRule="auto"/>
        <w:jc w:val="both"/>
        <w:rPr>
          <w:rFonts w:ascii="Arial" w:hAnsi="Arial" w:cs="Arial"/>
          <w:sz w:val="24"/>
          <w:szCs w:val="24"/>
          <w:lang w:eastAsia="en-GB"/>
        </w:rPr>
      </w:pPr>
      <w:r w:rsidRPr="00D952EC">
        <w:rPr>
          <w:rFonts w:ascii="Arial" w:hAnsi="Arial" w:cs="Arial"/>
          <w:b/>
          <w:sz w:val="24"/>
          <w:szCs w:val="24"/>
          <w:lang w:eastAsia="en-GB"/>
        </w:rPr>
        <w:t>Disease progression:</w:t>
      </w:r>
      <w:r w:rsidRPr="00D952EC">
        <w:rPr>
          <w:rFonts w:ascii="Arial" w:hAnsi="Arial" w:cs="Arial"/>
          <w:sz w:val="24"/>
          <w:szCs w:val="24"/>
          <w:lang w:eastAsia="en-GB"/>
        </w:rPr>
        <w:t xml:space="preserve"> as PD progresses, vacill</w:t>
      </w:r>
      <w:r w:rsidR="00D952EC" w:rsidRPr="00D952EC">
        <w:rPr>
          <w:rFonts w:ascii="Arial" w:hAnsi="Arial" w:cs="Arial"/>
          <w:sz w:val="24"/>
          <w:szCs w:val="24"/>
          <w:lang w:eastAsia="en-GB"/>
        </w:rPr>
        <w:t>ations in side effect control (</w:t>
      </w:r>
      <w:r w:rsidRPr="00D952EC">
        <w:rPr>
          <w:rFonts w:ascii="Arial" w:hAnsi="Arial" w:cs="Arial"/>
          <w:sz w:val="24"/>
          <w:szCs w:val="24"/>
          <w:lang w:eastAsia="en-GB"/>
        </w:rPr>
        <w:t xml:space="preserve">on-off marvels) and </w:t>
      </w:r>
      <w:r w:rsidR="00D952EC" w:rsidRPr="00D952EC">
        <w:rPr>
          <w:rFonts w:ascii="Arial" w:hAnsi="Arial" w:cs="Arial"/>
          <w:sz w:val="24"/>
          <w:szCs w:val="24"/>
          <w:lang w:eastAsia="en-GB"/>
        </w:rPr>
        <w:t>dyskinesia’s</w:t>
      </w:r>
      <w:r w:rsidRPr="00D952EC">
        <w:rPr>
          <w:rFonts w:ascii="Arial" w:hAnsi="Arial" w:cs="Arial"/>
          <w:sz w:val="24"/>
          <w:szCs w:val="24"/>
          <w:lang w:eastAsia="en-GB"/>
        </w:rPr>
        <w:t xml:space="preserve"> </w:t>
      </w:r>
      <w:r w:rsidRPr="00D952EC">
        <w:rPr>
          <w:rFonts w:ascii="Arial" w:hAnsi="Arial" w:cs="Arial"/>
          <w:sz w:val="24"/>
          <w:szCs w:val="24"/>
          <w:lang w:eastAsia="en-GB"/>
        </w:rPr>
        <w:lastRenderedPageBreak/>
        <w:t>related to levodopa treatment complicate administration and increment care reque</w:t>
      </w:r>
      <w:r w:rsidR="00D952EC" w:rsidRPr="00D952EC">
        <w:rPr>
          <w:rFonts w:ascii="Arial" w:hAnsi="Arial" w:cs="Arial"/>
          <w:sz w:val="24"/>
          <w:szCs w:val="24"/>
          <w:lang w:eastAsia="en-GB"/>
        </w:rPr>
        <w:t xml:space="preserve">sts (Cerri and </w:t>
      </w:r>
      <w:proofErr w:type="spellStart"/>
      <w:r w:rsidR="00D952EC" w:rsidRPr="00D952EC">
        <w:rPr>
          <w:rFonts w:ascii="Arial" w:hAnsi="Arial" w:cs="Arial"/>
          <w:sz w:val="24"/>
          <w:szCs w:val="24"/>
          <w:lang w:eastAsia="en-GB"/>
        </w:rPr>
        <w:t>Blandini</w:t>
      </w:r>
      <w:proofErr w:type="spellEnd"/>
      <w:r w:rsidR="00D952EC" w:rsidRPr="00D952EC">
        <w:rPr>
          <w:rFonts w:ascii="Arial" w:hAnsi="Arial" w:cs="Arial"/>
          <w:sz w:val="24"/>
          <w:szCs w:val="24"/>
          <w:lang w:eastAsia="en-GB"/>
        </w:rPr>
        <w:t>, 2019).</w:t>
      </w:r>
    </w:p>
    <w:p w14:paraId="64E3FB95" w14:textId="325338BB" w:rsidR="009B5DEE" w:rsidRPr="00D952EC" w:rsidRDefault="009B5DEE" w:rsidP="00352E25">
      <w:pPr>
        <w:pStyle w:val="ListParagraph"/>
        <w:numPr>
          <w:ilvl w:val="0"/>
          <w:numId w:val="2"/>
        </w:numPr>
        <w:spacing w:line="360" w:lineRule="auto"/>
        <w:jc w:val="both"/>
        <w:rPr>
          <w:rFonts w:ascii="Arial" w:hAnsi="Arial" w:cs="Arial"/>
          <w:sz w:val="24"/>
          <w:szCs w:val="24"/>
          <w:lang w:eastAsia="en-GB"/>
        </w:rPr>
      </w:pPr>
      <w:r w:rsidRPr="00D952EC">
        <w:rPr>
          <w:rFonts w:ascii="Arial" w:hAnsi="Arial" w:cs="Arial"/>
          <w:b/>
          <w:sz w:val="24"/>
          <w:szCs w:val="24"/>
          <w:lang w:eastAsia="en-GB"/>
        </w:rPr>
        <w:t>Comorbidities:</w:t>
      </w:r>
      <w:r w:rsidRPr="00D952EC">
        <w:rPr>
          <w:rFonts w:ascii="Arial" w:hAnsi="Arial" w:cs="Arial"/>
          <w:sz w:val="24"/>
          <w:szCs w:val="24"/>
          <w:lang w:eastAsia="en-GB"/>
        </w:rPr>
        <w:t xml:space="preserve"> people regularly encounter co-existing conditions such as cardiovascular infection, discouragement, and musculoskeletal clutters, advance raising healthc</w:t>
      </w:r>
      <w:r w:rsidR="00D952EC" w:rsidRPr="00D952EC">
        <w:rPr>
          <w:rFonts w:ascii="Arial" w:hAnsi="Arial" w:cs="Arial"/>
          <w:sz w:val="24"/>
          <w:szCs w:val="24"/>
          <w:lang w:eastAsia="en-GB"/>
        </w:rPr>
        <w:t xml:space="preserve">are needs (Chen </w:t>
      </w:r>
      <w:r w:rsidR="00EF7DFB">
        <w:rPr>
          <w:rFonts w:ascii="Arial" w:hAnsi="Arial" w:cs="Arial"/>
          <w:sz w:val="24"/>
          <w:szCs w:val="24"/>
          <w:lang w:eastAsia="en-GB"/>
        </w:rPr>
        <w:t>et al</w:t>
      </w:r>
      <w:r w:rsidR="00D952EC" w:rsidRPr="00D952EC">
        <w:rPr>
          <w:rFonts w:ascii="Arial" w:hAnsi="Arial" w:cs="Arial"/>
          <w:sz w:val="24"/>
          <w:szCs w:val="24"/>
          <w:lang w:eastAsia="en-GB"/>
        </w:rPr>
        <w:t>., 2020).</w:t>
      </w:r>
    </w:p>
    <w:p w14:paraId="7F859EC4" w14:textId="3F15D57D"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 xml:space="preserve">The physical weakening caused by PD leads to reliance on caregivers for individual care, bolstering, and portability bolster. Misfortune of freedom can </w:t>
      </w:r>
      <w:proofErr w:type="gramStart"/>
      <w:r w:rsidRPr="009B5DEE">
        <w:rPr>
          <w:rFonts w:ascii="Arial" w:hAnsi="Arial" w:cs="Arial"/>
          <w:sz w:val="24"/>
          <w:szCs w:val="24"/>
          <w:lang w:eastAsia="en-GB"/>
        </w:rPr>
        <w:t>too</w:t>
      </w:r>
      <w:proofErr w:type="gramEnd"/>
      <w:r w:rsidRPr="009B5DEE">
        <w:rPr>
          <w:rFonts w:ascii="Arial" w:hAnsi="Arial" w:cs="Arial"/>
          <w:sz w:val="24"/>
          <w:szCs w:val="24"/>
          <w:lang w:eastAsia="en-GB"/>
        </w:rPr>
        <w:t xml:space="preserve"> accelerate mental trouble and social segregation.</w:t>
      </w:r>
    </w:p>
    <w:p w14:paraId="6ACB1CDE" w14:textId="2E0FD2E3" w:rsidR="009B5DEE" w:rsidRPr="00D952EC" w:rsidRDefault="00D952EC" w:rsidP="00D952EC">
      <w:pPr>
        <w:spacing w:line="360" w:lineRule="auto"/>
        <w:jc w:val="both"/>
        <w:rPr>
          <w:rFonts w:ascii="Arial" w:hAnsi="Arial" w:cs="Arial"/>
          <w:b/>
          <w:sz w:val="24"/>
          <w:szCs w:val="24"/>
          <w:lang w:eastAsia="en-GB"/>
        </w:rPr>
      </w:pPr>
      <w:r>
        <w:rPr>
          <w:rFonts w:ascii="Arial" w:hAnsi="Arial" w:cs="Arial"/>
          <w:b/>
          <w:sz w:val="24"/>
          <w:szCs w:val="24"/>
          <w:lang w:eastAsia="en-GB"/>
        </w:rPr>
        <w:t>2. Psychological Impacts</w:t>
      </w:r>
    </w:p>
    <w:p w14:paraId="0D1F6CE2" w14:textId="70D8649F"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 xml:space="preserve">The mental burden of </w:t>
      </w:r>
      <w:r w:rsidR="00D952EC">
        <w:rPr>
          <w:rFonts w:ascii="Arial" w:hAnsi="Arial" w:cs="Arial"/>
          <w:sz w:val="24"/>
          <w:szCs w:val="24"/>
          <w:lang w:eastAsia="en-GB"/>
        </w:rPr>
        <w:t>Parkinson’s</w:t>
      </w:r>
      <w:r w:rsidRPr="009B5DEE">
        <w:rPr>
          <w:rFonts w:ascii="Arial" w:hAnsi="Arial" w:cs="Arial"/>
          <w:sz w:val="24"/>
          <w:szCs w:val="24"/>
          <w:lang w:eastAsia="en-GB"/>
        </w:rPr>
        <w:t xml:space="preserve"> malady is broad and regularly under-recognised.</w:t>
      </w:r>
    </w:p>
    <w:p w14:paraId="79ECED92" w14:textId="3362A9A6" w:rsidR="009B5DEE" w:rsidRPr="00D952EC" w:rsidRDefault="009B5DEE" w:rsidP="00D952EC">
      <w:pPr>
        <w:spacing w:line="360" w:lineRule="auto"/>
        <w:jc w:val="both"/>
        <w:rPr>
          <w:rFonts w:ascii="Arial" w:hAnsi="Arial" w:cs="Arial"/>
          <w:b/>
          <w:sz w:val="24"/>
          <w:szCs w:val="24"/>
          <w:lang w:eastAsia="en-GB"/>
        </w:rPr>
      </w:pPr>
      <w:r w:rsidRPr="00D952EC">
        <w:rPr>
          <w:rFonts w:ascii="Arial" w:hAnsi="Arial" w:cs="Arial"/>
          <w:b/>
          <w:sz w:val="24"/>
          <w:szCs w:val="24"/>
          <w:lang w:eastAsia="en-GB"/>
        </w:rPr>
        <w:t>Key components incorpora</w:t>
      </w:r>
      <w:r w:rsidR="00D952EC" w:rsidRPr="00D952EC">
        <w:rPr>
          <w:rFonts w:ascii="Arial" w:hAnsi="Arial" w:cs="Arial"/>
          <w:b/>
          <w:sz w:val="24"/>
          <w:szCs w:val="24"/>
          <w:lang w:eastAsia="en-GB"/>
        </w:rPr>
        <w:t>te:</w:t>
      </w:r>
    </w:p>
    <w:p w14:paraId="1CF3309A" w14:textId="5F7B26FD" w:rsidR="009B5DEE" w:rsidRPr="00D952EC" w:rsidRDefault="009B5DEE" w:rsidP="00352E25">
      <w:pPr>
        <w:pStyle w:val="ListParagraph"/>
        <w:numPr>
          <w:ilvl w:val="0"/>
          <w:numId w:val="3"/>
        </w:numPr>
        <w:spacing w:line="360" w:lineRule="auto"/>
        <w:jc w:val="both"/>
        <w:rPr>
          <w:rFonts w:ascii="Arial" w:hAnsi="Arial" w:cs="Arial"/>
          <w:sz w:val="24"/>
          <w:szCs w:val="24"/>
          <w:lang w:eastAsia="en-GB"/>
        </w:rPr>
      </w:pPr>
      <w:r w:rsidRPr="00D952EC">
        <w:rPr>
          <w:rFonts w:ascii="Arial" w:hAnsi="Arial" w:cs="Arial"/>
          <w:b/>
          <w:sz w:val="24"/>
          <w:szCs w:val="24"/>
          <w:lang w:eastAsia="en-GB"/>
        </w:rPr>
        <w:t>Emotional distress and depression</w:t>
      </w:r>
      <w:r w:rsidRPr="00D952EC">
        <w:rPr>
          <w:rFonts w:ascii="Arial" w:hAnsi="Arial" w:cs="Arial"/>
          <w:sz w:val="24"/>
          <w:szCs w:val="24"/>
          <w:lang w:eastAsia="en-GB"/>
        </w:rPr>
        <w:t xml:space="preserve">: up to 50% of people with PD encounter misery or uneasiness due to </w:t>
      </w:r>
      <w:r w:rsidRPr="00D952EC">
        <w:rPr>
          <w:rFonts w:ascii="Arial" w:hAnsi="Arial" w:cs="Arial"/>
          <w:sz w:val="24"/>
          <w:szCs w:val="24"/>
          <w:lang w:eastAsia="en-GB"/>
        </w:rPr>
        <w:lastRenderedPageBreak/>
        <w:t xml:space="preserve">neurochemical changes and the psychosocial </w:t>
      </w:r>
      <w:r w:rsidR="00D952EC" w:rsidRPr="00D952EC">
        <w:rPr>
          <w:rFonts w:ascii="Arial" w:hAnsi="Arial" w:cs="Arial"/>
          <w:sz w:val="24"/>
          <w:szCs w:val="24"/>
          <w:lang w:eastAsia="en-GB"/>
        </w:rPr>
        <w:t>effect</w:t>
      </w:r>
      <w:r w:rsidRPr="00D952EC">
        <w:rPr>
          <w:rFonts w:ascii="Arial" w:hAnsi="Arial" w:cs="Arial"/>
          <w:sz w:val="24"/>
          <w:szCs w:val="24"/>
          <w:lang w:eastAsia="en-GB"/>
        </w:rPr>
        <w:t xml:space="preserve"> of living with a degenerative sickness (Reijnders, </w:t>
      </w:r>
      <w:proofErr w:type="spellStart"/>
      <w:r w:rsidRPr="00D952EC">
        <w:rPr>
          <w:rFonts w:ascii="Arial" w:hAnsi="Arial" w:cs="Arial"/>
          <w:sz w:val="24"/>
          <w:szCs w:val="24"/>
          <w:lang w:eastAsia="en-GB"/>
        </w:rPr>
        <w:t>Ehrt</w:t>
      </w:r>
      <w:proofErr w:type="spellEnd"/>
      <w:r w:rsidRPr="00D952EC">
        <w:rPr>
          <w:rFonts w:ascii="Arial" w:hAnsi="Arial" w:cs="Arial"/>
          <w:sz w:val="24"/>
          <w:szCs w:val="24"/>
          <w:lang w:eastAsia="en-GB"/>
        </w:rPr>
        <w:t xml:space="preserve"> and Weber, 2008). Sentiments of disappointment, weakness, and fear of</w:t>
      </w:r>
      <w:r w:rsidR="00D952EC" w:rsidRPr="00D952EC">
        <w:rPr>
          <w:rFonts w:ascii="Arial" w:hAnsi="Arial" w:cs="Arial"/>
          <w:sz w:val="24"/>
          <w:szCs w:val="24"/>
          <w:lang w:eastAsia="en-GB"/>
        </w:rPr>
        <w:t xml:space="preserve"> infection movement are common.</w:t>
      </w:r>
    </w:p>
    <w:p w14:paraId="5C9F550D" w14:textId="49A8D152" w:rsidR="009B5DEE" w:rsidRPr="00D952EC" w:rsidRDefault="009B5DEE" w:rsidP="00352E25">
      <w:pPr>
        <w:pStyle w:val="ListParagraph"/>
        <w:numPr>
          <w:ilvl w:val="0"/>
          <w:numId w:val="3"/>
        </w:numPr>
        <w:spacing w:line="360" w:lineRule="auto"/>
        <w:jc w:val="both"/>
        <w:rPr>
          <w:rFonts w:ascii="Arial" w:hAnsi="Arial" w:cs="Arial"/>
          <w:sz w:val="24"/>
          <w:szCs w:val="24"/>
          <w:lang w:eastAsia="en-GB"/>
        </w:rPr>
      </w:pPr>
      <w:r w:rsidRPr="00D952EC">
        <w:rPr>
          <w:rFonts w:ascii="Arial" w:hAnsi="Arial" w:cs="Arial"/>
          <w:b/>
          <w:sz w:val="24"/>
          <w:szCs w:val="24"/>
          <w:lang w:eastAsia="en-GB"/>
        </w:rPr>
        <w:t>Adjustment to diagnosis:</w:t>
      </w:r>
      <w:r w:rsidRPr="00D952EC">
        <w:rPr>
          <w:rFonts w:ascii="Arial" w:hAnsi="Arial" w:cs="Arial"/>
          <w:sz w:val="24"/>
          <w:szCs w:val="24"/>
          <w:lang w:eastAsia="en-GB"/>
        </w:rPr>
        <w:t xml:space="preserve"> numerous patients encounter stun, refusal, and despondency upon conclusion, taken after by fluctuating acknowledgement as side effects advance (</w:t>
      </w:r>
      <w:proofErr w:type="spellStart"/>
      <w:r w:rsidRPr="00D952EC">
        <w:rPr>
          <w:rFonts w:ascii="Arial" w:hAnsi="Arial" w:cs="Arial"/>
          <w:sz w:val="24"/>
          <w:szCs w:val="24"/>
          <w:lang w:eastAsia="en-GB"/>
        </w:rPr>
        <w:t>Caap</w:t>
      </w:r>
      <w:proofErr w:type="spellEnd"/>
      <w:r w:rsidRPr="00D952EC">
        <w:rPr>
          <w:rFonts w:ascii="Arial" w:hAnsi="Arial" w:cs="Arial"/>
          <w:sz w:val="24"/>
          <w:szCs w:val="24"/>
          <w:lang w:eastAsia="en-GB"/>
        </w:rPr>
        <w:t>-Ahlgren and Dehlin, 2019</w:t>
      </w:r>
      <w:r w:rsidR="00D952EC" w:rsidRPr="00D952EC">
        <w:rPr>
          <w:rFonts w:ascii="Arial" w:hAnsi="Arial" w:cs="Arial"/>
          <w:sz w:val="24"/>
          <w:szCs w:val="24"/>
          <w:lang w:eastAsia="en-GB"/>
        </w:rPr>
        <w:t>).</w:t>
      </w:r>
    </w:p>
    <w:p w14:paraId="69574B74" w14:textId="516A7D82" w:rsidR="009B5DEE" w:rsidRPr="00D952EC" w:rsidRDefault="009B5DEE" w:rsidP="00352E25">
      <w:pPr>
        <w:pStyle w:val="ListParagraph"/>
        <w:numPr>
          <w:ilvl w:val="0"/>
          <w:numId w:val="3"/>
        </w:numPr>
        <w:spacing w:line="360" w:lineRule="auto"/>
        <w:jc w:val="both"/>
        <w:rPr>
          <w:rFonts w:ascii="Arial" w:hAnsi="Arial" w:cs="Arial"/>
          <w:sz w:val="24"/>
          <w:szCs w:val="24"/>
          <w:lang w:eastAsia="en-GB"/>
        </w:rPr>
      </w:pPr>
      <w:r w:rsidRPr="00D952EC">
        <w:rPr>
          <w:rFonts w:ascii="Arial" w:hAnsi="Arial" w:cs="Arial"/>
          <w:b/>
          <w:sz w:val="24"/>
          <w:szCs w:val="24"/>
          <w:lang w:eastAsia="en-GB"/>
        </w:rPr>
        <w:t>Cognitive and behavioural changes</w:t>
      </w:r>
      <w:r w:rsidRPr="00D952EC">
        <w:rPr>
          <w:rFonts w:ascii="Arial" w:hAnsi="Arial" w:cs="Arial"/>
          <w:sz w:val="24"/>
          <w:szCs w:val="24"/>
          <w:lang w:eastAsia="en-GB"/>
        </w:rPr>
        <w:t>: impedances in memory, official work, and consideration, as well as visualisations and rash practises from dopamine treatment, can disturb decision-making and connections (Schapir</w:t>
      </w:r>
      <w:r w:rsidR="00D952EC" w:rsidRPr="00D952EC">
        <w:rPr>
          <w:rFonts w:ascii="Arial" w:hAnsi="Arial" w:cs="Arial"/>
          <w:sz w:val="24"/>
          <w:szCs w:val="24"/>
          <w:lang w:eastAsia="en-GB"/>
        </w:rPr>
        <w:t>a, Chaudhuri and Jenner, 2020).</w:t>
      </w:r>
    </w:p>
    <w:p w14:paraId="13426E09" w14:textId="77006065" w:rsidR="009B5DEE" w:rsidRPr="00D952EC" w:rsidRDefault="009B5DEE" w:rsidP="00352E25">
      <w:pPr>
        <w:pStyle w:val="ListParagraph"/>
        <w:numPr>
          <w:ilvl w:val="0"/>
          <w:numId w:val="3"/>
        </w:numPr>
        <w:spacing w:line="360" w:lineRule="auto"/>
        <w:jc w:val="both"/>
        <w:rPr>
          <w:rFonts w:ascii="Arial" w:hAnsi="Arial" w:cs="Arial"/>
          <w:sz w:val="24"/>
          <w:szCs w:val="24"/>
          <w:lang w:eastAsia="en-GB"/>
        </w:rPr>
      </w:pPr>
      <w:r w:rsidRPr="00D952EC">
        <w:rPr>
          <w:rFonts w:ascii="Arial" w:hAnsi="Arial" w:cs="Arial"/>
          <w:b/>
          <w:sz w:val="24"/>
          <w:szCs w:val="24"/>
          <w:lang w:eastAsia="en-GB"/>
        </w:rPr>
        <w:t>Loss of identity and self-esteem:</w:t>
      </w:r>
      <w:r w:rsidRPr="00D952EC">
        <w:rPr>
          <w:rFonts w:ascii="Arial" w:hAnsi="Arial" w:cs="Arial"/>
          <w:sz w:val="24"/>
          <w:szCs w:val="24"/>
          <w:lang w:eastAsia="en-GB"/>
        </w:rPr>
        <w:t xml:space="preserve"> as autonomy decreases, people may battle with changes in self-perception, moving </w:t>
      </w:r>
      <w:r w:rsidRPr="00D952EC">
        <w:rPr>
          <w:rFonts w:ascii="Arial" w:hAnsi="Arial" w:cs="Arial"/>
          <w:sz w:val="24"/>
          <w:szCs w:val="24"/>
          <w:lang w:eastAsia="en-GB"/>
        </w:rPr>
        <w:lastRenderedPageBreak/>
        <w:t>from being dynamic su</w:t>
      </w:r>
      <w:r w:rsidR="00D952EC" w:rsidRPr="00D952EC">
        <w:rPr>
          <w:rFonts w:ascii="Arial" w:hAnsi="Arial" w:cs="Arial"/>
          <w:sz w:val="24"/>
          <w:szCs w:val="24"/>
          <w:lang w:eastAsia="en-GB"/>
        </w:rPr>
        <w:t>pporters to care beneficiaries.</w:t>
      </w:r>
    </w:p>
    <w:p w14:paraId="4019DA31" w14:textId="6B9B7BE2" w:rsidR="009B5DEE" w:rsidRPr="00D952EC" w:rsidRDefault="009B5DEE" w:rsidP="00352E25">
      <w:pPr>
        <w:pStyle w:val="ListParagraph"/>
        <w:numPr>
          <w:ilvl w:val="0"/>
          <w:numId w:val="3"/>
        </w:numPr>
        <w:spacing w:line="360" w:lineRule="auto"/>
        <w:jc w:val="both"/>
        <w:rPr>
          <w:rFonts w:ascii="Arial" w:hAnsi="Arial" w:cs="Arial"/>
          <w:sz w:val="24"/>
          <w:szCs w:val="24"/>
          <w:lang w:eastAsia="en-GB"/>
        </w:rPr>
      </w:pPr>
      <w:r w:rsidRPr="00D952EC">
        <w:rPr>
          <w:rFonts w:ascii="Arial" w:hAnsi="Arial" w:cs="Arial"/>
          <w:b/>
          <w:sz w:val="24"/>
          <w:szCs w:val="24"/>
          <w:lang w:eastAsia="en-GB"/>
        </w:rPr>
        <w:t>Fatigue and sleep disturbance:</w:t>
      </w:r>
      <w:r w:rsidRPr="00D952EC">
        <w:rPr>
          <w:rFonts w:ascii="Arial" w:hAnsi="Arial" w:cs="Arial"/>
          <w:sz w:val="24"/>
          <w:szCs w:val="24"/>
          <w:lang w:eastAsia="en-GB"/>
        </w:rPr>
        <w:t xml:space="preserve"> incessant weakness and disturbed rest contribute to fractiousness and diminished quality of life, influencing both quiet and ca</w:t>
      </w:r>
      <w:r w:rsidR="00D952EC" w:rsidRPr="00D952EC">
        <w:rPr>
          <w:rFonts w:ascii="Arial" w:hAnsi="Arial" w:cs="Arial"/>
          <w:sz w:val="24"/>
          <w:szCs w:val="24"/>
          <w:lang w:eastAsia="en-GB"/>
        </w:rPr>
        <w:t>regiver (Kalia and Lang, 2015).</w:t>
      </w:r>
    </w:p>
    <w:p w14:paraId="3AD452B5" w14:textId="7EE915BD" w:rsid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 xml:space="preserve">The dynamic nature of PD frequently comes about in a recurrent design of uneasiness and misery, where compounding side effects increment enthusiastic trouble, which in turn worsens engine brokenness. Multidisciplinary intercessions including brain research, advising, and peer back are basic to break this </w:t>
      </w:r>
      <w:r w:rsidR="00D952EC" w:rsidRPr="009B5DEE">
        <w:rPr>
          <w:rFonts w:ascii="Arial" w:hAnsi="Arial" w:cs="Arial"/>
          <w:sz w:val="24"/>
          <w:szCs w:val="24"/>
          <w:lang w:eastAsia="en-GB"/>
        </w:rPr>
        <w:t>cycle (</w:t>
      </w:r>
      <w:r w:rsidR="00D952EC">
        <w:rPr>
          <w:rFonts w:ascii="Arial" w:hAnsi="Arial" w:cs="Arial"/>
          <w:sz w:val="24"/>
          <w:szCs w:val="24"/>
          <w:lang w:eastAsia="en-GB"/>
        </w:rPr>
        <w:t>Parkinson’s</w:t>
      </w:r>
      <w:r w:rsidRPr="009B5DEE">
        <w:rPr>
          <w:rFonts w:ascii="Arial" w:hAnsi="Arial" w:cs="Arial"/>
          <w:sz w:val="24"/>
          <w:szCs w:val="24"/>
          <w:lang w:eastAsia="en-GB"/>
        </w:rPr>
        <w:t xml:space="preserve"> UK, 2023).</w:t>
      </w:r>
    </w:p>
    <w:p w14:paraId="4EF3EC98" w14:textId="7D1C6374" w:rsidR="00D952EC" w:rsidRDefault="00D952EC" w:rsidP="00D952EC">
      <w:pPr>
        <w:spacing w:line="360" w:lineRule="auto"/>
        <w:jc w:val="both"/>
        <w:rPr>
          <w:rFonts w:ascii="Arial" w:hAnsi="Arial" w:cs="Arial"/>
          <w:sz w:val="24"/>
          <w:szCs w:val="24"/>
          <w:lang w:eastAsia="en-GB"/>
        </w:rPr>
      </w:pPr>
    </w:p>
    <w:p w14:paraId="45205393" w14:textId="77777777" w:rsidR="00D952EC" w:rsidRPr="009B5DEE" w:rsidRDefault="00D952EC" w:rsidP="00D952EC">
      <w:pPr>
        <w:spacing w:line="360" w:lineRule="auto"/>
        <w:jc w:val="both"/>
        <w:rPr>
          <w:rFonts w:ascii="Arial" w:hAnsi="Arial" w:cs="Arial"/>
          <w:sz w:val="24"/>
          <w:szCs w:val="24"/>
          <w:lang w:eastAsia="en-GB"/>
        </w:rPr>
      </w:pPr>
    </w:p>
    <w:p w14:paraId="7E75B979" w14:textId="77777777" w:rsidR="009B5DEE" w:rsidRDefault="009B5DEE" w:rsidP="00D952EC">
      <w:pPr>
        <w:spacing w:line="360" w:lineRule="auto"/>
        <w:jc w:val="both"/>
        <w:rPr>
          <w:rFonts w:ascii="Arial" w:hAnsi="Arial" w:cs="Arial"/>
          <w:sz w:val="24"/>
          <w:szCs w:val="24"/>
          <w:lang w:eastAsia="en-GB"/>
        </w:rPr>
      </w:pPr>
    </w:p>
    <w:p w14:paraId="0B691615" w14:textId="77777777" w:rsidR="002416DC" w:rsidRPr="009B5DEE" w:rsidRDefault="002416DC" w:rsidP="00D952EC">
      <w:pPr>
        <w:spacing w:line="360" w:lineRule="auto"/>
        <w:jc w:val="both"/>
        <w:rPr>
          <w:rFonts w:ascii="Arial" w:hAnsi="Arial" w:cs="Arial"/>
          <w:sz w:val="24"/>
          <w:szCs w:val="24"/>
          <w:lang w:eastAsia="en-GB"/>
        </w:rPr>
      </w:pPr>
    </w:p>
    <w:p w14:paraId="50F8800D" w14:textId="478EC535" w:rsidR="009B5DEE" w:rsidRPr="00D952EC" w:rsidRDefault="00D952EC" w:rsidP="00D952EC">
      <w:pPr>
        <w:spacing w:line="360" w:lineRule="auto"/>
        <w:jc w:val="both"/>
        <w:rPr>
          <w:rFonts w:ascii="Arial" w:hAnsi="Arial" w:cs="Arial"/>
          <w:b/>
          <w:sz w:val="24"/>
          <w:szCs w:val="24"/>
          <w:lang w:eastAsia="en-GB"/>
        </w:rPr>
      </w:pPr>
      <w:r>
        <w:rPr>
          <w:rFonts w:ascii="Arial" w:hAnsi="Arial" w:cs="Arial"/>
          <w:b/>
          <w:sz w:val="24"/>
          <w:szCs w:val="24"/>
          <w:lang w:eastAsia="en-GB"/>
        </w:rPr>
        <w:lastRenderedPageBreak/>
        <w:t>3. Social Impacts</w:t>
      </w:r>
    </w:p>
    <w:p w14:paraId="68556210" w14:textId="7A26071C" w:rsidR="009B5DEE" w:rsidRPr="009B5DEE" w:rsidRDefault="00D952EC" w:rsidP="00D952EC">
      <w:pPr>
        <w:spacing w:line="360" w:lineRule="auto"/>
        <w:jc w:val="both"/>
        <w:rPr>
          <w:rFonts w:ascii="Arial" w:hAnsi="Arial" w:cs="Arial"/>
          <w:sz w:val="24"/>
          <w:szCs w:val="24"/>
          <w:lang w:eastAsia="en-GB"/>
        </w:rPr>
      </w:pPr>
      <w:r>
        <w:rPr>
          <w:rFonts w:ascii="Arial" w:hAnsi="Arial" w:cs="Arial"/>
          <w:sz w:val="24"/>
          <w:szCs w:val="24"/>
          <w:lang w:eastAsia="en-GB"/>
        </w:rPr>
        <w:t>Parkinson’s</w:t>
      </w:r>
      <w:r w:rsidR="009B5DEE" w:rsidRPr="009B5DEE">
        <w:rPr>
          <w:rFonts w:ascii="Arial" w:hAnsi="Arial" w:cs="Arial"/>
          <w:sz w:val="24"/>
          <w:szCs w:val="24"/>
          <w:lang w:eastAsia="en-GB"/>
        </w:rPr>
        <w:t xml:space="preserve"> infection essentially disturbs social parts, connections, and community support.</w:t>
      </w:r>
    </w:p>
    <w:p w14:paraId="4AB4B08E" w14:textId="09B9CBB5" w:rsidR="009B5DEE" w:rsidRPr="00D952EC" w:rsidRDefault="00D952EC" w:rsidP="00D952EC">
      <w:pPr>
        <w:spacing w:line="360" w:lineRule="auto"/>
        <w:jc w:val="both"/>
        <w:rPr>
          <w:rFonts w:ascii="Arial" w:hAnsi="Arial" w:cs="Arial"/>
          <w:b/>
          <w:sz w:val="24"/>
          <w:szCs w:val="24"/>
          <w:lang w:eastAsia="en-GB"/>
        </w:rPr>
      </w:pPr>
      <w:r w:rsidRPr="00D952EC">
        <w:rPr>
          <w:rFonts w:ascii="Arial" w:hAnsi="Arial" w:cs="Arial"/>
          <w:b/>
          <w:sz w:val="24"/>
          <w:szCs w:val="24"/>
          <w:lang w:eastAsia="en-GB"/>
        </w:rPr>
        <w:t>Key impacts include:</w:t>
      </w:r>
    </w:p>
    <w:p w14:paraId="68173329" w14:textId="459E7AAC" w:rsidR="009B5DEE" w:rsidRPr="00D952EC" w:rsidRDefault="009B5DEE" w:rsidP="00352E25">
      <w:pPr>
        <w:pStyle w:val="ListParagraph"/>
        <w:numPr>
          <w:ilvl w:val="0"/>
          <w:numId w:val="4"/>
        </w:numPr>
        <w:spacing w:line="360" w:lineRule="auto"/>
        <w:jc w:val="both"/>
        <w:rPr>
          <w:rFonts w:ascii="Arial" w:hAnsi="Arial" w:cs="Arial"/>
          <w:sz w:val="24"/>
          <w:szCs w:val="24"/>
          <w:lang w:eastAsia="en-GB"/>
        </w:rPr>
      </w:pPr>
      <w:r w:rsidRPr="00D952EC">
        <w:rPr>
          <w:rFonts w:ascii="Arial" w:hAnsi="Arial" w:cs="Arial"/>
          <w:b/>
          <w:sz w:val="24"/>
          <w:szCs w:val="24"/>
          <w:lang w:eastAsia="en-GB"/>
        </w:rPr>
        <w:t>Family and carer burden:</w:t>
      </w:r>
      <w:r w:rsidRPr="00D952EC">
        <w:rPr>
          <w:rFonts w:ascii="Arial" w:hAnsi="Arial" w:cs="Arial"/>
          <w:sz w:val="24"/>
          <w:szCs w:val="24"/>
          <w:lang w:eastAsia="en-GB"/>
        </w:rPr>
        <w:t xml:space="preserve"> as illness serious</w:t>
      </w:r>
      <w:r w:rsidR="00D952EC" w:rsidRPr="00D952EC">
        <w:rPr>
          <w:rFonts w:ascii="Arial" w:hAnsi="Arial" w:cs="Arial"/>
          <w:sz w:val="24"/>
          <w:szCs w:val="24"/>
          <w:lang w:eastAsia="en-GB"/>
        </w:rPr>
        <w:t xml:space="preserve">ness increments, family members </w:t>
      </w:r>
      <w:r w:rsidRPr="00D952EC">
        <w:rPr>
          <w:rFonts w:ascii="Arial" w:hAnsi="Arial" w:cs="Arial"/>
          <w:sz w:val="24"/>
          <w:szCs w:val="24"/>
          <w:lang w:eastAsia="en-GB"/>
        </w:rPr>
        <w:t>especially spouses</w:t>
      </w:r>
      <w:r w:rsidR="00D952EC" w:rsidRPr="00D952EC">
        <w:rPr>
          <w:rFonts w:ascii="Arial" w:hAnsi="Arial" w:cs="Arial"/>
          <w:sz w:val="24"/>
          <w:szCs w:val="24"/>
          <w:lang w:eastAsia="en-GB"/>
        </w:rPr>
        <w:t xml:space="preserve"> </w:t>
      </w:r>
      <w:r w:rsidRPr="00D952EC">
        <w:rPr>
          <w:rFonts w:ascii="Arial" w:hAnsi="Arial" w:cs="Arial"/>
          <w:sz w:val="24"/>
          <w:szCs w:val="24"/>
          <w:lang w:eastAsia="en-GB"/>
        </w:rPr>
        <w:t>often accept the part of essential caregivers. This part can be physically debilitating and candidly depleting, especially when overseeing pharmaceutical plans and versatility iss</w:t>
      </w:r>
      <w:r w:rsidR="00D952EC" w:rsidRPr="00D952EC">
        <w:rPr>
          <w:rFonts w:ascii="Arial" w:hAnsi="Arial" w:cs="Arial"/>
          <w:sz w:val="24"/>
          <w:szCs w:val="24"/>
          <w:lang w:eastAsia="en-GB"/>
        </w:rPr>
        <w:t xml:space="preserve">ues (McLaughlin </w:t>
      </w:r>
      <w:r w:rsidR="00EF7DFB">
        <w:rPr>
          <w:rFonts w:ascii="Arial" w:hAnsi="Arial" w:cs="Arial"/>
          <w:sz w:val="24"/>
          <w:szCs w:val="24"/>
          <w:lang w:eastAsia="en-GB"/>
        </w:rPr>
        <w:t>et al</w:t>
      </w:r>
      <w:r w:rsidR="00D952EC" w:rsidRPr="00D952EC">
        <w:rPr>
          <w:rFonts w:ascii="Arial" w:hAnsi="Arial" w:cs="Arial"/>
          <w:sz w:val="24"/>
          <w:szCs w:val="24"/>
          <w:lang w:eastAsia="en-GB"/>
        </w:rPr>
        <w:t>., 2019).</w:t>
      </w:r>
    </w:p>
    <w:p w14:paraId="2D6FEEA4" w14:textId="3FDDB44A" w:rsidR="009B5DEE" w:rsidRPr="00D952EC" w:rsidRDefault="009B5DEE" w:rsidP="00352E25">
      <w:pPr>
        <w:pStyle w:val="ListParagraph"/>
        <w:numPr>
          <w:ilvl w:val="0"/>
          <w:numId w:val="4"/>
        </w:numPr>
        <w:spacing w:line="360" w:lineRule="auto"/>
        <w:jc w:val="both"/>
        <w:rPr>
          <w:rFonts w:ascii="Arial" w:hAnsi="Arial" w:cs="Arial"/>
          <w:sz w:val="24"/>
          <w:szCs w:val="24"/>
          <w:lang w:eastAsia="en-GB"/>
        </w:rPr>
      </w:pPr>
      <w:r w:rsidRPr="00D952EC">
        <w:rPr>
          <w:rFonts w:ascii="Arial" w:hAnsi="Arial" w:cs="Arial"/>
          <w:b/>
          <w:sz w:val="24"/>
          <w:szCs w:val="24"/>
          <w:lang w:eastAsia="en-GB"/>
        </w:rPr>
        <w:t>Economic and occupational consequences:</w:t>
      </w:r>
      <w:r w:rsidRPr="00D952EC">
        <w:rPr>
          <w:rFonts w:ascii="Arial" w:hAnsi="Arial" w:cs="Arial"/>
          <w:sz w:val="24"/>
          <w:szCs w:val="24"/>
          <w:lang w:eastAsia="en-GB"/>
        </w:rPr>
        <w:t xml:space="preserve"> people may resign rashly due to engine or cognitive confinements, driving to misfortune of pay and money related uncertainty. Casual carers may moreover diminish work hours or take off work to supply care, compounding family push </w:t>
      </w:r>
      <w:r w:rsidR="00D952EC" w:rsidRPr="00D952EC">
        <w:rPr>
          <w:rFonts w:ascii="Arial" w:hAnsi="Arial" w:cs="Arial"/>
          <w:sz w:val="24"/>
          <w:szCs w:val="24"/>
          <w:lang w:eastAsia="en-GB"/>
        </w:rPr>
        <w:t>(Open Wellbeing Britain, 2021).</w:t>
      </w:r>
    </w:p>
    <w:p w14:paraId="627F0AF6" w14:textId="3E5A0169" w:rsidR="009B5DEE" w:rsidRPr="00D952EC" w:rsidRDefault="009B5DEE" w:rsidP="00352E25">
      <w:pPr>
        <w:pStyle w:val="ListParagraph"/>
        <w:numPr>
          <w:ilvl w:val="0"/>
          <w:numId w:val="4"/>
        </w:numPr>
        <w:spacing w:line="360" w:lineRule="auto"/>
        <w:jc w:val="both"/>
        <w:rPr>
          <w:rFonts w:ascii="Arial" w:hAnsi="Arial" w:cs="Arial"/>
          <w:sz w:val="24"/>
          <w:szCs w:val="24"/>
          <w:lang w:eastAsia="en-GB"/>
        </w:rPr>
      </w:pPr>
      <w:r w:rsidRPr="00D952EC">
        <w:rPr>
          <w:rFonts w:ascii="Arial" w:hAnsi="Arial" w:cs="Arial"/>
          <w:b/>
          <w:sz w:val="24"/>
          <w:szCs w:val="24"/>
          <w:lang w:eastAsia="en-GB"/>
        </w:rPr>
        <w:lastRenderedPageBreak/>
        <w:t>Social isolation:</w:t>
      </w:r>
      <w:r w:rsidRPr="00D952EC">
        <w:rPr>
          <w:rFonts w:ascii="Arial" w:hAnsi="Arial" w:cs="Arial"/>
          <w:sz w:val="24"/>
          <w:szCs w:val="24"/>
          <w:lang w:eastAsia="en-GB"/>
        </w:rPr>
        <w:t xml:space="preserve"> portability challenges and communication troubles (dysarthria) can constrain support in social and recreational exercises, driving to withdrawal from community life and a sense of underestimation (</w:t>
      </w:r>
      <w:r w:rsidR="00D952EC" w:rsidRPr="00D952EC">
        <w:rPr>
          <w:rFonts w:ascii="Arial" w:hAnsi="Arial" w:cs="Arial"/>
          <w:sz w:val="24"/>
          <w:szCs w:val="24"/>
          <w:lang w:eastAsia="en-GB"/>
        </w:rPr>
        <w:t>Parkinson’s UK, 2024).</w:t>
      </w:r>
    </w:p>
    <w:p w14:paraId="775D2AA9" w14:textId="6A1C1D38" w:rsidR="009B5DEE" w:rsidRPr="00D952EC" w:rsidRDefault="009B5DEE" w:rsidP="00352E25">
      <w:pPr>
        <w:pStyle w:val="ListParagraph"/>
        <w:numPr>
          <w:ilvl w:val="0"/>
          <w:numId w:val="4"/>
        </w:numPr>
        <w:spacing w:line="360" w:lineRule="auto"/>
        <w:jc w:val="both"/>
        <w:rPr>
          <w:rFonts w:ascii="Arial" w:hAnsi="Arial" w:cs="Arial"/>
          <w:sz w:val="24"/>
          <w:szCs w:val="24"/>
          <w:lang w:eastAsia="en-GB"/>
        </w:rPr>
      </w:pPr>
      <w:r w:rsidRPr="00D952EC">
        <w:rPr>
          <w:rFonts w:ascii="Arial" w:hAnsi="Arial" w:cs="Arial"/>
          <w:b/>
          <w:sz w:val="24"/>
          <w:szCs w:val="24"/>
          <w:lang w:eastAsia="en-GB"/>
        </w:rPr>
        <w:t>Stigma and misunderstanding:</w:t>
      </w:r>
      <w:r w:rsidRPr="00D952EC">
        <w:rPr>
          <w:rFonts w:ascii="Arial" w:hAnsi="Arial" w:cs="Arial"/>
          <w:sz w:val="24"/>
          <w:szCs w:val="24"/>
          <w:lang w:eastAsia="en-GB"/>
        </w:rPr>
        <w:t xml:space="preserve"> unmistakable indications such as tremors or facial concealing can be confused as inebriation or lack of engagement, causing shame and decreasing certainty in open spaces (</w:t>
      </w:r>
      <w:proofErr w:type="spellStart"/>
      <w:r w:rsidR="00D952EC" w:rsidRPr="00D952EC">
        <w:rPr>
          <w:rFonts w:ascii="Arial" w:hAnsi="Arial" w:cs="Arial"/>
          <w:sz w:val="24"/>
          <w:szCs w:val="24"/>
          <w:lang w:eastAsia="en-GB"/>
        </w:rPr>
        <w:t>Caap</w:t>
      </w:r>
      <w:proofErr w:type="spellEnd"/>
      <w:r w:rsidR="00D952EC" w:rsidRPr="00D952EC">
        <w:rPr>
          <w:rFonts w:ascii="Arial" w:hAnsi="Arial" w:cs="Arial"/>
          <w:sz w:val="24"/>
          <w:szCs w:val="24"/>
          <w:lang w:eastAsia="en-GB"/>
        </w:rPr>
        <w:t>-Ahlgren and Dehlin, 2019).</w:t>
      </w:r>
    </w:p>
    <w:p w14:paraId="7B0908AD" w14:textId="395342FB" w:rsidR="009B5DEE" w:rsidRPr="00D952EC" w:rsidRDefault="009B5DEE" w:rsidP="00352E25">
      <w:pPr>
        <w:pStyle w:val="ListParagraph"/>
        <w:numPr>
          <w:ilvl w:val="0"/>
          <w:numId w:val="4"/>
        </w:numPr>
        <w:spacing w:line="360" w:lineRule="auto"/>
        <w:jc w:val="both"/>
        <w:rPr>
          <w:rFonts w:ascii="Arial" w:hAnsi="Arial" w:cs="Arial"/>
          <w:sz w:val="24"/>
          <w:szCs w:val="24"/>
          <w:lang w:eastAsia="en-GB"/>
        </w:rPr>
      </w:pPr>
      <w:r w:rsidRPr="00D952EC">
        <w:rPr>
          <w:rFonts w:ascii="Arial" w:hAnsi="Arial" w:cs="Arial"/>
          <w:b/>
          <w:sz w:val="24"/>
          <w:szCs w:val="24"/>
          <w:lang w:eastAsia="en-GB"/>
        </w:rPr>
        <w:t>Cultural and health inequalities:</w:t>
      </w:r>
      <w:r w:rsidRPr="00D952EC">
        <w:rPr>
          <w:rFonts w:ascii="Arial" w:hAnsi="Arial" w:cs="Arial"/>
          <w:sz w:val="24"/>
          <w:szCs w:val="24"/>
          <w:lang w:eastAsia="en-GB"/>
        </w:rPr>
        <w:t xml:space="preserve"> get to master administrations, treatment, and carer bolster shifts territorially inside the UK, with rustic populaces regularly confronting postponed determination and divided benefit</w:t>
      </w:r>
      <w:r w:rsidR="00D952EC" w:rsidRPr="00D952EC">
        <w:rPr>
          <w:rFonts w:ascii="Arial" w:hAnsi="Arial" w:cs="Arial"/>
          <w:sz w:val="24"/>
          <w:szCs w:val="24"/>
          <w:lang w:eastAsia="en-GB"/>
        </w:rPr>
        <w:t xml:space="preserve"> coordination (Pleasant, 2024).</w:t>
      </w:r>
    </w:p>
    <w:p w14:paraId="249EC8FD" w14:textId="77777777"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lastRenderedPageBreak/>
        <w:t>The total impact of these social determinants contributes to a reduced quality of life for both patients and carers, highlighting the require for coordinates, impartial, and community-based benefit conveyance.</w:t>
      </w:r>
    </w:p>
    <w:p w14:paraId="7A915A5D" w14:textId="7884C01A" w:rsidR="009B5DEE" w:rsidRDefault="009B5DEE" w:rsidP="00D952EC">
      <w:pPr>
        <w:spacing w:line="360" w:lineRule="auto"/>
        <w:jc w:val="both"/>
        <w:rPr>
          <w:rFonts w:ascii="Arial" w:hAnsi="Arial" w:cs="Arial"/>
          <w:sz w:val="24"/>
          <w:szCs w:val="24"/>
          <w:lang w:eastAsia="en-GB"/>
        </w:rPr>
      </w:pPr>
    </w:p>
    <w:p w14:paraId="17CAA55A" w14:textId="1A5DF406" w:rsidR="00D952EC" w:rsidRDefault="00D952EC" w:rsidP="00D952EC">
      <w:pPr>
        <w:spacing w:line="360" w:lineRule="auto"/>
        <w:jc w:val="both"/>
        <w:rPr>
          <w:rFonts w:ascii="Arial" w:hAnsi="Arial" w:cs="Arial"/>
          <w:sz w:val="24"/>
          <w:szCs w:val="24"/>
          <w:lang w:eastAsia="en-GB"/>
        </w:rPr>
      </w:pPr>
    </w:p>
    <w:p w14:paraId="21674B98" w14:textId="77777777" w:rsidR="00D952EC" w:rsidRPr="009B5DEE" w:rsidRDefault="00D952EC" w:rsidP="00D952EC">
      <w:pPr>
        <w:spacing w:line="360" w:lineRule="auto"/>
        <w:jc w:val="both"/>
        <w:rPr>
          <w:rFonts w:ascii="Arial" w:hAnsi="Arial" w:cs="Arial"/>
          <w:sz w:val="24"/>
          <w:szCs w:val="24"/>
          <w:lang w:eastAsia="en-GB"/>
        </w:rPr>
      </w:pPr>
    </w:p>
    <w:p w14:paraId="22FEF024" w14:textId="380FE5AF" w:rsidR="009B5DEE" w:rsidRPr="00D952EC" w:rsidRDefault="009B5DEE" w:rsidP="00D952EC">
      <w:pPr>
        <w:spacing w:line="360" w:lineRule="auto"/>
        <w:jc w:val="both"/>
        <w:rPr>
          <w:rFonts w:ascii="Arial" w:hAnsi="Arial" w:cs="Arial"/>
          <w:b/>
          <w:sz w:val="24"/>
          <w:szCs w:val="24"/>
          <w:lang w:eastAsia="en-GB"/>
        </w:rPr>
      </w:pPr>
      <w:r w:rsidRPr="00D952EC">
        <w:rPr>
          <w:rFonts w:ascii="Arial" w:hAnsi="Arial" w:cs="Arial"/>
          <w:b/>
          <w:sz w:val="24"/>
          <w:szCs w:val="24"/>
          <w:lang w:eastAsia="en-GB"/>
        </w:rPr>
        <w:t>4.</w:t>
      </w:r>
      <w:r w:rsidR="00D952EC" w:rsidRPr="00D952EC">
        <w:rPr>
          <w:rFonts w:ascii="Arial" w:hAnsi="Arial" w:cs="Arial"/>
          <w:b/>
          <w:sz w:val="24"/>
          <w:szCs w:val="24"/>
          <w:lang w:eastAsia="en-GB"/>
        </w:rPr>
        <w:t xml:space="preserve"> Impacts on Families and Carers</w:t>
      </w:r>
    </w:p>
    <w:p w14:paraId="66312C9F" w14:textId="253A71D2"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 xml:space="preserve">Families are central to the continuous care of people with </w:t>
      </w:r>
      <w:r w:rsidR="00D952EC">
        <w:rPr>
          <w:rFonts w:ascii="Arial" w:hAnsi="Arial" w:cs="Arial"/>
          <w:sz w:val="24"/>
          <w:szCs w:val="24"/>
          <w:lang w:eastAsia="en-GB"/>
        </w:rPr>
        <w:t>Parkinson’s</w:t>
      </w:r>
      <w:r w:rsidRPr="009B5DEE">
        <w:rPr>
          <w:rFonts w:ascii="Arial" w:hAnsi="Arial" w:cs="Arial"/>
          <w:sz w:val="24"/>
          <w:szCs w:val="24"/>
          <w:lang w:eastAsia="en-GB"/>
        </w:rPr>
        <w:t xml:space="preserve"> illness. In any case, the requests of caregiving can lead to critical en</w:t>
      </w:r>
      <w:r w:rsidR="00D952EC">
        <w:rPr>
          <w:rFonts w:ascii="Arial" w:hAnsi="Arial" w:cs="Arial"/>
          <w:sz w:val="24"/>
          <w:szCs w:val="24"/>
          <w:lang w:eastAsia="en-GB"/>
        </w:rPr>
        <w:t>thusiastic and physical strain.</w:t>
      </w:r>
    </w:p>
    <w:p w14:paraId="48C618E6" w14:textId="61B1FF39" w:rsidR="009B5DEE" w:rsidRPr="00D952EC" w:rsidRDefault="009B5DEE" w:rsidP="00352E25">
      <w:pPr>
        <w:pStyle w:val="ListParagraph"/>
        <w:numPr>
          <w:ilvl w:val="0"/>
          <w:numId w:val="5"/>
        </w:numPr>
        <w:spacing w:line="360" w:lineRule="auto"/>
        <w:jc w:val="both"/>
        <w:rPr>
          <w:rFonts w:ascii="Arial" w:hAnsi="Arial" w:cs="Arial"/>
          <w:sz w:val="24"/>
          <w:szCs w:val="24"/>
          <w:lang w:eastAsia="en-GB"/>
        </w:rPr>
      </w:pPr>
      <w:r w:rsidRPr="00D952EC">
        <w:rPr>
          <w:rFonts w:ascii="Arial" w:hAnsi="Arial" w:cs="Arial"/>
          <w:b/>
          <w:sz w:val="24"/>
          <w:szCs w:val="24"/>
          <w:lang w:eastAsia="en-GB"/>
        </w:rPr>
        <w:t>Carer stress and burnout:</w:t>
      </w:r>
      <w:r w:rsidRPr="00D952EC">
        <w:rPr>
          <w:rFonts w:ascii="Arial" w:hAnsi="Arial" w:cs="Arial"/>
          <w:sz w:val="24"/>
          <w:szCs w:val="24"/>
          <w:lang w:eastAsia="en-GB"/>
        </w:rPr>
        <w:t xml:space="preserve"> delayed caregiving, particularly for accomplices of people with progressed PD, is connected to weakness, uneasiness, misery, and decreased social engagem</w:t>
      </w:r>
      <w:r w:rsidR="00D952EC" w:rsidRPr="00D952EC">
        <w:rPr>
          <w:rFonts w:ascii="Arial" w:hAnsi="Arial" w:cs="Arial"/>
          <w:sz w:val="24"/>
          <w:szCs w:val="24"/>
          <w:lang w:eastAsia="en-GB"/>
        </w:rPr>
        <w:t xml:space="preserve">ent (McLaughlin </w:t>
      </w:r>
      <w:r w:rsidR="00EF7DFB">
        <w:rPr>
          <w:rFonts w:ascii="Arial" w:hAnsi="Arial" w:cs="Arial"/>
          <w:sz w:val="24"/>
          <w:szCs w:val="24"/>
          <w:lang w:eastAsia="en-GB"/>
        </w:rPr>
        <w:t>et al</w:t>
      </w:r>
      <w:r w:rsidR="00D952EC" w:rsidRPr="00D952EC">
        <w:rPr>
          <w:rFonts w:ascii="Arial" w:hAnsi="Arial" w:cs="Arial"/>
          <w:sz w:val="24"/>
          <w:szCs w:val="24"/>
          <w:lang w:eastAsia="en-GB"/>
        </w:rPr>
        <w:t>., 2019).</w:t>
      </w:r>
    </w:p>
    <w:p w14:paraId="4E22C763" w14:textId="1F1DADB4" w:rsidR="009B5DEE" w:rsidRPr="00D952EC" w:rsidRDefault="009B5DEE" w:rsidP="00352E25">
      <w:pPr>
        <w:pStyle w:val="ListParagraph"/>
        <w:numPr>
          <w:ilvl w:val="0"/>
          <w:numId w:val="5"/>
        </w:numPr>
        <w:spacing w:line="360" w:lineRule="auto"/>
        <w:jc w:val="both"/>
        <w:rPr>
          <w:rFonts w:ascii="Arial" w:hAnsi="Arial" w:cs="Arial"/>
          <w:sz w:val="24"/>
          <w:szCs w:val="24"/>
          <w:lang w:eastAsia="en-GB"/>
        </w:rPr>
      </w:pPr>
      <w:r w:rsidRPr="00D952EC">
        <w:rPr>
          <w:rFonts w:ascii="Arial" w:hAnsi="Arial" w:cs="Arial"/>
          <w:b/>
          <w:sz w:val="24"/>
          <w:szCs w:val="24"/>
          <w:lang w:eastAsia="en-GB"/>
        </w:rPr>
        <w:lastRenderedPageBreak/>
        <w:t>Role reversal:</w:t>
      </w:r>
      <w:r w:rsidRPr="00D952EC">
        <w:rPr>
          <w:rFonts w:ascii="Arial" w:hAnsi="Arial" w:cs="Arial"/>
          <w:sz w:val="24"/>
          <w:szCs w:val="24"/>
          <w:lang w:eastAsia="en-GB"/>
        </w:rPr>
        <w:t xml:space="preserve"> companions regularly move from rise to accomplices to caregivers, which can strain cl</w:t>
      </w:r>
      <w:r w:rsidR="00D952EC" w:rsidRPr="00D952EC">
        <w:rPr>
          <w:rFonts w:ascii="Arial" w:hAnsi="Arial" w:cs="Arial"/>
          <w:sz w:val="24"/>
          <w:szCs w:val="24"/>
          <w:lang w:eastAsia="en-GB"/>
        </w:rPr>
        <w:t>oseness and modify family flow.</w:t>
      </w:r>
    </w:p>
    <w:p w14:paraId="0FC3BEA2" w14:textId="4368C37B" w:rsidR="009B5DEE" w:rsidRPr="00D952EC" w:rsidRDefault="009B5DEE" w:rsidP="00352E25">
      <w:pPr>
        <w:pStyle w:val="ListParagraph"/>
        <w:numPr>
          <w:ilvl w:val="0"/>
          <w:numId w:val="5"/>
        </w:numPr>
        <w:spacing w:line="360" w:lineRule="auto"/>
        <w:jc w:val="both"/>
        <w:rPr>
          <w:rFonts w:ascii="Arial" w:hAnsi="Arial" w:cs="Arial"/>
          <w:sz w:val="24"/>
          <w:szCs w:val="24"/>
          <w:lang w:eastAsia="en-GB"/>
        </w:rPr>
      </w:pPr>
      <w:r w:rsidRPr="00D952EC">
        <w:rPr>
          <w:rFonts w:ascii="Arial" w:hAnsi="Arial" w:cs="Arial"/>
          <w:b/>
          <w:sz w:val="24"/>
          <w:szCs w:val="24"/>
          <w:lang w:eastAsia="en-GB"/>
        </w:rPr>
        <w:t>Health effects:</w:t>
      </w:r>
      <w:r w:rsidRPr="00D952EC">
        <w:rPr>
          <w:rFonts w:ascii="Arial" w:hAnsi="Arial" w:cs="Arial"/>
          <w:sz w:val="24"/>
          <w:szCs w:val="24"/>
          <w:lang w:eastAsia="en-GB"/>
        </w:rPr>
        <w:t xml:space="preserve"> carers as often as possible disregard </w:t>
      </w:r>
      <w:r w:rsidR="00D952EC" w:rsidRPr="00D952EC">
        <w:rPr>
          <w:rFonts w:ascii="Arial" w:hAnsi="Arial" w:cs="Arial"/>
          <w:sz w:val="24"/>
          <w:szCs w:val="24"/>
          <w:lang w:eastAsia="en-GB"/>
        </w:rPr>
        <w:t>them</w:t>
      </w:r>
      <w:r w:rsidRPr="00D952EC">
        <w:rPr>
          <w:rFonts w:ascii="Arial" w:hAnsi="Arial" w:cs="Arial"/>
          <w:sz w:val="24"/>
          <w:szCs w:val="24"/>
          <w:lang w:eastAsia="en-GB"/>
        </w:rPr>
        <w:t xml:space="preserve"> possess wellbeing needs, driving to expanded dreariness (</w:t>
      </w:r>
      <w:r w:rsidR="00D952EC" w:rsidRPr="00D952EC">
        <w:rPr>
          <w:rFonts w:ascii="Arial" w:hAnsi="Arial" w:cs="Arial"/>
          <w:sz w:val="24"/>
          <w:szCs w:val="24"/>
          <w:lang w:eastAsia="en-GB"/>
        </w:rPr>
        <w:t>Parkinson’s UK, 2023).</w:t>
      </w:r>
    </w:p>
    <w:p w14:paraId="194177B6" w14:textId="369A217F" w:rsidR="009B5DEE" w:rsidRPr="00D952EC" w:rsidRDefault="009B5DEE" w:rsidP="00352E25">
      <w:pPr>
        <w:pStyle w:val="ListParagraph"/>
        <w:numPr>
          <w:ilvl w:val="0"/>
          <w:numId w:val="5"/>
        </w:numPr>
        <w:spacing w:line="360" w:lineRule="auto"/>
        <w:jc w:val="both"/>
        <w:rPr>
          <w:rFonts w:ascii="Arial" w:hAnsi="Arial" w:cs="Arial"/>
          <w:sz w:val="24"/>
          <w:szCs w:val="24"/>
          <w:lang w:eastAsia="en-GB"/>
        </w:rPr>
      </w:pPr>
      <w:r w:rsidRPr="00D952EC">
        <w:rPr>
          <w:rFonts w:ascii="Arial" w:hAnsi="Arial" w:cs="Arial"/>
          <w:b/>
          <w:sz w:val="24"/>
          <w:szCs w:val="24"/>
          <w:lang w:eastAsia="en-GB"/>
        </w:rPr>
        <w:t>Support needs:</w:t>
      </w:r>
      <w:r w:rsidRPr="00D952EC">
        <w:rPr>
          <w:rFonts w:ascii="Arial" w:hAnsi="Arial" w:cs="Arial"/>
          <w:sz w:val="24"/>
          <w:szCs w:val="24"/>
          <w:lang w:eastAsia="en-GB"/>
        </w:rPr>
        <w:t xml:space="preserve"> carers require instruction on medicine timing, versatility help, and overseein</w:t>
      </w:r>
      <w:r w:rsidR="00EF7DFB">
        <w:rPr>
          <w:rFonts w:ascii="Arial" w:hAnsi="Arial" w:cs="Arial"/>
          <w:sz w:val="24"/>
          <w:szCs w:val="24"/>
          <w:lang w:eastAsia="en-GB"/>
        </w:rPr>
        <w:t>g behavioural changes. Get to</w:t>
      </w:r>
      <w:r w:rsidRPr="00D952EC">
        <w:rPr>
          <w:rFonts w:ascii="Arial" w:hAnsi="Arial" w:cs="Arial"/>
          <w:sz w:val="24"/>
          <w:szCs w:val="24"/>
          <w:lang w:eastAsia="en-GB"/>
        </w:rPr>
        <w:t xml:space="preserve"> break administrations, peer bunches, and social care financing can relieve stretch and make strides maintainabili</w:t>
      </w:r>
      <w:r w:rsidR="00D952EC" w:rsidRPr="00D952EC">
        <w:rPr>
          <w:rFonts w:ascii="Arial" w:hAnsi="Arial" w:cs="Arial"/>
          <w:sz w:val="24"/>
          <w:szCs w:val="24"/>
          <w:lang w:eastAsia="en-GB"/>
        </w:rPr>
        <w:t>ty of care (NHS Britain, 2019).</w:t>
      </w:r>
    </w:p>
    <w:p w14:paraId="592E44E8" w14:textId="56B38262" w:rsidR="009B5DEE" w:rsidRPr="009B5DE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Recognising carers as co-professionals within the care pathway is fundamental to person-centred hone. The Pleasant (2024) rule underlines that compelling communication, care planning, and psychosocial back ought to expand</w:t>
      </w:r>
      <w:r w:rsidR="00D952EC">
        <w:rPr>
          <w:rFonts w:ascii="Arial" w:hAnsi="Arial" w:cs="Arial"/>
          <w:sz w:val="24"/>
          <w:szCs w:val="24"/>
          <w:lang w:eastAsia="en-GB"/>
        </w:rPr>
        <w:t xml:space="preserve"> to the whole family framework.</w:t>
      </w:r>
    </w:p>
    <w:p w14:paraId="7A1395FF" w14:textId="7EA4F3B1" w:rsidR="009B5DEE" w:rsidRPr="00D952EC" w:rsidRDefault="00D952EC" w:rsidP="00D952EC">
      <w:pPr>
        <w:spacing w:line="360" w:lineRule="auto"/>
        <w:jc w:val="both"/>
        <w:rPr>
          <w:rFonts w:ascii="Arial" w:hAnsi="Arial" w:cs="Arial"/>
          <w:b/>
          <w:sz w:val="24"/>
          <w:szCs w:val="24"/>
          <w:lang w:eastAsia="en-GB"/>
        </w:rPr>
      </w:pPr>
      <w:r w:rsidRPr="00D952EC">
        <w:rPr>
          <w:rFonts w:ascii="Arial" w:hAnsi="Arial" w:cs="Arial"/>
          <w:b/>
          <w:sz w:val="24"/>
          <w:szCs w:val="24"/>
          <w:lang w:eastAsia="en-GB"/>
        </w:rPr>
        <w:lastRenderedPageBreak/>
        <w:t>5. Holistic Perspective</w:t>
      </w:r>
    </w:p>
    <w:p w14:paraId="064764A1" w14:textId="37BC62CA" w:rsidR="008C431E" w:rsidRDefault="009B5DEE" w:rsidP="00D952EC">
      <w:pPr>
        <w:spacing w:line="360" w:lineRule="auto"/>
        <w:jc w:val="both"/>
        <w:rPr>
          <w:rFonts w:ascii="Arial" w:hAnsi="Arial" w:cs="Arial"/>
          <w:sz w:val="24"/>
          <w:szCs w:val="24"/>
          <w:lang w:eastAsia="en-GB"/>
        </w:rPr>
      </w:pPr>
      <w:r w:rsidRPr="009B5DEE">
        <w:rPr>
          <w:rFonts w:ascii="Arial" w:hAnsi="Arial" w:cs="Arial"/>
          <w:sz w:val="24"/>
          <w:szCs w:val="24"/>
          <w:lang w:eastAsia="en-GB"/>
        </w:rPr>
        <w:t xml:space="preserve">The impacts of </w:t>
      </w:r>
      <w:r w:rsidR="00D952EC">
        <w:rPr>
          <w:rFonts w:ascii="Arial" w:hAnsi="Arial" w:cs="Arial"/>
          <w:sz w:val="24"/>
          <w:szCs w:val="24"/>
          <w:lang w:eastAsia="en-GB"/>
        </w:rPr>
        <w:t>Parkinson’s</w:t>
      </w:r>
      <w:r w:rsidRPr="009B5DEE">
        <w:rPr>
          <w:rFonts w:ascii="Arial" w:hAnsi="Arial" w:cs="Arial"/>
          <w:sz w:val="24"/>
          <w:szCs w:val="24"/>
          <w:lang w:eastAsia="en-GB"/>
        </w:rPr>
        <w:t xml:space="preserve"> malady are interconnected</w:t>
      </w:r>
      <w:r w:rsidR="00D952EC">
        <w:rPr>
          <w:rFonts w:ascii="Arial" w:hAnsi="Arial" w:cs="Arial"/>
          <w:sz w:val="24"/>
          <w:szCs w:val="24"/>
          <w:lang w:eastAsia="en-GB"/>
        </w:rPr>
        <w:t xml:space="preserve"> </w:t>
      </w:r>
      <w:r w:rsidRPr="009B5DEE">
        <w:rPr>
          <w:rFonts w:ascii="Arial" w:hAnsi="Arial" w:cs="Arial"/>
          <w:sz w:val="24"/>
          <w:szCs w:val="24"/>
          <w:lang w:eastAsia="en-GB"/>
        </w:rPr>
        <w:t xml:space="preserve">physical weakening opens up mental trouble, which in turn disturbs social interest and family working. A really successful reaction requires </w:t>
      </w:r>
      <w:r w:rsidR="00D952EC" w:rsidRPr="009B5DEE">
        <w:rPr>
          <w:rFonts w:ascii="Arial" w:hAnsi="Arial" w:cs="Arial"/>
          <w:sz w:val="24"/>
          <w:szCs w:val="24"/>
          <w:lang w:eastAsia="en-GB"/>
        </w:rPr>
        <w:t>a</w:t>
      </w:r>
      <w:r w:rsidRPr="009B5DEE">
        <w:rPr>
          <w:rFonts w:ascii="Arial" w:hAnsi="Arial" w:cs="Arial"/>
          <w:sz w:val="24"/>
          <w:szCs w:val="24"/>
          <w:lang w:eastAsia="en-GB"/>
        </w:rPr>
        <w:t xml:space="preserve"> coordinates multidisciplinary approach, combining neurological, mental, rehabilitative, and social back intercessions. This guarantees that care amplifies past indication control to include passionate strength, autonomy, and respect all through the infection direction (</w:t>
      </w:r>
      <w:r w:rsidR="00D952EC">
        <w:rPr>
          <w:rFonts w:ascii="Arial" w:hAnsi="Arial" w:cs="Arial"/>
          <w:sz w:val="24"/>
          <w:szCs w:val="24"/>
          <w:lang w:eastAsia="en-GB"/>
        </w:rPr>
        <w:t>Parkinson’s</w:t>
      </w:r>
      <w:r w:rsidRPr="009B5DEE">
        <w:rPr>
          <w:rFonts w:ascii="Arial" w:hAnsi="Arial" w:cs="Arial"/>
          <w:sz w:val="24"/>
          <w:szCs w:val="24"/>
          <w:lang w:eastAsia="en-GB"/>
        </w:rPr>
        <w:t xml:space="preserve"> UK, 2024)</w:t>
      </w:r>
      <w:r w:rsidR="0099081D" w:rsidRPr="0099081D">
        <w:rPr>
          <w:rFonts w:ascii="Arial" w:hAnsi="Arial" w:cs="Arial"/>
          <w:sz w:val="24"/>
          <w:szCs w:val="24"/>
          <w:lang w:eastAsia="en-GB"/>
        </w:rPr>
        <w:t>.</w:t>
      </w:r>
    </w:p>
    <w:p w14:paraId="5126A61D" w14:textId="696B514F" w:rsidR="00D952EC" w:rsidRDefault="00D952EC" w:rsidP="00D952EC">
      <w:pPr>
        <w:spacing w:line="360" w:lineRule="auto"/>
        <w:jc w:val="both"/>
        <w:rPr>
          <w:rFonts w:ascii="Arial" w:hAnsi="Arial" w:cs="Arial"/>
          <w:sz w:val="24"/>
          <w:szCs w:val="24"/>
          <w:lang w:eastAsia="en-GB"/>
        </w:rPr>
      </w:pPr>
    </w:p>
    <w:p w14:paraId="551B4420" w14:textId="68200521" w:rsidR="00D952EC" w:rsidRDefault="00D952EC" w:rsidP="00D952EC">
      <w:pPr>
        <w:spacing w:line="360" w:lineRule="auto"/>
        <w:jc w:val="both"/>
        <w:rPr>
          <w:rFonts w:ascii="Arial" w:hAnsi="Arial" w:cs="Arial"/>
          <w:sz w:val="24"/>
          <w:szCs w:val="24"/>
          <w:lang w:eastAsia="en-GB"/>
        </w:rPr>
      </w:pPr>
    </w:p>
    <w:p w14:paraId="2F71BB06" w14:textId="77777777" w:rsidR="00D952EC" w:rsidRPr="008C431E" w:rsidRDefault="00D952EC" w:rsidP="00D952EC">
      <w:pPr>
        <w:spacing w:line="360" w:lineRule="auto"/>
        <w:jc w:val="both"/>
        <w:rPr>
          <w:rFonts w:ascii="Arial" w:hAnsi="Arial" w:cs="Arial"/>
          <w:sz w:val="24"/>
          <w:szCs w:val="24"/>
          <w:lang w:eastAsia="en-GB"/>
        </w:rPr>
      </w:pPr>
    </w:p>
    <w:p w14:paraId="21703FEB" w14:textId="47E4DB36" w:rsidR="00602C98" w:rsidRDefault="00602C98" w:rsidP="00EF7DFB">
      <w:pPr>
        <w:pStyle w:val="Heading1"/>
        <w:spacing w:after="240"/>
        <w:rPr>
          <w:rFonts w:eastAsia="Times New Roman"/>
          <w:lang w:eastAsia="en-GB"/>
        </w:rPr>
      </w:pPr>
      <w:bookmarkStart w:id="3" w:name="_Toc213973682"/>
      <w:r w:rsidRPr="00602C98">
        <w:rPr>
          <w:rFonts w:eastAsia="Times New Roman"/>
          <w:lang w:eastAsia="en-GB"/>
        </w:rPr>
        <w:t>Evidence-based Treatments &amp; UK Management</w:t>
      </w:r>
      <w:bookmarkEnd w:id="3"/>
      <w:r w:rsidRPr="00602C98">
        <w:rPr>
          <w:rFonts w:eastAsia="Times New Roman"/>
          <w:lang w:eastAsia="en-GB"/>
        </w:rPr>
        <w:t xml:space="preserve"> </w:t>
      </w:r>
    </w:p>
    <w:p w14:paraId="7A0ADB31" w14:textId="4D379488" w:rsidR="009F34A0" w:rsidRPr="009F34A0" w:rsidRDefault="009F34A0" w:rsidP="00EF7DFB">
      <w:pPr>
        <w:spacing w:after="240" w:line="360" w:lineRule="auto"/>
        <w:jc w:val="both"/>
        <w:rPr>
          <w:rFonts w:ascii="Arial" w:hAnsi="Arial" w:cs="Arial"/>
          <w:sz w:val="24"/>
          <w:lang w:eastAsia="en-GB"/>
        </w:rPr>
      </w:pPr>
      <w:r w:rsidRPr="009F34A0">
        <w:rPr>
          <w:rFonts w:ascii="Arial" w:hAnsi="Arial" w:cs="Arial"/>
          <w:sz w:val="24"/>
          <w:lang w:eastAsia="en-GB"/>
        </w:rPr>
        <w:t xml:space="preserve">Effective management of </w:t>
      </w:r>
      <w:r w:rsidR="000778CD">
        <w:rPr>
          <w:rFonts w:ascii="Arial" w:hAnsi="Arial" w:cs="Arial"/>
          <w:sz w:val="24"/>
          <w:lang w:eastAsia="en-GB"/>
        </w:rPr>
        <w:t>Parkinson’s</w:t>
      </w:r>
      <w:r w:rsidRPr="009F34A0">
        <w:rPr>
          <w:rFonts w:ascii="Arial" w:hAnsi="Arial" w:cs="Arial"/>
          <w:sz w:val="24"/>
          <w:lang w:eastAsia="en-GB"/>
        </w:rPr>
        <w:t xml:space="preserve"> disease (PD) requires an evidence-based, multidisciplinary approach that addresses both </w:t>
      </w:r>
      <w:r w:rsidRPr="009F34A0">
        <w:rPr>
          <w:rFonts w:ascii="Arial" w:hAnsi="Arial" w:cs="Arial"/>
          <w:sz w:val="24"/>
          <w:lang w:eastAsia="en-GB"/>
        </w:rPr>
        <w:lastRenderedPageBreak/>
        <w:t>engine and non-motor side effects to preserve work, independence, and quality of life. The UK embraces a comprehensive system of pharmacological, non-pharmacological, and strong mediations guided by Decent (2024) and the NHS Long Term Arrange (2019) to convey coordinates, person-centred care.</w:t>
      </w:r>
    </w:p>
    <w:p w14:paraId="2E20EC4B" w14:textId="2CF6B3CE" w:rsidR="009F34A0" w:rsidRPr="000778CD" w:rsidRDefault="009F34A0" w:rsidP="00E04597">
      <w:pPr>
        <w:spacing w:line="360" w:lineRule="auto"/>
        <w:jc w:val="both"/>
        <w:rPr>
          <w:rFonts w:ascii="Arial" w:hAnsi="Arial" w:cs="Arial"/>
          <w:b/>
          <w:sz w:val="24"/>
          <w:lang w:eastAsia="en-GB"/>
        </w:rPr>
      </w:pPr>
      <w:r w:rsidRPr="000778CD">
        <w:rPr>
          <w:rFonts w:ascii="Arial" w:hAnsi="Arial" w:cs="Arial"/>
          <w:b/>
          <w:sz w:val="24"/>
          <w:lang w:eastAsia="en-GB"/>
        </w:rPr>
        <w:t>1</w:t>
      </w:r>
      <w:r w:rsidR="000778CD">
        <w:rPr>
          <w:rFonts w:ascii="Arial" w:hAnsi="Arial" w:cs="Arial"/>
          <w:b/>
          <w:sz w:val="24"/>
          <w:lang w:eastAsia="en-GB"/>
        </w:rPr>
        <w:t>. Pharmacological Interventions</w:t>
      </w:r>
    </w:p>
    <w:p w14:paraId="1C0895F1" w14:textId="4F06AA16"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Pharmacological treatment remains the foundation of PD administration. Its essential objective is to </w:t>
      </w:r>
      <w:r w:rsidR="000778CD" w:rsidRPr="009F34A0">
        <w:rPr>
          <w:rFonts w:ascii="Arial" w:hAnsi="Arial" w:cs="Arial"/>
          <w:sz w:val="24"/>
          <w:lang w:eastAsia="en-GB"/>
        </w:rPr>
        <w:t>re-establish</w:t>
      </w:r>
      <w:r w:rsidRPr="009F34A0">
        <w:rPr>
          <w:rFonts w:ascii="Arial" w:hAnsi="Arial" w:cs="Arial"/>
          <w:sz w:val="24"/>
          <w:lang w:eastAsia="en-GB"/>
        </w:rPr>
        <w:t xml:space="preserve"> dopaminergic work and advance engine control whereas lim</w:t>
      </w:r>
      <w:r w:rsidR="000778CD">
        <w:rPr>
          <w:rFonts w:ascii="Arial" w:hAnsi="Arial" w:cs="Arial"/>
          <w:sz w:val="24"/>
          <w:lang w:eastAsia="en-GB"/>
        </w:rPr>
        <w:t>iting side impacts and changes.</w:t>
      </w:r>
    </w:p>
    <w:p w14:paraId="3E122DC7" w14:textId="64432CA1" w:rsidR="009F34A0" w:rsidRPr="003E73CF" w:rsidRDefault="009F34A0" w:rsidP="00352E25">
      <w:pPr>
        <w:pStyle w:val="ListParagraph"/>
        <w:numPr>
          <w:ilvl w:val="0"/>
          <w:numId w:val="6"/>
        </w:numPr>
        <w:spacing w:line="360" w:lineRule="auto"/>
        <w:jc w:val="both"/>
        <w:rPr>
          <w:rFonts w:ascii="Arial" w:hAnsi="Arial" w:cs="Arial"/>
          <w:sz w:val="24"/>
          <w:lang w:eastAsia="en-GB"/>
        </w:rPr>
      </w:pPr>
      <w:r w:rsidRPr="003E73CF">
        <w:rPr>
          <w:rFonts w:ascii="Arial" w:hAnsi="Arial" w:cs="Arial"/>
          <w:b/>
          <w:sz w:val="24"/>
          <w:lang w:eastAsia="en-GB"/>
        </w:rPr>
        <w:t>Levodopa:</w:t>
      </w:r>
      <w:r w:rsidRPr="003E73CF">
        <w:rPr>
          <w:rFonts w:ascii="Arial" w:hAnsi="Arial" w:cs="Arial"/>
          <w:sz w:val="24"/>
          <w:lang w:eastAsia="en-GB"/>
        </w:rPr>
        <w:t xml:space="preserve"> The gold-standard treatment that replenishes brain dopamine levels, successfully diminishing bradykinesia and unbending nature. It is regularly combined with </w:t>
      </w:r>
      <w:r w:rsidR="000778CD" w:rsidRPr="003E73CF">
        <w:rPr>
          <w:rFonts w:ascii="Arial" w:hAnsi="Arial" w:cs="Arial"/>
          <w:sz w:val="24"/>
          <w:lang w:eastAsia="en-GB"/>
        </w:rPr>
        <w:t>dope</w:t>
      </w:r>
      <w:r w:rsidRPr="003E73CF">
        <w:rPr>
          <w:rFonts w:ascii="Arial" w:hAnsi="Arial" w:cs="Arial"/>
          <w:sz w:val="24"/>
          <w:lang w:eastAsia="en-GB"/>
        </w:rPr>
        <w:t xml:space="preserve">-decarboxylase inhibitors (e.g., carbidopa or </w:t>
      </w:r>
      <w:proofErr w:type="spellStart"/>
      <w:r w:rsidRPr="003E73CF">
        <w:rPr>
          <w:rFonts w:ascii="Arial" w:hAnsi="Arial" w:cs="Arial"/>
          <w:sz w:val="24"/>
          <w:lang w:eastAsia="en-GB"/>
        </w:rPr>
        <w:t>benserazide</w:t>
      </w:r>
      <w:proofErr w:type="spellEnd"/>
      <w:r w:rsidRPr="003E73CF">
        <w:rPr>
          <w:rFonts w:ascii="Arial" w:hAnsi="Arial" w:cs="Arial"/>
          <w:sz w:val="24"/>
          <w:lang w:eastAsia="en-GB"/>
        </w:rPr>
        <w:t xml:space="preserve">) to move forward bioavailability (Kalia and Lang, 2015). </w:t>
      </w:r>
    </w:p>
    <w:p w14:paraId="0756F506" w14:textId="198D89C5" w:rsidR="009F34A0" w:rsidRPr="003E73CF" w:rsidRDefault="009F34A0" w:rsidP="00352E25">
      <w:pPr>
        <w:pStyle w:val="ListParagraph"/>
        <w:numPr>
          <w:ilvl w:val="0"/>
          <w:numId w:val="6"/>
        </w:numPr>
        <w:spacing w:line="360" w:lineRule="auto"/>
        <w:jc w:val="both"/>
        <w:rPr>
          <w:rFonts w:ascii="Arial" w:hAnsi="Arial" w:cs="Arial"/>
          <w:sz w:val="24"/>
          <w:lang w:eastAsia="en-GB"/>
        </w:rPr>
      </w:pPr>
      <w:r w:rsidRPr="003E73CF">
        <w:rPr>
          <w:rFonts w:ascii="Arial" w:hAnsi="Arial" w:cs="Arial"/>
          <w:b/>
          <w:sz w:val="24"/>
          <w:lang w:eastAsia="en-GB"/>
        </w:rPr>
        <w:lastRenderedPageBreak/>
        <w:t>Dopamine agonists:</w:t>
      </w:r>
      <w:r w:rsidRPr="003E73CF">
        <w:rPr>
          <w:rFonts w:ascii="Arial" w:hAnsi="Arial" w:cs="Arial"/>
          <w:sz w:val="24"/>
          <w:lang w:eastAsia="en-GB"/>
        </w:rPr>
        <w:t xml:space="preserve"> Solutions such as pramipexole</w:t>
      </w:r>
      <w:r w:rsidR="000778CD" w:rsidRPr="003E73CF">
        <w:rPr>
          <w:rFonts w:ascii="Arial" w:hAnsi="Arial" w:cs="Arial"/>
          <w:sz w:val="24"/>
          <w:lang w:eastAsia="en-GB"/>
        </w:rPr>
        <w:t xml:space="preserve"> and ropinirole mirror dopamine’</w:t>
      </w:r>
      <w:r w:rsidRPr="003E73CF">
        <w:rPr>
          <w:rFonts w:ascii="Arial" w:hAnsi="Arial" w:cs="Arial"/>
          <w:sz w:val="24"/>
          <w:lang w:eastAsia="en-GB"/>
        </w:rPr>
        <w:t>s impacts and are frequently started in more youthful patients to delay levodopa-induced complicat</w:t>
      </w:r>
      <w:r w:rsidR="000778CD" w:rsidRPr="003E73CF">
        <w:rPr>
          <w:rFonts w:ascii="Arial" w:hAnsi="Arial" w:cs="Arial"/>
          <w:sz w:val="24"/>
          <w:lang w:eastAsia="en-GB"/>
        </w:rPr>
        <w:t>ions (Connolly and Lang, 2014).</w:t>
      </w:r>
    </w:p>
    <w:p w14:paraId="3289EC82" w14:textId="7E58D0CE" w:rsidR="009F34A0" w:rsidRPr="003E73CF" w:rsidRDefault="003E73CF" w:rsidP="00352E25">
      <w:pPr>
        <w:pStyle w:val="ListParagraph"/>
        <w:numPr>
          <w:ilvl w:val="0"/>
          <w:numId w:val="6"/>
        </w:numPr>
        <w:spacing w:line="360" w:lineRule="auto"/>
        <w:jc w:val="both"/>
        <w:rPr>
          <w:rFonts w:ascii="Arial" w:hAnsi="Arial" w:cs="Arial"/>
          <w:sz w:val="24"/>
          <w:lang w:eastAsia="en-GB"/>
        </w:rPr>
      </w:pPr>
      <w:r w:rsidRPr="003E73CF">
        <w:rPr>
          <w:rFonts w:ascii="Arial" w:hAnsi="Arial" w:cs="Arial"/>
          <w:b/>
          <w:sz w:val="24"/>
          <w:lang w:eastAsia="en-GB"/>
        </w:rPr>
        <w:t xml:space="preserve">MAO-B inhibitors (rasagiline, </w:t>
      </w:r>
      <w:r w:rsidR="009F34A0" w:rsidRPr="003E73CF">
        <w:rPr>
          <w:rFonts w:ascii="Arial" w:hAnsi="Arial" w:cs="Arial"/>
          <w:b/>
          <w:sz w:val="24"/>
          <w:lang w:eastAsia="en-GB"/>
        </w:rPr>
        <w:t>selegiline):</w:t>
      </w:r>
      <w:r w:rsidR="009F34A0" w:rsidRPr="003E73CF">
        <w:rPr>
          <w:rFonts w:ascii="Arial" w:hAnsi="Arial" w:cs="Arial"/>
          <w:sz w:val="24"/>
          <w:lang w:eastAsia="en-GB"/>
        </w:rPr>
        <w:t xml:space="preserve"> Drag out dopamine accessibility by repressing its breakdown and can be utilised as monotherapy in early PD or as aide trea</w:t>
      </w:r>
      <w:r w:rsidRPr="003E73CF">
        <w:rPr>
          <w:rFonts w:ascii="Arial" w:hAnsi="Arial" w:cs="Arial"/>
          <w:sz w:val="24"/>
          <w:lang w:eastAsia="en-GB"/>
        </w:rPr>
        <w:t xml:space="preserve">tment (Schapira </w:t>
      </w:r>
      <w:r w:rsidR="00EF7DFB">
        <w:rPr>
          <w:rFonts w:ascii="Arial" w:hAnsi="Arial" w:cs="Arial"/>
          <w:sz w:val="24"/>
          <w:lang w:eastAsia="en-GB"/>
        </w:rPr>
        <w:t>et al</w:t>
      </w:r>
      <w:r w:rsidRPr="003E73CF">
        <w:rPr>
          <w:rFonts w:ascii="Arial" w:hAnsi="Arial" w:cs="Arial"/>
          <w:sz w:val="24"/>
          <w:lang w:eastAsia="en-GB"/>
        </w:rPr>
        <w:t>., 2020).</w:t>
      </w:r>
    </w:p>
    <w:p w14:paraId="586E2549" w14:textId="34BE74D6" w:rsidR="009F34A0" w:rsidRPr="003E73CF" w:rsidRDefault="009F34A0" w:rsidP="00352E25">
      <w:pPr>
        <w:pStyle w:val="ListParagraph"/>
        <w:numPr>
          <w:ilvl w:val="0"/>
          <w:numId w:val="6"/>
        </w:numPr>
        <w:spacing w:line="360" w:lineRule="auto"/>
        <w:jc w:val="both"/>
        <w:rPr>
          <w:rFonts w:ascii="Arial" w:hAnsi="Arial" w:cs="Arial"/>
          <w:sz w:val="24"/>
          <w:lang w:eastAsia="en-GB"/>
        </w:rPr>
      </w:pPr>
      <w:r w:rsidRPr="003E73CF">
        <w:rPr>
          <w:rFonts w:ascii="Arial" w:hAnsi="Arial" w:cs="Arial"/>
          <w:b/>
          <w:sz w:val="24"/>
          <w:lang w:eastAsia="en-GB"/>
        </w:rPr>
        <w:t xml:space="preserve">COMT inhibitors (entacapone, </w:t>
      </w:r>
      <w:proofErr w:type="spellStart"/>
      <w:r w:rsidRPr="003E73CF">
        <w:rPr>
          <w:rFonts w:ascii="Arial" w:hAnsi="Arial" w:cs="Arial"/>
          <w:b/>
          <w:sz w:val="24"/>
          <w:lang w:eastAsia="en-GB"/>
        </w:rPr>
        <w:t>opicapone</w:t>
      </w:r>
      <w:proofErr w:type="spellEnd"/>
      <w:r w:rsidRPr="003E73CF">
        <w:rPr>
          <w:rFonts w:ascii="Arial" w:hAnsi="Arial" w:cs="Arial"/>
          <w:b/>
          <w:sz w:val="24"/>
          <w:lang w:eastAsia="en-GB"/>
        </w:rPr>
        <w:t>):</w:t>
      </w:r>
      <w:r w:rsidRPr="003E73CF">
        <w:rPr>
          <w:rFonts w:ascii="Arial" w:hAnsi="Arial" w:cs="Arial"/>
          <w:sz w:val="24"/>
          <w:lang w:eastAsia="en-GB"/>
        </w:rPr>
        <w:t xml:space="preserve"> Improve levodopa viability by avoiding fr</w:t>
      </w:r>
      <w:r w:rsidR="003E73CF" w:rsidRPr="003E73CF">
        <w:rPr>
          <w:rFonts w:ascii="Arial" w:hAnsi="Arial" w:cs="Arial"/>
          <w:sz w:val="24"/>
          <w:lang w:eastAsia="en-GB"/>
        </w:rPr>
        <w:t>inge dopamine digestion system.</w:t>
      </w:r>
    </w:p>
    <w:p w14:paraId="57A93185" w14:textId="7647B958" w:rsidR="009F34A0" w:rsidRPr="003E73CF" w:rsidRDefault="009F34A0" w:rsidP="00352E25">
      <w:pPr>
        <w:pStyle w:val="ListParagraph"/>
        <w:numPr>
          <w:ilvl w:val="0"/>
          <w:numId w:val="6"/>
        </w:numPr>
        <w:spacing w:line="360" w:lineRule="auto"/>
        <w:jc w:val="both"/>
        <w:rPr>
          <w:rFonts w:ascii="Arial" w:hAnsi="Arial" w:cs="Arial"/>
          <w:sz w:val="24"/>
          <w:lang w:eastAsia="en-GB"/>
        </w:rPr>
      </w:pPr>
      <w:r w:rsidRPr="003E73CF">
        <w:rPr>
          <w:rFonts w:ascii="Arial" w:hAnsi="Arial" w:cs="Arial"/>
          <w:b/>
          <w:sz w:val="24"/>
          <w:lang w:eastAsia="en-GB"/>
        </w:rPr>
        <w:t>Advanced therapies:</w:t>
      </w:r>
      <w:r w:rsidRPr="003E73CF">
        <w:rPr>
          <w:rFonts w:ascii="Arial" w:hAnsi="Arial" w:cs="Arial"/>
          <w:sz w:val="24"/>
          <w:lang w:eastAsia="en-GB"/>
        </w:rPr>
        <w:t xml:space="preserve"> For people with serious engine changes inert to verbal pharmaceutical, </w:t>
      </w:r>
      <w:r w:rsidR="003E73CF" w:rsidRPr="003E73CF">
        <w:rPr>
          <w:rFonts w:ascii="Arial" w:hAnsi="Arial" w:cs="Arial"/>
          <w:sz w:val="24"/>
          <w:lang w:eastAsia="en-GB"/>
        </w:rPr>
        <w:t xml:space="preserve">Apo morphine mixtures, levodopa </w:t>
      </w:r>
      <w:r w:rsidRPr="003E73CF">
        <w:rPr>
          <w:rFonts w:ascii="Arial" w:hAnsi="Arial" w:cs="Arial"/>
          <w:sz w:val="24"/>
          <w:lang w:eastAsia="en-GB"/>
        </w:rPr>
        <w:t>carbidopa intestinal gel (</w:t>
      </w:r>
      <w:r w:rsidR="003E73CF" w:rsidRPr="003E73CF">
        <w:rPr>
          <w:rFonts w:ascii="Arial" w:hAnsi="Arial" w:cs="Arial"/>
          <w:sz w:val="24"/>
          <w:lang w:eastAsia="en-GB"/>
        </w:rPr>
        <w:t>Duodena</w:t>
      </w:r>
      <w:r w:rsidRPr="003E73CF">
        <w:rPr>
          <w:rFonts w:ascii="Arial" w:hAnsi="Arial" w:cs="Arial"/>
          <w:sz w:val="24"/>
          <w:lang w:eastAsia="en-GB"/>
        </w:rPr>
        <w:t xml:space="preserve">), or profound brain incitement </w:t>
      </w:r>
      <w:r w:rsidRPr="003E73CF">
        <w:rPr>
          <w:rFonts w:ascii="Arial" w:hAnsi="Arial" w:cs="Arial"/>
          <w:sz w:val="24"/>
          <w:lang w:eastAsia="en-GB"/>
        </w:rPr>
        <w:lastRenderedPageBreak/>
        <w:t xml:space="preserve">(DBS) may be considered (Decent, 2024). </w:t>
      </w:r>
    </w:p>
    <w:p w14:paraId="2302CAED" w14:textId="7529DF82"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Medication regimens are exceedingly individualised, requiring master survey and cautious observing of side impacts, counting motivation control clutters and neuropsychiatric complications. </w:t>
      </w:r>
    </w:p>
    <w:p w14:paraId="673D2166" w14:textId="318748A3" w:rsidR="009F34A0" w:rsidRPr="001E2488" w:rsidRDefault="009F34A0" w:rsidP="00E04597">
      <w:pPr>
        <w:spacing w:line="360" w:lineRule="auto"/>
        <w:jc w:val="both"/>
        <w:rPr>
          <w:rFonts w:ascii="Arial" w:hAnsi="Arial" w:cs="Arial"/>
          <w:b/>
          <w:sz w:val="24"/>
          <w:lang w:eastAsia="en-GB"/>
        </w:rPr>
      </w:pPr>
      <w:r w:rsidRPr="001E2488">
        <w:rPr>
          <w:rFonts w:ascii="Arial" w:hAnsi="Arial" w:cs="Arial"/>
          <w:b/>
          <w:sz w:val="24"/>
          <w:lang w:eastAsia="en-GB"/>
        </w:rPr>
        <w:t>2. Non-Pharmacological a</w:t>
      </w:r>
      <w:r w:rsidR="001E2488">
        <w:rPr>
          <w:rFonts w:ascii="Arial" w:hAnsi="Arial" w:cs="Arial"/>
          <w:b/>
          <w:sz w:val="24"/>
          <w:lang w:eastAsia="en-GB"/>
        </w:rPr>
        <w:t>nd Rehabilitative Interventions</w:t>
      </w:r>
    </w:p>
    <w:p w14:paraId="7375C757" w14:textId="104BE55A"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A trademark of UK </w:t>
      </w:r>
      <w:r w:rsidR="000778CD">
        <w:rPr>
          <w:rFonts w:ascii="Arial" w:hAnsi="Arial" w:cs="Arial"/>
          <w:sz w:val="24"/>
          <w:lang w:eastAsia="en-GB"/>
        </w:rPr>
        <w:t>Parkinson’s</w:t>
      </w:r>
      <w:r w:rsidRPr="009F34A0">
        <w:rPr>
          <w:rFonts w:ascii="Arial" w:hAnsi="Arial" w:cs="Arial"/>
          <w:sz w:val="24"/>
          <w:lang w:eastAsia="en-GB"/>
        </w:rPr>
        <w:t xml:space="preserve"> care is its accentuation on multidisciplinary recovery, tending to the disease</w:t>
      </w:r>
      <w:r w:rsidR="001E2488">
        <w:rPr>
          <w:rFonts w:ascii="Arial" w:hAnsi="Arial" w:cs="Arial"/>
          <w:sz w:val="24"/>
          <w:lang w:eastAsia="en-GB"/>
        </w:rPr>
        <w:t>’</w:t>
      </w:r>
      <w:r w:rsidRPr="009F34A0">
        <w:rPr>
          <w:rFonts w:ascii="Arial" w:hAnsi="Arial" w:cs="Arial"/>
          <w:sz w:val="24"/>
          <w:lang w:eastAsia="en-GB"/>
        </w:rPr>
        <w:t xml:space="preserve">s </w:t>
      </w:r>
      <w:r w:rsidR="001E2488" w:rsidRPr="009F34A0">
        <w:rPr>
          <w:rFonts w:ascii="Arial" w:hAnsi="Arial" w:cs="Arial"/>
          <w:sz w:val="24"/>
          <w:lang w:eastAsia="en-GB"/>
        </w:rPr>
        <w:t>all-encompassing</w:t>
      </w:r>
      <w:r w:rsidRPr="009F34A0">
        <w:rPr>
          <w:rFonts w:ascii="Arial" w:hAnsi="Arial" w:cs="Arial"/>
          <w:sz w:val="24"/>
          <w:lang w:eastAsia="en-GB"/>
        </w:rPr>
        <w:t xml:space="preserve"> </w:t>
      </w:r>
      <w:r w:rsidR="001E2488">
        <w:rPr>
          <w:rFonts w:ascii="Arial" w:hAnsi="Arial" w:cs="Arial"/>
          <w:sz w:val="24"/>
          <w:lang w:eastAsia="en-GB"/>
        </w:rPr>
        <w:t>affect.</w:t>
      </w:r>
    </w:p>
    <w:p w14:paraId="6344B300" w14:textId="6EF40BF3" w:rsidR="009F34A0" w:rsidRPr="001E2488" w:rsidRDefault="009F34A0" w:rsidP="00352E25">
      <w:pPr>
        <w:pStyle w:val="ListParagraph"/>
        <w:numPr>
          <w:ilvl w:val="0"/>
          <w:numId w:val="7"/>
        </w:numPr>
        <w:spacing w:line="360" w:lineRule="auto"/>
        <w:jc w:val="both"/>
        <w:rPr>
          <w:rFonts w:ascii="Arial" w:hAnsi="Arial" w:cs="Arial"/>
          <w:sz w:val="24"/>
          <w:lang w:eastAsia="en-GB"/>
        </w:rPr>
      </w:pPr>
      <w:r w:rsidRPr="001E2488">
        <w:rPr>
          <w:rFonts w:ascii="Arial" w:hAnsi="Arial" w:cs="Arial"/>
          <w:b/>
          <w:sz w:val="24"/>
          <w:lang w:eastAsia="en-GB"/>
        </w:rPr>
        <w:t>Physiotherapy:</w:t>
      </w:r>
      <w:r w:rsidRPr="001E2488">
        <w:rPr>
          <w:rFonts w:ascii="Arial" w:hAnsi="Arial" w:cs="Arial"/>
          <w:sz w:val="24"/>
          <w:lang w:eastAsia="en-GB"/>
        </w:rPr>
        <w:t xml:space="preserve"> Centres on stride re-education, adjust, pose, and drop avoidance. Work out programmes such as LSVT Huge and PD Warrior progress portability and engine ex</w:t>
      </w:r>
      <w:r w:rsidR="001E2488" w:rsidRPr="001E2488">
        <w:rPr>
          <w:rFonts w:ascii="Arial" w:hAnsi="Arial" w:cs="Arial"/>
          <w:sz w:val="24"/>
          <w:lang w:eastAsia="en-GB"/>
        </w:rPr>
        <w:t xml:space="preserve">ecution (Radder </w:t>
      </w:r>
      <w:r w:rsidR="00EF7DFB">
        <w:rPr>
          <w:rFonts w:ascii="Arial" w:hAnsi="Arial" w:cs="Arial"/>
          <w:sz w:val="24"/>
          <w:lang w:eastAsia="en-GB"/>
        </w:rPr>
        <w:t>et al</w:t>
      </w:r>
      <w:r w:rsidR="001E2488" w:rsidRPr="001E2488">
        <w:rPr>
          <w:rFonts w:ascii="Arial" w:hAnsi="Arial" w:cs="Arial"/>
          <w:sz w:val="24"/>
          <w:lang w:eastAsia="en-GB"/>
        </w:rPr>
        <w:t>., 2020).</w:t>
      </w:r>
    </w:p>
    <w:p w14:paraId="0E02BFD3" w14:textId="504F3735" w:rsidR="009F34A0" w:rsidRPr="001E2488" w:rsidRDefault="009F34A0" w:rsidP="00352E25">
      <w:pPr>
        <w:pStyle w:val="ListParagraph"/>
        <w:numPr>
          <w:ilvl w:val="0"/>
          <w:numId w:val="7"/>
        </w:numPr>
        <w:spacing w:line="360" w:lineRule="auto"/>
        <w:jc w:val="both"/>
        <w:rPr>
          <w:rFonts w:ascii="Arial" w:hAnsi="Arial" w:cs="Arial"/>
          <w:sz w:val="24"/>
          <w:lang w:eastAsia="en-GB"/>
        </w:rPr>
      </w:pPr>
      <w:r w:rsidRPr="001E2488">
        <w:rPr>
          <w:rFonts w:ascii="Arial" w:hAnsi="Arial" w:cs="Arial"/>
          <w:b/>
          <w:sz w:val="24"/>
          <w:lang w:eastAsia="en-GB"/>
        </w:rPr>
        <w:t>Occupational therapy (OT):</w:t>
      </w:r>
      <w:r w:rsidRPr="001E2488">
        <w:rPr>
          <w:rFonts w:ascii="Arial" w:hAnsi="Arial" w:cs="Arial"/>
          <w:sz w:val="24"/>
          <w:lang w:eastAsia="en-GB"/>
        </w:rPr>
        <w:t xml:space="preserve"> Improves utilitarian autonomy through versatile </w:t>
      </w:r>
      <w:r w:rsidRPr="001E2488">
        <w:rPr>
          <w:rFonts w:ascii="Arial" w:hAnsi="Arial" w:cs="Arial"/>
          <w:sz w:val="24"/>
          <w:lang w:eastAsia="en-GB"/>
        </w:rPr>
        <w:lastRenderedPageBreak/>
        <w:t>gear, natural alterations, and vitality preservation methods. OT is significant for advancing cooperation in day by day and soc</w:t>
      </w:r>
      <w:r w:rsidR="001E2488" w:rsidRPr="001E2488">
        <w:rPr>
          <w:rFonts w:ascii="Arial" w:hAnsi="Arial" w:cs="Arial"/>
          <w:sz w:val="24"/>
          <w:lang w:eastAsia="en-GB"/>
        </w:rPr>
        <w:t>ial exercises (Pleasant, 2024).</w:t>
      </w:r>
    </w:p>
    <w:p w14:paraId="14E1B76A" w14:textId="50C6C2A4" w:rsidR="009F34A0" w:rsidRPr="001E2488" w:rsidRDefault="009F34A0" w:rsidP="00352E25">
      <w:pPr>
        <w:pStyle w:val="ListParagraph"/>
        <w:numPr>
          <w:ilvl w:val="0"/>
          <w:numId w:val="7"/>
        </w:numPr>
        <w:spacing w:line="360" w:lineRule="auto"/>
        <w:jc w:val="both"/>
        <w:rPr>
          <w:rFonts w:ascii="Arial" w:hAnsi="Arial" w:cs="Arial"/>
          <w:sz w:val="24"/>
          <w:lang w:eastAsia="en-GB"/>
        </w:rPr>
      </w:pPr>
      <w:r w:rsidRPr="001E2488">
        <w:rPr>
          <w:rFonts w:ascii="Arial" w:hAnsi="Arial" w:cs="Arial"/>
          <w:b/>
          <w:sz w:val="24"/>
          <w:lang w:eastAsia="en-GB"/>
        </w:rPr>
        <w:t>Speech and language therapy (SLT):</w:t>
      </w:r>
      <w:r w:rsidRPr="001E2488">
        <w:rPr>
          <w:rFonts w:ascii="Arial" w:hAnsi="Arial" w:cs="Arial"/>
          <w:sz w:val="24"/>
          <w:lang w:eastAsia="en-GB"/>
        </w:rPr>
        <w:t xml:space="preserve"> Addresses dysarthria and dysphagia, making strides communication and secure gulping. The Lee Silverman Voice Treatment (LSVT Boisterous) programme is evidence-based for voice enh</w:t>
      </w:r>
      <w:r w:rsidR="001E2488" w:rsidRPr="001E2488">
        <w:rPr>
          <w:rFonts w:ascii="Arial" w:hAnsi="Arial" w:cs="Arial"/>
          <w:sz w:val="24"/>
          <w:lang w:eastAsia="en-GB"/>
        </w:rPr>
        <w:t xml:space="preserve">ancement (Ramig </w:t>
      </w:r>
      <w:r w:rsidR="00EF7DFB">
        <w:rPr>
          <w:rFonts w:ascii="Arial" w:hAnsi="Arial" w:cs="Arial"/>
          <w:sz w:val="24"/>
          <w:lang w:eastAsia="en-GB"/>
        </w:rPr>
        <w:t>et al</w:t>
      </w:r>
      <w:r w:rsidR="001E2488" w:rsidRPr="001E2488">
        <w:rPr>
          <w:rFonts w:ascii="Arial" w:hAnsi="Arial" w:cs="Arial"/>
          <w:sz w:val="24"/>
          <w:lang w:eastAsia="en-GB"/>
        </w:rPr>
        <w:t>., 2018).</w:t>
      </w:r>
    </w:p>
    <w:p w14:paraId="48451FD8" w14:textId="48A2785B" w:rsidR="009F34A0" w:rsidRPr="001E2488" w:rsidRDefault="009F34A0" w:rsidP="00352E25">
      <w:pPr>
        <w:pStyle w:val="ListParagraph"/>
        <w:numPr>
          <w:ilvl w:val="0"/>
          <w:numId w:val="7"/>
        </w:numPr>
        <w:spacing w:line="360" w:lineRule="auto"/>
        <w:jc w:val="both"/>
        <w:rPr>
          <w:rFonts w:ascii="Arial" w:hAnsi="Arial" w:cs="Arial"/>
          <w:sz w:val="24"/>
          <w:lang w:eastAsia="en-GB"/>
        </w:rPr>
      </w:pPr>
      <w:r w:rsidRPr="001E2488">
        <w:rPr>
          <w:rFonts w:ascii="Arial" w:hAnsi="Arial" w:cs="Arial"/>
          <w:b/>
          <w:sz w:val="24"/>
          <w:lang w:eastAsia="en-GB"/>
        </w:rPr>
        <w:t>Dietetic support:</w:t>
      </w:r>
      <w:r w:rsidRPr="001E2488">
        <w:rPr>
          <w:rFonts w:ascii="Arial" w:hAnsi="Arial" w:cs="Arial"/>
          <w:sz w:val="24"/>
          <w:lang w:eastAsia="en-GB"/>
        </w:rPr>
        <w:t xml:space="preserve"> Wholesome direction oversees clogging, weight variances, an</w:t>
      </w:r>
      <w:r w:rsidR="001E2488" w:rsidRPr="001E2488">
        <w:rPr>
          <w:rFonts w:ascii="Arial" w:hAnsi="Arial" w:cs="Arial"/>
          <w:sz w:val="24"/>
          <w:lang w:eastAsia="en-GB"/>
        </w:rPr>
        <w:t>d levodopa protein intelligent.</w:t>
      </w:r>
    </w:p>
    <w:p w14:paraId="17AAFB20" w14:textId="0C515CFA" w:rsidR="009F34A0" w:rsidRPr="001E2488" w:rsidRDefault="009F34A0" w:rsidP="00352E25">
      <w:pPr>
        <w:pStyle w:val="ListParagraph"/>
        <w:numPr>
          <w:ilvl w:val="0"/>
          <w:numId w:val="7"/>
        </w:numPr>
        <w:spacing w:line="360" w:lineRule="auto"/>
        <w:jc w:val="both"/>
        <w:rPr>
          <w:rFonts w:ascii="Arial" w:hAnsi="Arial" w:cs="Arial"/>
          <w:sz w:val="24"/>
          <w:lang w:eastAsia="en-GB"/>
        </w:rPr>
      </w:pPr>
      <w:r w:rsidRPr="001E2488">
        <w:rPr>
          <w:rFonts w:ascii="Arial" w:hAnsi="Arial" w:cs="Arial"/>
          <w:b/>
          <w:sz w:val="24"/>
          <w:lang w:eastAsia="en-GB"/>
        </w:rPr>
        <w:t>Neuropsychology and counselling:</w:t>
      </w:r>
      <w:r w:rsidRPr="001E2488">
        <w:rPr>
          <w:rFonts w:ascii="Arial" w:hAnsi="Arial" w:cs="Arial"/>
          <w:sz w:val="24"/>
          <w:lang w:eastAsia="en-GB"/>
        </w:rPr>
        <w:t xml:space="preserve"> Offer assistance oversee discouragement, cognitive decrease, and adapting procedures for patients and families (</w:t>
      </w:r>
      <w:r w:rsidR="001E2488" w:rsidRPr="001E2488">
        <w:rPr>
          <w:rFonts w:ascii="Arial" w:hAnsi="Arial" w:cs="Arial"/>
          <w:sz w:val="24"/>
          <w:lang w:eastAsia="en-GB"/>
        </w:rPr>
        <w:t>Reindeers, Hertz and Weber, 2008).</w:t>
      </w:r>
    </w:p>
    <w:p w14:paraId="1F6C4644" w14:textId="7DE2401D"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Community-based work out, peer bolster, and </w:t>
      </w:r>
      <w:r w:rsidR="000778CD">
        <w:rPr>
          <w:rFonts w:ascii="Arial" w:hAnsi="Arial" w:cs="Arial"/>
          <w:sz w:val="24"/>
          <w:lang w:eastAsia="en-GB"/>
        </w:rPr>
        <w:t>Parkinson’s</w:t>
      </w:r>
      <w:r w:rsidRPr="009F34A0">
        <w:rPr>
          <w:rFonts w:ascii="Arial" w:hAnsi="Arial" w:cs="Arial"/>
          <w:sz w:val="24"/>
          <w:lang w:eastAsia="en-GB"/>
        </w:rPr>
        <w:t xml:space="preserve"> nurse-led instruction programmes</w:t>
      </w:r>
      <w:r w:rsidR="001E2488">
        <w:rPr>
          <w:rFonts w:ascii="Arial" w:hAnsi="Arial" w:cs="Arial"/>
          <w:sz w:val="24"/>
          <w:lang w:eastAsia="en-GB"/>
        </w:rPr>
        <w:t xml:space="preserve"> </w:t>
      </w:r>
      <w:r w:rsidRPr="009F34A0">
        <w:rPr>
          <w:rFonts w:ascii="Arial" w:hAnsi="Arial" w:cs="Arial"/>
          <w:sz w:val="24"/>
          <w:lang w:eastAsia="en-GB"/>
        </w:rPr>
        <w:lastRenderedPageBreak/>
        <w:t>such as the Greatness Organise Model</w:t>
      </w:r>
      <w:r w:rsidR="001E2488">
        <w:rPr>
          <w:rFonts w:ascii="Arial" w:hAnsi="Arial" w:cs="Arial"/>
          <w:sz w:val="24"/>
          <w:lang w:eastAsia="en-GB"/>
        </w:rPr>
        <w:t xml:space="preserve"> </w:t>
      </w:r>
      <w:r w:rsidRPr="009F34A0">
        <w:rPr>
          <w:rFonts w:ascii="Arial" w:hAnsi="Arial" w:cs="Arial"/>
          <w:sz w:val="24"/>
          <w:lang w:eastAsia="en-GB"/>
        </w:rPr>
        <w:t>further engage people to self-manage side effects and keep up prosperity (</w:t>
      </w:r>
      <w:r w:rsidR="000778CD">
        <w:rPr>
          <w:rFonts w:ascii="Arial" w:hAnsi="Arial" w:cs="Arial"/>
          <w:sz w:val="24"/>
          <w:lang w:eastAsia="en-GB"/>
        </w:rPr>
        <w:t>Parkinson’s</w:t>
      </w:r>
      <w:r w:rsidR="001E2488">
        <w:rPr>
          <w:rFonts w:ascii="Arial" w:hAnsi="Arial" w:cs="Arial"/>
          <w:sz w:val="24"/>
          <w:lang w:eastAsia="en-GB"/>
        </w:rPr>
        <w:t xml:space="preserve"> UK, 2023).</w:t>
      </w:r>
    </w:p>
    <w:p w14:paraId="2F9F8CDB" w14:textId="5A75815F" w:rsidR="009F34A0" w:rsidRPr="001E2488" w:rsidRDefault="009F34A0" w:rsidP="00E04597">
      <w:pPr>
        <w:spacing w:line="360" w:lineRule="auto"/>
        <w:jc w:val="both"/>
        <w:rPr>
          <w:rFonts w:ascii="Arial" w:hAnsi="Arial" w:cs="Arial"/>
          <w:b/>
          <w:sz w:val="24"/>
          <w:lang w:eastAsia="en-GB"/>
        </w:rPr>
      </w:pPr>
      <w:r w:rsidRPr="001E2488">
        <w:rPr>
          <w:rFonts w:ascii="Arial" w:hAnsi="Arial" w:cs="Arial"/>
          <w:b/>
          <w:sz w:val="24"/>
          <w:lang w:eastAsia="en-GB"/>
        </w:rPr>
        <w:t xml:space="preserve">3. Integrated </w:t>
      </w:r>
      <w:r w:rsidR="001E2488" w:rsidRPr="001E2488">
        <w:rPr>
          <w:rFonts w:ascii="Arial" w:hAnsi="Arial" w:cs="Arial"/>
          <w:b/>
          <w:sz w:val="24"/>
          <w:lang w:eastAsia="en-GB"/>
        </w:rPr>
        <w:t>Multidisciplinary Care</w:t>
      </w:r>
      <w:r w:rsidR="001E2488">
        <w:rPr>
          <w:rFonts w:ascii="Arial" w:hAnsi="Arial" w:cs="Arial"/>
          <w:b/>
          <w:sz w:val="24"/>
          <w:lang w:eastAsia="en-GB"/>
        </w:rPr>
        <w:t xml:space="preserve"> in the UK</w:t>
      </w:r>
    </w:p>
    <w:p w14:paraId="16EB7E7C" w14:textId="3B414A6B"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The NHS demonstrate of </w:t>
      </w:r>
      <w:r w:rsidR="000778CD">
        <w:rPr>
          <w:rFonts w:ascii="Arial" w:hAnsi="Arial" w:cs="Arial"/>
          <w:sz w:val="24"/>
          <w:lang w:eastAsia="en-GB"/>
        </w:rPr>
        <w:t>Parkinson’s</w:t>
      </w:r>
      <w:r w:rsidRPr="009F34A0">
        <w:rPr>
          <w:rFonts w:ascii="Arial" w:hAnsi="Arial" w:cs="Arial"/>
          <w:sz w:val="24"/>
          <w:lang w:eastAsia="en-GB"/>
        </w:rPr>
        <w:t xml:space="preserve"> administration centres on integrated multidisciplinary groups (MDTs), guaranteeing consistent care over essential, auxiliary, and community settings. Centre MDT individuals incorporate neurologists, </w:t>
      </w:r>
      <w:r w:rsidR="000778CD">
        <w:rPr>
          <w:rFonts w:ascii="Arial" w:hAnsi="Arial" w:cs="Arial"/>
          <w:sz w:val="24"/>
          <w:lang w:eastAsia="en-GB"/>
        </w:rPr>
        <w:t>Parkinson’s</w:t>
      </w:r>
      <w:r w:rsidRPr="009F34A0">
        <w:rPr>
          <w:rFonts w:ascii="Arial" w:hAnsi="Arial" w:cs="Arial"/>
          <w:sz w:val="24"/>
          <w:lang w:eastAsia="en-GB"/>
        </w:rPr>
        <w:t xml:space="preserve"> master medical caretakers (PDNS), physiotherapists, word related and discourse specialists, dietitians, drug specialists, and social specialists (NHS Britain, 2019).</w:t>
      </w:r>
    </w:p>
    <w:p w14:paraId="6360151D" w14:textId="77777777" w:rsidR="009F34A0" w:rsidRPr="009F34A0" w:rsidRDefault="009F34A0" w:rsidP="00E04597">
      <w:pPr>
        <w:spacing w:line="360" w:lineRule="auto"/>
        <w:jc w:val="both"/>
        <w:rPr>
          <w:rFonts w:ascii="Arial" w:hAnsi="Arial" w:cs="Arial"/>
          <w:sz w:val="24"/>
          <w:lang w:eastAsia="en-GB"/>
        </w:rPr>
      </w:pPr>
    </w:p>
    <w:p w14:paraId="23274877" w14:textId="186C4F11" w:rsidR="009F34A0" w:rsidRPr="001E2488" w:rsidRDefault="009F34A0" w:rsidP="00352E25">
      <w:pPr>
        <w:pStyle w:val="ListParagraph"/>
        <w:numPr>
          <w:ilvl w:val="0"/>
          <w:numId w:val="8"/>
        </w:numPr>
        <w:spacing w:line="360" w:lineRule="auto"/>
        <w:jc w:val="both"/>
        <w:rPr>
          <w:rFonts w:ascii="Arial" w:hAnsi="Arial" w:cs="Arial"/>
          <w:sz w:val="24"/>
          <w:lang w:eastAsia="en-GB"/>
        </w:rPr>
      </w:pPr>
      <w:r w:rsidRPr="001E2488">
        <w:rPr>
          <w:rFonts w:ascii="Arial" w:hAnsi="Arial" w:cs="Arial"/>
          <w:b/>
          <w:sz w:val="24"/>
          <w:lang w:eastAsia="en-GB"/>
        </w:rPr>
        <w:t>Primary care:</w:t>
      </w:r>
      <w:r w:rsidRPr="001E2488">
        <w:rPr>
          <w:rFonts w:ascii="Arial" w:hAnsi="Arial" w:cs="Arial"/>
          <w:sz w:val="24"/>
          <w:lang w:eastAsia="en-GB"/>
        </w:rPr>
        <w:t xml:space="preserve"> Common specialists and community medical caretakers facilitate continuous audit, pharmaceutical administra</w:t>
      </w:r>
      <w:r w:rsidR="001E2488" w:rsidRPr="001E2488">
        <w:rPr>
          <w:rFonts w:ascii="Arial" w:hAnsi="Arial" w:cs="Arial"/>
          <w:sz w:val="24"/>
          <w:lang w:eastAsia="en-GB"/>
        </w:rPr>
        <w:t>tion, and referrals to masters.</w:t>
      </w:r>
    </w:p>
    <w:p w14:paraId="52A4FC70" w14:textId="386DCA6F" w:rsidR="009F34A0" w:rsidRPr="001E2488" w:rsidRDefault="009F34A0" w:rsidP="00352E25">
      <w:pPr>
        <w:pStyle w:val="ListParagraph"/>
        <w:numPr>
          <w:ilvl w:val="0"/>
          <w:numId w:val="8"/>
        </w:numPr>
        <w:spacing w:line="360" w:lineRule="auto"/>
        <w:jc w:val="both"/>
        <w:rPr>
          <w:rFonts w:ascii="Arial" w:hAnsi="Arial" w:cs="Arial"/>
          <w:sz w:val="24"/>
          <w:lang w:eastAsia="en-GB"/>
        </w:rPr>
      </w:pPr>
      <w:r w:rsidRPr="001E2488">
        <w:rPr>
          <w:rFonts w:ascii="Arial" w:hAnsi="Arial" w:cs="Arial"/>
          <w:b/>
          <w:sz w:val="24"/>
          <w:lang w:eastAsia="en-GB"/>
        </w:rPr>
        <w:t>Secondary care:</w:t>
      </w:r>
      <w:r w:rsidRPr="001E2488">
        <w:rPr>
          <w:rFonts w:ascii="Arial" w:hAnsi="Arial" w:cs="Arial"/>
          <w:sz w:val="24"/>
          <w:lang w:eastAsia="en-GB"/>
        </w:rPr>
        <w:t xml:space="preserve"> Neurologists and geriatricians give determination </w:t>
      </w:r>
      <w:r w:rsidRPr="001E2488">
        <w:rPr>
          <w:rFonts w:ascii="Arial" w:hAnsi="Arial" w:cs="Arial"/>
          <w:sz w:val="24"/>
          <w:lang w:eastAsia="en-GB"/>
        </w:rPr>
        <w:lastRenderedPageBreak/>
        <w:t>affirmation, progressed treatment start, and comp</w:t>
      </w:r>
      <w:r w:rsidR="001E2488" w:rsidRPr="001E2488">
        <w:rPr>
          <w:rFonts w:ascii="Arial" w:hAnsi="Arial" w:cs="Arial"/>
          <w:sz w:val="24"/>
          <w:lang w:eastAsia="en-GB"/>
        </w:rPr>
        <w:t>lex side effect administration.</w:t>
      </w:r>
    </w:p>
    <w:p w14:paraId="120DB121" w14:textId="344E46A2" w:rsidR="009F34A0" w:rsidRPr="001E2488" w:rsidRDefault="009F34A0" w:rsidP="00352E25">
      <w:pPr>
        <w:pStyle w:val="ListParagraph"/>
        <w:numPr>
          <w:ilvl w:val="0"/>
          <w:numId w:val="8"/>
        </w:numPr>
        <w:spacing w:line="360" w:lineRule="auto"/>
        <w:jc w:val="both"/>
        <w:rPr>
          <w:rFonts w:ascii="Arial" w:hAnsi="Arial" w:cs="Arial"/>
          <w:sz w:val="24"/>
          <w:lang w:eastAsia="en-GB"/>
        </w:rPr>
      </w:pPr>
      <w:r w:rsidRPr="001E2488">
        <w:rPr>
          <w:rFonts w:ascii="Arial" w:hAnsi="Arial" w:cs="Arial"/>
          <w:b/>
          <w:sz w:val="24"/>
          <w:lang w:eastAsia="en-GB"/>
        </w:rPr>
        <w:t>Community and voluntary sectors</w:t>
      </w:r>
      <w:r w:rsidRPr="001E2488">
        <w:rPr>
          <w:rFonts w:ascii="Arial" w:hAnsi="Arial" w:cs="Arial"/>
          <w:sz w:val="24"/>
          <w:lang w:eastAsia="en-GB"/>
        </w:rPr>
        <w:t xml:space="preserve">: </w:t>
      </w:r>
      <w:r w:rsidR="000778CD" w:rsidRPr="001E2488">
        <w:rPr>
          <w:rFonts w:ascii="Arial" w:hAnsi="Arial" w:cs="Arial"/>
          <w:sz w:val="24"/>
          <w:lang w:eastAsia="en-GB"/>
        </w:rPr>
        <w:t>Parkinson’s</w:t>
      </w:r>
      <w:r w:rsidRPr="001E2488">
        <w:rPr>
          <w:rFonts w:ascii="Arial" w:hAnsi="Arial" w:cs="Arial"/>
          <w:sz w:val="24"/>
          <w:lang w:eastAsia="en-GB"/>
        </w:rPr>
        <w:t xml:space="preserve"> UK offers instruction, promotion, and back bunches that upgrade </w:t>
      </w:r>
      <w:r w:rsidR="001E2488" w:rsidRPr="001E2488">
        <w:rPr>
          <w:rFonts w:ascii="Arial" w:hAnsi="Arial" w:cs="Arial"/>
          <w:sz w:val="24"/>
          <w:lang w:eastAsia="en-GB"/>
        </w:rPr>
        <w:t>social engagement and strength.</w:t>
      </w:r>
    </w:p>
    <w:p w14:paraId="68A037D0" w14:textId="3BA1D5D2" w:rsidR="009F34A0" w:rsidRPr="009F34A0" w:rsidRDefault="009F34A0" w:rsidP="00E04597">
      <w:pPr>
        <w:spacing w:line="360" w:lineRule="auto"/>
        <w:jc w:val="both"/>
        <w:rPr>
          <w:rFonts w:ascii="Arial" w:hAnsi="Arial" w:cs="Arial"/>
          <w:sz w:val="24"/>
          <w:lang w:eastAsia="en-GB"/>
        </w:rPr>
      </w:pPr>
      <w:r w:rsidRPr="009F34A0">
        <w:rPr>
          <w:rFonts w:ascii="Arial" w:hAnsi="Arial" w:cs="Arial"/>
          <w:sz w:val="24"/>
          <w:lang w:eastAsia="en-GB"/>
        </w:rPr>
        <w:t xml:space="preserve">Integrated care aligns with the NHS Long Term Arrange (2019) and Pleasant NG71 (2024), pushing for facilitated, person-centred administration. The House of Care show and Coordinates Care Frameworks (ICSs) encourage collaboration between wellbeing and social care suppliers to convey </w:t>
      </w:r>
      <w:r w:rsidR="001E2488" w:rsidRPr="009F34A0">
        <w:rPr>
          <w:rFonts w:ascii="Arial" w:hAnsi="Arial" w:cs="Arial"/>
          <w:sz w:val="24"/>
          <w:lang w:eastAsia="en-GB"/>
        </w:rPr>
        <w:t>all-encompassing</w:t>
      </w:r>
      <w:r w:rsidRPr="009F34A0">
        <w:rPr>
          <w:rFonts w:ascii="Arial" w:hAnsi="Arial" w:cs="Arial"/>
          <w:sz w:val="24"/>
          <w:lang w:eastAsia="en-GB"/>
        </w:rPr>
        <w:t xml:space="preserve"> bolster al</w:t>
      </w:r>
      <w:r w:rsidR="001E2488">
        <w:rPr>
          <w:rFonts w:ascii="Arial" w:hAnsi="Arial" w:cs="Arial"/>
          <w:sz w:val="24"/>
          <w:lang w:eastAsia="en-GB"/>
        </w:rPr>
        <w:t>l through the malady direction.</w:t>
      </w:r>
    </w:p>
    <w:p w14:paraId="080EB907" w14:textId="758F68A9" w:rsidR="00602C98" w:rsidRDefault="00602C98" w:rsidP="00EF7DFB">
      <w:pPr>
        <w:pStyle w:val="Heading1"/>
        <w:spacing w:after="240"/>
        <w:rPr>
          <w:rFonts w:eastAsia="Times New Roman"/>
          <w:lang w:eastAsia="en-GB"/>
        </w:rPr>
      </w:pPr>
      <w:bookmarkStart w:id="4" w:name="_Toc213973683"/>
      <w:r w:rsidRPr="00602C98">
        <w:rPr>
          <w:rFonts w:eastAsia="Times New Roman"/>
          <w:lang w:eastAsia="en-GB"/>
        </w:rPr>
        <w:t>Theoretical Frameworks &amp; Models</w:t>
      </w:r>
      <w:bookmarkEnd w:id="4"/>
      <w:r w:rsidRPr="00602C98">
        <w:rPr>
          <w:rFonts w:eastAsia="Times New Roman"/>
          <w:lang w:eastAsia="en-GB"/>
        </w:rPr>
        <w:t xml:space="preserve"> </w:t>
      </w:r>
    </w:p>
    <w:p w14:paraId="5A004DEF" w14:textId="77777777" w:rsidR="001E2488" w:rsidRPr="003228D3" w:rsidRDefault="001E2488" w:rsidP="00EF7DFB">
      <w:pPr>
        <w:spacing w:after="240" w:line="360" w:lineRule="auto"/>
        <w:jc w:val="both"/>
        <w:rPr>
          <w:rStyle w:val="Strong"/>
          <w:rFonts w:ascii="Arial" w:hAnsi="Arial" w:cs="Arial"/>
          <w:sz w:val="24"/>
        </w:rPr>
      </w:pPr>
      <w:r w:rsidRPr="003228D3">
        <w:rPr>
          <w:rStyle w:val="Strong"/>
          <w:rFonts w:ascii="Arial" w:hAnsi="Arial" w:cs="Arial"/>
          <w:sz w:val="24"/>
        </w:rPr>
        <w:t>UK Model: Integrated and Person-Centred Care</w:t>
      </w:r>
    </w:p>
    <w:p w14:paraId="58BAB4E5" w14:textId="6BACF97C" w:rsidR="001E2488" w:rsidRPr="001E2488" w:rsidRDefault="001E2488" w:rsidP="00EF7DFB">
      <w:pPr>
        <w:spacing w:after="240" w:line="360" w:lineRule="auto"/>
        <w:jc w:val="both"/>
        <w:rPr>
          <w:rStyle w:val="Strong"/>
          <w:rFonts w:ascii="Arial" w:hAnsi="Arial" w:cs="Arial"/>
          <w:b w:val="0"/>
          <w:sz w:val="24"/>
        </w:rPr>
      </w:pPr>
      <w:r w:rsidRPr="001E2488">
        <w:rPr>
          <w:rStyle w:val="Strong"/>
          <w:rFonts w:ascii="Arial" w:hAnsi="Arial" w:cs="Arial"/>
          <w:b w:val="0"/>
          <w:sz w:val="24"/>
        </w:rPr>
        <w:lastRenderedPageBreak/>
        <w:t xml:space="preserve">Within the UK, </w:t>
      </w:r>
      <w:r w:rsidR="003228D3">
        <w:rPr>
          <w:rStyle w:val="Strong"/>
          <w:rFonts w:ascii="Arial" w:hAnsi="Arial" w:cs="Arial"/>
          <w:b w:val="0"/>
          <w:sz w:val="24"/>
        </w:rPr>
        <w:t>Parkinson’s</w:t>
      </w:r>
      <w:r w:rsidRPr="001E2488">
        <w:rPr>
          <w:rStyle w:val="Strong"/>
          <w:rFonts w:ascii="Arial" w:hAnsi="Arial" w:cs="Arial"/>
          <w:b w:val="0"/>
          <w:sz w:val="24"/>
        </w:rPr>
        <w:t xml:space="preserve"> malady care is guided by a person-centred, coordinates care approach. The centre multidisciplinary group (MDT) ordinarily incorporates a neurologist, </w:t>
      </w:r>
      <w:r w:rsidR="003228D3">
        <w:rPr>
          <w:rStyle w:val="Strong"/>
          <w:rFonts w:ascii="Arial" w:hAnsi="Arial" w:cs="Arial"/>
          <w:b w:val="0"/>
          <w:sz w:val="24"/>
        </w:rPr>
        <w:t>Parkinson’s</w:t>
      </w:r>
      <w:r w:rsidRPr="001E2488">
        <w:rPr>
          <w:rStyle w:val="Strong"/>
          <w:rFonts w:ascii="Arial" w:hAnsi="Arial" w:cs="Arial"/>
          <w:b w:val="0"/>
          <w:sz w:val="24"/>
        </w:rPr>
        <w:t xml:space="preserve"> infection nurture pro (PDNS), physiotherapist, word related advisor (OT), discourse and dialect specialist (SLT), dietitian, analyst, and social labourer. Care is facilitated over essential, auxiliary, and community administrations, with clear referral pathways from GP to master centres and community restoration. Models such as the House of Care accentuate association between patients and experts, proactive arranging, organised audits, and </w:t>
      </w:r>
      <w:r w:rsidR="003228D3" w:rsidRPr="001E2488">
        <w:rPr>
          <w:rStyle w:val="Strong"/>
          <w:rFonts w:ascii="Arial" w:hAnsi="Arial" w:cs="Arial"/>
          <w:b w:val="0"/>
          <w:sz w:val="24"/>
        </w:rPr>
        <w:t>all-encompassing</w:t>
      </w:r>
      <w:r w:rsidRPr="001E2488">
        <w:rPr>
          <w:rStyle w:val="Strong"/>
          <w:rFonts w:ascii="Arial" w:hAnsi="Arial" w:cs="Arial"/>
          <w:b w:val="0"/>
          <w:sz w:val="24"/>
        </w:rPr>
        <w:t xml:space="preserve"> thought of physical, mental, and social needs. Coordinates Care Frameworks (ICS) in NHS Britain empower territorial collaboration, supporting opportune get to master administrations, community recovery, and telehealth mediations. Prove shows that these approaches move forward side effect administration, quality of life, and </w:t>
      </w:r>
      <w:r w:rsidRPr="001E2488">
        <w:rPr>
          <w:rStyle w:val="Strong"/>
          <w:rFonts w:ascii="Arial" w:hAnsi="Arial" w:cs="Arial"/>
          <w:b w:val="0"/>
          <w:sz w:val="24"/>
        </w:rPr>
        <w:lastRenderedPageBreak/>
        <w:t>caregiver back (</w:t>
      </w:r>
      <w:r w:rsidR="003228D3">
        <w:rPr>
          <w:rStyle w:val="Strong"/>
          <w:rFonts w:ascii="Arial" w:hAnsi="Arial" w:cs="Arial"/>
          <w:b w:val="0"/>
          <w:sz w:val="24"/>
        </w:rPr>
        <w:t>Parkinson’s</w:t>
      </w:r>
      <w:r w:rsidRPr="001E2488">
        <w:rPr>
          <w:rStyle w:val="Strong"/>
          <w:rFonts w:ascii="Arial" w:hAnsi="Arial" w:cs="Arial"/>
          <w:b w:val="0"/>
          <w:sz w:val="24"/>
        </w:rPr>
        <w:t xml:space="preserve"> UK, 2023; King</w:t>
      </w:r>
      <w:r w:rsidR="003228D3">
        <w:rPr>
          <w:rStyle w:val="Strong"/>
          <w:rFonts w:ascii="Arial" w:hAnsi="Arial" w:cs="Arial"/>
          <w:b w:val="0"/>
          <w:sz w:val="24"/>
        </w:rPr>
        <w:t>’</w:t>
      </w:r>
      <w:r w:rsidRPr="001E2488">
        <w:rPr>
          <w:rStyle w:val="Strong"/>
          <w:rFonts w:ascii="Arial" w:hAnsi="Arial" w:cs="Arial"/>
          <w:b w:val="0"/>
          <w:sz w:val="24"/>
        </w:rPr>
        <w:t>s College London Unadulterated, 2021).</w:t>
      </w:r>
    </w:p>
    <w:p w14:paraId="75A02B5C" w14:textId="77777777" w:rsidR="00EF7DFB" w:rsidRDefault="00EF7DFB">
      <w:pPr>
        <w:rPr>
          <w:rStyle w:val="Strong"/>
          <w:rFonts w:ascii="Arial" w:hAnsi="Arial" w:cs="Arial"/>
          <w:sz w:val="24"/>
        </w:rPr>
      </w:pPr>
      <w:r>
        <w:rPr>
          <w:rStyle w:val="Strong"/>
          <w:rFonts w:ascii="Arial" w:hAnsi="Arial" w:cs="Arial"/>
          <w:sz w:val="24"/>
        </w:rPr>
        <w:br w:type="page"/>
      </w:r>
    </w:p>
    <w:p w14:paraId="0DBAA4B0" w14:textId="46ACFE2F" w:rsidR="001E2488" w:rsidRPr="003228D3" w:rsidRDefault="001E2488" w:rsidP="001E2488">
      <w:pPr>
        <w:spacing w:line="360" w:lineRule="auto"/>
        <w:jc w:val="both"/>
        <w:rPr>
          <w:rStyle w:val="Strong"/>
          <w:rFonts w:ascii="Arial" w:hAnsi="Arial" w:cs="Arial"/>
          <w:sz w:val="24"/>
        </w:rPr>
      </w:pPr>
      <w:r w:rsidRPr="003228D3">
        <w:rPr>
          <w:rStyle w:val="Strong"/>
          <w:rFonts w:ascii="Arial" w:hAnsi="Arial" w:cs="Arial"/>
          <w:sz w:val="24"/>
        </w:rPr>
        <w:lastRenderedPageBreak/>
        <w:t>International Models: Chronic Care and MDT Frameworks</w:t>
      </w:r>
    </w:p>
    <w:p w14:paraId="4C4CB234" w14:textId="6BA1F742" w:rsidR="001E2488" w:rsidRPr="001E2488" w:rsidRDefault="001E2488" w:rsidP="001E2488">
      <w:pPr>
        <w:spacing w:line="360" w:lineRule="auto"/>
        <w:jc w:val="both"/>
        <w:rPr>
          <w:rStyle w:val="Strong"/>
          <w:rFonts w:ascii="Arial" w:hAnsi="Arial" w:cs="Arial"/>
          <w:b w:val="0"/>
          <w:sz w:val="24"/>
        </w:rPr>
      </w:pPr>
      <w:r w:rsidRPr="001E2488">
        <w:rPr>
          <w:rStyle w:val="Strong"/>
          <w:rFonts w:ascii="Arial" w:hAnsi="Arial" w:cs="Arial"/>
          <w:b w:val="0"/>
          <w:sz w:val="24"/>
        </w:rPr>
        <w:t xml:space="preserve">Internationally, systems such as the Persistent Care Demonstrate (CCM) highlight the significance of profitable intelligent between educated, dynamic patients and arranged, proactive healthcare groups. CCM centres on self-management, quiet instruction, clinical choice bolster, and community asset integration, which are especially important for long-term neurological conditions like </w:t>
      </w:r>
      <w:r w:rsidR="003228D3">
        <w:rPr>
          <w:rStyle w:val="Strong"/>
          <w:rFonts w:ascii="Arial" w:hAnsi="Arial" w:cs="Arial"/>
          <w:b w:val="0"/>
          <w:sz w:val="24"/>
        </w:rPr>
        <w:t>Parkinson’s</w:t>
      </w:r>
      <w:r w:rsidRPr="001E2488">
        <w:rPr>
          <w:rStyle w:val="Strong"/>
          <w:rFonts w:ascii="Arial" w:hAnsi="Arial" w:cs="Arial"/>
          <w:b w:val="0"/>
          <w:sz w:val="24"/>
        </w:rPr>
        <w:t xml:space="preserve"> infection. Enquire about on MDT association universally recommends basic components incorporate schedule multidisciplinary appraisals, organised care gatherings, persistent instruction, and get to </w:t>
      </w:r>
      <w:proofErr w:type="spellStart"/>
      <w:r w:rsidRPr="001E2488">
        <w:rPr>
          <w:rStyle w:val="Strong"/>
          <w:rFonts w:ascii="Arial" w:hAnsi="Arial" w:cs="Arial"/>
          <w:b w:val="0"/>
          <w:sz w:val="24"/>
        </w:rPr>
        <w:t>to</w:t>
      </w:r>
      <w:proofErr w:type="spellEnd"/>
      <w:r w:rsidRPr="001E2488">
        <w:rPr>
          <w:rStyle w:val="Strong"/>
          <w:rFonts w:ascii="Arial" w:hAnsi="Arial" w:cs="Arial"/>
          <w:b w:val="0"/>
          <w:sz w:val="24"/>
        </w:rPr>
        <w:t xml:space="preserve"> non-pharmacological treatments. Alluring components incorporate essential care integration, telemedicine, enquire about association, and early palliative care integration. Thinks about appear organised MDT care decreases falls, progresses versatility, and </w:t>
      </w:r>
      <w:r w:rsidRPr="001E2488">
        <w:rPr>
          <w:rStyle w:val="Strong"/>
          <w:rFonts w:ascii="Arial" w:hAnsi="Arial" w:cs="Arial"/>
          <w:b w:val="0"/>
          <w:sz w:val="24"/>
        </w:rPr>
        <w:lastRenderedPageBreak/>
        <w:t xml:space="preserve">addresses non-motor indications successfully (van </w:t>
      </w:r>
      <w:proofErr w:type="spellStart"/>
      <w:r w:rsidRPr="001E2488">
        <w:rPr>
          <w:rStyle w:val="Strong"/>
          <w:rFonts w:ascii="Arial" w:hAnsi="Arial" w:cs="Arial"/>
          <w:b w:val="0"/>
          <w:sz w:val="24"/>
        </w:rPr>
        <w:t>daer</w:t>
      </w:r>
      <w:proofErr w:type="spellEnd"/>
      <w:r w:rsidRPr="001E2488">
        <w:rPr>
          <w:rStyle w:val="Strong"/>
          <w:rFonts w:ascii="Arial" w:hAnsi="Arial" w:cs="Arial"/>
          <w:b w:val="0"/>
          <w:sz w:val="24"/>
        </w:rPr>
        <w:t xml:space="preserve"> Marck </w:t>
      </w:r>
      <w:r w:rsidR="00EF7DFB">
        <w:rPr>
          <w:rStyle w:val="Strong"/>
          <w:rFonts w:ascii="Arial" w:hAnsi="Arial" w:cs="Arial"/>
          <w:b w:val="0"/>
          <w:sz w:val="24"/>
        </w:rPr>
        <w:t>et al</w:t>
      </w:r>
      <w:r w:rsidRPr="001E2488">
        <w:rPr>
          <w:rStyle w:val="Strong"/>
          <w:rFonts w:ascii="Arial" w:hAnsi="Arial" w:cs="Arial"/>
          <w:b w:val="0"/>
          <w:sz w:val="24"/>
        </w:rPr>
        <w:t>., 2013).</w:t>
      </w:r>
    </w:p>
    <w:p w14:paraId="355D4C8F" w14:textId="77777777" w:rsidR="001E2488" w:rsidRPr="003228D3" w:rsidRDefault="001E2488" w:rsidP="001E2488">
      <w:pPr>
        <w:spacing w:line="360" w:lineRule="auto"/>
        <w:jc w:val="both"/>
        <w:rPr>
          <w:rStyle w:val="Strong"/>
          <w:rFonts w:ascii="Arial" w:hAnsi="Arial" w:cs="Arial"/>
          <w:sz w:val="24"/>
        </w:rPr>
      </w:pPr>
      <w:r w:rsidRPr="003228D3">
        <w:rPr>
          <w:rStyle w:val="Strong"/>
          <w:rFonts w:ascii="Arial" w:hAnsi="Arial" w:cs="Arial"/>
          <w:sz w:val="24"/>
        </w:rPr>
        <w:t>Critical Evaluation</w:t>
      </w:r>
    </w:p>
    <w:p w14:paraId="79C2F3F2" w14:textId="41647330" w:rsidR="00552BED" w:rsidRPr="003228D3" w:rsidRDefault="003228D3" w:rsidP="003228D3">
      <w:pPr>
        <w:spacing w:line="360" w:lineRule="auto"/>
        <w:jc w:val="both"/>
        <w:rPr>
          <w:rFonts w:ascii="Arial" w:hAnsi="Arial" w:cs="Arial"/>
          <w:bCs/>
          <w:sz w:val="24"/>
        </w:rPr>
      </w:pPr>
      <w:r>
        <w:rPr>
          <w:rStyle w:val="Strong"/>
          <w:rFonts w:ascii="Arial" w:hAnsi="Arial" w:cs="Arial"/>
          <w:b w:val="0"/>
          <w:sz w:val="24"/>
        </w:rPr>
        <w:t>The UK model’</w:t>
      </w:r>
      <w:r w:rsidR="001E2488" w:rsidRPr="001E2488">
        <w:rPr>
          <w:rStyle w:val="Strong"/>
          <w:rFonts w:ascii="Arial" w:hAnsi="Arial" w:cs="Arial"/>
          <w:b w:val="0"/>
          <w:sz w:val="24"/>
        </w:rPr>
        <w:t xml:space="preserve">s qualities lie in clear MDT pathways, integration with national frameworks, and a person-centred approach that advances engagement and self-management. Confinements incorporate workforce deficiencies, particularly </w:t>
      </w:r>
      <w:r>
        <w:rPr>
          <w:rStyle w:val="Strong"/>
          <w:rFonts w:ascii="Arial" w:hAnsi="Arial" w:cs="Arial"/>
          <w:b w:val="0"/>
          <w:sz w:val="24"/>
        </w:rPr>
        <w:t>Parkinson’s</w:t>
      </w:r>
      <w:r w:rsidR="001E2488" w:rsidRPr="001E2488">
        <w:rPr>
          <w:rStyle w:val="Strong"/>
          <w:rFonts w:ascii="Arial" w:hAnsi="Arial" w:cs="Arial"/>
          <w:b w:val="0"/>
          <w:sz w:val="24"/>
        </w:rPr>
        <w:t xml:space="preserve"> nurture masters and specialists, territorial disparities in benefit arrangement, and restricted assets for community and home-based restoration. Worldwide models complement UK approaches by advertising systems for organised self-management, long-term observing, and system-level association. Combining these models can upgrade side effect administration, progress results,</w:t>
      </w:r>
      <w:r>
        <w:rPr>
          <w:rStyle w:val="Strong"/>
          <w:rFonts w:ascii="Arial" w:hAnsi="Arial" w:cs="Arial"/>
          <w:b w:val="0"/>
          <w:sz w:val="24"/>
        </w:rPr>
        <w:t xml:space="preserve"> and decrease crevices in care.</w:t>
      </w:r>
    </w:p>
    <w:p w14:paraId="4201F35D" w14:textId="77777777" w:rsidR="002416DC" w:rsidRDefault="002416DC" w:rsidP="008E5F4E">
      <w:pPr>
        <w:pStyle w:val="Heading1"/>
        <w:rPr>
          <w:rFonts w:eastAsia="Times New Roman"/>
          <w:lang w:eastAsia="en-GB"/>
        </w:rPr>
      </w:pPr>
      <w:bookmarkStart w:id="5" w:name="_Toc213973684"/>
    </w:p>
    <w:p w14:paraId="1199EF4D" w14:textId="77777777" w:rsidR="002416DC" w:rsidRDefault="002416DC" w:rsidP="008E5F4E">
      <w:pPr>
        <w:pStyle w:val="Heading1"/>
        <w:rPr>
          <w:rFonts w:eastAsia="Times New Roman"/>
          <w:lang w:eastAsia="en-GB"/>
        </w:rPr>
      </w:pPr>
    </w:p>
    <w:p w14:paraId="4E42FE57" w14:textId="70413BA4" w:rsidR="00602C98" w:rsidRDefault="00602C98" w:rsidP="008E5F4E">
      <w:pPr>
        <w:pStyle w:val="Heading1"/>
        <w:rPr>
          <w:rFonts w:eastAsia="Times New Roman"/>
          <w:lang w:eastAsia="en-GB"/>
        </w:rPr>
      </w:pPr>
      <w:r w:rsidRPr="00602C98">
        <w:rPr>
          <w:rFonts w:eastAsia="Times New Roman"/>
          <w:lang w:eastAsia="en-GB"/>
        </w:rPr>
        <w:t>UK Policy &amp; Political Agendas</w:t>
      </w:r>
      <w:bookmarkEnd w:id="5"/>
      <w:r w:rsidRPr="00602C98">
        <w:rPr>
          <w:rFonts w:eastAsia="Times New Roman"/>
          <w:lang w:eastAsia="en-GB"/>
        </w:rPr>
        <w:t xml:space="preserve"> </w:t>
      </w:r>
    </w:p>
    <w:p w14:paraId="5CDD25C5" w14:textId="77777777" w:rsidR="00F07158" w:rsidRDefault="00F07158" w:rsidP="008E5F4E">
      <w:pPr>
        <w:spacing w:line="360" w:lineRule="auto"/>
        <w:jc w:val="both"/>
        <w:rPr>
          <w:rFonts w:ascii="Arial" w:hAnsi="Arial" w:cs="Arial"/>
          <w:b/>
          <w:sz w:val="24"/>
          <w:lang w:eastAsia="en-GB"/>
        </w:rPr>
      </w:pPr>
    </w:p>
    <w:p w14:paraId="095E042F" w14:textId="6AABD37C" w:rsidR="008E5F4E" w:rsidRPr="00155971" w:rsidRDefault="008E5F4E" w:rsidP="008E5F4E">
      <w:pPr>
        <w:spacing w:line="360" w:lineRule="auto"/>
        <w:jc w:val="both"/>
        <w:rPr>
          <w:rFonts w:ascii="Arial" w:hAnsi="Arial" w:cs="Arial"/>
          <w:b/>
          <w:sz w:val="24"/>
          <w:lang w:eastAsia="en-GB"/>
        </w:rPr>
      </w:pPr>
      <w:r w:rsidRPr="00155971">
        <w:rPr>
          <w:rFonts w:ascii="Arial" w:hAnsi="Arial" w:cs="Arial"/>
          <w:b/>
          <w:sz w:val="24"/>
          <w:lang w:eastAsia="en-GB"/>
        </w:rPr>
        <w:t>National Guidelines</w:t>
      </w:r>
    </w:p>
    <w:p w14:paraId="1E55A7C3" w14:textId="0940ADE5" w:rsidR="008E5F4E" w:rsidRPr="008E5F4E" w:rsidRDefault="008E5F4E" w:rsidP="008E5F4E">
      <w:pPr>
        <w:spacing w:line="360" w:lineRule="auto"/>
        <w:jc w:val="both"/>
        <w:rPr>
          <w:rFonts w:ascii="Arial" w:hAnsi="Arial" w:cs="Arial"/>
          <w:sz w:val="24"/>
          <w:lang w:eastAsia="en-GB"/>
        </w:rPr>
      </w:pPr>
      <w:r w:rsidRPr="008E5F4E">
        <w:rPr>
          <w:rFonts w:ascii="Arial" w:hAnsi="Arial" w:cs="Arial"/>
          <w:sz w:val="24"/>
          <w:lang w:eastAsia="en-GB"/>
        </w:rPr>
        <w:t xml:space="preserve">The management of </w:t>
      </w:r>
      <w:r w:rsidR="00155971">
        <w:rPr>
          <w:rFonts w:ascii="Arial" w:hAnsi="Arial" w:cs="Arial"/>
          <w:sz w:val="24"/>
          <w:lang w:eastAsia="en-GB"/>
        </w:rPr>
        <w:t>Parkinson’s</w:t>
      </w:r>
      <w:r w:rsidRPr="008E5F4E">
        <w:rPr>
          <w:rFonts w:ascii="Arial" w:hAnsi="Arial" w:cs="Arial"/>
          <w:sz w:val="24"/>
          <w:lang w:eastAsia="en-GB"/>
        </w:rPr>
        <w:t xml:space="preserve"> infection within the UK is emphatically guided by Decent rules. NG71 (2017) gives suggestions on precise conclusion, convenient referral to pros, and customised administration plans. It accentuates the significance of get to physiotherapy, word related treatment, and discourse and dialect treatment to oversee engine and non-motor side effects viably. Quality Standard QS164 (2018) complements this by indicating quantifiable pointers for quality care, counting get to pro medical caretakers, organised MDT survey, and self-management back. These rules shape the spine of evidence-based, person-centred care over the UK (Decent, 2017; 2018).</w:t>
      </w:r>
    </w:p>
    <w:p w14:paraId="571197EA" w14:textId="77777777" w:rsidR="008E5F4E" w:rsidRPr="00F07158" w:rsidRDefault="008E5F4E" w:rsidP="008E5F4E">
      <w:pPr>
        <w:spacing w:line="360" w:lineRule="auto"/>
        <w:jc w:val="both"/>
        <w:rPr>
          <w:rFonts w:ascii="Arial" w:hAnsi="Arial" w:cs="Arial"/>
          <w:b/>
          <w:sz w:val="24"/>
          <w:lang w:eastAsia="en-GB"/>
        </w:rPr>
      </w:pPr>
      <w:r w:rsidRPr="00F07158">
        <w:rPr>
          <w:rFonts w:ascii="Arial" w:hAnsi="Arial" w:cs="Arial"/>
          <w:b/>
          <w:sz w:val="24"/>
          <w:lang w:eastAsia="en-GB"/>
        </w:rPr>
        <w:lastRenderedPageBreak/>
        <w:t>Specialist Networks and Workforce Initiatives</w:t>
      </w:r>
    </w:p>
    <w:p w14:paraId="1BFD7799" w14:textId="1241146F" w:rsidR="008E5F4E" w:rsidRPr="008E5F4E" w:rsidRDefault="00155971" w:rsidP="008E5F4E">
      <w:pPr>
        <w:spacing w:line="360" w:lineRule="auto"/>
        <w:jc w:val="both"/>
        <w:rPr>
          <w:rFonts w:ascii="Arial" w:hAnsi="Arial" w:cs="Arial"/>
          <w:sz w:val="24"/>
          <w:lang w:eastAsia="en-GB"/>
        </w:rPr>
      </w:pPr>
      <w:r>
        <w:rPr>
          <w:rFonts w:ascii="Arial" w:hAnsi="Arial" w:cs="Arial"/>
          <w:sz w:val="24"/>
          <w:lang w:eastAsia="en-GB"/>
        </w:rPr>
        <w:t>Parkinson’s</w:t>
      </w:r>
      <w:r w:rsidR="008E5F4E" w:rsidRPr="008E5F4E">
        <w:rPr>
          <w:rFonts w:ascii="Arial" w:hAnsi="Arial" w:cs="Arial"/>
          <w:sz w:val="24"/>
          <w:lang w:eastAsia="en-GB"/>
        </w:rPr>
        <w:t xml:space="preserve"> UK Brilliance Arrange (2023</w:t>
      </w:r>
      <w:r w:rsidR="00F07158">
        <w:rPr>
          <w:rFonts w:ascii="Arial" w:hAnsi="Arial" w:cs="Arial"/>
          <w:sz w:val="24"/>
          <w:lang w:eastAsia="en-GB"/>
        </w:rPr>
        <w:t>-</w:t>
      </w:r>
      <w:r w:rsidR="008E5F4E" w:rsidRPr="008E5F4E">
        <w:rPr>
          <w:rFonts w:ascii="Arial" w:hAnsi="Arial" w:cs="Arial"/>
          <w:sz w:val="24"/>
          <w:lang w:eastAsia="en-GB"/>
        </w:rPr>
        <w:t xml:space="preserve">26) advances coordinates, multidisciplinary care by reinforcing territorial systems and creating master posts, especially </w:t>
      </w:r>
      <w:r>
        <w:rPr>
          <w:rFonts w:ascii="Arial" w:hAnsi="Arial" w:cs="Arial"/>
          <w:sz w:val="24"/>
          <w:lang w:eastAsia="en-GB"/>
        </w:rPr>
        <w:t>Parkinson’s</w:t>
      </w:r>
      <w:r w:rsidR="008E5F4E" w:rsidRPr="008E5F4E">
        <w:rPr>
          <w:rFonts w:ascii="Arial" w:hAnsi="Arial" w:cs="Arial"/>
          <w:sz w:val="24"/>
          <w:lang w:eastAsia="en-GB"/>
        </w:rPr>
        <w:t xml:space="preserve"> nurture masters and advisors. The arrange moreover organises preparing, workforce improvement, and sharing best hones to guarantee consistency of care across the country (</w:t>
      </w:r>
      <w:r>
        <w:rPr>
          <w:rFonts w:ascii="Arial" w:hAnsi="Arial" w:cs="Arial"/>
          <w:sz w:val="24"/>
          <w:lang w:eastAsia="en-GB"/>
        </w:rPr>
        <w:t>Parkinson’s</w:t>
      </w:r>
      <w:r w:rsidR="00F07158">
        <w:rPr>
          <w:rFonts w:ascii="Arial" w:hAnsi="Arial" w:cs="Arial"/>
          <w:sz w:val="24"/>
          <w:lang w:eastAsia="en-GB"/>
        </w:rPr>
        <w:t xml:space="preserve"> UK, 2023).</w:t>
      </w:r>
    </w:p>
    <w:p w14:paraId="65E1F9CD" w14:textId="77777777" w:rsidR="008E5F4E" w:rsidRPr="00F07158" w:rsidRDefault="008E5F4E" w:rsidP="008E5F4E">
      <w:pPr>
        <w:spacing w:line="360" w:lineRule="auto"/>
        <w:jc w:val="both"/>
        <w:rPr>
          <w:rFonts w:ascii="Arial" w:hAnsi="Arial" w:cs="Arial"/>
          <w:b/>
          <w:sz w:val="24"/>
          <w:lang w:eastAsia="en-GB"/>
        </w:rPr>
      </w:pPr>
      <w:r w:rsidRPr="00F07158">
        <w:rPr>
          <w:rFonts w:ascii="Arial" w:hAnsi="Arial" w:cs="Arial"/>
          <w:b/>
          <w:sz w:val="24"/>
          <w:lang w:eastAsia="en-GB"/>
        </w:rPr>
        <w:t>Workforce and Service Delivery Challenges</w:t>
      </w:r>
    </w:p>
    <w:p w14:paraId="11049E3F" w14:textId="3DEA8732" w:rsidR="008E5F4E" w:rsidRPr="008E5F4E" w:rsidRDefault="008E5F4E" w:rsidP="008E5F4E">
      <w:pPr>
        <w:spacing w:line="360" w:lineRule="auto"/>
        <w:jc w:val="both"/>
        <w:rPr>
          <w:rFonts w:ascii="Arial" w:hAnsi="Arial" w:cs="Arial"/>
          <w:sz w:val="24"/>
          <w:lang w:eastAsia="en-GB"/>
        </w:rPr>
      </w:pPr>
      <w:r w:rsidRPr="008E5F4E">
        <w:rPr>
          <w:rFonts w:ascii="Arial" w:hAnsi="Arial" w:cs="Arial"/>
          <w:sz w:val="24"/>
          <w:lang w:eastAsia="en-GB"/>
        </w:rPr>
        <w:t xml:space="preserve">In spite of clear rules, workforce deficiencies and territorial imbalances stay noteworthy challenges. Numerous zones report inadequately numbers of master medical caretakers and advisors, constraining get to </w:t>
      </w:r>
      <w:proofErr w:type="spellStart"/>
      <w:r w:rsidRPr="008E5F4E">
        <w:rPr>
          <w:rFonts w:ascii="Arial" w:hAnsi="Arial" w:cs="Arial"/>
          <w:sz w:val="24"/>
          <w:lang w:eastAsia="en-GB"/>
        </w:rPr>
        <w:t>to</w:t>
      </w:r>
      <w:proofErr w:type="spellEnd"/>
      <w:r w:rsidRPr="008E5F4E">
        <w:rPr>
          <w:rFonts w:ascii="Arial" w:hAnsi="Arial" w:cs="Arial"/>
          <w:sz w:val="24"/>
          <w:lang w:eastAsia="en-GB"/>
        </w:rPr>
        <w:t xml:space="preserve"> convenient, community-based care. The interface between wellbeing and social care is regularly divided, influencing coordination, home-based</w:t>
      </w:r>
      <w:r w:rsidR="00F07158">
        <w:rPr>
          <w:rFonts w:ascii="Arial" w:hAnsi="Arial" w:cs="Arial"/>
          <w:sz w:val="24"/>
          <w:lang w:eastAsia="en-GB"/>
        </w:rPr>
        <w:t xml:space="preserve"> recovery, and back for carers.</w:t>
      </w:r>
    </w:p>
    <w:p w14:paraId="7937A063" w14:textId="77777777" w:rsidR="008E5F4E" w:rsidRPr="00F07158" w:rsidRDefault="008E5F4E" w:rsidP="008E5F4E">
      <w:pPr>
        <w:spacing w:line="360" w:lineRule="auto"/>
        <w:jc w:val="both"/>
        <w:rPr>
          <w:rFonts w:ascii="Arial" w:hAnsi="Arial" w:cs="Arial"/>
          <w:b/>
          <w:sz w:val="24"/>
          <w:lang w:eastAsia="en-GB"/>
        </w:rPr>
      </w:pPr>
      <w:r w:rsidRPr="00F07158">
        <w:rPr>
          <w:rFonts w:ascii="Arial" w:hAnsi="Arial" w:cs="Arial"/>
          <w:b/>
          <w:sz w:val="24"/>
          <w:lang w:eastAsia="en-GB"/>
        </w:rPr>
        <w:lastRenderedPageBreak/>
        <w:t>Policy Implications</w:t>
      </w:r>
    </w:p>
    <w:p w14:paraId="34D774C0" w14:textId="6C0B683B" w:rsidR="008E5F4E" w:rsidRPr="008E5F4E" w:rsidRDefault="008E5F4E" w:rsidP="008E5F4E">
      <w:pPr>
        <w:spacing w:line="360" w:lineRule="auto"/>
        <w:jc w:val="both"/>
        <w:rPr>
          <w:rFonts w:ascii="Arial" w:hAnsi="Arial" w:cs="Arial"/>
          <w:sz w:val="24"/>
          <w:lang w:eastAsia="en-GB"/>
        </w:rPr>
      </w:pPr>
      <w:r w:rsidRPr="008E5F4E">
        <w:rPr>
          <w:rFonts w:ascii="Arial" w:hAnsi="Arial" w:cs="Arial"/>
          <w:sz w:val="24"/>
          <w:lang w:eastAsia="en-GB"/>
        </w:rPr>
        <w:t xml:space="preserve">UK arrangements, counting </w:t>
      </w:r>
      <w:proofErr w:type="gramStart"/>
      <w:r w:rsidRPr="008E5F4E">
        <w:rPr>
          <w:rFonts w:ascii="Arial" w:hAnsi="Arial" w:cs="Arial"/>
          <w:sz w:val="24"/>
          <w:lang w:eastAsia="en-GB"/>
        </w:rPr>
        <w:t>Pleasant</w:t>
      </w:r>
      <w:proofErr w:type="gramEnd"/>
      <w:r w:rsidRPr="008E5F4E">
        <w:rPr>
          <w:rFonts w:ascii="Arial" w:hAnsi="Arial" w:cs="Arial"/>
          <w:sz w:val="24"/>
          <w:lang w:eastAsia="en-GB"/>
        </w:rPr>
        <w:t xml:space="preserve"> direction, ICS systems, and the </w:t>
      </w:r>
      <w:r w:rsidR="00155971">
        <w:rPr>
          <w:rFonts w:ascii="Arial" w:hAnsi="Arial" w:cs="Arial"/>
          <w:sz w:val="24"/>
          <w:lang w:eastAsia="en-GB"/>
        </w:rPr>
        <w:t>Parkinson’s</w:t>
      </w:r>
      <w:r w:rsidRPr="008E5F4E">
        <w:rPr>
          <w:rFonts w:ascii="Arial" w:hAnsi="Arial" w:cs="Arial"/>
          <w:sz w:val="24"/>
          <w:lang w:eastAsia="en-GB"/>
        </w:rPr>
        <w:t xml:space="preserve"> UK Brilliance Organise, point to back coordinates care, progress side effect administration, and enable self-management. Be that as it may, crevices stay in benefit availability, workforce accessibility, and uniform execution. Tending to these requires policy-driven speculation in master parts, community administrations, telehealth extension, and progressing review to scre</w:t>
      </w:r>
      <w:r w:rsidR="00F07158">
        <w:rPr>
          <w:rFonts w:ascii="Arial" w:hAnsi="Arial" w:cs="Arial"/>
          <w:sz w:val="24"/>
          <w:lang w:eastAsia="en-GB"/>
        </w:rPr>
        <w:t>en adherence to benchmarks.</w:t>
      </w:r>
    </w:p>
    <w:p w14:paraId="0D0FC1EE" w14:textId="1CAC63E8" w:rsidR="00F07158" w:rsidRDefault="008E5F4E" w:rsidP="008E5F4E">
      <w:pPr>
        <w:spacing w:line="360" w:lineRule="auto"/>
        <w:jc w:val="both"/>
        <w:rPr>
          <w:rFonts w:ascii="Arial" w:hAnsi="Arial" w:cs="Arial"/>
          <w:sz w:val="24"/>
          <w:lang w:eastAsia="en-GB"/>
        </w:rPr>
      </w:pPr>
      <w:r w:rsidRPr="008E5F4E">
        <w:rPr>
          <w:rFonts w:ascii="Arial" w:hAnsi="Arial" w:cs="Arial"/>
          <w:sz w:val="24"/>
          <w:lang w:eastAsia="en-GB"/>
        </w:rPr>
        <w:t xml:space="preserve">Generally, UK arrangement gives a solid system for multidisciplinary </w:t>
      </w:r>
      <w:r w:rsidR="00155971">
        <w:rPr>
          <w:rFonts w:ascii="Arial" w:hAnsi="Arial" w:cs="Arial"/>
          <w:sz w:val="24"/>
          <w:lang w:eastAsia="en-GB"/>
        </w:rPr>
        <w:t>Parkinson’s</w:t>
      </w:r>
      <w:r w:rsidRPr="008E5F4E">
        <w:rPr>
          <w:rFonts w:ascii="Arial" w:hAnsi="Arial" w:cs="Arial"/>
          <w:sz w:val="24"/>
          <w:lang w:eastAsia="en-GB"/>
        </w:rPr>
        <w:t xml:space="preserve"> care, advancing person-centred approaches and integration. The challenge lies in guaranteeing </w:t>
      </w:r>
      <w:r w:rsidR="00F07158" w:rsidRPr="008E5F4E">
        <w:rPr>
          <w:rFonts w:ascii="Arial" w:hAnsi="Arial" w:cs="Arial"/>
          <w:sz w:val="24"/>
          <w:lang w:eastAsia="en-GB"/>
        </w:rPr>
        <w:t>even-handed</w:t>
      </w:r>
      <w:r w:rsidRPr="008E5F4E">
        <w:rPr>
          <w:rFonts w:ascii="Arial" w:hAnsi="Arial" w:cs="Arial"/>
          <w:sz w:val="24"/>
          <w:lang w:eastAsia="en-GB"/>
        </w:rPr>
        <w:t xml:space="preserve"> execution, upgrading workforce capacity, and implanting these benchmarks reliably over all locale</w:t>
      </w:r>
      <w:r w:rsidR="00050CAC" w:rsidRPr="00050CAC">
        <w:rPr>
          <w:rFonts w:ascii="Arial" w:hAnsi="Arial" w:cs="Arial"/>
          <w:sz w:val="24"/>
          <w:lang w:eastAsia="en-GB"/>
        </w:rPr>
        <w:t>.</w:t>
      </w:r>
    </w:p>
    <w:p w14:paraId="00CDCFD9" w14:textId="77777777" w:rsidR="00F07158" w:rsidRPr="00050CAC" w:rsidRDefault="00F07158" w:rsidP="008E5F4E">
      <w:pPr>
        <w:spacing w:line="360" w:lineRule="auto"/>
        <w:jc w:val="both"/>
        <w:rPr>
          <w:rFonts w:ascii="Arial" w:hAnsi="Arial" w:cs="Arial"/>
          <w:sz w:val="24"/>
          <w:lang w:eastAsia="en-GB"/>
        </w:rPr>
      </w:pPr>
    </w:p>
    <w:p w14:paraId="32985D8F" w14:textId="03842C0D" w:rsidR="00602C98" w:rsidRDefault="00602C98" w:rsidP="00A7664A">
      <w:pPr>
        <w:pStyle w:val="Heading1"/>
        <w:rPr>
          <w:rFonts w:eastAsia="Times New Roman"/>
          <w:lang w:eastAsia="en-GB"/>
        </w:rPr>
      </w:pPr>
      <w:bookmarkStart w:id="6" w:name="_Toc213973685"/>
      <w:r w:rsidRPr="00602C98">
        <w:rPr>
          <w:rFonts w:eastAsia="Times New Roman"/>
          <w:lang w:eastAsia="en-GB"/>
        </w:rPr>
        <w:lastRenderedPageBreak/>
        <w:t>Recommendations &amp; Person-centred Approaches</w:t>
      </w:r>
      <w:bookmarkEnd w:id="6"/>
      <w:r w:rsidRPr="00602C98">
        <w:rPr>
          <w:rFonts w:eastAsia="Times New Roman"/>
          <w:lang w:eastAsia="en-GB"/>
        </w:rPr>
        <w:t xml:space="preserve"> </w:t>
      </w:r>
    </w:p>
    <w:p w14:paraId="76D50050" w14:textId="77777777" w:rsidR="00A7664A" w:rsidRDefault="00A7664A" w:rsidP="00251EDB">
      <w:pPr>
        <w:jc w:val="both"/>
        <w:rPr>
          <w:rFonts w:ascii="Arial" w:hAnsi="Arial" w:cs="Arial"/>
          <w:sz w:val="24"/>
          <w:lang w:eastAsia="en-GB"/>
        </w:rPr>
      </w:pPr>
    </w:p>
    <w:p w14:paraId="079066B5" w14:textId="77777777" w:rsidR="00A7664A" w:rsidRPr="00A7664A" w:rsidRDefault="00A7664A" w:rsidP="00A7664A">
      <w:pPr>
        <w:spacing w:line="360" w:lineRule="auto"/>
        <w:jc w:val="both"/>
        <w:rPr>
          <w:rFonts w:ascii="Arial" w:hAnsi="Arial" w:cs="Arial"/>
          <w:b/>
          <w:sz w:val="24"/>
          <w:lang w:eastAsia="en-GB"/>
        </w:rPr>
      </w:pPr>
      <w:r w:rsidRPr="00A7664A">
        <w:rPr>
          <w:rFonts w:ascii="Arial" w:hAnsi="Arial" w:cs="Arial"/>
          <w:b/>
          <w:sz w:val="24"/>
          <w:lang w:eastAsia="en-GB"/>
        </w:rPr>
        <w:t>Strengthen Core Multidisciplinary Groups (MDT)</w:t>
      </w:r>
    </w:p>
    <w:p w14:paraId="05C4662C" w14:textId="6CF37B74" w:rsidR="00A7664A" w:rsidRPr="00A7664A" w:rsidRDefault="00A7664A" w:rsidP="00352E25">
      <w:pPr>
        <w:pStyle w:val="ListParagraph"/>
        <w:numPr>
          <w:ilvl w:val="0"/>
          <w:numId w:val="9"/>
        </w:numPr>
        <w:spacing w:line="360" w:lineRule="auto"/>
        <w:jc w:val="both"/>
        <w:rPr>
          <w:rFonts w:ascii="Arial" w:hAnsi="Arial" w:cs="Arial"/>
          <w:sz w:val="24"/>
          <w:lang w:eastAsia="en-GB"/>
        </w:rPr>
      </w:pPr>
      <w:r w:rsidRPr="00A7664A">
        <w:rPr>
          <w:rFonts w:ascii="Arial" w:hAnsi="Arial" w:cs="Arial"/>
          <w:sz w:val="24"/>
          <w:lang w:eastAsia="en-GB"/>
        </w:rPr>
        <w:t>Guarantee that each recently analysed individual with Parkinson’s malady has get to a master nurture, physiotherapist, word related advisor, and discourse and dialect advisor.</w:t>
      </w:r>
    </w:p>
    <w:p w14:paraId="715CD7A9" w14:textId="53397AD7" w:rsidR="00A7664A" w:rsidRPr="00A7664A" w:rsidRDefault="00A7664A" w:rsidP="00352E25">
      <w:pPr>
        <w:pStyle w:val="ListParagraph"/>
        <w:numPr>
          <w:ilvl w:val="0"/>
          <w:numId w:val="9"/>
        </w:numPr>
        <w:spacing w:line="360" w:lineRule="auto"/>
        <w:jc w:val="both"/>
        <w:rPr>
          <w:rFonts w:ascii="Arial" w:hAnsi="Arial" w:cs="Arial"/>
          <w:sz w:val="24"/>
          <w:lang w:eastAsia="en-GB"/>
        </w:rPr>
      </w:pPr>
      <w:r w:rsidRPr="00A7664A">
        <w:rPr>
          <w:rFonts w:ascii="Arial" w:hAnsi="Arial" w:cs="Arial"/>
          <w:sz w:val="24"/>
          <w:lang w:eastAsia="en-GB"/>
        </w:rPr>
        <w:t>Regular MDT gatherings ought to evaluate both engine and non-motor side effects, track malady movement, and overhaul care plans collaboratively.</w:t>
      </w:r>
    </w:p>
    <w:p w14:paraId="1F0189BF" w14:textId="594C65F3" w:rsidR="00A7664A" w:rsidRPr="00A7664A" w:rsidRDefault="00A7664A" w:rsidP="00A7664A">
      <w:pPr>
        <w:spacing w:line="360" w:lineRule="auto"/>
        <w:jc w:val="both"/>
        <w:rPr>
          <w:rFonts w:ascii="Arial" w:hAnsi="Arial" w:cs="Arial"/>
          <w:b/>
          <w:sz w:val="24"/>
          <w:lang w:eastAsia="en-GB"/>
        </w:rPr>
      </w:pPr>
      <w:r w:rsidRPr="00A7664A">
        <w:rPr>
          <w:rFonts w:ascii="Arial" w:hAnsi="Arial" w:cs="Arial"/>
          <w:b/>
          <w:sz w:val="24"/>
          <w:lang w:eastAsia="en-GB"/>
        </w:rPr>
        <w:t>Early Identification and M</w:t>
      </w:r>
      <w:r>
        <w:rPr>
          <w:rFonts w:ascii="Arial" w:hAnsi="Arial" w:cs="Arial"/>
          <w:b/>
          <w:sz w:val="24"/>
          <w:lang w:eastAsia="en-GB"/>
        </w:rPr>
        <w:t>anagement of Non-Motor Symptoms</w:t>
      </w:r>
    </w:p>
    <w:p w14:paraId="4F2BCEA2" w14:textId="46454528" w:rsidR="00A7664A" w:rsidRPr="00A7664A" w:rsidRDefault="00A7664A" w:rsidP="00352E25">
      <w:pPr>
        <w:pStyle w:val="ListParagraph"/>
        <w:numPr>
          <w:ilvl w:val="0"/>
          <w:numId w:val="10"/>
        </w:numPr>
        <w:spacing w:line="360" w:lineRule="auto"/>
        <w:jc w:val="both"/>
        <w:rPr>
          <w:rFonts w:ascii="Arial" w:hAnsi="Arial" w:cs="Arial"/>
          <w:sz w:val="24"/>
          <w:lang w:eastAsia="en-GB"/>
        </w:rPr>
      </w:pPr>
      <w:r w:rsidRPr="00A7664A">
        <w:rPr>
          <w:rFonts w:ascii="Arial" w:hAnsi="Arial" w:cs="Arial"/>
          <w:sz w:val="24"/>
          <w:lang w:eastAsia="en-GB"/>
        </w:rPr>
        <w:t>Organise mental, cognitive, rest, and gulping appraisals early within the care pathway.</w:t>
      </w:r>
    </w:p>
    <w:p w14:paraId="2F87F753" w14:textId="02A192FC" w:rsidR="00A7664A" w:rsidRPr="00A7664A" w:rsidRDefault="00A7664A" w:rsidP="00352E25">
      <w:pPr>
        <w:pStyle w:val="ListParagraph"/>
        <w:numPr>
          <w:ilvl w:val="0"/>
          <w:numId w:val="10"/>
        </w:numPr>
        <w:spacing w:line="360" w:lineRule="auto"/>
        <w:jc w:val="both"/>
        <w:rPr>
          <w:rFonts w:ascii="Arial" w:hAnsi="Arial" w:cs="Arial"/>
          <w:sz w:val="24"/>
          <w:lang w:eastAsia="en-GB"/>
        </w:rPr>
      </w:pPr>
      <w:r w:rsidRPr="00A7664A">
        <w:rPr>
          <w:rFonts w:ascii="Arial" w:hAnsi="Arial" w:cs="Arial"/>
          <w:sz w:val="24"/>
          <w:lang w:eastAsia="en-GB"/>
        </w:rPr>
        <w:t xml:space="preserve">Coordinated mental wellbeing bolster and referrals to clinicians or therapists </w:t>
      </w:r>
      <w:r w:rsidRPr="00A7664A">
        <w:rPr>
          <w:rFonts w:ascii="Arial" w:hAnsi="Arial" w:cs="Arial"/>
          <w:sz w:val="24"/>
          <w:lang w:eastAsia="en-GB"/>
        </w:rPr>
        <w:lastRenderedPageBreak/>
        <w:t>where required to diminish sadness, uneasiness, and Parkinson’s-related trouble.</w:t>
      </w:r>
    </w:p>
    <w:p w14:paraId="2D9F951D" w14:textId="322ED7EA" w:rsidR="00A7664A" w:rsidRPr="00A7664A" w:rsidRDefault="00A7664A" w:rsidP="00A7664A">
      <w:pPr>
        <w:spacing w:line="360" w:lineRule="auto"/>
        <w:jc w:val="both"/>
        <w:rPr>
          <w:rFonts w:ascii="Arial" w:hAnsi="Arial" w:cs="Arial"/>
          <w:b/>
          <w:sz w:val="24"/>
          <w:lang w:eastAsia="en-GB"/>
        </w:rPr>
      </w:pPr>
      <w:r w:rsidRPr="00A7664A">
        <w:rPr>
          <w:rFonts w:ascii="Arial" w:hAnsi="Arial" w:cs="Arial"/>
          <w:b/>
          <w:sz w:val="24"/>
          <w:lang w:eastAsia="en-GB"/>
        </w:rPr>
        <w:t>Workforce Dev</w:t>
      </w:r>
      <w:r>
        <w:rPr>
          <w:rFonts w:ascii="Arial" w:hAnsi="Arial" w:cs="Arial"/>
          <w:b/>
          <w:sz w:val="24"/>
          <w:lang w:eastAsia="en-GB"/>
        </w:rPr>
        <w:t>elopment and Training</w:t>
      </w:r>
    </w:p>
    <w:p w14:paraId="4B5E43B2" w14:textId="1A4D74BD" w:rsidR="00A7664A" w:rsidRPr="00A7664A" w:rsidRDefault="00A7664A" w:rsidP="00352E25">
      <w:pPr>
        <w:pStyle w:val="ListParagraph"/>
        <w:numPr>
          <w:ilvl w:val="0"/>
          <w:numId w:val="11"/>
        </w:numPr>
        <w:spacing w:line="360" w:lineRule="auto"/>
        <w:jc w:val="both"/>
        <w:rPr>
          <w:rFonts w:ascii="Arial" w:hAnsi="Arial" w:cs="Arial"/>
          <w:sz w:val="24"/>
          <w:lang w:eastAsia="en-GB"/>
        </w:rPr>
      </w:pPr>
      <w:r w:rsidRPr="00A7664A">
        <w:rPr>
          <w:rFonts w:ascii="Arial" w:hAnsi="Arial" w:cs="Arial"/>
          <w:sz w:val="24"/>
          <w:lang w:eastAsia="en-GB"/>
        </w:rPr>
        <w:t>Contribute in master parts to address workforce deficiencies, counting Parkinson’s nurture masters and specialists.</w:t>
      </w:r>
    </w:p>
    <w:p w14:paraId="16721FB4" w14:textId="21D00D22" w:rsidR="00A7664A" w:rsidRPr="00A7664A" w:rsidRDefault="00A7664A" w:rsidP="00352E25">
      <w:pPr>
        <w:pStyle w:val="ListParagraph"/>
        <w:numPr>
          <w:ilvl w:val="0"/>
          <w:numId w:val="11"/>
        </w:numPr>
        <w:spacing w:line="360" w:lineRule="auto"/>
        <w:jc w:val="both"/>
        <w:rPr>
          <w:rFonts w:ascii="Arial" w:hAnsi="Arial" w:cs="Arial"/>
          <w:sz w:val="24"/>
          <w:lang w:eastAsia="en-GB"/>
        </w:rPr>
      </w:pPr>
      <w:r w:rsidRPr="00A7664A">
        <w:rPr>
          <w:rFonts w:ascii="Arial" w:hAnsi="Arial" w:cs="Arial"/>
          <w:sz w:val="24"/>
          <w:lang w:eastAsia="en-GB"/>
        </w:rPr>
        <w:t>Prepare generalist wellbeing and social care staff in Parkinson’s mindfulness, indication acknowledgement, and opportune referral pathways.</w:t>
      </w:r>
    </w:p>
    <w:p w14:paraId="60040DA5" w14:textId="36A97B62" w:rsidR="00A7664A" w:rsidRPr="00A7664A" w:rsidRDefault="00A7664A" w:rsidP="00A7664A">
      <w:pPr>
        <w:spacing w:line="360" w:lineRule="auto"/>
        <w:jc w:val="both"/>
        <w:rPr>
          <w:rFonts w:ascii="Arial" w:hAnsi="Arial" w:cs="Arial"/>
          <w:b/>
          <w:sz w:val="24"/>
          <w:lang w:eastAsia="en-GB"/>
        </w:rPr>
      </w:pPr>
      <w:r w:rsidRPr="00A7664A">
        <w:rPr>
          <w:rFonts w:ascii="Arial" w:hAnsi="Arial" w:cs="Arial"/>
          <w:b/>
          <w:sz w:val="24"/>
          <w:lang w:eastAsia="en-GB"/>
        </w:rPr>
        <w:t>Expand Communit</w:t>
      </w:r>
      <w:r>
        <w:rPr>
          <w:rFonts w:ascii="Arial" w:hAnsi="Arial" w:cs="Arial"/>
          <w:b/>
          <w:sz w:val="24"/>
          <w:lang w:eastAsia="en-GB"/>
        </w:rPr>
        <w:t>y and Home-Based Rehabilitation</w:t>
      </w:r>
    </w:p>
    <w:p w14:paraId="1F6A6655" w14:textId="0220CB72" w:rsidR="00A7664A" w:rsidRPr="00A7664A" w:rsidRDefault="00A7664A" w:rsidP="00352E25">
      <w:pPr>
        <w:pStyle w:val="ListParagraph"/>
        <w:numPr>
          <w:ilvl w:val="0"/>
          <w:numId w:val="12"/>
        </w:numPr>
        <w:spacing w:line="360" w:lineRule="auto"/>
        <w:jc w:val="both"/>
        <w:rPr>
          <w:rFonts w:ascii="Arial" w:hAnsi="Arial" w:cs="Arial"/>
          <w:sz w:val="24"/>
          <w:lang w:eastAsia="en-GB"/>
        </w:rPr>
      </w:pPr>
      <w:r w:rsidRPr="00A7664A">
        <w:rPr>
          <w:rFonts w:ascii="Arial" w:hAnsi="Arial" w:cs="Arial"/>
          <w:sz w:val="24"/>
          <w:lang w:eastAsia="en-GB"/>
        </w:rPr>
        <w:t>Create available community programmes, counting physiotherapy, OT, SLT, and work out classes.</w:t>
      </w:r>
    </w:p>
    <w:p w14:paraId="0BBEFB83" w14:textId="38ECF323" w:rsidR="00A7664A" w:rsidRPr="00A7664A" w:rsidRDefault="00A7664A" w:rsidP="00352E25">
      <w:pPr>
        <w:pStyle w:val="ListParagraph"/>
        <w:numPr>
          <w:ilvl w:val="0"/>
          <w:numId w:val="12"/>
        </w:numPr>
        <w:spacing w:line="360" w:lineRule="auto"/>
        <w:jc w:val="both"/>
        <w:rPr>
          <w:rFonts w:ascii="Arial" w:hAnsi="Arial" w:cs="Arial"/>
          <w:sz w:val="24"/>
          <w:lang w:eastAsia="en-GB"/>
        </w:rPr>
      </w:pPr>
      <w:r w:rsidRPr="00A7664A">
        <w:rPr>
          <w:rFonts w:ascii="Arial" w:hAnsi="Arial" w:cs="Arial"/>
          <w:sz w:val="24"/>
          <w:lang w:eastAsia="en-GB"/>
        </w:rPr>
        <w:t>Utilise telehealth and computerised stages to reach provincial or underserved populaces and improve coherence of care.</w:t>
      </w:r>
    </w:p>
    <w:p w14:paraId="1FC9B075" w14:textId="7F344D70" w:rsidR="00251EDB" w:rsidRDefault="00A7664A" w:rsidP="00A7664A">
      <w:pPr>
        <w:spacing w:line="360" w:lineRule="auto"/>
        <w:jc w:val="both"/>
        <w:rPr>
          <w:rFonts w:ascii="Arial" w:hAnsi="Arial" w:cs="Arial"/>
          <w:sz w:val="24"/>
          <w:lang w:eastAsia="en-GB"/>
        </w:rPr>
      </w:pPr>
      <w:r w:rsidRPr="00A7664A">
        <w:rPr>
          <w:rFonts w:ascii="Arial" w:hAnsi="Arial" w:cs="Arial"/>
          <w:sz w:val="24"/>
          <w:lang w:eastAsia="en-GB"/>
        </w:rPr>
        <w:lastRenderedPageBreak/>
        <w:t>Actualising these suggestions cultivates a person-centred, coordinates approach, making strides quality of life, supporting self-management, and lessening the burden on patients, families, and the healthcare framework</w:t>
      </w:r>
      <w:r w:rsidR="00251EDB" w:rsidRPr="00251EDB">
        <w:rPr>
          <w:rFonts w:ascii="Arial" w:hAnsi="Arial" w:cs="Arial"/>
          <w:sz w:val="24"/>
          <w:lang w:eastAsia="en-GB"/>
        </w:rPr>
        <w:t>.</w:t>
      </w:r>
    </w:p>
    <w:p w14:paraId="148BCD82" w14:textId="77777777" w:rsidR="00A7664A" w:rsidRPr="00251EDB" w:rsidRDefault="00A7664A" w:rsidP="00A7664A">
      <w:pPr>
        <w:spacing w:line="360" w:lineRule="auto"/>
        <w:jc w:val="both"/>
        <w:rPr>
          <w:rFonts w:ascii="Arial" w:hAnsi="Arial" w:cs="Arial"/>
          <w:sz w:val="24"/>
          <w:lang w:eastAsia="en-GB"/>
        </w:rPr>
      </w:pPr>
    </w:p>
    <w:p w14:paraId="40280629" w14:textId="13BB0BA1" w:rsidR="00602C98" w:rsidRDefault="00602C98" w:rsidP="00EF7DFB">
      <w:pPr>
        <w:pStyle w:val="Heading1"/>
        <w:spacing w:before="0" w:after="240"/>
        <w:rPr>
          <w:rFonts w:eastAsia="Times New Roman"/>
          <w:lang w:eastAsia="en-GB"/>
        </w:rPr>
      </w:pPr>
      <w:bookmarkStart w:id="7" w:name="_Toc213973686"/>
      <w:r w:rsidRPr="00602C98">
        <w:rPr>
          <w:rFonts w:eastAsia="Times New Roman"/>
          <w:lang w:eastAsia="en-GB"/>
        </w:rPr>
        <w:t>Conclusion</w:t>
      </w:r>
      <w:bookmarkEnd w:id="7"/>
      <w:r w:rsidRPr="00602C98">
        <w:rPr>
          <w:rFonts w:eastAsia="Times New Roman"/>
          <w:lang w:eastAsia="en-GB"/>
        </w:rPr>
        <w:t xml:space="preserve"> </w:t>
      </w:r>
    </w:p>
    <w:p w14:paraId="56AD8D1B" w14:textId="58D6D07D" w:rsidR="00F22621" w:rsidRDefault="00BB08B7" w:rsidP="00EF7DFB">
      <w:pPr>
        <w:spacing w:after="240" w:line="360" w:lineRule="auto"/>
        <w:jc w:val="both"/>
        <w:rPr>
          <w:rFonts w:ascii="Arial" w:hAnsi="Arial" w:cs="Arial"/>
          <w:sz w:val="24"/>
          <w:lang w:eastAsia="en-GB"/>
        </w:rPr>
      </w:pPr>
      <w:r>
        <w:rPr>
          <w:rFonts w:ascii="Arial" w:hAnsi="Arial" w:cs="Arial"/>
          <w:sz w:val="24"/>
          <w:lang w:eastAsia="en-GB"/>
        </w:rPr>
        <w:t>Parkinson’s</w:t>
      </w:r>
      <w:r w:rsidRPr="00BB08B7">
        <w:rPr>
          <w:rFonts w:ascii="Arial" w:hAnsi="Arial" w:cs="Arial"/>
          <w:sz w:val="24"/>
          <w:lang w:eastAsia="en-GB"/>
        </w:rPr>
        <w:t xml:space="preserve"> illness could be a complex, dynamic neurodegenerative condition that altogether impacts individuals, families, and the more extensive healthcare framework within the UK. Viable administration requires an all-encompassing, person-centred, and coordinates approach that addresses both engine and non-motor indications whereas supporting mental, social, and useful needs. UK rules, counting Decent NG71 and QS164, give a solid system for evidence-based care, underscoring opportune master referral, multidisciplinary evaluation, and organised </w:t>
      </w:r>
      <w:r w:rsidRPr="00BB08B7">
        <w:rPr>
          <w:rFonts w:ascii="Arial" w:hAnsi="Arial" w:cs="Arial"/>
          <w:sz w:val="24"/>
          <w:lang w:eastAsia="en-GB"/>
        </w:rPr>
        <w:lastRenderedPageBreak/>
        <w:t xml:space="preserve">administration pathways. Multidisciplinary groups, joining neurologists, </w:t>
      </w:r>
      <w:r>
        <w:rPr>
          <w:rFonts w:ascii="Arial" w:hAnsi="Arial" w:cs="Arial"/>
          <w:sz w:val="24"/>
          <w:lang w:eastAsia="en-GB"/>
        </w:rPr>
        <w:t>Parkinson’s</w:t>
      </w:r>
      <w:r w:rsidRPr="00BB08B7">
        <w:rPr>
          <w:rFonts w:ascii="Arial" w:hAnsi="Arial" w:cs="Arial"/>
          <w:sz w:val="24"/>
          <w:lang w:eastAsia="en-GB"/>
        </w:rPr>
        <w:t xml:space="preserve"> nurture masters, specialists, dietitians, and clinicians, are central to upgrading results. Universal models, such as the Constant Care Demonstrate, complement UK hones by advancing self-management, proactive checking, and the utilise of community assets. Basic assessment highlights continuous challenges, counting workforce deficiencies, territorial disparities, and inconstancy in benefit conveyance, which can restrain get to care and adversely influence quality of life. Suggestions centre on fortifying MDTs, early distinguishing proof of non-motor side effects, workforce improvement, community-based restoration, and understanding strengthening. Joining telehealth, organised instruction, and end-of-life arranging guarantees progression and availability of care. In conclusion, joining evidence-based rules, multidisciplinary coordination, and person-centred approaches is </w:t>
      </w:r>
      <w:r w:rsidRPr="00BB08B7">
        <w:rPr>
          <w:rFonts w:ascii="Arial" w:hAnsi="Arial" w:cs="Arial"/>
          <w:sz w:val="24"/>
          <w:lang w:eastAsia="en-GB"/>
        </w:rPr>
        <w:lastRenderedPageBreak/>
        <w:t xml:space="preserve">fundamental for moving forward results for individuals living with </w:t>
      </w:r>
      <w:r>
        <w:rPr>
          <w:rFonts w:ascii="Arial" w:hAnsi="Arial" w:cs="Arial"/>
          <w:sz w:val="24"/>
          <w:lang w:eastAsia="en-GB"/>
        </w:rPr>
        <w:t>Parkinson’s</w:t>
      </w:r>
      <w:r w:rsidR="00913345">
        <w:rPr>
          <w:rFonts w:ascii="Arial" w:hAnsi="Arial" w:cs="Arial"/>
          <w:sz w:val="24"/>
          <w:lang w:eastAsia="en-GB"/>
        </w:rPr>
        <w:t xml:space="preserve"> infection</w:t>
      </w:r>
      <w:r w:rsidR="00F22621" w:rsidRPr="00F22621">
        <w:rPr>
          <w:rFonts w:ascii="Arial" w:hAnsi="Arial" w:cs="Arial"/>
          <w:sz w:val="24"/>
          <w:lang w:eastAsia="en-GB"/>
        </w:rPr>
        <w:t>.</w:t>
      </w:r>
    </w:p>
    <w:p w14:paraId="33544490" w14:textId="282046BC" w:rsidR="00BB08B7" w:rsidRDefault="00BB08B7" w:rsidP="00BB08B7">
      <w:pPr>
        <w:spacing w:line="360" w:lineRule="auto"/>
        <w:jc w:val="both"/>
        <w:rPr>
          <w:rFonts w:ascii="Arial" w:hAnsi="Arial" w:cs="Arial"/>
          <w:sz w:val="24"/>
          <w:lang w:eastAsia="en-GB"/>
        </w:rPr>
      </w:pPr>
    </w:p>
    <w:p w14:paraId="79465EC7" w14:textId="1D1D015A" w:rsidR="00BB08B7" w:rsidRDefault="00BB08B7" w:rsidP="00BB08B7">
      <w:pPr>
        <w:spacing w:line="360" w:lineRule="auto"/>
        <w:jc w:val="both"/>
        <w:rPr>
          <w:rFonts w:ascii="Arial" w:hAnsi="Arial" w:cs="Arial"/>
          <w:sz w:val="24"/>
          <w:lang w:eastAsia="en-GB"/>
        </w:rPr>
      </w:pPr>
    </w:p>
    <w:p w14:paraId="7CC99AE1" w14:textId="15D8821D" w:rsidR="00BB08B7" w:rsidRDefault="00BB08B7" w:rsidP="00BB08B7">
      <w:pPr>
        <w:spacing w:line="360" w:lineRule="auto"/>
        <w:jc w:val="both"/>
        <w:rPr>
          <w:rFonts w:ascii="Arial" w:hAnsi="Arial" w:cs="Arial"/>
          <w:sz w:val="24"/>
          <w:lang w:eastAsia="en-GB"/>
        </w:rPr>
      </w:pPr>
    </w:p>
    <w:p w14:paraId="2E044291" w14:textId="3EF3A857" w:rsidR="00BB08B7" w:rsidRDefault="00BB08B7" w:rsidP="00BB08B7">
      <w:pPr>
        <w:spacing w:line="360" w:lineRule="auto"/>
        <w:jc w:val="both"/>
        <w:rPr>
          <w:rFonts w:ascii="Arial" w:hAnsi="Arial" w:cs="Arial"/>
          <w:sz w:val="24"/>
          <w:lang w:eastAsia="en-GB"/>
        </w:rPr>
      </w:pPr>
    </w:p>
    <w:p w14:paraId="248DDE56" w14:textId="77777777" w:rsidR="00BB08B7" w:rsidRPr="00F22621" w:rsidRDefault="00BB08B7" w:rsidP="00BB08B7">
      <w:pPr>
        <w:spacing w:line="360" w:lineRule="auto"/>
        <w:jc w:val="both"/>
        <w:rPr>
          <w:rFonts w:ascii="Arial" w:hAnsi="Arial" w:cs="Arial"/>
          <w:sz w:val="24"/>
          <w:lang w:eastAsia="en-GB"/>
        </w:rPr>
      </w:pPr>
    </w:p>
    <w:p w14:paraId="5785B834" w14:textId="77777777" w:rsidR="002416DC" w:rsidRDefault="002416DC" w:rsidP="00BB08B7">
      <w:pPr>
        <w:pStyle w:val="Heading1"/>
        <w:rPr>
          <w:rFonts w:eastAsia="Times New Roman"/>
          <w:lang w:eastAsia="en-GB"/>
        </w:rPr>
      </w:pPr>
      <w:bookmarkStart w:id="8" w:name="_Toc213973687"/>
    </w:p>
    <w:p w14:paraId="3B20A03E" w14:textId="77777777" w:rsidR="002416DC" w:rsidRDefault="002416DC" w:rsidP="00BB08B7">
      <w:pPr>
        <w:pStyle w:val="Heading1"/>
        <w:rPr>
          <w:rFonts w:eastAsia="Times New Roman"/>
          <w:lang w:eastAsia="en-GB"/>
        </w:rPr>
      </w:pPr>
    </w:p>
    <w:p w14:paraId="1F5AE887" w14:textId="77777777" w:rsidR="002416DC" w:rsidRDefault="002416DC" w:rsidP="00BB08B7">
      <w:pPr>
        <w:pStyle w:val="Heading1"/>
        <w:rPr>
          <w:rFonts w:eastAsia="Times New Roman"/>
          <w:lang w:eastAsia="en-GB"/>
        </w:rPr>
      </w:pPr>
    </w:p>
    <w:p w14:paraId="2E834D70" w14:textId="77777777" w:rsidR="002416DC" w:rsidRDefault="002416DC" w:rsidP="00BB08B7">
      <w:pPr>
        <w:pStyle w:val="Heading1"/>
        <w:rPr>
          <w:rFonts w:eastAsia="Times New Roman"/>
          <w:lang w:eastAsia="en-GB"/>
        </w:rPr>
      </w:pPr>
    </w:p>
    <w:p w14:paraId="3E860DE5" w14:textId="77777777" w:rsidR="002416DC" w:rsidRDefault="002416DC" w:rsidP="00BB08B7">
      <w:pPr>
        <w:pStyle w:val="Heading1"/>
        <w:rPr>
          <w:rFonts w:eastAsia="Times New Roman"/>
          <w:lang w:eastAsia="en-GB"/>
        </w:rPr>
      </w:pPr>
    </w:p>
    <w:p w14:paraId="3B88EE4E" w14:textId="77777777" w:rsidR="002416DC" w:rsidRDefault="002416DC" w:rsidP="00BB08B7">
      <w:pPr>
        <w:pStyle w:val="Heading1"/>
        <w:rPr>
          <w:rFonts w:eastAsia="Times New Roman"/>
          <w:lang w:eastAsia="en-GB"/>
        </w:rPr>
      </w:pPr>
    </w:p>
    <w:p w14:paraId="7FE64DB0" w14:textId="77777777" w:rsidR="002416DC" w:rsidRDefault="002416DC" w:rsidP="00BB08B7">
      <w:pPr>
        <w:pStyle w:val="Heading1"/>
        <w:rPr>
          <w:rFonts w:eastAsia="Times New Roman"/>
          <w:lang w:eastAsia="en-GB"/>
        </w:rPr>
      </w:pPr>
    </w:p>
    <w:p w14:paraId="6110EF0C" w14:textId="0F2B0187" w:rsidR="00602C98" w:rsidRDefault="00602C98" w:rsidP="00BB08B7">
      <w:pPr>
        <w:pStyle w:val="Heading1"/>
        <w:rPr>
          <w:rFonts w:eastAsia="Times New Roman"/>
          <w:lang w:eastAsia="en-GB"/>
        </w:rPr>
      </w:pPr>
      <w:r w:rsidRPr="00602C98">
        <w:rPr>
          <w:rFonts w:eastAsia="Times New Roman"/>
          <w:lang w:eastAsia="en-GB"/>
        </w:rPr>
        <w:t>References</w:t>
      </w:r>
      <w:bookmarkEnd w:id="8"/>
      <w:r w:rsidRPr="00602C98">
        <w:rPr>
          <w:rFonts w:eastAsia="Times New Roman"/>
          <w:lang w:eastAsia="en-GB"/>
        </w:rPr>
        <w:t xml:space="preserve"> </w:t>
      </w:r>
    </w:p>
    <w:p w14:paraId="1E196356" w14:textId="64C29C0C"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National Institute for Health and Care Excellence (NICE) (2017) Parkinson’s disease: diagnosis and management. London: NICE. Available at: </w:t>
      </w:r>
      <w:hyperlink r:id="rId10" w:history="1">
        <w:r w:rsidRPr="0079669D">
          <w:rPr>
            <w:rStyle w:val="Hyperlink"/>
            <w:rFonts w:ascii="Arial" w:eastAsia="Aptos" w:hAnsi="Arial" w:cs="Arial"/>
            <w:sz w:val="24"/>
            <w:szCs w:val="24"/>
            <w:lang w:val="en-US"/>
          </w:rPr>
          <w:t>https://www.nice.org.uk/guidance/ng71</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4F048C85" w14:textId="48031E60"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National Institute for Health and Care Excellence (NICE) (2018) Quality Standard QS164: Parkinson’s disease. London: NICE. Available at: </w:t>
      </w:r>
      <w:hyperlink r:id="rId11" w:history="1">
        <w:r w:rsidRPr="0079669D">
          <w:rPr>
            <w:rStyle w:val="Hyperlink"/>
            <w:rFonts w:ascii="Arial" w:eastAsia="Aptos" w:hAnsi="Arial" w:cs="Arial"/>
            <w:sz w:val="24"/>
            <w:szCs w:val="24"/>
            <w:lang w:val="en-US"/>
          </w:rPr>
          <w:t>https://www.nice.org.uk/guidance/qs164</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7C8F9F95" w14:textId="3A9F19BC"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(2023) Parkinson’s UK Excellence Network Vision 2023–2026. London: Parkinson’s UK. Available at: </w:t>
      </w:r>
      <w:hyperlink r:id="rId12" w:history="1">
        <w:r w:rsidRPr="0079669D">
          <w:rPr>
            <w:rStyle w:val="Hyperlink"/>
            <w:rFonts w:ascii="Arial" w:eastAsia="Aptos" w:hAnsi="Arial" w:cs="Arial"/>
            <w:sz w:val="24"/>
            <w:szCs w:val="24"/>
            <w:lang w:val="en-US"/>
          </w:rPr>
          <w:t>https://www.parkinsons.org.uk/professionals/excellence-network</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2CEA0C18" w14:textId="26882DEF"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British Geriatrics Society (BGS) (2022) Parkinson’s disease in older people: guidance for healthcare professionals. London: BGS. Available at: </w:t>
      </w:r>
      <w:hyperlink r:id="rId13" w:history="1">
        <w:r w:rsidRPr="0079669D">
          <w:rPr>
            <w:rStyle w:val="Hyperlink"/>
            <w:rFonts w:ascii="Arial" w:eastAsia="Aptos" w:hAnsi="Arial" w:cs="Arial"/>
            <w:sz w:val="24"/>
            <w:szCs w:val="24"/>
            <w:lang w:val="en-US"/>
          </w:rPr>
          <w:t>https://www.bgs.org.uk/resources/parkinsons-disease-guidance</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29DEBD07"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Jankovic, J. (2020) Parkinson’s Disease: Clinical Features and Diagnosis. 2nd </w:t>
      </w:r>
      <w:proofErr w:type="spellStart"/>
      <w:r w:rsidRPr="00BC5F08">
        <w:rPr>
          <w:rFonts w:ascii="Arial" w:eastAsia="Aptos" w:hAnsi="Arial" w:cs="Arial"/>
          <w:sz w:val="24"/>
          <w:szCs w:val="24"/>
          <w:lang w:val="en-US"/>
        </w:rPr>
        <w:t>edn</w:t>
      </w:r>
      <w:proofErr w:type="spellEnd"/>
      <w:r w:rsidRPr="00BC5F08">
        <w:rPr>
          <w:rFonts w:ascii="Arial" w:eastAsia="Aptos" w:hAnsi="Arial" w:cs="Arial"/>
          <w:sz w:val="24"/>
          <w:szCs w:val="24"/>
          <w:lang w:val="en-US"/>
        </w:rPr>
        <w:t>. Oxford: Oxford University Press.</w:t>
      </w:r>
    </w:p>
    <w:p w14:paraId="610673E2"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Kalia, L.V. and Lang, A.E. (2015) ‘Parkinson’s disease’, The Lancet, 386(9996), pp. 896–912.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10.1016/S0140-6736(14)61393-3.</w:t>
      </w:r>
    </w:p>
    <w:p w14:paraId="4F9883BC"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lastRenderedPageBreak/>
        <w:t xml:space="preserve">Bloem, B.R., Okun, M.S. and Klein, C. (2021) ‘Parkinson’s disease’, The Lancet, 397(10291), pp. 2284–2303.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10.1016/S0140-6736(21)00218-X.</w:t>
      </w:r>
    </w:p>
    <w:p w14:paraId="2902ACF3"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Fox, S.H., </w:t>
      </w:r>
      <w:proofErr w:type="spellStart"/>
      <w:r w:rsidRPr="00BC5F08">
        <w:rPr>
          <w:rFonts w:ascii="Arial" w:eastAsia="Aptos" w:hAnsi="Arial" w:cs="Arial"/>
          <w:sz w:val="24"/>
          <w:szCs w:val="24"/>
          <w:lang w:val="en-US"/>
        </w:rPr>
        <w:t>Katzenschlager</w:t>
      </w:r>
      <w:proofErr w:type="spellEnd"/>
      <w:r w:rsidRPr="00BC5F08">
        <w:rPr>
          <w:rFonts w:ascii="Arial" w:eastAsia="Aptos" w:hAnsi="Arial" w:cs="Arial"/>
          <w:sz w:val="24"/>
          <w:szCs w:val="24"/>
          <w:lang w:val="en-US"/>
        </w:rPr>
        <w:t xml:space="preserve">, R., Lim, S.Y., Barton, B., de Bie, R.M.A., Seppi, K. and Coelho, M. (2018) ‘The Movement Disorder Society Evidence-Based Medicine Review Update: Treatments for the motor symptoms of Parkinson’s disease’, Movement Disorders, 33(8), pp. 1248–1266.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10.1002/mds.27372.</w:t>
      </w:r>
    </w:p>
    <w:p w14:paraId="66B19E19"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Dorsey, E.R., Sherer, T., Okun, M.S. and Bloem, B.R. (2018) ‘The emerging evidence of the Parkinson pandemic’, Journal of Parkinson’s Disease, 8(s1), pp. S3–S8.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10.3233/JPD-181474.</w:t>
      </w:r>
    </w:p>
    <w:p w14:paraId="470B0B49" w14:textId="55E5D66E"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(2022) Parkinson’s disease and carers: supporting those who support others. London: Parkinson’s UK. Available at: </w:t>
      </w:r>
      <w:hyperlink r:id="rId14" w:history="1">
        <w:r w:rsidRPr="0079669D">
          <w:rPr>
            <w:rStyle w:val="Hyperlink"/>
            <w:rFonts w:ascii="Arial" w:eastAsia="Aptos" w:hAnsi="Arial" w:cs="Arial"/>
            <w:sz w:val="24"/>
            <w:szCs w:val="24"/>
            <w:lang w:val="en-US"/>
          </w:rPr>
          <w:t>https://www.parkinsons.org.uk/information-and-support/carers</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0DBCC012" w14:textId="52E62A38"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lastRenderedPageBreak/>
        <w:t xml:space="preserve">Weintraub, D., </w:t>
      </w:r>
      <w:proofErr w:type="spellStart"/>
      <w:r w:rsidRPr="00BC5F08">
        <w:rPr>
          <w:rFonts w:ascii="Arial" w:eastAsia="Aptos" w:hAnsi="Arial" w:cs="Arial"/>
          <w:sz w:val="24"/>
          <w:szCs w:val="24"/>
          <w:lang w:val="en-US"/>
        </w:rPr>
        <w:t>Mamikonyan</w:t>
      </w:r>
      <w:proofErr w:type="spellEnd"/>
      <w:r w:rsidRPr="00BC5F08">
        <w:rPr>
          <w:rFonts w:ascii="Arial" w:eastAsia="Aptos" w:hAnsi="Arial" w:cs="Arial"/>
          <w:sz w:val="24"/>
          <w:szCs w:val="24"/>
          <w:lang w:val="en-US"/>
        </w:rPr>
        <w:t xml:space="preserve">, E., Papay, K., Shea, J.A. and Xie, S.X. (2015) ‘Psychiatric aspects of Parkinson’s disease’, International Review of Neurobiology, 120, pp. 215–243.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10.1016/bs.irn.2015.06.003.</w:t>
      </w:r>
    </w:p>
    <w:p w14:paraId="1D213022"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Goetz, C.G., Tilley, B.C., </w:t>
      </w:r>
      <w:proofErr w:type="spellStart"/>
      <w:r w:rsidRPr="00BC5F08">
        <w:rPr>
          <w:rFonts w:ascii="Arial" w:eastAsia="Aptos" w:hAnsi="Arial" w:cs="Arial"/>
          <w:sz w:val="24"/>
          <w:szCs w:val="24"/>
          <w:lang w:val="en-US"/>
        </w:rPr>
        <w:t>Shaftman</w:t>
      </w:r>
      <w:proofErr w:type="spellEnd"/>
      <w:r w:rsidRPr="00BC5F08">
        <w:rPr>
          <w:rFonts w:ascii="Arial" w:eastAsia="Aptos" w:hAnsi="Arial" w:cs="Arial"/>
          <w:sz w:val="24"/>
          <w:szCs w:val="24"/>
          <w:lang w:val="en-US"/>
        </w:rPr>
        <w:t xml:space="preserve">, S.R., Stebbins, G.T., Fahn, S., Martinez-Martin, P., </w:t>
      </w:r>
      <w:proofErr w:type="spellStart"/>
      <w:r w:rsidRPr="00BC5F08">
        <w:rPr>
          <w:rFonts w:ascii="Arial" w:eastAsia="Aptos" w:hAnsi="Arial" w:cs="Arial"/>
          <w:sz w:val="24"/>
          <w:szCs w:val="24"/>
          <w:lang w:val="en-US"/>
        </w:rPr>
        <w:t>Poewe</w:t>
      </w:r>
      <w:proofErr w:type="spellEnd"/>
      <w:r w:rsidRPr="00BC5F08">
        <w:rPr>
          <w:rFonts w:ascii="Arial" w:eastAsia="Aptos" w:hAnsi="Arial" w:cs="Arial"/>
          <w:sz w:val="24"/>
          <w:szCs w:val="24"/>
          <w:lang w:val="en-US"/>
        </w:rPr>
        <w:t xml:space="preserve">, W., Sampaio, C., Stern, M.B., Dodel, R., Dubois, B., Holloway, R.G., Jankovic, J., </w:t>
      </w:r>
      <w:proofErr w:type="spellStart"/>
      <w:r w:rsidRPr="00BC5F08">
        <w:rPr>
          <w:rFonts w:ascii="Arial" w:eastAsia="Aptos" w:hAnsi="Arial" w:cs="Arial"/>
          <w:sz w:val="24"/>
          <w:szCs w:val="24"/>
          <w:lang w:val="en-US"/>
        </w:rPr>
        <w:t>Kulisevsky</w:t>
      </w:r>
      <w:proofErr w:type="spellEnd"/>
      <w:r w:rsidRPr="00BC5F08">
        <w:rPr>
          <w:rFonts w:ascii="Arial" w:eastAsia="Aptos" w:hAnsi="Arial" w:cs="Arial"/>
          <w:sz w:val="24"/>
          <w:szCs w:val="24"/>
          <w:lang w:val="en-US"/>
        </w:rPr>
        <w:t xml:space="preserve">, J., Lang, A.E., Lees, A., </w:t>
      </w:r>
      <w:proofErr w:type="spellStart"/>
      <w:r w:rsidRPr="00BC5F08">
        <w:rPr>
          <w:rFonts w:ascii="Arial" w:eastAsia="Aptos" w:hAnsi="Arial" w:cs="Arial"/>
          <w:sz w:val="24"/>
          <w:szCs w:val="24"/>
          <w:lang w:val="en-US"/>
        </w:rPr>
        <w:t>Leurgans</w:t>
      </w:r>
      <w:proofErr w:type="spellEnd"/>
      <w:r w:rsidRPr="00BC5F08">
        <w:rPr>
          <w:rFonts w:ascii="Arial" w:eastAsia="Aptos" w:hAnsi="Arial" w:cs="Arial"/>
          <w:sz w:val="24"/>
          <w:szCs w:val="24"/>
          <w:lang w:val="en-US"/>
        </w:rPr>
        <w:t xml:space="preserve">, S., LeWitt, P., Nyenhuis, D., </w:t>
      </w:r>
      <w:proofErr w:type="spellStart"/>
      <w:r w:rsidRPr="00BC5F08">
        <w:rPr>
          <w:rFonts w:ascii="Arial" w:eastAsia="Aptos" w:hAnsi="Arial" w:cs="Arial"/>
          <w:sz w:val="24"/>
          <w:szCs w:val="24"/>
          <w:lang w:val="en-US"/>
        </w:rPr>
        <w:t>Olanow</w:t>
      </w:r>
      <w:proofErr w:type="spellEnd"/>
      <w:r w:rsidRPr="00BC5F08">
        <w:rPr>
          <w:rFonts w:ascii="Arial" w:eastAsia="Aptos" w:hAnsi="Arial" w:cs="Arial"/>
          <w:sz w:val="24"/>
          <w:szCs w:val="24"/>
          <w:lang w:val="en-US"/>
        </w:rPr>
        <w:t xml:space="preserve">, C.W., Rascol, O., Schrag, A., Teresi, J.A., Van Hilten, J.J. and </w:t>
      </w:r>
      <w:proofErr w:type="spellStart"/>
      <w:r w:rsidRPr="00BC5F08">
        <w:rPr>
          <w:rFonts w:ascii="Arial" w:eastAsia="Aptos" w:hAnsi="Arial" w:cs="Arial"/>
          <w:sz w:val="24"/>
          <w:szCs w:val="24"/>
          <w:lang w:val="en-US"/>
        </w:rPr>
        <w:t>LaPelle</w:t>
      </w:r>
      <w:proofErr w:type="spellEnd"/>
      <w:r w:rsidRPr="00BC5F08">
        <w:rPr>
          <w:rFonts w:ascii="Arial" w:eastAsia="Aptos" w:hAnsi="Arial" w:cs="Arial"/>
          <w:sz w:val="24"/>
          <w:szCs w:val="24"/>
          <w:lang w:val="en-US"/>
        </w:rPr>
        <w:t xml:space="preserve">, N. (2008) ‘Movement Disorder Society-sponsored revision of the Unified Parkinson’s Disease Rating Scale (MDS-UPDRS): scale presentation and </w:t>
      </w:r>
      <w:proofErr w:type="spellStart"/>
      <w:r w:rsidRPr="00BC5F08">
        <w:rPr>
          <w:rFonts w:ascii="Arial" w:eastAsia="Aptos" w:hAnsi="Arial" w:cs="Arial"/>
          <w:sz w:val="24"/>
          <w:szCs w:val="24"/>
          <w:lang w:val="en-US"/>
        </w:rPr>
        <w:t>clinimetric</w:t>
      </w:r>
      <w:proofErr w:type="spellEnd"/>
      <w:r w:rsidRPr="00BC5F08">
        <w:rPr>
          <w:rFonts w:ascii="Arial" w:eastAsia="Aptos" w:hAnsi="Arial" w:cs="Arial"/>
          <w:sz w:val="24"/>
          <w:szCs w:val="24"/>
          <w:lang w:val="en-US"/>
        </w:rPr>
        <w:t xml:space="preserve"> testing results’, Movement Disorders, 23(15), pp. 2129–2170.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10.1002/mds.22340.</w:t>
      </w:r>
    </w:p>
    <w:p w14:paraId="1D4047AB" w14:textId="4EE7281F"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King’s College London Pure (2021) Recommendations for the </w:t>
      </w:r>
      <w:proofErr w:type="spellStart"/>
      <w:r w:rsidRPr="00BC5F08">
        <w:rPr>
          <w:rFonts w:ascii="Arial" w:eastAsia="Aptos" w:hAnsi="Arial" w:cs="Arial"/>
          <w:sz w:val="24"/>
          <w:szCs w:val="24"/>
          <w:lang w:val="en-US"/>
        </w:rPr>
        <w:t>Organisation</w:t>
      </w:r>
      <w:proofErr w:type="spellEnd"/>
      <w:r w:rsidRPr="00BC5F08">
        <w:rPr>
          <w:rFonts w:ascii="Arial" w:eastAsia="Aptos" w:hAnsi="Arial" w:cs="Arial"/>
          <w:sz w:val="24"/>
          <w:szCs w:val="24"/>
          <w:lang w:val="en-US"/>
        </w:rPr>
        <w:t xml:space="preserve"> of Multidisciplinary Clinical Care Teams in Parkinson’s Disease. London: KCL. Available </w:t>
      </w:r>
      <w:r w:rsidRPr="00BC5F08">
        <w:rPr>
          <w:rFonts w:ascii="Arial" w:eastAsia="Aptos" w:hAnsi="Arial" w:cs="Arial"/>
          <w:sz w:val="24"/>
          <w:szCs w:val="24"/>
          <w:lang w:val="en-US"/>
        </w:rPr>
        <w:lastRenderedPageBreak/>
        <w:t xml:space="preserve">at: </w:t>
      </w:r>
      <w:hyperlink r:id="rId15" w:history="1">
        <w:r w:rsidRPr="0079669D">
          <w:rPr>
            <w:rStyle w:val="Hyperlink"/>
            <w:rFonts w:ascii="Arial" w:eastAsia="Aptos" w:hAnsi="Arial" w:cs="Arial"/>
            <w:sz w:val="24"/>
            <w:szCs w:val="24"/>
            <w:lang w:val="en-US"/>
          </w:rPr>
          <w:t>https://pure.kcl.ac.uk</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460A3141" w14:textId="65D9375C"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(2021) Exercise and Parkinson’s disease: a guide for health professionals. London: Parkinson’s UK. Available at: </w:t>
      </w:r>
      <w:hyperlink r:id="rId16" w:history="1">
        <w:r w:rsidRPr="0079669D">
          <w:rPr>
            <w:rStyle w:val="Hyperlink"/>
            <w:rFonts w:ascii="Arial" w:eastAsia="Aptos" w:hAnsi="Arial" w:cs="Arial"/>
            <w:sz w:val="24"/>
            <w:szCs w:val="24"/>
            <w:lang w:val="en-US"/>
          </w:rPr>
          <w:t>https://www.parkinsons.org.uk/professionals/exercise</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1010650E"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Allen, N.E., Sherrington, C., Canning, C.G. and Fung, V.S. (2011) ‘Balance and falls in Parkinson’s disease: a meta-analysis of the effect of exercise’, Movement Disorders, 26(9), pp. 1605–1615.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10.1002/mds.23781.</w:t>
      </w:r>
    </w:p>
    <w:p w14:paraId="600186C7"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Keus, S.H.J., Munneke, M., Graziano, M., Paltamaa, J., </w:t>
      </w:r>
      <w:proofErr w:type="spellStart"/>
      <w:r w:rsidRPr="00BC5F08">
        <w:rPr>
          <w:rFonts w:ascii="Arial" w:eastAsia="Aptos" w:hAnsi="Arial" w:cs="Arial"/>
          <w:sz w:val="24"/>
          <w:szCs w:val="24"/>
          <w:lang w:val="en-US"/>
        </w:rPr>
        <w:t>Pelosin</w:t>
      </w:r>
      <w:proofErr w:type="spellEnd"/>
      <w:r w:rsidRPr="00BC5F08">
        <w:rPr>
          <w:rFonts w:ascii="Arial" w:eastAsia="Aptos" w:hAnsi="Arial" w:cs="Arial"/>
          <w:sz w:val="24"/>
          <w:szCs w:val="24"/>
          <w:lang w:val="en-US"/>
        </w:rPr>
        <w:t xml:space="preserve">, E., Domingos, J., </w:t>
      </w:r>
      <w:proofErr w:type="spellStart"/>
      <w:r w:rsidRPr="00BC5F08">
        <w:rPr>
          <w:rFonts w:ascii="Arial" w:eastAsia="Aptos" w:hAnsi="Arial" w:cs="Arial"/>
          <w:sz w:val="24"/>
          <w:szCs w:val="24"/>
          <w:lang w:val="en-US"/>
        </w:rPr>
        <w:t>Nieuwboer</w:t>
      </w:r>
      <w:proofErr w:type="spellEnd"/>
      <w:r w:rsidRPr="00BC5F08">
        <w:rPr>
          <w:rFonts w:ascii="Arial" w:eastAsia="Aptos" w:hAnsi="Arial" w:cs="Arial"/>
          <w:sz w:val="24"/>
          <w:szCs w:val="24"/>
          <w:lang w:val="en-US"/>
        </w:rPr>
        <w:t xml:space="preserve">, A., </w:t>
      </w:r>
      <w:proofErr w:type="spellStart"/>
      <w:r w:rsidRPr="00BC5F08">
        <w:rPr>
          <w:rFonts w:ascii="Arial" w:eastAsia="Aptos" w:hAnsi="Arial" w:cs="Arial"/>
          <w:sz w:val="24"/>
          <w:szCs w:val="24"/>
          <w:lang w:val="en-US"/>
        </w:rPr>
        <w:t>Bhidayasiri</w:t>
      </w:r>
      <w:proofErr w:type="spellEnd"/>
      <w:r w:rsidRPr="00BC5F08">
        <w:rPr>
          <w:rFonts w:ascii="Arial" w:eastAsia="Aptos" w:hAnsi="Arial" w:cs="Arial"/>
          <w:sz w:val="24"/>
          <w:szCs w:val="24"/>
          <w:lang w:val="en-US"/>
        </w:rPr>
        <w:t xml:space="preserve">, R., Antonini, A., Martinez-Martin, P. and Bloem, B.R. (2014) ‘European physiotherapy guideline for Parkinson’s disease: development and implementation’, Movement Disorders, 29(7), pp. 914–921.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10.1002/mds.25872.</w:t>
      </w:r>
    </w:p>
    <w:p w14:paraId="359C5F14"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lastRenderedPageBreak/>
        <w:t xml:space="preserve">O’Regan, M., D’Abreu, A., Chiu, E., et al. (2020) ‘Community-based rehabilitation for Parkinson’s disease: current evidence and recommendations’, Journal of Neurology, 267, pp. 1807–1818.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10.1007/s00415-020-09888-2.</w:t>
      </w:r>
    </w:p>
    <w:p w14:paraId="4AF8537D" w14:textId="27D75766"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(2020) Dementia in Parkinson’s: guidance for clinicians. London: Parkinson’s UK. Available at: </w:t>
      </w:r>
      <w:hyperlink r:id="rId17" w:history="1">
        <w:r w:rsidRPr="0079669D">
          <w:rPr>
            <w:rStyle w:val="Hyperlink"/>
            <w:rFonts w:ascii="Arial" w:eastAsia="Aptos" w:hAnsi="Arial" w:cs="Arial"/>
            <w:sz w:val="24"/>
            <w:szCs w:val="24"/>
            <w:lang w:val="en-US"/>
          </w:rPr>
          <w:t>https://www.parkinsons.org.uk/professionals/dementia</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33A7B85B" w14:textId="354C68F4"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National Institute for Health and Care Research (NIHR) (2019) Parkinson’s disease research: improving care in the UK. London: NIHR. Available at: </w:t>
      </w:r>
      <w:hyperlink r:id="rId18" w:history="1">
        <w:r w:rsidRPr="0079669D">
          <w:rPr>
            <w:rStyle w:val="Hyperlink"/>
            <w:rFonts w:ascii="Arial" w:eastAsia="Aptos" w:hAnsi="Arial" w:cs="Arial"/>
            <w:sz w:val="24"/>
            <w:szCs w:val="24"/>
            <w:lang w:val="en-US"/>
          </w:rPr>
          <w:t>https://www.nihr.ac.uk</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44583BA6" w14:textId="21CB6279"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NHS England (2022) Integrated Care Systems: guidance for long-term conditions. London: NHS England. Available at: </w:t>
      </w:r>
      <w:hyperlink r:id="rId19" w:history="1">
        <w:r w:rsidRPr="0079669D">
          <w:rPr>
            <w:rStyle w:val="Hyperlink"/>
            <w:rFonts w:ascii="Arial" w:eastAsia="Aptos" w:hAnsi="Arial" w:cs="Arial"/>
            <w:sz w:val="24"/>
            <w:szCs w:val="24"/>
            <w:lang w:val="en-US"/>
          </w:rPr>
          <w:t>https://www.england.nhs.uk/integratedcare</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07F518D0"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lastRenderedPageBreak/>
        <w:t>Moore, S., Barker, R. and Flemming, K. (2021) Psychosocial aspects of Parkinson’s disease: practical guidance for clinicians. London: Routledge.</w:t>
      </w:r>
    </w:p>
    <w:p w14:paraId="60C59E4E"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Stack, E., Jupp, B., Latimer, N. and Burrows, A. (2018) ‘Impact of Parkinson’s disease on caregivers: a UK survey’, Clinical Rehabilitation, 32(8), pp. 1065–1075.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10.1177/0269215518769115.</w:t>
      </w:r>
    </w:p>
    <w:p w14:paraId="1856FFC3"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van der Marck, M.A., Bloem, B.R. and Borm, G.F. (2013) ‘Multidisciplinary care for Parkinson’s disease: a </w:t>
      </w:r>
      <w:proofErr w:type="spellStart"/>
      <w:r w:rsidRPr="00BC5F08">
        <w:rPr>
          <w:rFonts w:ascii="Arial" w:eastAsia="Aptos" w:hAnsi="Arial" w:cs="Arial"/>
          <w:sz w:val="24"/>
          <w:szCs w:val="24"/>
          <w:lang w:val="en-US"/>
        </w:rPr>
        <w:t>randomised</w:t>
      </w:r>
      <w:proofErr w:type="spellEnd"/>
      <w:r w:rsidRPr="00BC5F08">
        <w:rPr>
          <w:rFonts w:ascii="Arial" w:eastAsia="Aptos" w:hAnsi="Arial" w:cs="Arial"/>
          <w:sz w:val="24"/>
          <w:szCs w:val="24"/>
          <w:lang w:val="en-US"/>
        </w:rPr>
        <w:t xml:space="preserve"> controlled trial’, Journal of Neurology, Neurosurgery &amp; Psychiatry, 84(12), pp. 1265–1271.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10.1136/jnnp-2012-304380.</w:t>
      </w:r>
    </w:p>
    <w:p w14:paraId="5C9EA51E"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Tickle-Degnen, L., Ellis, T., Saint-Hilaire, M., Thomas, C. and Wagenaar, R. (2010) ‘Self-management rehabilitation and Parkinson’s disease: a UK perspective’, Disability and Rehabilitation, 32(8), pp. 670–678.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10.3109/09638280903466838.</w:t>
      </w:r>
    </w:p>
    <w:p w14:paraId="4D316277" w14:textId="77777777"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lastRenderedPageBreak/>
        <w:t xml:space="preserve">de Lau, L.M.L. and </w:t>
      </w:r>
      <w:proofErr w:type="spellStart"/>
      <w:r w:rsidRPr="00BC5F08">
        <w:rPr>
          <w:rFonts w:ascii="Arial" w:eastAsia="Aptos" w:hAnsi="Arial" w:cs="Arial"/>
          <w:sz w:val="24"/>
          <w:szCs w:val="24"/>
          <w:lang w:val="en-US"/>
        </w:rPr>
        <w:t>Breteler</w:t>
      </w:r>
      <w:proofErr w:type="spellEnd"/>
      <w:r w:rsidRPr="00BC5F08">
        <w:rPr>
          <w:rFonts w:ascii="Arial" w:eastAsia="Aptos" w:hAnsi="Arial" w:cs="Arial"/>
          <w:sz w:val="24"/>
          <w:szCs w:val="24"/>
          <w:lang w:val="en-US"/>
        </w:rPr>
        <w:t xml:space="preserve">, M.M.B. (2006) ‘Epidemiology of Parkinson’s disease’, The Lancet Neurology, 5(6), pp. 525–535.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10.1016/S1474-4422(06)70471-9.</w:t>
      </w:r>
    </w:p>
    <w:p w14:paraId="7A9B3EA7" w14:textId="306AA3A9"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(2023) Hospital care and medication timing: best practice guidance. London: Parkinson’s UK. Available at: </w:t>
      </w:r>
      <w:hyperlink r:id="rId20" w:history="1">
        <w:r w:rsidRPr="0079669D">
          <w:rPr>
            <w:rStyle w:val="Hyperlink"/>
            <w:rFonts w:ascii="Arial" w:eastAsia="Aptos" w:hAnsi="Arial" w:cs="Arial"/>
            <w:sz w:val="24"/>
            <w:szCs w:val="24"/>
            <w:lang w:val="en-US"/>
          </w:rPr>
          <w:t>https://www.parkinsons.org.uk/professionals/hospital-care</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30BF7B30" w14:textId="3992CA61"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NICE (2021) Multimorbidity and long-term conditions: quality standards. London: NICE. Available at: </w:t>
      </w:r>
      <w:hyperlink r:id="rId21" w:history="1">
        <w:r w:rsidRPr="0079669D">
          <w:rPr>
            <w:rStyle w:val="Hyperlink"/>
            <w:rFonts w:ascii="Arial" w:eastAsia="Aptos" w:hAnsi="Arial" w:cs="Arial"/>
            <w:sz w:val="24"/>
            <w:szCs w:val="24"/>
            <w:lang w:val="en-US"/>
          </w:rPr>
          <w:t>https://www.nice.org.uk/guidance/qs153</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3CE5B748" w14:textId="77777777" w:rsidR="00BC5F08" w:rsidRPr="00BC5F08" w:rsidRDefault="00BC5F08" w:rsidP="00BC5F08">
      <w:pPr>
        <w:spacing w:before="180" w:after="180" w:line="360" w:lineRule="auto"/>
        <w:jc w:val="both"/>
        <w:rPr>
          <w:rFonts w:ascii="Arial" w:eastAsia="Aptos" w:hAnsi="Arial" w:cs="Arial"/>
          <w:sz w:val="24"/>
          <w:szCs w:val="24"/>
          <w:lang w:val="en-US"/>
        </w:rPr>
      </w:pPr>
      <w:proofErr w:type="spellStart"/>
      <w:r w:rsidRPr="00BC5F08">
        <w:rPr>
          <w:rFonts w:ascii="Arial" w:eastAsia="Aptos" w:hAnsi="Arial" w:cs="Arial"/>
          <w:sz w:val="24"/>
          <w:szCs w:val="24"/>
          <w:lang w:val="en-US"/>
        </w:rPr>
        <w:t>Nijkrake</w:t>
      </w:r>
      <w:proofErr w:type="spellEnd"/>
      <w:r w:rsidRPr="00BC5F08">
        <w:rPr>
          <w:rFonts w:ascii="Arial" w:eastAsia="Aptos" w:hAnsi="Arial" w:cs="Arial"/>
          <w:sz w:val="24"/>
          <w:szCs w:val="24"/>
          <w:lang w:val="en-US"/>
        </w:rPr>
        <w:t xml:space="preserve">, M.J., Keus, S.H., </w:t>
      </w:r>
      <w:proofErr w:type="spellStart"/>
      <w:r w:rsidRPr="00BC5F08">
        <w:rPr>
          <w:rFonts w:ascii="Arial" w:eastAsia="Aptos" w:hAnsi="Arial" w:cs="Arial"/>
          <w:sz w:val="24"/>
          <w:szCs w:val="24"/>
          <w:lang w:val="en-US"/>
        </w:rPr>
        <w:t>Kwakkel</w:t>
      </w:r>
      <w:proofErr w:type="spellEnd"/>
      <w:r w:rsidRPr="00BC5F08">
        <w:rPr>
          <w:rFonts w:ascii="Arial" w:eastAsia="Aptos" w:hAnsi="Arial" w:cs="Arial"/>
          <w:sz w:val="24"/>
          <w:szCs w:val="24"/>
          <w:lang w:val="en-US"/>
        </w:rPr>
        <w:t xml:space="preserve">, G. and Bloem, B.R. (2007) ‘Activity-based physiotherapy in Parkinson’s disease: a systematic review’, Movement Disorders, 22(5), pp. 451–462.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10.1002/mds.21323.</w:t>
      </w:r>
    </w:p>
    <w:p w14:paraId="53B50CA3" w14:textId="62A31ACD" w:rsidR="00BC5F08"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Parkinson’s UK (2022) Non-motor symptoms in Parkinson’s disease: guidance for health </w:t>
      </w:r>
      <w:r w:rsidRPr="00BC5F08">
        <w:rPr>
          <w:rFonts w:ascii="Arial" w:eastAsia="Aptos" w:hAnsi="Arial" w:cs="Arial"/>
          <w:sz w:val="24"/>
          <w:szCs w:val="24"/>
          <w:lang w:val="en-US"/>
        </w:rPr>
        <w:lastRenderedPageBreak/>
        <w:t xml:space="preserve">professionals. London: Parkinson’s UK. Available at: </w:t>
      </w:r>
      <w:hyperlink r:id="rId22" w:history="1">
        <w:r w:rsidRPr="0079669D">
          <w:rPr>
            <w:rStyle w:val="Hyperlink"/>
            <w:rFonts w:ascii="Arial" w:eastAsia="Aptos" w:hAnsi="Arial" w:cs="Arial"/>
            <w:sz w:val="24"/>
            <w:szCs w:val="24"/>
            <w:lang w:val="en-US"/>
          </w:rPr>
          <w:t>https://www.parkinsons.org.uk/professionals/non-motor-symptoms</w:t>
        </w:r>
      </w:hyperlink>
      <w:r>
        <w:rPr>
          <w:rFonts w:ascii="Arial" w:eastAsia="Aptos" w:hAnsi="Arial" w:cs="Arial"/>
          <w:sz w:val="24"/>
          <w:szCs w:val="24"/>
          <w:lang w:val="en-US"/>
        </w:rPr>
        <w:t xml:space="preserve"> </w:t>
      </w:r>
      <w:r w:rsidRPr="00BC5F08">
        <w:rPr>
          <w:rFonts w:ascii="Arial" w:eastAsia="Aptos" w:hAnsi="Arial" w:cs="Arial"/>
          <w:sz w:val="24"/>
          <w:szCs w:val="24"/>
          <w:lang w:val="en-US"/>
        </w:rPr>
        <w:t xml:space="preserve"> (Accessed: 13 November 2025).</w:t>
      </w:r>
    </w:p>
    <w:p w14:paraId="1412261D" w14:textId="343D29B5" w:rsidR="00E11FAA" w:rsidRPr="00BC5F08" w:rsidRDefault="00BC5F08" w:rsidP="00BC5F08">
      <w:pPr>
        <w:spacing w:before="180" w:after="180" w:line="360" w:lineRule="auto"/>
        <w:jc w:val="both"/>
        <w:rPr>
          <w:rFonts w:ascii="Arial" w:eastAsia="Aptos" w:hAnsi="Arial" w:cs="Arial"/>
          <w:sz w:val="24"/>
          <w:szCs w:val="24"/>
          <w:lang w:val="en-US"/>
        </w:rPr>
      </w:pPr>
      <w:r w:rsidRPr="00BC5F08">
        <w:rPr>
          <w:rFonts w:ascii="Arial" w:eastAsia="Aptos" w:hAnsi="Arial" w:cs="Arial"/>
          <w:sz w:val="24"/>
          <w:szCs w:val="24"/>
          <w:lang w:val="en-US"/>
        </w:rPr>
        <w:t xml:space="preserve">King, L.A. and Horak, F.B. (2008) ‘Rehabilitation for Parkinson’s disease: current approaches and future directions’, Movement Disorders, 23(14), pp. 1991–2001. </w:t>
      </w:r>
      <w:proofErr w:type="spellStart"/>
      <w:r w:rsidRPr="00BC5F08">
        <w:rPr>
          <w:rFonts w:ascii="Arial" w:eastAsia="Aptos" w:hAnsi="Arial" w:cs="Arial"/>
          <w:sz w:val="24"/>
          <w:szCs w:val="24"/>
          <w:lang w:val="en-US"/>
        </w:rPr>
        <w:t>doi</w:t>
      </w:r>
      <w:proofErr w:type="spellEnd"/>
      <w:r w:rsidRPr="00BC5F08">
        <w:rPr>
          <w:rFonts w:ascii="Arial" w:eastAsia="Aptos" w:hAnsi="Arial" w:cs="Arial"/>
          <w:sz w:val="24"/>
          <w:szCs w:val="24"/>
          <w:lang w:val="en-US"/>
        </w:rPr>
        <w:t>: 10.1002/mds.22176.</w:t>
      </w:r>
    </w:p>
    <w:sectPr w:rsidR="00E11FAA" w:rsidRPr="00BC5F08" w:rsidSect="002416DC">
      <w:pgSz w:w="792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F833" w14:textId="77777777" w:rsidR="00E011B8" w:rsidRDefault="00E011B8">
      <w:pPr>
        <w:spacing w:after="0" w:line="240" w:lineRule="auto"/>
      </w:pPr>
      <w:r>
        <w:separator/>
      </w:r>
    </w:p>
  </w:endnote>
  <w:endnote w:type="continuationSeparator" w:id="0">
    <w:p w14:paraId="573BAC49" w14:textId="77777777" w:rsidR="00E011B8" w:rsidRDefault="00E01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DCEF" w14:textId="6F19224D" w:rsidR="0097059B" w:rsidRDefault="0097059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EF7DFB">
      <w:rPr>
        <w:rFonts w:ascii="Calibri" w:eastAsia="Calibri" w:hAnsi="Calibri" w:cs="Calibri"/>
        <w:noProof/>
        <w:color w:val="000000"/>
      </w:rPr>
      <w:t>16</w:t>
    </w:r>
    <w:r>
      <w:rPr>
        <w:color w:val="000000"/>
      </w:rPr>
      <w:fldChar w:fldCharType="end"/>
    </w:r>
  </w:p>
  <w:p w14:paraId="5F139649" w14:textId="77777777" w:rsidR="0097059B" w:rsidRDefault="009705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AE213" w14:textId="77777777" w:rsidR="00E011B8" w:rsidRDefault="00E011B8">
      <w:pPr>
        <w:spacing w:after="0" w:line="240" w:lineRule="auto"/>
      </w:pPr>
      <w:r>
        <w:separator/>
      </w:r>
    </w:p>
  </w:footnote>
  <w:footnote w:type="continuationSeparator" w:id="0">
    <w:p w14:paraId="4AE243BA" w14:textId="77777777" w:rsidR="00E011B8" w:rsidRDefault="00E01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1AA"/>
    <w:multiLevelType w:val="hybridMultilevel"/>
    <w:tmpl w:val="EF2C08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A2D5F"/>
    <w:multiLevelType w:val="hybridMultilevel"/>
    <w:tmpl w:val="B9A68D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12A62"/>
    <w:multiLevelType w:val="hybridMultilevel"/>
    <w:tmpl w:val="5E6A9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46194"/>
    <w:multiLevelType w:val="hybridMultilevel"/>
    <w:tmpl w:val="8AB60F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96380"/>
    <w:multiLevelType w:val="hybridMultilevel"/>
    <w:tmpl w:val="D4B27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91FF5"/>
    <w:multiLevelType w:val="hybridMultilevel"/>
    <w:tmpl w:val="6DBEB4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F846C0"/>
    <w:multiLevelType w:val="hybridMultilevel"/>
    <w:tmpl w:val="E6DAED0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7531C9"/>
    <w:multiLevelType w:val="hybridMultilevel"/>
    <w:tmpl w:val="4D960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908B5"/>
    <w:multiLevelType w:val="hybridMultilevel"/>
    <w:tmpl w:val="95AC8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C07F1A"/>
    <w:multiLevelType w:val="hybridMultilevel"/>
    <w:tmpl w:val="A70C11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850EF"/>
    <w:multiLevelType w:val="hybridMultilevel"/>
    <w:tmpl w:val="64069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F0C35"/>
    <w:multiLevelType w:val="hybridMultilevel"/>
    <w:tmpl w:val="0368F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373106">
    <w:abstractNumId w:val="8"/>
  </w:num>
  <w:num w:numId="2" w16cid:durableId="1222254172">
    <w:abstractNumId w:val="6"/>
  </w:num>
  <w:num w:numId="3" w16cid:durableId="1585526115">
    <w:abstractNumId w:val="0"/>
  </w:num>
  <w:num w:numId="4" w16cid:durableId="1886216670">
    <w:abstractNumId w:val="1"/>
  </w:num>
  <w:num w:numId="5" w16cid:durableId="1851798901">
    <w:abstractNumId w:val="10"/>
  </w:num>
  <w:num w:numId="6" w16cid:durableId="45379204">
    <w:abstractNumId w:val="7"/>
  </w:num>
  <w:num w:numId="7" w16cid:durableId="1836333509">
    <w:abstractNumId w:val="4"/>
  </w:num>
  <w:num w:numId="8" w16cid:durableId="1403916675">
    <w:abstractNumId w:val="5"/>
  </w:num>
  <w:num w:numId="9" w16cid:durableId="1362512172">
    <w:abstractNumId w:val="3"/>
  </w:num>
  <w:num w:numId="10" w16cid:durableId="1418745751">
    <w:abstractNumId w:val="11"/>
  </w:num>
  <w:num w:numId="11" w16cid:durableId="1384326117">
    <w:abstractNumId w:val="9"/>
  </w:num>
  <w:num w:numId="12" w16cid:durableId="990325131">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46"/>
    <w:rsid w:val="00002742"/>
    <w:rsid w:val="00005A9A"/>
    <w:rsid w:val="00010563"/>
    <w:rsid w:val="000148AE"/>
    <w:rsid w:val="00015105"/>
    <w:rsid w:val="000205B8"/>
    <w:rsid w:val="000219F3"/>
    <w:rsid w:val="00035E3E"/>
    <w:rsid w:val="000415CF"/>
    <w:rsid w:val="000434C5"/>
    <w:rsid w:val="00050CAC"/>
    <w:rsid w:val="00054512"/>
    <w:rsid w:val="00060D21"/>
    <w:rsid w:val="00060E13"/>
    <w:rsid w:val="0006107F"/>
    <w:rsid w:val="00063C11"/>
    <w:rsid w:val="000770F5"/>
    <w:rsid w:val="000778CD"/>
    <w:rsid w:val="0008323B"/>
    <w:rsid w:val="00096FCF"/>
    <w:rsid w:val="000A022F"/>
    <w:rsid w:val="000A1AA1"/>
    <w:rsid w:val="000A1EF6"/>
    <w:rsid w:val="000B3261"/>
    <w:rsid w:val="000D0C15"/>
    <w:rsid w:val="000D2C11"/>
    <w:rsid w:val="000D51B2"/>
    <w:rsid w:val="000E7846"/>
    <w:rsid w:val="001047C8"/>
    <w:rsid w:val="00136E47"/>
    <w:rsid w:val="001454D1"/>
    <w:rsid w:val="00155971"/>
    <w:rsid w:val="00161318"/>
    <w:rsid w:val="00175A6B"/>
    <w:rsid w:val="00192680"/>
    <w:rsid w:val="001A508A"/>
    <w:rsid w:val="001A5555"/>
    <w:rsid w:val="001B229E"/>
    <w:rsid w:val="001B425F"/>
    <w:rsid w:val="001C7138"/>
    <w:rsid w:val="001D7986"/>
    <w:rsid w:val="001E2488"/>
    <w:rsid w:val="001E25A9"/>
    <w:rsid w:val="002007F0"/>
    <w:rsid w:val="00206AF2"/>
    <w:rsid w:val="00213221"/>
    <w:rsid w:val="0021405B"/>
    <w:rsid w:val="0022094A"/>
    <w:rsid w:val="00225C49"/>
    <w:rsid w:val="0022687F"/>
    <w:rsid w:val="002330E5"/>
    <w:rsid w:val="00233FA6"/>
    <w:rsid w:val="002343AE"/>
    <w:rsid w:val="002345C8"/>
    <w:rsid w:val="00235A95"/>
    <w:rsid w:val="002416DC"/>
    <w:rsid w:val="0024306A"/>
    <w:rsid w:val="00247C50"/>
    <w:rsid w:val="00250AC1"/>
    <w:rsid w:val="00251E42"/>
    <w:rsid w:val="00251EDB"/>
    <w:rsid w:val="00256BF7"/>
    <w:rsid w:val="002655B4"/>
    <w:rsid w:val="002760F3"/>
    <w:rsid w:val="00280021"/>
    <w:rsid w:val="00280BCA"/>
    <w:rsid w:val="00283C36"/>
    <w:rsid w:val="0029307C"/>
    <w:rsid w:val="00293A17"/>
    <w:rsid w:val="00294362"/>
    <w:rsid w:val="002A1E9A"/>
    <w:rsid w:val="002A2EC5"/>
    <w:rsid w:val="002A2F5B"/>
    <w:rsid w:val="002B0C68"/>
    <w:rsid w:val="002B3E19"/>
    <w:rsid w:val="002D0056"/>
    <w:rsid w:val="002D250B"/>
    <w:rsid w:val="002D3B03"/>
    <w:rsid w:val="002E0852"/>
    <w:rsid w:val="002E1245"/>
    <w:rsid w:val="002F7EE9"/>
    <w:rsid w:val="00302782"/>
    <w:rsid w:val="00305A2B"/>
    <w:rsid w:val="003228D3"/>
    <w:rsid w:val="003405D9"/>
    <w:rsid w:val="00342B50"/>
    <w:rsid w:val="00346F8B"/>
    <w:rsid w:val="00350762"/>
    <w:rsid w:val="00352E25"/>
    <w:rsid w:val="00356BF4"/>
    <w:rsid w:val="003615EF"/>
    <w:rsid w:val="00382585"/>
    <w:rsid w:val="00383A7C"/>
    <w:rsid w:val="003861AE"/>
    <w:rsid w:val="00393CFF"/>
    <w:rsid w:val="0039480E"/>
    <w:rsid w:val="00394EC4"/>
    <w:rsid w:val="00395BCF"/>
    <w:rsid w:val="0039704B"/>
    <w:rsid w:val="003A326F"/>
    <w:rsid w:val="003A445C"/>
    <w:rsid w:val="003A61D3"/>
    <w:rsid w:val="003B3B6A"/>
    <w:rsid w:val="003B3EE6"/>
    <w:rsid w:val="003B4410"/>
    <w:rsid w:val="003B61AF"/>
    <w:rsid w:val="003E0621"/>
    <w:rsid w:val="003E73CF"/>
    <w:rsid w:val="00406C8B"/>
    <w:rsid w:val="00414832"/>
    <w:rsid w:val="00425C88"/>
    <w:rsid w:val="0043149C"/>
    <w:rsid w:val="00433B86"/>
    <w:rsid w:val="0043754B"/>
    <w:rsid w:val="00444F19"/>
    <w:rsid w:val="004565F9"/>
    <w:rsid w:val="00457DF7"/>
    <w:rsid w:val="0046214D"/>
    <w:rsid w:val="00467419"/>
    <w:rsid w:val="0047759B"/>
    <w:rsid w:val="004813B2"/>
    <w:rsid w:val="00482880"/>
    <w:rsid w:val="00482CEC"/>
    <w:rsid w:val="00486F48"/>
    <w:rsid w:val="00486FCB"/>
    <w:rsid w:val="00494B55"/>
    <w:rsid w:val="00496C75"/>
    <w:rsid w:val="004C783E"/>
    <w:rsid w:val="004D0EE8"/>
    <w:rsid w:val="004D5C9E"/>
    <w:rsid w:val="004D73A1"/>
    <w:rsid w:val="004F16F8"/>
    <w:rsid w:val="004F3677"/>
    <w:rsid w:val="004F3D55"/>
    <w:rsid w:val="005107B5"/>
    <w:rsid w:val="00512DDE"/>
    <w:rsid w:val="005263A5"/>
    <w:rsid w:val="00530BBD"/>
    <w:rsid w:val="005342AE"/>
    <w:rsid w:val="00540A80"/>
    <w:rsid w:val="00543A90"/>
    <w:rsid w:val="005510B7"/>
    <w:rsid w:val="00552BED"/>
    <w:rsid w:val="00565D52"/>
    <w:rsid w:val="00566C6F"/>
    <w:rsid w:val="00566E46"/>
    <w:rsid w:val="00574676"/>
    <w:rsid w:val="005767BB"/>
    <w:rsid w:val="00580405"/>
    <w:rsid w:val="00581FCA"/>
    <w:rsid w:val="005849EF"/>
    <w:rsid w:val="00585D85"/>
    <w:rsid w:val="00590800"/>
    <w:rsid w:val="005A0A07"/>
    <w:rsid w:val="005A7462"/>
    <w:rsid w:val="005B0FAE"/>
    <w:rsid w:val="005D346E"/>
    <w:rsid w:val="005E408A"/>
    <w:rsid w:val="005F2132"/>
    <w:rsid w:val="005F2A68"/>
    <w:rsid w:val="005F4465"/>
    <w:rsid w:val="00602C98"/>
    <w:rsid w:val="00606E5A"/>
    <w:rsid w:val="00612CAB"/>
    <w:rsid w:val="00626D0D"/>
    <w:rsid w:val="00640567"/>
    <w:rsid w:val="006422F6"/>
    <w:rsid w:val="00643D28"/>
    <w:rsid w:val="0065420F"/>
    <w:rsid w:val="00656EFC"/>
    <w:rsid w:val="00657EF4"/>
    <w:rsid w:val="00671ACF"/>
    <w:rsid w:val="00671AE0"/>
    <w:rsid w:val="0067256C"/>
    <w:rsid w:val="006A0B46"/>
    <w:rsid w:val="006A30E4"/>
    <w:rsid w:val="006A3CB2"/>
    <w:rsid w:val="006B609B"/>
    <w:rsid w:val="006C08D3"/>
    <w:rsid w:val="006C114F"/>
    <w:rsid w:val="006C5229"/>
    <w:rsid w:val="006C7E0A"/>
    <w:rsid w:val="006D3CC2"/>
    <w:rsid w:val="006D5A57"/>
    <w:rsid w:val="006E5DAD"/>
    <w:rsid w:val="006E7FA3"/>
    <w:rsid w:val="006F1327"/>
    <w:rsid w:val="006F7011"/>
    <w:rsid w:val="007019C8"/>
    <w:rsid w:val="00704348"/>
    <w:rsid w:val="00706226"/>
    <w:rsid w:val="00710C41"/>
    <w:rsid w:val="00711D32"/>
    <w:rsid w:val="00714127"/>
    <w:rsid w:val="00714195"/>
    <w:rsid w:val="00714998"/>
    <w:rsid w:val="00714D3F"/>
    <w:rsid w:val="00716C24"/>
    <w:rsid w:val="00717969"/>
    <w:rsid w:val="00730903"/>
    <w:rsid w:val="007631DC"/>
    <w:rsid w:val="00763516"/>
    <w:rsid w:val="0076423D"/>
    <w:rsid w:val="00772B11"/>
    <w:rsid w:val="00783E5B"/>
    <w:rsid w:val="00787D96"/>
    <w:rsid w:val="00793186"/>
    <w:rsid w:val="007A0A3D"/>
    <w:rsid w:val="007A0FFA"/>
    <w:rsid w:val="007B2046"/>
    <w:rsid w:val="007B3985"/>
    <w:rsid w:val="007B5BD4"/>
    <w:rsid w:val="007C577C"/>
    <w:rsid w:val="007D0430"/>
    <w:rsid w:val="007D0444"/>
    <w:rsid w:val="007E0FA4"/>
    <w:rsid w:val="007E194F"/>
    <w:rsid w:val="007E1BAF"/>
    <w:rsid w:val="007E23F6"/>
    <w:rsid w:val="007E5DDC"/>
    <w:rsid w:val="007F1E03"/>
    <w:rsid w:val="007F6760"/>
    <w:rsid w:val="00805C65"/>
    <w:rsid w:val="008172AA"/>
    <w:rsid w:val="00824578"/>
    <w:rsid w:val="008274AE"/>
    <w:rsid w:val="00832209"/>
    <w:rsid w:val="008425C2"/>
    <w:rsid w:val="00844221"/>
    <w:rsid w:val="008530E7"/>
    <w:rsid w:val="00870BCC"/>
    <w:rsid w:val="008B38CE"/>
    <w:rsid w:val="008C315F"/>
    <w:rsid w:val="008C431E"/>
    <w:rsid w:val="008E5F4E"/>
    <w:rsid w:val="008E7C64"/>
    <w:rsid w:val="00903C1B"/>
    <w:rsid w:val="0090639A"/>
    <w:rsid w:val="009116CB"/>
    <w:rsid w:val="00913345"/>
    <w:rsid w:val="0091620A"/>
    <w:rsid w:val="00916AD8"/>
    <w:rsid w:val="00936F41"/>
    <w:rsid w:val="00950687"/>
    <w:rsid w:val="00951AF3"/>
    <w:rsid w:val="0097059B"/>
    <w:rsid w:val="0098745D"/>
    <w:rsid w:val="00987F19"/>
    <w:rsid w:val="0099081D"/>
    <w:rsid w:val="009940D2"/>
    <w:rsid w:val="00995188"/>
    <w:rsid w:val="009A77CF"/>
    <w:rsid w:val="009B17A4"/>
    <w:rsid w:val="009B5DEE"/>
    <w:rsid w:val="009B60A8"/>
    <w:rsid w:val="009D0717"/>
    <w:rsid w:val="009E27FC"/>
    <w:rsid w:val="009F2FA5"/>
    <w:rsid w:val="009F34A0"/>
    <w:rsid w:val="009F7921"/>
    <w:rsid w:val="00A03689"/>
    <w:rsid w:val="00A04B36"/>
    <w:rsid w:val="00A05047"/>
    <w:rsid w:val="00A062C7"/>
    <w:rsid w:val="00A10357"/>
    <w:rsid w:val="00A11E9F"/>
    <w:rsid w:val="00A20873"/>
    <w:rsid w:val="00A455FE"/>
    <w:rsid w:val="00A46F3F"/>
    <w:rsid w:val="00A64CE0"/>
    <w:rsid w:val="00A72B65"/>
    <w:rsid w:val="00A7664A"/>
    <w:rsid w:val="00A82E96"/>
    <w:rsid w:val="00A84844"/>
    <w:rsid w:val="00AA55B7"/>
    <w:rsid w:val="00AB0B11"/>
    <w:rsid w:val="00AB3BBA"/>
    <w:rsid w:val="00AC7B93"/>
    <w:rsid w:val="00AD0727"/>
    <w:rsid w:val="00AF3610"/>
    <w:rsid w:val="00B059AE"/>
    <w:rsid w:val="00B068AA"/>
    <w:rsid w:val="00B2631C"/>
    <w:rsid w:val="00B27B82"/>
    <w:rsid w:val="00B37487"/>
    <w:rsid w:val="00B424D5"/>
    <w:rsid w:val="00B4409A"/>
    <w:rsid w:val="00B52389"/>
    <w:rsid w:val="00B52D36"/>
    <w:rsid w:val="00B53596"/>
    <w:rsid w:val="00B56A0E"/>
    <w:rsid w:val="00B56D92"/>
    <w:rsid w:val="00B56F96"/>
    <w:rsid w:val="00B632C2"/>
    <w:rsid w:val="00B66B68"/>
    <w:rsid w:val="00B743C5"/>
    <w:rsid w:val="00B770AA"/>
    <w:rsid w:val="00B8729E"/>
    <w:rsid w:val="00B87790"/>
    <w:rsid w:val="00B97944"/>
    <w:rsid w:val="00BA0BAF"/>
    <w:rsid w:val="00BB08B7"/>
    <w:rsid w:val="00BC00CB"/>
    <w:rsid w:val="00BC5F08"/>
    <w:rsid w:val="00BD3265"/>
    <w:rsid w:val="00BD7314"/>
    <w:rsid w:val="00BE1679"/>
    <w:rsid w:val="00BE4107"/>
    <w:rsid w:val="00BE6A11"/>
    <w:rsid w:val="00C019EA"/>
    <w:rsid w:val="00C03AF9"/>
    <w:rsid w:val="00C052CB"/>
    <w:rsid w:val="00C166BA"/>
    <w:rsid w:val="00C174AD"/>
    <w:rsid w:val="00C23A1D"/>
    <w:rsid w:val="00C40E7C"/>
    <w:rsid w:val="00C418D8"/>
    <w:rsid w:val="00C41ACC"/>
    <w:rsid w:val="00C45CF8"/>
    <w:rsid w:val="00C57870"/>
    <w:rsid w:val="00C60EDF"/>
    <w:rsid w:val="00C63075"/>
    <w:rsid w:val="00C63A3C"/>
    <w:rsid w:val="00C6610C"/>
    <w:rsid w:val="00C66403"/>
    <w:rsid w:val="00C731ED"/>
    <w:rsid w:val="00C81AA3"/>
    <w:rsid w:val="00C859BE"/>
    <w:rsid w:val="00C879C7"/>
    <w:rsid w:val="00C90652"/>
    <w:rsid w:val="00CD3321"/>
    <w:rsid w:val="00CD7930"/>
    <w:rsid w:val="00CE000B"/>
    <w:rsid w:val="00CE0FDD"/>
    <w:rsid w:val="00CE31D3"/>
    <w:rsid w:val="00CF57A1"/>
    <w:rsid w:val="00D024E0"/>
    <w:rsid w:val="00D04C88"/>
    <w:rsid w:val="00D057BD"/>
    <w:rsid w:val="00D15F4F"/>
    <w:rsid w:val="00D17FFE"/>
    <w:rsid w:val="00D21D3B"/>
    <w:rsid w:val="00D319B8"/>
    <w:rsid w:val="00D345FD"/>
    <w:rsid w:val="00D41637"/>
    <w:rsid w:val="00D43E52"/>
    <w:rsid w:val="00D47DAF"/>
    <w:rsid w:val="00D54F01"/>
    <w:rsid w:val="00D71074"/>
    <w:rsid w:val="00D71658"/>
    <w:rsid w:val="00D779A4"/>
    <w:rsid w:val="00D87EEA"/>
    <w:rsid w:val="00D952EC"/>
    <w:rsid w:val="00D97EFD"/>
    <w:rsid w:val="00DC2236"/>
    <w:rsid w:val="00DD0468"/>
    <w:rsid w:val="00DE1C88"/>
    <w:rsid w:val="00E011B8"/>
    <w:rsid w:val="00E0229F"/>
    <w:rsid w:val="00E04597"/>
    <w:rsid w:val="00E11FAA"/>
    <w:rsid w:val="00E22C30"/>
    <w:rsid w:val="00E30C8E"/>
    <w:rsid w:val="00E40B8D"/>
    <w:rsid w:val="00E44B36"/>
    <w:rsid w:val="00E45E0A"/>
    <w:rsid w:val="00E539EC"/>
    <w:rsid w:val="00E541E7"/>
    <w:rsid w:val="00E56A38"/>
    <w:rsid w:val="00E705BB"/>
    <w:rsid w:val="00E74B11"/>
    <w:rsid w:val="00E8002E"/>
    <w:rsid w:val="00E81E04"/>
    <w:rsid w:val="00E84217"/>
    <w:rsid w:val="00E8787D"/>
    <w:rsid w:val="00EA00FA"/>
    <w:rsid w:val="00EA0751"/>
    <w:rsid w:val="00EA5A99"/>
    <w:rsid w:val="00EB108F"/>
    <w:rsid w:val="00EB6FE2"/>
    <w:rsid w:val="00EB71C5"/>
    <w:rsid w:val="00EC3C30"/>
    <w:rsid w:val="00ED66F4"/>
    <w:rsid w:val="00EE21B1"/>
    <w:rsid w:val="00EE4DE6"/>
    <w:rsid w:val="00EF5EFC"/>
    <w:rsid w:val="00EF7DFB"/>
    <w:rsid w:val="00F04E6D"/>
    <w:rsid w:val="00F07158"/>
    <w:rsid w:val="00F1170E"/>
    <w:rsid w:val="00F1756B"/>
    <w:rsid w:val="00F225E9"/>
    <w:rsid w:val="00F22621"/>
    <w:rsid w:val="00F3412D"/>
    <w:rsid w:val="00F34A99"/>
    <w:rsid w:val="00F37ED8"/>
    <w:rsid w:val="00F40BEE"/>
    <w:rsid w:val="00F53CBD"/>
    <w:rsid w:val="00F60A2B"/>
    <w:rsid w:val="00F677FF"/>
    <w:rsid w:val="00F81236"/>
    <w:rsid w:val="00F836FB"/>
    <w:rsid w:val="00F8659A"/>
    <w:rsid w:val="00F90811"/>
    <w:rsid w:val="00F90EB9"/>
    <w:rsid w:val="00F90F44"/>
    <w:rsid w:val="00F965A4"/>
    <w:rsid w:val="00FA6CFB"/>
    <w:rsid w:val="00FB086F"/>
    <w:rsid w:val="00FB335C"/>
    <w:rsid w:val="00FC0085"/>
    <w:rsid w:val="00FC218A"/>
    <w:rsid w:val="00FC6878"/>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FAA"/>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9874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B56D9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Heading3Char">
    <w:name w:val="Heading 3 Char"/>
    <w:basedOn w:val="DefaultParagraphFont"/>
    <w:link w:val="Heading3"/>
    <w:uiPriority w:val="9"/>
    <w:semiHidden/>
    <w:rsid w:val="0098745D"/>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6C7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uiPriority w:val="9"/>
    <w:semiHidden/>
    <w:rsid w:val="00B56D92"/>
    <w:rPr>
      <w:rFonts w:asciiTheme="majorHAnsi" w:eastAsiaTheme="majorEastAsia" w:hAnsiTheme="majorHAnsi" w:cstheme="majorBidi"/>
      <w:color w:val="1F4D78" w:themeColor="accent1" w:themeShade="7F"/>
      <w:lang w:val="en-GB"/>
    </w:rPr>
  </w:style>
  <w:style w:type="character" w:customStyle="1" w:styleId="bg">
    <w:name w:val="bg"/>
    <w:basedOn w:val="DefaultParagraphFont"/>
    <w:rsid w:val="00530BBD"/>
  </w:style>
  <w:style w:type="character" w:styleId="Strong">
    <w:name w:val="Strong"/>
    <w:basedOn w:val="DefaultParagraphFont"/>
    <w:uiPriority w:val="22"/>
    <w:qFormat/>
    <w:rsid w:val="00552B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33041688">
      <w:bodyDiv w:val="1"/>
      <w:marLeft w:val="0"/>
      <w:marRight w:val="0"/>
      <w:marTop w:val="0"/>
      <w:marBottom w:val="0"/>
      <w:divBdr>
        <w:top w:val="none" w:sz="0" w:space="0" w:color="auto"/>
        <w:left w:val="none" w:sz="0" w:space="0" w:color="auto"/>
        <w:bottom w:val="none" w:sz="0" w:space="0" w:color="auto"/>
        <w:right w:val="none" w:sz="0" w:space="0" w:color="auto"/>
      </w:divBdr>
    </w:div>
    <w:div w:id="234122079">
      <w:bodyDiv w:val="1"/>
      <w:marLeft w:val="0"/>
      <w:marRight w:val="0"/>
      <w:marTop w:val="0"/>
      <w:marBottom w:val="0"/>
      <w:divBdr>
        <w:top w:val="none" w:sz="0" w:space="0" w:color="auto"/>
        <w:left w:val="none" w:sz="0" w:space="0" w:color="auto"/>
        <w:bottom w:val="none" w:sz="0" w:space="0" w:color="auto"/>
        <w:right w:val="none" w:sz="0" w:space="0" w:color="auto"/>
      </w:divBdr>
    </w:div>
    <w:div w:id="661589709">
      <w:bodyDiv w:val="1"/>
      <w:marLeft w:val="0"/>
      <w:marRight w:val="0"/>
      <w:marTop w:val="0"/>
      <w:marBottom w:val="0"/>
      <w:divBdr>
        <w:top w:val="none" w:sz="0" w:space="0" w:color="auto"/>
        <w:left w:val="none" w:sz="0" w:space="0" w:color="auto"/>
        <w:bottom w:val="none" w:sz="0" w:space="0" w:color="auto"/>
        <w:right w:val="none" w:sz="0" w:space="0" w:color="auto"/>
      </w:divBdr>
    </w:div>
    <w:div w:id="822936197">
      <w:bodyDiv w:val="1"/>
      <w:marLeft w:val="0"/>
      <w:marRight w:val="0"/>
      <w:marTop w:val="0"/>
      <w:marBottom w:val="0"/>
      <w:divBdr>
        <w:top w:val="none" w:sz="0" w:space="0" w:color="auto"/>
        <w:left w:val="none" w:sz="0" w:space="0" w:color="auto"/>
        <w:bottom w:val="none" w:sz="0" w:space="0" w:color="auto"/>
        <w:right w:val="none" w:sz="0" w:space="0" w:color="auto"/>
      </w:divBdr>
    </w:div>
    <w:div w:id="961225998">
      <w:bodyDiv w:val="1"/>
      <w:marLeft w:val="0"/>
      <w:marRight w:val="0"/>
      <w:marTop w:val="0"/>
      <w:marBottom w:val="0"/>
      <w:divBdr>
        <w:top w:val="none" w:sz="0" w:space="0" w:color="auto"/>
        <w:left w:val="none" w:sz="0" w:space="0" w:color="auto"/>
        <w:bottom w:val="none" w:sz="0" w:space="0" w:color="auto"/>
        <w:right w:val="none" w:sz="0" w:space="0" w:color="auto"/>
      </w:divBdr>
    </w:div>
    <w:div w:id="1046370904">
      <w:bodyDiv w:val="1"/>
      <w:marLeft w:val="0"/>
      <w:marRight w:val="0"/>
      <w:marTop w:val="0"/>
      <w:marBottom w:val="0"/>
      <w:divBdr>
        <w:top w:val="none" w:sz="0" w:space="0" w:color="auto"/>
        <w:left w:val="none" w:sz="0" w:space="0" w:color="auto"/>
        <w:bottom w:val="none" w:sz="0" w:space="0" w:color="auto"/>
        <w:right w:val="none" w:sz="0" w:space="0" w:color="auto"/>
      </w:divBdr>
    </w:div>
    <w:div w:id="1130127291">
      <w:bodyDiv w:val="1"/>
      <w:marLeft w:val="0"/>
      <w:marRight w:val="0"/>
      <w:marTop w:val="0"/>
      <w:marBottom w:val="0"/>
      <w:divBdr>
        <w:top w:val="none" w:sz="0" w:space="0" w:color="auto"/>
        <w:left w:val="none" w:sz="0" w:space="0" w:color="auto"/>
        <w:bottom w:val="none" w:sz="0" w:space="0" w:color="auto"/>
        <w:right w:val="none" w:sz="0" w:space="0" w:color="auto"/>
      </w:divBdr>
    </w:div>
    <w:div w:id="1199321212">
      <w:bodyDiv w:val="1"/>
      <w:marLeft w:val="0"/>
      <w:marRight w:val="0"/>
      <w:marTop w:val="0"/>
      <w:marBottom w:val="0"/>
      <w:divBdr>
        <w:top w:val="none" w:sz="0" w:space="0" w:color="auto"/>
        <w:left w:val="none" w:sz="0" w:space="0" w:color="auto"/>
        <w:bottom w:val="none" w:sz="0" w:space="0" w:color="auto"/>
        <w:right w:val="none" w:sz="0" w:space="0" w:color="auto"/>
      </w:divBdr>
    </w:div>
    <w:div w:id="1490632103">
      <w:bodyDiv w:val="1"/>
      <w:marLeft w:val="0"/>
      <w:marRight w:val="0"/>
      <w:marTop w:val="0"/>
      <w:marBottom w:val="0"/>
      <w:divBdr>
        <w:top w:val="none" w:sz="0" w:space="0" w:color="auto"/>
        <w:left w:val="none" w:sz="0" w:space="0" w:color="auto"/>
        <w:bottom w:val="none" w:sz="0" w:space="0" w:color="auto"/>
        <w:right w:val="none" w:sz="0" w:space="0" w:color="auto"/>
      </w:divBdr>
    </w:div>
    <w:div w:id="1507356464">
      <w:bodyDiv w:val="1"/>
      <w:marLeft w:val="0"/>
      <w:marRight w:val="0"/>
      <w:marTop w:val="0"/>
      <w:marBottom w:val="0"/>
      <w:divBdr>
        <w:top w:val="none" w:sz="0" w:space="0" w:color="auto"/>
        <w:left w:val="none" w:sz="0" w:space="0" w:color="auto"/>
        <w:bottom w:val="none" w:sz="0" w:space="0" w:color="auto"/>
        <w:right w:val="none" w:sz="0" w:space="0" w:color="auto"/>
      </w:divBdr>
    </w:div>
    <w:div w:id="1970087327">
      <w:bodyDiv w:val="1"/>
      <w:marLeft w:val="0"/>
      <w:marRight w:val="0"/>
      <w:marTop w:val="0"/>
      <w:marBottom w:val="0"/>
      <w:divBdr>
        <w:top w:val="none" w:sz="0" w:space="0" w:color="auto"/>
        <w:left w:val="none" w:sz="0" w:space="0" w:color="auto"/>
        <w:bottom w:val="none" w:sz="0" w:space="0" w:color="auto"/>
        <w:right w:val="none" w:sz="0" w:space="0" w:color="auto"/>
      </w:divBdr>
    </w:div>
    <w:div w:id="20567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gs.org.uk/resources/parkinsons-disease-guidance" TargetMode="External"/><Relationship Id="rId18" Type="http://schemas.openxmlformats.org/officeDocument/2006/relationships/hyperlink" Target="https://www.nihr.ac.uk" TargetMode="External"/><Relationship Id="rId3" Type="http://schemas.openxmlformats.org/officeDocument/2006/relationships/styles" Target="styles.xml"/><Relationship Id="rId21" Type="http://schemas.openxmlformats.org/officeDocument/2006/relationships/hyperlink" Target="https://www.nice.org.uk/guidance/qs153" TargetMode="External"/><Relationship Id="rId7" Type="http://schemas.openxmlformats.org/officeDocument/2006/relationships/endnotes" Target="endnotes.xml"/><Relationship Id="rId12" Type="http://schemas.openxmlformats.org/officeDocument/2006/relationships/hyperlink" Target="https://www.parkinsons.org.uk/professionals/excellence-network" TargetMode="External"/><Relationship Id="rId17" Type="http://schemas.openxmlformats.org/officeDocument/2006/relationships/hyperlink" Target="https://www.parkinsons.org.uk/professionals/dementia" TargetMode="External"/><Relationship Id="rId2" Type="http://schemas.openxmlformats.org/officeDocument/2006/relationships/numbering" Target="numbering.xml"/><Relationship Id="rId16" Type="http://schemas.openxmlformats.org/officeDocument/2006/relationships/hyperlink" Target="https://www.parkinsons.org.uk/professionals/exercise" TargetMode="External"/><Relationship Id="rId20" Type="http://schemas.openxmlformats.org/officeDocument/2006/relationships/hyperlink" Target="https://www.parkinsons.org.uk/professionals/hospital-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qs16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re.kcl.ac.uk" TargetMode="External"/><Relationship Id="rId23" Type="http://schemas.openxmlformats.org/officeDocument/2006/relationships/fontTable" Target="fontTable.xml"/><Relationship Id="rId10" Type="http://schemas.openxmlformats.org/officeDocument/2006/relationships/hyperlink" Target="https://www.nice.org.uk/guidance/ng71" TargetMode="External"/><Relationship Id="rId19" Type="http://schemas.openxmlformats.org/officeDocument/2006/relationships/hyperlink" Target="https://www.england.nhs.uk/integratedcar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arkinsons.org.uk/information-and-support/carers" TargetMode="External"/><Relationship Id="rId22" Type="http://schemas.openxmlformats.org/officeDocument/2006/relationships/hyperlink" Target="https://www.parkinsons.org.uk/professionals/non-motor-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ABAF8-13C1-4AB9-BB0F-0ABF45F45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5051</Words>
  <Characters>28794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SIZAN</cp:lastModifiedBy>
  <cp:revision>2</cp:revision>
  <dcterms:created xsi:type="dcterms:W3CDTF">2025-11-14T11:43:00Z</dcterms:created>
  <dcterms:modified xsi:type="dcterms:W3CDTF">2025-11-14T11:43:00Z</dcterms:modified>
</cp:coreProperties>
</file>