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A2333" w14:textId="3884BF6B" w:rsidR="00A07EE1" w:rsidRDefault="00A07EE1" w:rsidP="000D039F">
      <w:pPr>
        <w:spacing w:after="8" w:line="268" w:lineRule="auto"/>
        <w:ind w:left="0" w:right="507" w:firstLine="0"/>
        <w:jc w:val="left"/>
        <w:rPr>
          <w:rFonts w:asciiTheme="minorHAnsi" w:hAnsiTheme="minorHAnsi" w:cstheme="minorHAnsi"/>
          <w:b/>
          <w:bCs/>
          <w:sz w:val="20"/>
          <w:szCs w:val="20"/>
        </w:rPr>
      </w:pPr>
      <w:r>
        <w:rPr>
          <w:rFonts w:asciiTheme="minorHAnsi" w:hAnsiTheme="minorHAnsi" w:cstheme="minorHAnsi"/>
          <w:b/>
          <w:bCs/>
          <w:sz w:val="20"/>
          <w:szCs w:val="20"/>
        </w:rPr>
        <w:t>Name: Ffion Emily Morgan</w:t>
      </w:r>
    </w:p>
    <w:p w14:paraId="2215B5C8" w14:textId="548BEAFA" w:rsidR="00A07EE1" w:rsidRDefault="00A07EE1" w:rsidP="000D039F">
      <w:pPr>
        <w:spacing w:after="8" w:line="268" w:lineRule="auto"/>
        <w:ind w:left="0" w:right="507" w:firstLine="0"/>
        <w:jc w:val="left"/>
        <w:rPr>
          <w:rFonts w:asciiTheme="minorHAnsi" w:hAnsiTheme="minorHAnsi" w:cstheme="minorHAnsi"/>
          <w:b/>
          <w:bCs/>
          <w:sz w:val="20"/>
          <w:szCs w:val="20"/>
        </w:rPr>
      </w:pPr>
      <w:r>
        <w:rPr>
          <w:rFonts w:asciiTheme="minorHAnsi" w:hAnsiTheme="minorHAnsi" w:cstheme="minorHAnsi"/>
          <w:b/>
          <w:bCs/>
          <w:sz w:val="20"/>
          <w:szCs w:val="20"/>
        </w:rPr>
        <w:t xml:space="preserve">Student Number: </w:t>
      </w:r>
      <w:r w:rsidR="009C720E">
        <w:rPr>
          <w:rFonts w:asciiTheme="minorHAnsi" w:hAnsiTheme="minorHAnsi" w:cstheme="minorHAnsi"/>
          <w:b/>
          <w:bCs/>
          <w:sz w:val="20"/>
          <w:szCs w:val="20"/>
        </w:rPr>
        <w:t>2124990</w:t>
      </w:r>
    </w:p>
    <w:p w14:paraId="6CB09B1C" w14:textId="77777777" w:rsidR="00A07EE1" w:rsidRDefault="00A07EE1" w:rsidP="000D039F">
      <w:pPr>
        <w:spacing w:after="8" w:line="268" w:lineRule="auto"/>
        <w:ind w:left="0" w:right="507" w:firstLine="0"/>
        <w:jc w:val="left"/>
        <w:rPr>
          <w:rFonts w:asciiTheme="minorHAnsi" w:hAnsiTheme="minorHAnsi" w:cstheme="minorHAnsi"/>
          <w:b/>
          <w:bCs/>
          <w:sz w:val="20"/>
          <w:szCs w:val="20"/>
        </w:rPr>
      </w:pPr>
    </w:p>
    <w:p w14:paraId="02687901" w14:textId="5AF10DF0" w:rsidR="009D481E" w:rsidRPr="006F325A" w:rsidRDefault="00AA746C" w:rsidP="000D039F">
      <w:pPr>
        <w:spacing w:after="8" w:line="268" w:lineRule="auto"/>
        <w:ind w:left="0" w:right="507" w:firstLine="0"/>
        <w:jc w:val="left"/>
        <w:rPr>
          <w:rFonts w:asciiTheme="minorHAnsi" w:hAnsiTheme="minorHAnsi" w:cstheme="minorHAnsi"/>
          <w:b/>
          <w:bCs/>
          <w:sz w:val="20"/>
          <w:szCs w:val="20"/>
        </w:rPr>
      </w:pPr>
      <w:r w:rsidRPr="006F325A">
        <w:rPr>
          <w:rFonts w:asciiTheme="minorHAnsi" w:hAnsiTheme="minorHAnsi" w:cstheme="minorHAnsi"/>
          <w:b/>
          <w:bCs/>
          <w:sz w:val="20"/>
          <w:szCs w:val="20"/>
        </w:rPr>
        <w:t xml:space="preserve"> </w:t>
      </w:r>
      <w:r w:rsidR="009D481E" w:rsidRPr="006F325A">
        <w:rPr>
          <w:rFonts w:asciiTheme="minorHAnsi" w:hAnsiTheme="minorHAnsi" w:cstheme="minorHAnsi"/>
          <w:b/>
          <w:bCs/>
          <w:sz w:val="20"/>
          <w:szCs w:val="20"/>
        </w:rPr>
        <w:t>Question 4.</w:t>
      </w:r>
    </w:p>
    <w:p w14:paraId="7884408E" w14:textId="7CF6DAC0" w:rsidR="009D481E" w:rsidRPr="006F325A" w:rsidRDefault="009D481E" w:rsidP="009D481E">
      <w:pPr>
        <w:spacing w:after="8" w:line="268" w:lineRule="auto"/>
        <w:ind w:right="507"/>
        <w:jc w:val="left"/>
        <w:rPr>
          <w:rFonts w:asciiTheme="minorHAnsi" w:hAnsiTheme="minorHAnsi" w:cstheme="minorHAnsi"/>
          <w:b/>
          <w:bCs/>
          <w:sz w:val="20"/>
          <w:szCs w:val="20"/>
        </w:rPr>
      </w:pPr>
      <w:r w:rsidRPr="006F325A">
        <w:rPr>
          <w:rFonts w:asciiTheme="minorHAnsi" w:hAnsiTheme="minorHAnsi" w:cstheme="minorHAnsi"/>
          <w:b/>
          <w:bCs/>
          <w:sz w:val="20"/>
          <w:szCs w:val="20"/>
        </w:rPr>
        <w:t xml:space="preserve">What are the risks of ineffective engagement between police and local communities, and how might poor engagement affect community cohesion? Your answer should be based on academic research, although you may </w:t>
      </w:r>
      <w:proofErr w:type="gramStart"/>
      <w:r w:rsidRPr="006F325A">
        <w:rPr>
          <w:rFonts w:asciiTheme="minorHAnsi" w:hAnsiTheme="minorHAnsi" w:cstheme="minorHAnsi"/>
          <w:b/>
          <w:bCs/>
          <w:sz w:val="20"/>
          <w:szCs w:val="20"/>
        </w:rPr>
        <w:t>make reference</w:t>
      </w:r>
      <w:proofErr w:type="gramEnd"/>
      <w:r w:rsidRPr="006F325A">
        <w:rPr>
          <w:rFonts w:asciiTheme="minorHAnsi" w:hAnsiTheme="minorHAnsi" w:cstheme="minorHAnsi"/>
          <w:b/>
          <w:bCs/>
          <w:sz w:val="20"/>
          <w:szCs w:val="20"/>
        </w:rPr>
        <w:t xml:space="preserve"> to relevant case studies. </w:t>
      </w:r>
    </w:p>
    <w:p w14:paraId="04AD8AA4"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10AC5D38"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3F80E431"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The way I propose to answer this task is to put the question into perspective as it appeared to me upon first reading it. Simply, what happens if one group or community chooses not to engage with another, or does so ineffectively – and why? </w:t>
      </w:r>
    </w:p>
    <w:p w14:paraId="4EBF0424"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110EB8D7" w14:textId="3F695CF6" w:rsidR="009D481E" w:rsidRPr="006F325A" w:rsidRDefault="009D481E" w:rsidP="00817EF1">
      <w:pPr>
        <w:spacing w:after="0" w:line="360" w:lineRule="auto"/>
        <w:ind w:left="566" w:right="0" w:firstLine="0"/>
        <w:jc w:val="left"/>
        <w:rPr>
          <w:rFonts w:asciiTheme="minorHAnsi" w:hAnsiTheme="minorHAnsi" w:cstheme="minorHAnsi"/>
          <w:color w:val="auto"/>
          <w:sz w:val="20"/>
          <w:szCs w:val="20"/>
        </w:rPr>
      </w:pPr>
      <w:r w:rsidRPr="006F325A">
        <w:rPr>
          <w:rFonts w:asciiTheme="minorHAnsi" w:hAnsiTheme="minorHAnsi" w:cstheme="minorHAnsi"/>
          <w:color w:val="auto"/>
          <w:sz w:val="20"/>
          <w:szCs w:val="20"/>
        </w:rPr>
        <w:t xml:space="preserve">To give a brief response, that one group </w:t>
      </w:r>
      <w:r w:rsidR="00FA73DF" w:rsidRPr="006F325A">
        <w:rPr>
          <w:rFonts w:asciiTheme="minorHAnsi" w:hAnsiTheme="minorHAnsi" w:cstheme="minorHAnsi"/>
          <w:color w:val="auto"/>
          <w:sz w:val="20"/>
          <w:szCs w:val="20"/>
        </w:rPr>
        <w:t>becomes</w:t>
      </w:r>
      <w:r w:rsidRPr="006F325A">
        <w:rPr>
          <w:rFonts w:asciiTheme="minorHAnsi" w:hAnsiTheme="minorHAnsi" w:cstheme="minorHAnsi"/>
          <w:color w:val="auto"/>
          <w:sz w:val="20"/>
          <w:szCs w:val="20"/>
        </w:rPr>
        <w:t xml:space="preserve"> far less likely to report or work with the other, to explain or complain and as a result trust becomes lost with a higher risk of incidents that have to be managed within a relationship going badly wrong – or worse, that the perception of them being so dealt with is accepted and then that poor relationship worsens still further with negative social and traditional media responding in overdrive.</w:t>
      </w:r>
    </w:p>
    <w:p w14:paraId="7CD5C8D3"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308633C0"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Delving deeper, it is accepted in any critical analysis, that there are naturally two sides to any argument. Consequently, there are often opposing or ‘sharply different’ points of view, </w:t>
      </w:r>
      <w:bookmarkStart w:id="0" w:name="_Hlk144333660"/>
      <w:r w:rsidRPr="006F325A">
        <w:rPr>
          <w:rFonts w:asciiTheme="minorHAnsi" w:hAnsiTheme="minorHAnsi" w:cstheme="minorHAnsi"/>
          <w:sz w:val="20"/>
          <w:szCs w:val="20"/>
        </w:rPr>
        <w:t xml:space="preserve">Morin, et al (2017) </w:t>
      </w:r>
      <w:bookmarkEnd w:id="0"/>
      <w:r w:rsidRPr="006F325A">
        <w:rPr>
          <w:rFonts w:asciiTheme="minorHAnsi" w:hAnsiTheme="minorHAnsi" w:cstheme="minorHAnsi"/>
          <w:sz w:val="20"/>
          <w:szCs w:val="20"/>
        </w:rPr>
        <w:t>held between the police and the communities they serve. Here, the issue is of a police service not engaging with a community – or, perhaps worse, a community not engaging with its police.</w:t>
      </w:r>
    </w:p>
    <w:p w14:paraId="277C1236"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  </w:t>
      </w:r>
    </w:p>
    <w:p w14:paraId="5DD363B4"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As ever, if only matters were that simple. Too many instances, the historic and the more recent, have existed that undermined the trust between the two parties. One example, the Macpherson Report (1999) published following the murder of Stephen Lawrence Inquiry ultimately necessitated legislation to demand the elimination of unlawful racism by public authorities under the Race Relations (Amendment) Act 2000 as such behaviours had continued until that Act made it illegal. </w:t>
      </w:r>
    </w:p>
    <w:p w14:paraId="11A4D22D"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7B1FBD65"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This task proposes to reference still more academic points of view, counter </w:t>
      </w:r>
      <w:proofErr w:type="gramStart"/>
      <w:r w:rsidRPr="006F325A">
        <w:rPr>
          <w:rFonts w:asciiTheme="minorHAnsi" w:hAnsiTheme="minorHAnsi" w:cstheme="minorHAnsi"/>
          <w:sz w:val="20"/>
          <w:szCs w:val="20"/>
        </w:rPr>
        <w:t>argument</w:t>
      </w:r>
      <w:proofErr w:type="gramEnd"/>
      <w:r w:rsidRPr="006F325A">
        <w:rPr>
          <w:rFonts w:asciiTheme="minorHAnsi" w:hAnsiTheme="minorHAnsi" w:cstheme="minorHAnsi"/>
          <w:sz w:val="20"/>
          <w:szCs w:val="20"/>
        </w:rPr>
        <w:t xml:space="preserve"> or considerations as well case studies and references before attempting to offer some solutions to some of the issues that have dogged these relationships for generations – perhaps even with a glimpse to the future as communities are changing too.</w:t>
      </w:r>
    </w:p>
    <w:p w14:paraId="0BB1BC9D"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3C9D7C52"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Firstly, in view of the task and to show context towards it, it is appropriate to look at definitions in setting out my responses. Collins (2023) offers a detailed definition of a ‘community’ as those who reside in the same place, behave in a certain way, or even more importantly under this task, as friendship groups within a community. Cambridge (2023) offers a definition of ‘ineffective’ as the </w:t>
      </w:r>
      <w:r w:rsidRPr="006F325A">
        <w:rPr>
          <w:rFonts w:asciiTheme="minorHAnsi" w:hAnsiTheme="minorHAnsi" w:cstheme="minorHAnsi"/>
          <w:sz w:val="20"/>
          <w:szCs w:val="20"/>
        </w:rPr>
        <w:lastRenderedPageBreak/>
        <w:t>production of unwanted results or effects. Additionally, Merriam Webster (2023) suggests ‘engagement’ is to be ‘emotionally involved or committed’ to such a relationship.</w:t>
      </w:r>
    </w:p>
    <w:p w14:paraId="00B732DB"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0F269F9A"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Further, it can also be seen that College of Policing (2021) offers eleven specific guidelines on ‘policing engagement’ and what it constitutes, whilst College of Policing (2013) doctrine furthers the relationship in the ‘community engagement’ discussion, recognising that both parties need to work together in such policing activities, to include things like the passing and sharing of information as well as offering solutions to problems that themselves may frustrate engagement within such a community.</w:t>
      </w:r>
    </w:p>
    <w:p w14:paraId="57C59895"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527B75F7"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However, The Local Government Association (2019) offers the slightly more challenging view that suggests community cohesion is much more than addressing the above ‘unwanted results’ and details the work councils and elected officials also have in such engagements.</w:t>
      </w:r>
    </w:p>
    <w:p w14:paraId="65696131"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16C27430"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So, definitions provided, I now propose to delve deeper into the opinions and behaviours that could support or undermine this issue. The British Crime Survey (2012) was a tried and tested </w:t>
      </w:r>
      <w:proofErr w:type="gramStart"/>
      <w:r w:rsidRPr="006F325A">
        <w:rPr>
          <w:rFonts w:asciiTheme="minorHAnsi" w:hAnsiTheme="minorHAnsi" w:cstheme="minorHAnsi"/>
          <w:sz w:val="20"/>
          <w:szCs w:val="20"/>
        </w:rPr>
        <w:t>Home</w:t>
      </w:r>
      <w:proofErr w:type="gramEnd"/>
      <w:r w:rsidRPr="006F325A">
        <w:rPr>
          <w:rFonts w:asciiTheme="minorHAnsi" w:hAnsiTheme="minorHAnsi" w:cstheme="minorHAnsi"/>
          <w:sz w:val="20"/>
          <w:szCs w:val="20"/>
        </w:rPr>
        <w:t xml:space="preserve"> Office method of gathering information on crime within a community. There was an argument that its questions may have, or failed to adequately evolve over time - another that it no longer reflects the changing criminal marketplaces and its communities. Much statistical information is also within it of its respondents as well as victim responses, the types of property stolen and punishments with topics changing frequently whilst attempting to keep track of opinions and trends.</w:t>
      </w:r>
    </w:p>
    <w:p w14:paraId="3CF011AE"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60E31B8C"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Those responses or perceptions over policing appeared to centre on ‘trust’ and ‘visibility’ as well as crime recording levels and their associated detection rates. Far harder to measure was the actual engagement and indeed what effective engagement looked like – hardest of all was measuring the poorer version of engagement as the counter argument that such emotional involvement ought to be two-way, persisted College of Policing (2021). </w:t>
      </w:r>
    </w:p>
    <w:p w14:paraId="03A4B3D0"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6092DFE4"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So, adopting the view that a community is a group within another group and that there ought to be that trusting, emotional connection for engagement to be effective between them – there is a still further view, that in the positive engagement sense </w:t>
      </w:r>
      <w:r w:rsidRPr="006F325A">
        <w:rPr>
          <w:rFonts w:asciiTheme="minorHAnsi" w:hAnsiTheme="minorHAnsi" w:cstheme="minorHAnsi"/>
          <w:color w:val="auto"/>
          <w:sz w:val="20"/>
          <w:szCs w:val="20"/>
        </w:rPr>
        <w:t xml:space="preserve">an American article by </w:t>
      </w:r>
      <w:proofErr w:type="spellStart"/>
      <w:r w:rsidRPr="006F325A">
        <w:rPr>
          <w:rFonts w:asciiTheme="minorHAnsi" w:hAnsiTheme="minorHAnsi" w:cstheme="minorHAnsi"/>
          <w:color w:val="auto"/>
          <w:sz w:val="20"/>
          <w:szCs w:val="20"/>
        </w:rPr>
        <w:t>Rebuck</w:t>
      </w:r>
      <w:proofErr w:type="spellEnd"/>
      <w:r w:rsidRPr="006F325A">
        <w:rPr>
          <w:rFonts w:asciiTheme="minorHAnsi" w:hAnsiTheme="minorHAnsi" w:cstheme="minorHAnsi"/>
          <w:color w:val="auto"/>
          <w:sz w:val="20"/>
          <w:szCs w:val="20"/>
        </w:rPr>
        <w:t xml:space="preserve"> and Bertrand (2020) added that the concept is the ‘fullest deployment’ </w:t>
      </w:r>
      <w:r w:rsidRPr="006F325A">
        <w:rPr>
          <w:rFonts w:asciiTheme="minorHAnsi" w:hAnsiTheme="minorHAnsi" w:cstheme="minorHAnsi"/>
          <w:sz w:val="20"/>
          <w:szCs w:val="20"/>
        </w:rPr>
        <w:t>of the range of policing tactics locally and that they considered it to be ‘totally consuming.’</w:t>
      </w:r>
    </w:p>
    <w:p w14:paraId="7DA429E8"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1DE8A1B2"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color w:val="auto"/>
          <w:sz w:val="20"/>
          <w:szCs w:val="20"/>
        </w:rPr>
        <w:t>Nearer</w:t>
      </w:r>
      <w:r w:rsidRPr="006F325A">
        <w:rPr>
          <w:rFonts w:asciiTheme="minorHAnsi" w:hAnsiTheme="minorHAnsi" w:cstheme="minorHAnsi"/>
          <w:sz w:val="20"/>
          <w:szCs w:val="20"/>
        </w:rPr>
        <w:t xml:space="preserve"> home than an American study, but still part-supporting such an engagement, Gold (2022) referred to a research project on Humberside where the concept of something called ‘procedural justice’ was offered. This related to the process of how people communicated with public organisations such as the police in resolving local matters, with the same article citing </w:t>
      </w:r>
      <w:proofErr w:type="spellStart"/>
      <w:r w:rsidRPr="006F325A">
        <w:rPr>
          <w:rFonts w:asciiTheme="minorHAnsi" w:hAnsiTheme="minorHAnsi" w:cstheme="minorHAnsi"/>
          <w:sz w:val="20"/>
          <w:szCs w:val="20"/>
        </w:rPr>
        <w:t>Nivette</w:t>
      </w:r>
      <w:proofErr w:type="spellEnd"/>
      <w:r w:rsidRPr="006F325A">
        <w:rPr>
          <w:rFonts w:asciiTheme="minorHAnsi" w:hAnsiTheme="minorHAnsi" w:cstheme="minorHAnsi"/>
          <w:sz w:val="20"/>
          <w:szCs w:val="20"/>
        </w:rPr>
        <w:t xml:space="preserve">, Eisner &amp; </w:t>
      </w:r>
      <w:proofErr w:type="spellStart"/>
      <w:r w:rsidRPr="006F325A">
        <w:rPr>
          <w:rFonts w:asciiTheme="minorHAnsi" w:hAnsiTheme="minorHAnsi" w:cstheme="minorHAnsi"/>
          <w:sz w:val="20"/>
          <w:szCs w:val="20"/>
        </w:rPr>
        <w:t>Ribeaud</w:t>
      </w:r>
      <w:proofErr w:type="spellEnd"/>
      <w:r w:rsidRPr="006F325A">
        <w:rPr>
          <w:rFonts w:asciiTheme="minorHAnsi" w:hAnsiTheme="minorHAnsi" w:cstheme="minorHAnsi"/>
          <w:sz w:val="20"/>
          <w:szCs w:val="20"/>
        </w:rPr>
        <w:t xml:space="preserve"> (2020) who added that those people who felt they were treated properly within those processes were more minded to reflect positively when asked about local policing generally. This added that argument that the ‘style’ of policing – either suffered or accepted by a community – was further enhanced by fair treatment. Both were therefore said to have improved such positive methods of policing engagement. </w:t>
      </w:r>
      <w:bookmarkStart w:id="1" w:name="_Hlk143790865"/>
      <w:r w:rsidRPr="006F325A">
        <w:rPr>
          <w:rFonts w:asciiTheme="minorHAnsi" w:hAnsiTheme="minorHAnsi" w:cstheme="minorHAnsi"/>
          <w:sz w:val="20"/>
          <w:szCs w:val="20"/>
        </w:rPr>
        <w:t>‘Voice, respect, neutrality and trust</w:t>
      </w:r>
      <w:bookmarkEnd w:id="1"/>
      <w:r w:rsidRPr="006F325A">
        <w:rPr>
          <w:rFonts w:asciiTheme="minorHAnsi" w:hAnsiTheme="minorHAnsi" w:cstheme="minorHAnsi"/>
          <w:sz w:val="20"/>
          <w:szCs w:val="20"/>
        </w:rPr>
        <w:t>’ being the drivers within the concept to deliver that supported engagement, Tyler (2003).</w:t>
      </w:r>
    </w:p>
    <w:p w14:paraId="008FD93F"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298E067A"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Further, </w:t>
      </w:r>
      <w:proofErr w:type="spellStart"/>
      <w:r w:rsidRPr="006F325A">
        <w:rPr>
          <w:rFonts w:asciiTheme="minorHAnsi" w:hAnsiTheme="minorHAnsi" w:cstheme="minorHAnsi"/>
          <w:sz w:val="20"/>
          <w:szCs w:val="20"/>
        </w:rPr>
        <w:t>Yesberg</w:t>
      </w:r>
      <w:proofErr w:type="spellEnd"/>
      <w:r w:rsidRPr="006F325A">
        <w:rPr>
          <w:rFonts w:asciiTheme="minorHAnsi" w:hAnsiTheme="minorHAnsi" w:cstheme="minorHAnsi"/>
          <w:sz w:val="20"/>
          <w:szCs w:val="20"/>
        </w:rPr>
        <w:t xml:space="preserve"> et al (2021) offered that where a community had trust and a willingness to resolve issues, they experienced less criminality. Visibility was found to be a key factor – the more the visibility, the greater the trust and consequently improved perceptions relating to police engagement. Communities that knew and trusted each other were far more likely to work together in reducing the potential for criminality.</w:t>
      </w:r>
    </w:p>
    <w:p w14:paraId="489B3FD3"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06EC6E44"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That said, studies conducted by BMG Research (2019) on behalf of </w:t>
      </w:r>
      <w:bookmarkStart w:id="2" w:name="_Hlk144336090"/>
      <w:r w:rsidRPr="006F325A">
        <w:rPr>
          <w:rFonts w:asciiTheme="minorHAnsi" w:hAnsiTheme="minorHAnsi" w:cstheme="minorHAnsi"/>
          <w:sz w:val="20"/>
          <w:szCs w:val="20"/>
        </w:rPr>
        <w:t>His Majesty’s Inspectorate of Constabulary and Fire &amp; Rescue Services</w:t>
      </w:r>
      <w:bookmarkEnd w:id="2"/>
      <w:r w:rsidRPr="006F325A">
        <w:rPr>
          <w:rFonts w:asciiTheme="minorHAnsi" w:hAnsiTheme="minorHAnsi" w:cstheme="minorHAnsi"/>
          <w:sz w:val="20"/>
          <w:szCs w:val="20"/>
        </w:rPr>
        <w:t xml:space="preserve">, suggested satisfaction in policing remained relatively high and had increased since the previously conducted research, cognisant of the difficulties and challenges the service had faced in areas such as antisocial behaviour and related localised criminality such as criminal damage. Dissatisfaction tended to centre around failures to </w:t>
      </w:r>
      <w:proofErr w:type="gramStart"/>
      <w:r w:rsidRPr="006F325A">
        <w:rPr>
          <w:rFonts w:asciiTheme="minorHAnsi" w:hAnsiTheme="minorHAnsi" w:cstheme="minorHAnsi"/>
          <w:sz w:val="20"/>
          <w:szCs w:val="20"/>
        </w:rPr>
        <w:t>take action</w:t>
      </w:r>
      <w:proofErr w:type="gramEnd"/>
      <w:r w:rsidRPr="006F325A">
        <w:rPr>
          <w:rFonts w:asciiTheme="minorHAnsi" w:hAnsiTheme="minorHAnsi" w:cstheme="minorHAnsi"/>
          <w:sz w:val="20"/>
          <w:szCs w:val="20"/>
        </w:rPr>
        <w:t xml:space="preserve"> in certain circumstances and a reduction in visibility. The number of people who supported the police was still over double the figure of those who did not.</w:t>
      </w:r>
    </w:p>
    <w:p w14:paraId="374ED203"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65DB967A"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In terms of the role of the police in terms of community cohesion, it was therefore right to research what principles supported or undermined such engagements. This moved me towards the poorer side of community engagement with Home Office (2023) research advocating that such negative engagement realised a range of negative impacts such as avoiding the police, changing the way you live your everyday life and even poorer health were listed as consequences. Conversely, in a more supportive argument, Cooper (2023) offered five areas that had to be present within effective community engagement - with the similar words of trust, </w:t>
      </w:r>
      <w:proofErr w:type="gramStart"/>
      <w:r w:rsidRPr="006F325A">
        <w:rPr>
          <w:rFonts w:asciiTheme="minorHAnsi" w:hAnsiTheme="minorHAnsi" w:cstheme="minorHAnsi"/>
          <w:sz w:val="20"/>
          <w:szCs w:val="20"/>
        </w:rPr>
        <w:t>awareness</w:t>
      </w:r>
      <w:proofErr w:type="gramEnd"/>
      <w:r w:rsidRPr="006F325A">
        <w:rPr>
          <w:rFonts w:asciiTheme="minorHAnsi" w:hAnsiTheme="minorHAnsi" w:cstheme="minorHAnsi"/>
          <w:sz w:val="20"/>
          <w:szCs w:val="20"/>
        </w:rPr>
        <w:t xml:space="preserve"> and participation present, but also supported by technology and the method of actual engagement itself as critical. Cooper went one step further suggesting that poorer engagement will have involved the loss of one of those critical drivers. This all tends to echo the earlier, repeated use of the word trust – but which also included voice, </w:t>
      </w:r>
      <w:proofErr w:type="gramStart"/>
      <w:r w:rsidRPr="006F325A">
        <w:rPr>
          <w:rFonts w:asciiTheme="minorHAnsi" w:hAnsiTheme="minorHAnsi" w:cstheme="minorHAnsi"/>
          <w:sz w:val="20"/>
          <w:szCs w:val="20"/>
        </w:rPr>
        <w:t>respect</w:t>
      </w:r>
      <w:proofErr w:type="gramEnd"/>
      <w:r w:rsidRPr="006F325A">
        <w:rPr>
          <w:rFonts w:asciiTheme="minorHAnsi" w:hAnsiTheme="minorHAnsi" w:cstheme="minorHAnsi"/>
          <w:sz w:val="20"/>
          <w:szCs w:val="20"/>
        </w:rPr>
        <w:t xml:space="preserve"> and neutrality to realise the fullest benefits.</w:t>
      </w:r>
    </w:p>
    <w:p w14:paraId="3428BAE9"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19974866"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So, having researched the positive side of such engagement and what tended to support its positive reception, it was appropriate to also consider the consequences of when damage was caused to those relations when it went wrong, or indeed something was lost. </w:t>
      </w:r>
    </w:p>
    <w:p w14:paraId="5BC13D08" w14:textId="77777777" w:rsidR="009D481E" w:rsidRPr="006F325A" w:rsidRDefault="009D481E" w:rsidP="00817EF1">
      <w:pPr>
        <w:spacing w:after="0" w:line="360" w:lineRule="auto"/>
        <w:ind w:left="566" w:right="0" w:firstLine="0"/>
        <w:jc w:val="left"/>
        <w:rPr>
          <w:rFonts w:asciiTheme="minorHAnsi" w:hAnsiTheme="minorHAnsi" w:cstheme="minorHAnsi"/>
          <w:sz w:val="20"/>
          <w:szCs w:val="20"/>
        </w:rPr>
      </w:pPr>
    </w:p>
    <w:p w14:paraId="1F4F3CCA"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Poorer policing engagement was well documented in the media and academic texts. The more notable historic references such as The Scarman Report (1981) over The Brixton Riots of April that year and the aforementioned Macpherson (1999) in relation to the murder of Stephen Lawrence depicted serious concerns expressed by the black and minority ethnic communities (BAME) in terms of poor policing engagement towards them. Both sent shockwaves through the police service, the latter offering the genesis of the phrase ‘institutionally racist’ as well as the ‘collective failure’ of the ability to police a community due to its ethnic origin. Indeed, it was those shockwaves that Dodd (2021) referred to that still ‘causing ripples’ to the present day.</w:t>
      </w:r>
    </w:p>
    <w:p w14:paraId="3DDBE5E7"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380FA490"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This furthers the argument that certain cultures exist within policing and undermined the service provided because of it. Farrow (2022) lists one example, suggesting the presence of misogynistic behaviour labelled as ‘banter’ being present in an article following the kidnap and murder of Sarah Everard at the hands of the then serving Metropolitan Police Officer, Wayne </w:t>
      </w:r>
      <w:proofErr w:type="spellStart"/>
      <w:r w:rsidRPr="006F325A">
        <w:rPr>
          <w:rFonts w:asciiTheme="minorHAnsi" w:hAnsiTheme="minorHAnsi" w:cstheme="minorHAnsi"/>
          <w:sz w:val="20"/>
          <w:szCs w:val="20"/>
        </w:rPr>
        <w:t>Couzens</w:t>
      </w:r>
      <w:proofErr w:type="spellEnd"/>
      <w:r w:rsidRPr="006F325A">
        <w:rPr>
          <w:rFonts w:asciiTheme="minorHAnsi" w:hAnsiTheme="minorHAnsi" w:cstheme="minorHAnsi"/>
          <w:sz w:val="20"/>
          <w:szCs w:val="20"/>
        </w:rPr>
        <w:t xml:space="preserve">. The consequential responses led by the outcry that followed quite rightly exposed concerns in an organisation that had hitherto, been far more respected the world over.  </w:t>
      </w:r>
    </w:p>
    <w:p w14:paraId="4B28F364"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7D0E1D50"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It is these vulnerable communities that suffered the loss of trust which realised fear and insecurity from such behaviours, fuelled by a media BBC (2021) that arguably sensationalised and scared further in reporting concerns against a service that ought to have protected vulnerable people. The result was a far wider perception of poorer policing engagement generally because of the actions of a critical few.  </w:t>
      </w:r>
    </w:p>
    <w:p w14:paraId="21878C09"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6814066A"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Homophobia or disability discrimination are other areas where a community may feel the poorer for policing engagement or behaviours, Dodd (2023). I have already argued that the behaviour of the police can have a divisive impact on certain communities and vice versa – this gets further complicated when fears over behaviours are heightened due to the presence of pre-existing factors. Wunsch, et al (2016) in findings into Metropolitan Police misconduct cases, offered help to improve on the complained behaviour and even offered three trends as to what caused them - the fear of being accused of being racist while doing the job; the presence of unconscious stereotyping; or the inability to change an organisational point of view.</w:t>
      </w:r>
      <w:r w:rsidRPr="006F325A">
        <w:rPr>
          <w:rFonts w:asciiTheme="minorHAnsi" w:hAnsiTheme="minorHAnsi" w:cstheme="minorHAnsi"/>
          <w:sz w:val="20"/>
          <w:szCs w:val="20"/>
        </w:rPr>
        <w:cr/>
      </w:r>
    </w:p>
    <w:p w14:paraId="634705D8"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Moving to the behaviours of communities opposed to the police, we are brought up to respect people and not fight with them and to live within groups with differing identities. Research suggests better communities related better to each other, supported each other to express themselves and then had better relationships with other groups having done so. When this is done successfully Celestine (2026) offered ten habits that again endorsed the above themes but also endorsed fairness and a celebration of heritage and values.   </w:t>
      </w:r>
    </w:p>
    <w:p w14:paraId="36B81A8B"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4FDF0FA0"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Samanta (2021) went further by engaging with ‘perception’ when experiencing certain situations and indeed those perceptions where stronger members of a group can influence positivity or negativity. He also offered the question as to whether those who were more ‘vocal’ were the best to lead communities as some became worse off for their presence?</w:t>
      </w:r>
    </w:p>
    <w:p w14:paraId="3B6751C1"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05B830C9"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It is for those communities themselves to provide that answer - but having highlighted the concerns from within one particular service above, it is only right that they are afforded an opportunity to reply – or to have their ‘voice’ to support the findings of Tyler (2003) as above. In doing so, the Metropolitan Police (2023) has by way of its Commissioner Sir Mark Rowley, unveiled his Turnaround Plan advocating how he will restore the losses with the visionary values of ‘More Trust, Less Crime and High Standards’ as well as updating the service values and his own priorities to include strengthening neighbourhood policing, public protection and safeguarding; service improvements to victims and the public; reducing crime; improving standards and showing respect and care to communities; ensuring frontline policing underpins delivery; modernising the workforce; investing in its leaders, being relentlessly data driven and innovative. </w:t>
      </w:r>
    </w:p>
    <w:p w14:paraId="06343011"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1B24B3A0"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This is a shortened list of his many promises - or was it a modernised and re-written policing version of the earlier offerings of Cooper (2023)? I ask as it surely is an offering of Cooper’s five areas of trust, technology, awareness, participation and finally the engagement itself.</w:t>
      </w:r>
    </w:p>
    <w:p w14:paraId="6A0BC47C"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607DAE33"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This takes us finally into the arena of the analysis of why such poor engagement negatively affects cohesion as I now need to consider what must be in place to firmly establish it. In doing so, I once again return to the loss of something necessary for it to succeed. Trust is a word that has featured throughout academia, journals, the media as well as in policing doctrine of the past, present and in the case of the Turnaround Plan, the future. It is the behaviours of the minority in the communities of both sides that has sadly eroded trust and realised losses of generational harm and in the most extreme cases, even the loss of life.</w:t>
      </w:r>
    </w:p>
    <w:p w14:paraId="7793B653" w14:textId="77777777" w:rsidR="00577F83" w:rsidRPr="006F325A" w:rsidRDefault="00577F83" w:rsidP="00817EF1">
      <w:pPr>
        <w:spacing w:after="0" w:line="360" w:lineRule="auto"/>
        <w:ind w:right="0"/>
        <w:jc w:val="left"/>
        <w:rPr>
          <w:rFonts w:asciiTheme="minorHAnsi" w:hAnsiTheme="minorHAnsi" w:cstheme="minorHAnsi"/>
          <w:sz w:val="20"/>
          <w:szCs w:val="20"/>
        </w:rPr>
      </w:pPr>
    </w:p>
    <w:p w14:paraId="5090BC9C" w14:textId="77777777" w:rsidR="009D481E" w:rsidRPr="006F325A" w:rsidRDefault="009D481E" w:rsidP="00817EF1">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Surely therefore, in analysing what must in place, it is that trust, visibility, style and proper treatment respecting in the other a voice, respect for values and heritage which should come together to realise less criminality – when that engagement is two-way.  </w:t>
      </w:r>
    </w:p>
    <w:p w14:paraId="5BA07D98" w14:textId="77777777" w:rsidR="009D481E" w:rsidRPr="006F325A" w:rsidRDefault="009D481E" w:rsidP="00817EF1">
      <w:pPr>
        <w:spacing w:after="0" w:line="360" w:lineRule="auto"/>
        <w:ind w:right="0"/>
        <w:jc w:val="left"/>
        <w:rPr>
          <w:rFonts w:asciiTheme="minorHAnsi" w:hAnsiTheme="minorHAnsi" w:cstheme="minorHAnsi"/>
          <w:sz w:val="20"/>
          <w:szCs w:val="20"/>
        </w:rPr>
      </w:pPr>
    </w:p>
    <w:p w14:paraId="36FF10A7" w14:textId="5B5851CD" w:rsidR="009D481E" w:rsidRPr="006F325A" w:rsidRDefault="009D481E" w:rsidP="00817EF1">
      <w:pPr>
        <w:spacing w:after="0" w:line="360" w:lineRule="auto"/>
        <w:ind w:left="566" w:right="0" w:firstLine="0"/>
        <w:jc w:val="right"/>
        <w:rPr>
          <w:rFonts w:asciiTheme="minorHAnsi" w:hAnsiTheme="minorHAnsi" w:cstheme="minorHAnsi"/>
          <w:color w:val="auto"/>
          <w:sz w:val="20"/>
          <w:szCs w:val="20"/>
        </w:rPr>
      </w:pPr>
      <w:r w:rsidRPr="006F325A">
        <w:rPr>
          <w:rFonts w:asciiTheme="minorHAnsi" w:hAnsiTheme="minorHAnsi" w:cstheme="minorHAnsi"/>
          <w:sz w:val="20"/>
          <w:szCs w:val="20"/>
        </w:rPr>
        <w:t xml:space="preserve">Word </w:t>
      </w:r>
      <w:r w:rsidRPr="006F325A">
        <w:rPr>
          <w:rFonts w:asciiTheme="minorHAnsi" w:hAnsiTheme="minorHAnsi" w:cstheme="minorHAnsi"/>
          <w:color w:val="auto"/>
          <w:sz w:val="20"/>
          <w:szCs w:val="20"/>
        </w:rPr>
        <w:t>Count 213</w:t>
      </w:r>
      <w:r w:rsidR="00817EF1" w:rsidRPr="006F325A">
        <w:rPr>
          <w:rFonts w:asciiTheme="minorHAnsi" w:hAnsiTheme="minorHAnsi" w:cstheme="minorHAnsi"/>
          <w:color w:val="auto"/>
          <w:sz w:val="20"/>
          <w:szCs w:val="20"/>
        </w:rPr>
        <w:t>4</w:t>
      </w:r>
    </w:p>
    <w:p w14:paraId="722EA7BD"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02E5EC09"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499CB7D0"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7FB12C1D"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r w:rsidRPr="006F325A">
        <w:rPr>
          <w:rFonts w:asciiTheme="minorHAnsi" w:eastAsia="Times New Roman" w:hAnsiTheme="minorHAnsi" w:cstheme="minorHAnsi"/>
          <w:b/>
          <w:bCs/>
          <w:kern w:val="0"/>
          <w:sz w:val="20"/>
          <w:szCs w:val="20"/>
          <w14:ligatures w14:val="none"/>
        </w:rPr>
        <w:t xml:space="preserve"> </w:t>
      </w:r>
    </w:p>
    <w:p w14:paraId="66A4EDD6"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56B8CCAA"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64F31146"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524DD54B" w14:textId="77777777" w:rsidR="009D481E" w:rsidRPr="006F325A" w:rsidRDefault="009D481E"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0508F71A" w14:textId="77777777" w:rsidR="000D039F" w:rsidRPr="006F325A" w:rsidRDefault="000D039F" w:rsidP="009D481E">
      <w:pPr>
        <w:spacing w:after="0" w:line="240" w:lineRule="auto"/>
        <w:ind w:left="0" w:right="0" w:firstLine="0"/>
        <w:jc w:val="left"/>
        <w:rPr>
          <w:rFonts w:asciiTheme="minorHAnsi" w:eastAsia="Times New Roman" w:hAnsiTheme="minorHAnsi" w:cstheme="minorHAnsi"/>
          <w:b/>
          <w:bCs/>
          <w:kern w:val="0"/>
          <w:sz w:val="20"/>
          <w:szCs w:val="20"/>
          <w14:ligatures w14:val="none"/>
        </w:rPr>
      </w:pPr>
    </w:p>
    <w:p w14:paraId="3FB6D2BB" w14:textId="77777777" w:rsidR="000D039F" w:rsidRDefault="000D039F" w:rsidP="009D481E">
      <w:pPr>
        <w:spacing w:after="0" w:line="240" w:lineRule="auto"/>
        <w:ind w:left="0" w:right="0" w:firstLine="0"/>
        <w:jc w:val="left"/>
        <w:rPr>
          <w:rFonts w:eastAsia="Times New Roman"/>
          <w:b/>
          <w:bCs/>
          <w:kern w:val="0"/>
          <w:sz w:val="20"/>
          <w:szCs w:val="20"/>
          <w14:ligatures w14:val="none"/>
        </w:rPr>
      </w:pPr>
    </w:p>
    <w:p w14:paraId="1C44764B" w14:textId="43FC4383" w:rsidR="009D481E" w:rsidRPr="00A41B97" w:rsidRDefault="009D481E" w:rsidP="009D481E">
      <w:pPr>
        <w:spacing w:after="0" w:line="240" w:lineRule="auto"/>
        <w:ind w:left="0" w:right="0" w:firstLine="0"/>
        <w:jc w:val="left"/>
        <w:rPr>
          <w:rFonts w:ascii="Times New Roman" w:eastAsia="Times New Roman" w:hAnsi="Times New Roman" w:cs="Times New Roman"/>
          <w:color w:val="auto"/>
          <w:kern w:val="0"/>
          <w:sz w:val="20"/>
          <w:szCs w:val="20"/>
          <w14:ligatures w14:val="none"/>
        </w:rPr>
      </w:pPr>
      <w:r w:rsidRPr="004A1C3B">
        <w:rPr>
          <w:rFonts w:eastAsia="Times New Roman"/>
          <w:b/>
          <w:bCs/>
          <w:kern w:val="0"/>
          <w:sz w:val="20"/>
          <w:szCs w:val="20"/>
          <w14:ligatures w14:val="none"/>
        </w:rPr>
        <w:t>Bibliography</w:t>
      </w:r>
      <w:r>
        <w:rPr>
          <w:rFonts w:eastAsia="Times New Roman"/>
          <w:b/>
          <w:bCs/>
          <w:kern w:val="0"/>
          <w:sz w:val="20"/>
          <w:szCs w:val="20"/>
          <w14:ligatures w14:val="none"/>
        </w:rPr>
        <w:t>:</w:t>
      </w:r>
    </w:p>
    <w:p w14:paraId="097AC98E" w14:textId="77777777" w:rsidR="009D481E" w:rsidRDefault="009D481E" w:rsidP="009D481E">
      <w:pPr>
        <w:spacing w:after="160" w:line="259" w:lineRule="auto"/>
        <w:ind w:right="0"/>
        <w:contextualSpacing/>
        <w:jc w:val="left"/>
        <w:rPr>
          <w:rFonts w:asciiTheme="minorHAnsi" w:eastAsiaTheme="minorHAnsi" w:hAnsiTheme="minorHAnsi" w:cstheme="minorHAnsi"/>
          <w:color w:val="auto"/>
          <w:sz w:val="20"/>
          <w:szCs w:val="20"/>
          <w:lang w:eastAsia="en-US"/>
        </w:rPr>
      </w:pPr>
    </w:p>
    <w:p w14:paraId="469309CD" w14:textId="77777777" w:rsidR="009D481E" w:rsidRDefault="009D481E" w:rsidP="009D481E">
      <w:pPr>
        <w:spacing w:after="160" w:line="259" w:lineRule="auto"/>
        <w:ind w:left="720" w:right="0" w:firstLine="0"/>
        <w:contextualSpacing/>
        <w:jc w:val="left"/>
        <w:rPr>
          <w:rFonts w:asciiTheme="minorHAnsi" w:eastAsiaTheme="minorHAnsi" w:hAnsiTheme="minorHAnsi" w:cstheme="minorHAnsi"/>
          <w:color w:val="auto"/>
          <w:sz w:val="20"/>
          <w:szCs w:val="20"/>
          <w:lang w:eastAsia="en-US"/>
        </w:rPr>
      </w:pPr>
    </w:p>
    <w:p w14:paraId="11EBE6AD" w14:textId="77777777" w:rsidR="009D481E" w:rsidRPr="00281CEA" w:rsidRDefault="009D481E" w:rsidP="009D481E">
      <w:pPr>
        <w:pStyle w:val="NormalWeb"/>
        <w:numPr>
          <w:ilvl w:val="0"/>
          <w:numId w:val="1"/>
        </w:numPr>
        <w:rPr>
          <w:sz w:val="20"/>
          <w:szCs w:val="20"/>
        </w:rPr>
      </w:pPr>
      <w:r w:rsidRPr="00281CEA">
        <w:rPr>
          <w:sz w:val="20"/>
          <w:szCs w:val="20"/>
        </w:rPr>
        <w:t>BBC News (2021)</w:t>
      </w:r>
      <w:r>
        <w:rPr>
          <w:i/>
          <w:iCs/>
          <w:sz w:val="20"/>
          <w:szCs w:val="20"/>
        </w:rPr>
        <w:t xml:space="preserve"> </w:t>
      </w:r>
      <w:r w:rsidRPr="00281CEA">
        <w:rPr>
          <w:i/>
          <w:iCs/>
          <w:sz w:val="20"/>
          <w:szCs w:val="20"/>
        </w:rPr>
        <w:t>‘Toxic Culture of Sexism’ in Police, says Former Police Chief</w:t>
      </w:r>
      <w:r w:rsidRPr="00281CEA">
        <w:rPr>
          <w:sz w:val="20"/>
          <w:szCs w:val="20"/>
        </w:rPr>
        <w:t xml:space="preserve"> (2021) </w:t>
      </w:r>
      <w:r w:rsidRPr="00281CEA">
        <w:rPr>
          <w:i/>
          <w:iCs/>
          <w:sz w:val="20"/>
          <w:szCs w:val="20"/>
        </w:rPr>
        <w:t>BBC News</w:t>
      </w:r>
      <w:r w:rsidRPr="00281CEA">
        <w:rPr>
          <w:sz w:val="20"/>
          <w:szCs w:val="20"/>
        </w:rPr>
        <w:t xml:space="preserve">. Available at: https://www.bbc.co.uk/news/uk-56427167 (Accessed: 10 August 2023). </w:t>
      </w:r>
    </w:p>
    <w:p w14:paraId="21FD2F3A" w14:textId="77777777" w:rsidR="009D481E" w:rsidRPr="00281CEA" w:rsidRDefault="009D481E" w:rsidP="009D481E">
      <w:pPr>
        <w:spacing w:after="160" w:line="259" w:lineRule="auto"/>
        <w:ind w:left="720" w:right="0" w:firstLine="0"/>
        <w:contextualSpacing/>
        <w:jc w:val="left"/>
        <w:rPr>
          <w:rFonts w:asciiTheme="minorHAnsi" w:eastAsiaTheme="minorHAnsi" w:hAnsiTheme="minorHAnsi" w:cstheme="minorHAnsi"/>
          <w:color w:val="auto"/>
          <w:sz w:val="16"/>
          <w:szCs w:val="16"/>
          <w:lang w:eastAsia="en-US"/>
        </w:rPr>
      </w:pPr>
    </w:p>
    <w:p w14:paraId="09097647" w14:textId="77777777" w:rsidR="009D481E" w:rsidRPr="0027642C" w:rsidRDefault="009D481E" w:rsidP="009D481E">
      <w:pPr>
        <w:pStyle w:val="NormalWeb"/>
        <w:numPr>
          <w:ilvl w:val="0"/>
          <w:numId w:val="1"/>
        </w:numPr>
        <w:rPr>
          <w:sz w:val="20"/>
          <w:szCs w:val="20"/>
        </w:rPr>
      </w:pPr>
      <w:r w:rsidRPr="0027642C">
        <w:rPr>
          <w:sz w:val="20"/>
          <w:szCs w:val="20"/>
        </w:rPr>
        <w:t>BMG Research (2019)</w:t>
      </w:r>
      <w:r w:rsidRPr="0027642C">
        <w:rPr>
          <w:i/>
          <w:iCs/>
          <w:sz w:val="20"/>
          <w:szCs w:val="20"/>
        </w:rPr>
        <w:t xml:space="preserve"> ‘Public perceptions of policing in England and Wales 2018’</w:t>
      </w:r>
      <w:r w:rsidRPr="0027642C">
        <w:rPr>
          <w:sz w:val="20"/>
          <w:szCs w:val="20"/>
        </w:rPr>
        <w:t xml:space="preserve"> </w:t>
      </w:r>
      <w:r w:rsidRPr="0027642C">
        <w:rPr>
          <w:i/>
          <w:iCs/>
          <w:sz w:val="20"/>
          <w:szCs w:val="20"/>
        </w:rPr>
        <w:t>BMG Research</w:t>
      </w:r>
      <w:r w:rsidRPr="0027642C">
        <w:rPr>
          <w:sz w:val="20"/>
          <w:szCs w:val="20"/>
        </w:rPr>
        <w:t xml:space="preserve">. Available at: https://www.bmgresearch.co.uk/wp-content/uploads/2019/01/1578-HMICFRS-Public-Perceptions-of-Policing-2018_FINAL.pdf?trk=public_post_comment-text (Accessed: 09 August 2023). </w:t>
      </w:r>
    </w:p>
    <w:p w14:paraId="4B0B29BB" w14:textId="77777777" w:rsidR="009D481E" w:rsidRDefault="009D481E" w:rsidP="009D481E">
      <w:pPr>
        <w:pStyle w:val="NormalWeb"/>
        <w:rPr>
          <w:sz w:val="20"/>
          <w:szCs w:val="20"/>
        </w:rPr>
      </w:pPr>
    </w:p>
    <w:p w14:paraId="064CBDA9" w14:textId="77777777" w:rsidR="009D481E" w:rsidRDefault="009D481E" w:rsidP="009D481E">
      <w:pPr>
        <w:pStyle w:val="NormalWeb"/>
        <w:numPr>
          <w:ilvl w:val="0"/>
          <w:numId w:val="1"/>
        </w:numPr>
        <w:rPr>
          <w:sz w:val="20"/>
          <w:szCs w:val="20"/>
        </w:rPr>
      </w:pPr>
      <w:r>
        <w:rPr>
          <w:sz w:val="20"/>
          <w:szCs w:val="20"/>
        </w:rPr>
        <w:t xml:space="preserve">The Cambridge Dictionary (2023) </w:t>
      </w:r>
      <w:r w:rsidRPr="00BB1D59">
        <w:rPr>
          <w:sz w:val="20"/>
          <w:szCs w:val="20"/>
        </w:rPr>
        <w:t xml:space="preserve">Vale, D., Mullaney, S. and </w:t>
      </w:r>
      <w:proofErr w:type="spellStart"/>
      <w:r w:rsidRPr="00BB1D59">
        <w:rPr>
          <w:sz w:val="20"/>
          <w:szCs w:val="20"/>
        </w:rPr>
        <w:t>Hartas</w:t>
      </w:r>
      <w:proofErr w:type="spellEnd"/>
      <w:r w:rsidRPr="00BB1D59">
        <w:rPr>
          <w:sz w:val="20"/>
          <w:szCs w:val="20"/>
        </w:rPr>
        <w:t>, L. (</w:t>
      </w:r>
      <w:r>
        <w:rPr>
          <w:sz w:val="20"/>
          <w:szCs w:val="20"/>
        </w:rPr>
        <w:t>2023</w:t>
      </w:r>
      <w:r w:rsidRPr="00BB1D59">
        <w:rPr>
          <w:sz w:val="20"/>
          <w:szCs w:val="20"/>
        </w:rPr>
        <w:t xml:space="preserve">) ‘“Definition of Ineffective”, </w:t>
      </w:r>
      <w:r w:rsidRPr="00BB1D59">
        <w:rPr>
          <w:i/>
          <w:iCs/>
          <w:sz w:val="20"/>
          <w:szCs w:val="20"/>
        </w:rPr>
        <w:t>The Cambridge Dictionary</w:t>
      </w:r>
      <w:r w:rsidRPr="00BB1D59">
        <w:rPr>
          <w:sz w:val="20"/>
          <w:szCs w:val="20"/>
        </w:rPr>
        <w:t xml:space="preserve">. </w:t>
      </w:r>
      <w:r>
        <w:rPr>
          <w:sz w:val="20"/>
          <w:szCs w:val="20"/>
        </w:rPr>
        <w:t>(Accessed: 4</w:t>
      </w:r>
      <w:r>
        <w:rPr>
          <w:sz w:val="20"/>
          <w:szCs w:val="20"/>
          <w:vertAlign w:val="superscript"/>
        </w:rPr>
        <w:t xml:space="preserve"> </w:t>
      </w:r>
      <w:r>
        <w:rPr>
          <w:sz w:val="20"/>
          <w:szCs w:val="20"/>
        </w:rPr>
        <w:t>August 2023).</w:t>
      </w:r>
    </w:p>
    <w:p w14:paraId="49149DE3" w14:textId="77777777" w:rsidR="009D481E" w:rsidRDefault="009D481E" w:rsidP="009D481E">
      <w:pPr>
        <w:pStyle w:val="ListParagraph"/>
        <w:rPr>
          <w:sz w:val="20"/>
          <w:szCs w:val="20"/>
        </w:rPr>
      </w:pPr>
    </w:p>
    <w:p w14:paraId="36F9EEB9" w14:textId="77777777" w:rsidR="009D481E" w:rsidRDefault="009D481E" w:rsidP="009D481E">
      <w:pPr>
        <w:pStyle w:val="NormalWeb"/>
        <w:numPr>
          <w:ilvl w:val="0"/>
          <w:numId w:val="1"/>
        </w:numPr>
        <w:rPr>
          <w:sz w:val="20"/>
          <w:szCs w:val="20"/>
        </w:rPr>
      </w:pPr>
      <w:r w:rsidRPr="00BB1D59">
        <w:rPr>
          <w:sz w:val="20"/>
          <w:szCs w:val="20"/>
        </w:rPr>
        <w:t xml:space="preserve">Celestine, Ph.D. (2016) </w:t>
      </w:r>
      <w:r w:rsidRPr="00BB1D59">
        <w:rPr>
          <w:i/>
          <w:iCs/>
          <w:sz w:val="20"/>
          <w:szCs w:val="20"/>
        </w:rPr>
        <w:t>‘Ten</w:t>
      </w:r>
      <w:r>
        <w:rPr>
          <w:i/>
          <w:iCs/>
          <w:sz w:val="20"/>
          <w:szCs w:val="20"/>
        </w:rPr>
        <w:t xml:space="preserve"> T</w:t>
      </w:r>
      <w:r w:rsidRPr="00BB1D59">
        <w:rPr>
          <w:i/>
          <w:iCs/>
          <w:sz w:val="20"/>
          <w:szCs w:val="20"/>
        </w:rPr>
        <w:t xml:space="preserve">raits that make a </w:t>
      </w:r>
      <w:r>
        <w:rPr>
          <w:i/>
          <w:iCs/>
          <w:sz w:val="20"/>
          <w:szCs w:val="20"/>
        </w:rPr>
        <w:t>P</w:t>
      </w:r>
      <w:r w:rsidRPr="00BB1D59">
        <w:rPr>
          <w:i/>
          <w:iCs/>
          <w:sz w:val="20"/>
          <w:szCs w:val="20"/>
        </w:rPr>
        <w:t xml:space="preserve">ositive </w:t>
      </w:r>
      <w:r>
        <w:rPr>
          <w:i/>
          <w:iCs/>
          <w:sz w:val="20"/>
          <w:szCs w:val="20"/>
        </w:rPr>
        <w:t>C</w:t>
      </w:r>
      <w:r w:rsidRPr="00BB1D59">
        <w:rPr>
          <w:i/>
          <w:iCs/>
          <w:sz w:val="20"/>
          <w:szCs w:val="20"/>
        </w:rPr>
        <w:t>ommunity</w:t>
      </w:r>
      <w:r w:rsidRPr="00BB1D59">
        <w:rPr>
          <w:sz w:val="20"/>
          <w:szCs w:val="20"/>
        </w:rPr>
        <w:t xml:space="preserve">, </w:t>
      </w:r>
      <w:r w:rsidRPr="00BB1D59">
        <w:rPr>
          <w:i/>
          <w:iCs/>
          <w:sz w:val="20"/>
          <w:szCs w:val="20"/>
        </w:rPr>
        <w:t>PositivePsychology.com</w:t>
      </w:r>
      <w:r w:rsidRPr="00BB1D59">
        <w:rPr>
          <w:sz w:val="20"/>
          <w:szCs w:val="20"/>
        </w:rPr>
        <w:t xml:space="preserve">. Available at: https://positivepsychology.com/10-traits-positive-community/ (Accessed: 10 August 2023). </w:t>
      </w:r>
    </w:p>
    <w:p w14:paraId="2D480035" w14:textId="77777777" w:rsidR="009D481E" w:rsidRDefault="009D481E" w:rsidP="009D481E">
      <w:pPr>
        <w:pStyle w:val="ListParagraph"/>
        <w:rPr>
          <w:sz w:val="20"/>
          <w:szCs w:val="20"/>
        </w:rPr>
      </w:pPr>
    </w:p>
    <w:p w14:paraId="3E3CB24B" w14:textId="77777777" w:rsidR="009D481E" w:rsidRDefault="009D481E" w:rsidP="009D481E">
      <w:pPr>
        <w:pStyle w:val="NormalWeb"/>
        <w:numPr>
          <w:ilvl w:val="0"/>
          <w:numId w:val="1"/>
        </w:numPr>
        <w:rPr>
          <w:sz w:val="20"/>
          <w:szCs w:val="20"/>
        </w:rPr>
      </w:pPr>
      <w:r w:rsidRPr="00A9725A">
        <w:rPr>
          <w:sz w:val="20"/>
          <w:szCs w:val="20"/>
        </w:rPr>
        <w:t>College of Policing (2013)</w:t>
      </w:r>
      <w:r w:rsidRPr="00A9725A">
        <w:rPr>
          <w:i/>
          <w:iCs/>
          <w:sz w:val="20"/>
          <w:szCs w:val="20"/>
        </w:rPr>
        <w:t xml:space="preserve"> ‘Engagement’</w:t>
      </w:r>
      <w:r w:rsidRPr="00A9725A">
        <w:rPr>
          <w:sz w:val="20"/>
          <w:szCs w:val="20"/>
        </w:rPr>
        <w:t xml:space="preserve"> (2013) </w:t>
      </w:r>
      <w:r w:rsidRPr="00A9725A">
        <w:rPr>
          <w:i/>
          <w:iCs/>
          <w:sz w:val="20"/>
          <w:szCs w:val="20"/>
        </w:rPr>
        <w:t>College of Policing</w:t>
      </w:r>
      <w:r w:rsidRPr="00A9725A">
        <w:rPr>
          <w:sz w:val="20"/>
          <w:szCs w:val="20"/>
        </w:rPr>
        <w:t xml:space="preserve">. Available at: https://www.college.police.uk/app/engagement-and-communication/engagement (Accessed: 10 August 2023). </w:t>
      </w:r>
    </w:p>
    <w:p w14:paraId="3990B433" w14:textId="77777777" w:rsidR="009D481E" w:rsidRDefault="009D481E" w:rsidP="009D481E">
      <w:pPr>
        <w:pStyle w:val="ListParagraph"/>
        <w:rPr>
          <w:sz w:val="20"/>
          <w:szCs w:val="20"/>
        </w:rPr>
      </w:pPr>
    </w:p>
    <w:p w14:paraId="7F5DD0E8" w14:textId="77777777" w:rsidR="009D481E" w:rsidRDefault="009D481E" w:rsidP="009D481E">
      <w:pPr>
        <w:pStyle w:val="NormalWeb"/>
        <w:numPr>
          <w:ilvl w:val="0"/>
          <w:numId w:val="1"/>
        </w:numPr>
        <w:rPr>
          <w:sz w:val="20"/>
          <w:szCs w:val="20"/>
        </w:rPr>
      </w:pPr>
      <w:r w:rsidRPr="007F0D82">
        <w:rPr>
          <w:sz w:val="20"/>
          <w:szCs w:val="20"/>
        </w:rPr>
        <w:t>College of Policing (2021) ‘</w:t>
      </w:r>
      <w:r w:rsidRPr="007F0D82">
        <w:rPr>
          <w:i/>
          <w:iCs/>
          <w:sz w:val="20"/>
          <w:szCs w:val="20"/>
        </w:rPr>
        <w:t>Engaging communities’</w:t>
      </w:r>
      <w:r w:rsidRPr="007F0D82">
        <w:rPr>
          <w:sz w:val="20"/>
          <w:szCs w:val="20"/>
        </w:rPr>
        <w:t xml:space="preserve"> Available at: https://www.college.police.uk/guidance/neighbourhood-policing/engaging-communities (Accessed: 09 August 2023). </w:t>
      </w:r>
    </w:p>
    <w:p w14:paraId="4D243FF4" w14:textId="77777777" w:rsidR="009D481E" w:rsidRDefault="009D481E" w:rsidP="009D481E">
      <w:pPr>
        <w:pStyle w:val="ListParagraph"/>
        <w:rPr>
          <w:sz w:val="20"/>
          <w:szCs w:val="20"/>
        </w:rPr>
      </w:pPr>
    </w:p>
    <w:p w14:paraId="02B64E3C" w14:textId="77777777" w:rsidR="009D481E" w:rsidRDefault="009D481E" w:rsidP="009D481E">
      <w:pPr>
        <w:pStyle w:val="NormalWeb"/>
        <w:numPr>
          <w:ilvl w:val="0"/>
          <w:numId w:val="1"/>
        </w:numPr>
        <w:rPr>
          <w:sz w:val="20"/>
          <w:szCs w:val="20"/>
        </w:rPr>
      </w:pPr>
      <w:r>
        <w:rPr>
          <w:sz w:val="20"/>
          <w:szCs w:val="20"/>
        </w:rPr>
        <w:t xml:space="preserve">Collins Dictionary (2023) </w:t>
      </w:r>
      <w:r w:rsidRPr="00F9124B">
        <w:rPr>
          <w:i/>
          <w:iCs/>
          <w:sz w:val="20"/>
          <w:szCs w:val="20"/>
        </w:rPr>
        <w:t>Breslin, G., McKeown, C. and Groves, R. (2023) “Definition of a Community</w:t>
      </w:r>
      <w:r>
        <w:rPr>
          <w:i/>
          <w:iCs/>
          <w:sz w:val="20"/>
          <w:szCs w:val="20"/>
        </w:rPr>
        <w:t>”</w:t>
      </w:r>
      <w:r w:rsidRPr="00F9124B">
        <w:rPr>
          <w:i/>
          <w:iCs/>
          <w:sz w:val="20"/>
          <w:szCs w:val="20"/>
        </w:rPr>
        <w:t xml:space="preserve">, Collins dictionary. </w:t>
      </w:r>
      <w:r>
        <w:rPr>
          <w:sz w:val="20"/>
          <w:szCs w:val="20"/>
        </w:rPr>
        <w:t>(Accessed: 4</w:t>
      </w:r>
      <w:r>
        <w:rPr>
          <w:sz w:val="20"/>
          <w:szCs w:val="20"/>
          <w:vertAlign w:val="superscript"/>
        </w:rPr>
        <w:t xml:space="preserve"> </w:t>
      </w:r>
      <w:r>
        <w:rPr>
          <w:sz w:val="20"/>
          <w:szCs w:val="20"/>
        </w:rPr>
        <w:t>August 2023).</w:t>
      </w:r>
    </w:p>
    <w:p w14:paraId="26E3F810" w14:textId="77777777" w:rsidR="009D481E" w:rsidRDefault="009D481E" w:rsidP="009D481E">
      <w:pPr>
        <w:pStyle w:val="ListParagraph"/>
        <w:rPr>
          <w:sz w:val="20"/>
          <w:szCs w:val="20"/>
        </w:rPr>
      </w:pPr>
    </w:p>
    <w:p w14:paraId="12B0545C" w14:textId="77777777" w:rsidR="009D481E" w:rsidRDefault="009D481E" w:rsidP="009D481E">
      <w:pPr>
        <w:pStyle w:val="NormalWeb"/>
        <w:numPr>
          <w:ilvl w:val="0"/>
          <w:numId w:val="1"/>
        </w:numPr>
        <w:rPr>
          <w:sz w:val="20"/>
          <w:szCs w:val="20"/>
        </w:rPr>
      </w:pPr>
      <w:r w:rsidRPr="00EE35E7">
        <w:rPr>
          <w:sz w:val="20"/>
          <w:szCs w:val="20"/>
        </w:rPr>
        <w:t xml:space="preserve">Cooper, C. (2023) </w:t>
      </w:r>
      <w:r w:rsidRPr="00EE35E7">
        <w:rPr>
          <w:i/>
          <w:iCs/>
          <w:sz w:val="20"/>
          <w:szCs w:val="20"/>
        </w:rPr>
        <w:t>'5 barriers to community engagement: And how to overcome them"</w:t>
      </w:r>
      <w:r w:rsidRPr="00EE35E7">
        <w:rPr>
          <w:sz w:val="20"/>
          <w:szCs w:val="20"/>
        </w:rPr>
        <w:t xml:space="preserve">, </w:t>
      </w:r>
      <w:r w:rsidRPr="00EE35E7">
        <w:rPr>
          <w:i/>
          <w:iCs/>
          <w:sz w:val="20"/>
          <w:szCs w:val="20"/>
        </w:rPr>
        <w:t>Commonplace</w:t>
      </w:r>
      <w:r w:rsidRPr="00EE35E7">
        <w:rPr>
          <w:sz w:val="20"/>
          <w:szCs w:val="20"/>
        </w:rPr>
        <w:t xml:space="preserve">. Available at: https://www.commonplace.is/blog/barriers-to-community-engagement (Accessed: 09 August 2023). </w:t>
      </w:r>
    </w:p>
    <w:p w14:paraId="11A11009" w14:textId="77777777" w:rsidR="009D481E" w:rsidRDefault="009D481E" w:rsidP="009D481E">
      <w:pPr>
        <w:pStyle w:val="ListParagraph"/>
        <w:rPr>
          <w:sz w:val="20"/>
          <w:szCs w:val="20"/>
        </w:rPr>
      </w:pPr>
    </w:p>
    <w:p w14:paraId="6AF0EF1A" w14:textId="77777777" w:rsidR="009D481E" w:rsidRDefault="009D481E" w:rsidP="009D481E">
      <w:pPr>
        <w:pStyle w:val="NormalWeb"/>
        <w:numPr>
          <w:ilvl w:val="0"/>
          <w:numId w:val="1"/>
        </w:numPr>
        <w:rPr>
          <w:i/>
          <w:iCs/>
          <w:sz w:val="20"/>
          <w:szCs w:val="20"/>
        </w:rPr>
      </w:pPr>
      <w:r w:rsidRPr="007F63F0">
        <w:rPr>
          <w:sz w:val="20"/>
          <w:szCs w:val="20"/>
        </w:rPr>
        <w:t xml:space="preserve">Dodd, V (2021) </w:t>
      </w:r>
      <w:r w:rsidRPr="007F63F0">
        <w:rPr>
          <w:i/>
          <w:iCs/>
          <w:sz w:val="20"/>
          <w:szCs w:val="20"/>
        </w:rPr>
        <w:t xml:space="preserve">“Met’s failings have ripple effect across UK on confidence in policing “, The Guardian. Available at: https://www.theguardian.com/uk-news/2021/oct/26/mets-failings-have-ripple-effect-across-uk-on-confidence-in-policing (Accessed: 09 August 2023). </w:t>
      </w:r>
    </w:p>
    <w:p w14:paraId="38119D60" w14:textId="77777777" w:rsidR="009D481E" w:rsidRDefault="009D481E" w:rsidP="009D481E">
      <w:pPr>
        <w:pStyle w:val="ListParagraph"/>
        <w:rPr>
          <w:i/>
          <w:iCs/>
          <w:sz w:val="20"/>
          <w:szCs w:val="20"/>
        </w:rPr>
      </w:pPr>
    </w:p>
    <w:p w14:paraId="16CF3921" w14:textId="77777777" w:rsidR="009D481E" w:rsidRDefault="009D481E" w:rsidP="009D481E">
      <w:pPr>
        <w:pStyle w:val="NormalWeb"/>
        <w:numPr>
          <w:ilvl w:val="0"/>
          <w:numId w:val="1"/>
        </w:numPr>
        <w:rPr>
          <w:sz w:val="20"/>
          <w:szCs w:val="20"/>
        </w:rPr>
      </w:pPr>
      <w:r w:rsidRPr="00A25C3A">
        <w:rPr>
          <w:sz w:val="20"/>
          <w:szCs w:val="20"/>
        </w:rPr>
        <w:t>Dodd, V. (</w:t>
      </w:r>
      <w:r>
        <w:rPr>
          <w:sz w:val="20"/>
          <w:szCs w:val="20"/>
        </w:rPr>
        <w:t>2023</w:t>
      </w:r>
      <w:r w:rsidRPr="00A25C3A">
        <w:rPr>
          <w:sz w:val="20"/>
          <w:szCs w:val="20"/>
        </w:rPr>
        <w:t xml:space="preserve">) </w:t>
      </w:r>
      <w:r w:rsidRPr="00A25C3A">
        <w:rPr>
          <w:i/>
          <w:iCs/>
          <w:sz w:val="20"/>
          <w:szCs w:val="20"/>
        </w:rPr>
        <w:t>“Met’s failings have ripple effect across UK on confidence in policing’’</w:t>
      </w:r>
      <w:r w:rsidRPr="00A25C3A">
        <w:rPr>
          <w:sz w:val="20"/>
          <w:szCs w:val="20"/>
        </w:rPr>
        <w:t xml:space="preserve">. Available at: - https://www.theguardian.com/uk-news/2023/mar/21/metropolitan-police-institutionally-racist-misogynistic-homophobic-louise-casey-report (Accessed: 09 August 2023). </w:t>
      </w:r>
    </w:p>
    <w:p w14:paraId="26CF64E2" w14:textId="77777777" w:rsidR="009D481E" w:rsidRDefault="009D481E" w:rsidP="009D481E">
      <w:pPr>
        <w:pStyle w:val="ListParagraph"/>
        <w:rPr>
          <w:sz w:val="20"/>
          <w:szCs w:val="20"/>
        </w:rPr>
      </w:pPr>
    </w:p>
    <w:p w14:paraId="7D5DE6EC" w14:textId="77777777" w:rsidR="009D481E" w:rsidRDefault="009D481E" w:rsidP="009D481E">
      <w:pPr>
        <w:pStyle w:val="NormalWeb"/>
        <w:numPr>
          <w:ilvl w:val="0"/>
          <w:numId w:val="1"/>
        </w:numPr>
        <w:rPr>
          <w:sz w:val="20"/>
          <w:szCs w:val="20"/>
        </w:rPr>
      </w:pPr>
      <w:r w:rsidRPr="004D2FC6">
        <w:rPr>
          <w:sz w:val="20"/>
          <w:szCs w:val="20"/>
        </w:rPr>
        <w:t>Farrow (2022) “</w:t>
      </w:r>
      <w:r w:rsidRPr="004D2FC6">
        <w:rPr>
          <w:i/>
          <w:iCs/>
          <w:sz w:val="20"/>
          <w:szCs w:val="20"/>
        </w:rPr>
        <w:t>Misogyny in police forces: Understanding and fixing ‘cop culture”</w:t>
      </w:r>
      <w:r w:rsidRPr="004D2FC6">
        <w:rPr>
          <w:sz w:val="20"/>
          <w:szCs w:val="20"/>
        </w:rPr>
        <w:t xml:space="preserve">, </w:t>
      </w:r>
      <w:r w:rsidRPr="004D2FC6">
        <w:rPr>
          <w:i/>
          <w:iCs/>
          <w:sz w:val="20"/>
          <w:szCs w:val="20"/>
        </w:rPr>
        <w:t>The Conversation</w:t>
      </w:r>
      <w:r w:rsidRPr="004D2FC6">
        <w:rPr>
          <w:sz w:val="20"/>
          <w:szCs w:val="20"/>
        </w:rPr>
        <w:t xml:space="preserve">. Available at: https://theconversation.com/misogyny-in-police-forces-understanding-and-fixing-cop-culture-176303 (Accessed: 08 August 2023). </w:t>
      </w:r>
    </w:p>
    <w:p w14:paraId="1670EE1D" w14:textId="77777777" w:rsidR="009D481E" w:rsidRDefault="009D481E" w:rsidP="009D481E">
      <w:pPr>
        <w:pStyle w:val="ListParagraph"/>
        <w:rPr>
          <w:sz w:val="20"/>
          <w:szCs w:val="20"/>
        </w:rPr>
      </w:pPr>
    </w:p>
    <w:p w14:paraId="056B841D" w14:textId="77777777" w:rsidR="009D481E" w:rsidRDefault="009D481E" w:rsidP="009D481E">
      <w:pPr>
        <w:pStyle w:val="NormalWeb"/>
        <w:numPr>
          <w:ilvl w:val="0"/>
          <w:numId w:val="1"/>
        </w:numPr>
        <w:rPr>
          <w:sz w:val="20"/>
          <w:szCs w:val="20"/>
        </w:rPr>
      </w:pPr>
      <w:r w:rsidRPr="00BA0410">
        <w:rPr>
          <w:sz w:val="20"/>
          <w:szCs w:val="20"/>
        </w:rPr>
        <w:t>Home office (2023)</w:t>
      </w:r>
      <w:r w:rsidRPr="00BA0410">
        <w:rPr>
          <w:i/>
          <w:iCs/>
          <w:sz w:val="20"/>
          <w:szCs w:val="20"/>
        </w:rPr>
        <w:t xml:space="preserve"> “Anti-social behaviour: Impacts on individuals and local communities</w:t>
      </w:r>
      <w:r w:rsidRPr="00BA0410">
        <w:rPr>
          <w:sz w:val="20"/>
          <w:szCs w:val="20"/>
        </w:rPr>
        <w:t xml:space="preserve">” </w:t>
      </w:r>
      <w:r w:rsidRPr="00BA0410">
        <w:rPr>
          <w:i/>
          <w:iCs/>
          <w:sz w:val="20"/>
          <w:szCs w:val="20"/>
        </w:rPr>
        <w:t>GOV.UK</w:t>
      </w:r>
      <w:r w:rsidRPr="00BA0410">
        <w:rPr>
          <w:sz w:val="20"/>
          <w:szCs w:val="20"/>
        </w:rPr>
        <w:t xml:space="preserve">. Available at: https://www.gov.uk/government/publications/impacts-of-anti-social-behaviour-on-individuals-and-communities/anti-social-behaviour-impacts-on-individuals-and-local-communities (Accessed: 09 August 2023). </w:t>
      </w:r>
    </w:p>
    <w:p w14:paraId="08B7FB25" w14:textId="77777777" w:rsidR="009D481E" w:rsidRDefault="009D481E" w:rsidP="009D481E">
      <w:pPr>
        <w:pStyle w:val="ListParagraph"/>
      </w:pPr>
    </w:p>
    <w:p w14:paraId="152A6D2C" w14:textId="77777777" w:rsidR="009D481E" w:rsidRPr="00FB56B1" w:rsidRDefault="009D481E" w:rsidP="009D481E">
      <w:pPr>
        <w:pStyle w:val="NormalWeb"/>
        <w:numPr>
          <w:ilvl w:val="0"/>
          <w:numId w:val="1"/>
        </w:numPr>
        <w:rPr>
          <w:i/>
          <w:iCs/>
          <w:sz w:val="16"/>
          <w:szCs w:val="16"/>
        </w:rPr>
      </w:pPr>
      <w:r w:rsidRPr="00FB56B1">
        <w:rPr>
          <w:sz w:val="20"/>
          <w:szCs w:val="20"/>
        </w:rPr>
        <w:t xml:space="preserve">Gold, J. (2022) </w:t>
      </w:r>
      <w:r w:rsidRPr="00FB56B1">
        <w:rPr>
          <w:i/>
          <w:iCs/>
          <w:sz w:val="20"/>
          <w:szCs w:val="20"/>
        </w:rPr>
        <w:t xml:space="preserve">‘Improving community relations in the police through procedural justice – an action learning initiative’, Action Learning: Research and Practice, 19(3), pp. 230–247. doi:10.1080/14767333.2022.2129586. </w:t>
      </w:r>
      <w:r w:rsidRPr="00FB56B1">
        <w:rPr>
          <w:sz w:val="20"/>
          <w:szCs w:val="20"/>
        </w:rPr>
        <w:t>(Accessed</w:t>
      </w:r>
      <w:r>
        <w:rPr>
          <w:sz w:val="20"/>
          <w:szCs w:val="20"/>
        </w:rPr>
        <w:t>: 5 August 2023).</w:t>
      </w:r>
    </w:p>
    <w:p w14:paraId="17AAE357" w14:textId="77777777" w:rsidR="009D481E" w:rsidRPr="00BA0410" w:rsidRDefault="009D481E" w:rsidP="009D481E">
      <w:pPr>
        <w:pStyle w:val="NormalWeb"/>
        <w:ind w:left="720"/>
        <w:rPr>
          <w:sz w:val="16"/>
          <w:szCs w:val="16"/>
        </w:rPr>
      </w:pPr>
    </w:p>
    <w:p w14:paraId="11E0367B" w14:textId="77777777" w:rsidR="009D481E" w:rsidRDefault="009D481E" w:rsidP="009D481E">
      <w:pPr>
        <w:pStyle w:val="NormalWeb"/>
        <w:numPr>
          <w:ilvl w:val="0"/>
          <w:numId w:val="1"/>
        </w:numPr>
        <w:rPr>
          <w:i/>
          <w:iCs/>
          <w:sz w:val="20"/>
          <w:szCs w:val="20"/>
        </w:rPr>
      </w:pPr>
      <w:r>
        <w:rPr>
          <w:sz w:val="20"/>
          <w:szCs w:val="20"/>
        </w:rPr>
        <w:t>Home Office</w:t>
      </w:r>
      <w:r w:rsidRPr="00970505">
        <w:rPr>
          <w:sz w:val="20"/>
          <w:szCs w:val="20"/>
        </w:rPr>
        <w:t xml:space="preserve"> (2012 </w:t>
      </w:r>
      <w:r>
        <w:rPr>
          <w:sz w:val="20"/>
          <w:szCs w:val="20"/>
        </w:rPr>
        <w:t>‘</w:t>
      </w:r>
      <w:r w:rsidRPr="00970505">
        <w:rPr>
          <w:i/>
          <w:iCs/>
          <w:sz w:val="20"/>
          <w:szCs w:val="20"/>
        </w:rPr>
        <w:t>British Crime Survey dataset</w:t>
      </w:r>
      <w:r>
        <w:rPr>
          <w:i/>
          <w:iCs/>
          <w:sz w:val="20"/>
          <w:szCs w:val="20"/>
        </w:rPr>
        <w:t>’</w:t>
      </w:r>
      <w:r w:rsidRPr="00970505">
        <w:rPr>
          <w:i/>
          <w:iCs/>
          <w:sz w:val="20"/>
          <w:szCs w:val="20"/>
        </w:rPr>
        <w:t>, GOV.UK. Available at: https://www.gov.uk/government/statistics/british-crime-survey-datasets</w:t>
      </w:r>
      <w:r>
        <w:rPr>
          <w:i/>
          <w:iCs/>
          <w:sz w:val="20"/>
          <w:szCs w:val="20"/>
        </w:rPr>
        <w:t>.</w:t>
      </w:r>
      <w:r w:rsidRPr="00970505">
        <w:rPr>
          <w:i/>
          <w:iCs/>
          <w:sz w:val="20"/>
          <w:szCs w:val="20"/>
        </w:rPr>
        <w:t xml:space="preserve"> </w:t>
      </w:r>
      <w:r w:rsidRPr="00F220F6">
        <w:rPr>
          <w:sz w:val="20"/>
          <w:szCs w:val="20"/>
        </w:rPr>
        <w:t>(Accessed: 10 August 2023).</w:t>
      </w:r>
      <w:r w:rsidRPr="00970505">
        <w:rPr>
          <w:i/>
          <w:iCs/>
          <w:sz w:val="20"/>
          <w:szCs w:val="20"/>
        </w:rPr>
        <w:t xml:space="preserve"> </w:t>
      </w:r>
    </w:p>
    <w:p w14:paraId="6196D729" w14:textId="77777777" w:rsidR="009D481E" w:rsidRDefault="009D481E" w:rsidP="009D481E">
      <w:pPr>
        <w:pStyle w:val="ListParagraph"/>
        <w:rPr>
          <w:i/>
          <w:iCs/>
          <w:sz w:val="20"/>
          <w:szCs w:val="20"/>
        </w:rPr>
      </w:pPr>
    </w:p>
    <w:p w14:paraId="72C92EDC" w14:textId="77777777" w:rsidR="009D481E" w:rsidRDefault="009D481E" w:rsidP="009D481E">
      <w:pPr>
        <w:pStyle w:val="NormalWeb"/>
        <w:numPr>
          <w:ilvl w:val="0"/>
          <w:numId w:val="1"/>
        </w:numPr>
        <w:rPr>
          <w:sz w:val="20"/>
          <w:szCs w:val="20"/>
        </w:rPr>
      </w:pPr>
      <w:r w:rsidRPr="00DF7B21">
        <w:rPr>
          <w:rFonts w:asciiTheme="minorHAnsi" w:eastAsiaTheme="minorHAnsi" w:hAnsiTheme="minorHAnsi" w:cstheme="minorBidi"/>
          <w:sz w:val="20"/>
          <w:szCs w:val="20"/>
          <w:lang w:eastAsia="en-US"/>
        </w:rPr>
        <w:t xml:space="preserve">Local Government Association </w:t>
      </w:r>
      <w:r w:rsidRPr="00DF7B21">
        <w:rPr>
          <w:sz w:val="20"/>
          <w:szCs w:val="20"/>
        </w:rPr>
        <w:t xml:space="preserve">(2019) </w:t>
      </w:r>
      <w:r w:rsidRPr="00DF7B21">
        <w:rPr>
          <w:i/>
          <w:iCs/>
          <w:sz w:val="20"/>
          <w:szCs w:val="20"/>
        </w:rPr>
        <w:t>“Building Cohesive Communities: An LGA Guide”</w:t>
      </w:r>
      <w:r w:rsidRPr="00DF7B21">
        <w:rPr>
          <w:sz w:val="20"/>
          <w:szCs w:val="20"/>
        </w:rPr>
        <w:t>. Available</w:t>
      </w:r>
      <w:r>
        <w:rPr>
          <w:sz w:val="20"/>
          <w:szCs w:val="20"/>
        </w:rPr>
        <w:t xml:space="preserve"> at </w:t>
      </w:r>
      <w:proofErr w:type="gramStart"/>
      <w:r w:rsidRPr="00DF7B21">
        <w:rPr>
          <w:sz w:val="20"/>
          <w:szCs w:val="20"/>
        </w:rPr>
        <w:t>https://www.local.gov.uk/sites/default/files/documents/10.31%20Community%20cohesion%20guidance_04.2.pdf  (</w:t>
      </w:r>
      <w:proofErr w:type="gramEnd"/>
      <w:r w:rsidRPr="00DF7B21">
        <w:rPr>
          <w:sz w:val="20"/>
          <w:szCs w:val="20"/>
        </w:rPr>
        <w:t xml:space="preserve">Accessed: 09 August 2023). </w:t>
      </w:r>
    </w:p>
    <w:p w14:paraId="2B17AE80" w14:textId="77777777" w:rsidR="009D481E" w:rsidRDefault="009D481E" w:rsidP="009D481E">
      <w:pPr>
        <w:pStyle w:val="ListParagraph"/>
        <w:rPr>
          <w:sz w:val="20"/>
          <w:szCs w:val="20"/>
        </w:rPr>
      </w:pPr>
    </w:p>
    <w:p w14:paraId="468E32A6" w14:textId="77777777" w:rsidR="009D481E" w:rsidRDefault="009D481E" w:rsidP="009D481E">
      <w:pPr>
        <w:pStyle w:val="NormalWeb"/>
        <w:numPr>
          <w:ilvl w:val="0"/>
          <w:numId w:val="1"/>
        </w:numPr>
        <w:rPr>
          <w:i/>
          <w:iCs/>
          <w:sz w:val="20"/>
          <w:szCs w:val="20"/>
        </w:rPr>
      </w:pPr>
      <w:r w:rsidRPr="004B0EFA">
        <w:rPr>
          <w:rFonts w:asciiTheme="minorHAnsi" w:eastAsiaTheme="minorHAnsi" w:hAnsiTheme="minorHAnsi" w:cstheme="minorBidi"/>
          <w:sz w:val="20"/>
          <w:szCs w:val="20"/>
          <w:lang w:eastAsia="en-US"/>
        </w:rPr>
        <w:t>Macpherson (1999)</w:t>
      </w:r>
      <w:r w:rsidRPr="004B0EFA">
        <w:rPr>
          <w:rFonts w:asciiTheme="minorHAnsi" w:eastAsiaTheme="minorHAnsi" w:hAnsiTheme="minorHAnsi" w:cstheme="minorBidi"/>
          <w:i/>
          <w:iCs/>
          <w:sz w:val="20"/>
          <w:szCs w:val="20"/>
          <w:lang w:eastAsia="en-US"/>
        </w:rPr>
        <w:t xml:space="preserve"> </w:t>
      </w:r>
      <w:r>
        <w:rPr>
          <w:rFonts w:asciiTheme="minorHAnsi" w:eastAsiaTheme="minorHAnsi" w:hAnsiTheme="minorHAnsi" w:cstheme="minorBidi"/>
          <w:i/>
          <w:iCs/>
          <w:sz w:val="20"/>
          <w:szCs w:val="20"/>
          <w:lang w:eastAsia="en-US"/>
        </w:rPr>
        <w:t>“</w:t>
      </w:r>
      <w:r w:rsidRPr="004B0EFA">
        <w:rPr>
          <w:i/>
          <w:iCs/>
          <w:sz w:val="20"/>
          <w:szCs w:val="20"/>
        </w:rPr>
        <w:t>The Stephen Lawrence Inquiry</w:t>
      </w:r>
      <w:r>
        <w:rPr>
          <w:i/>
          <w:iCs/>
          <w:sz w:val="20"/>
          <w:szCs w:val="20"/>
        </w:rPr>
        <w:t>”.</w:t>
      </w:r>
      <w:r w:rsidRPr="004B0EFA">
        <w:rPr>
          <w:i/>
          <w:iCs/>
          <w:sz w:val="20"/>
          <w:szCs w:val="20"/>
        </w:rPr>
        <w:t xml:space="preserve"> GOV.UK. Available at: https://www.gov.uk/government/publications/the-stephen-lawrence-inquiry (Accessed: 09 August 2023). </w:t>
      </w:r>
    </w:p>
    <w:p w14:paraId="5839F573" w14:textId="77777777" w:rsidR="009D481E" w:rsidRDefault="009D481E" w:rsidP="009D481E">
      <w:pPr>
        <w:pStyle w:val="ListParagraph"/>
        <w:rPr>
          <w:i/>
          <w:iCs/>
          <w:sz w:val="20"/>
          <w:szCs w:val="20"/>
        </w:rPr>
      </w:pPr>
    </w:p>
    <w:p w14:paraId="4ADC8BAB" w14:textId="163DF9DD" w:rsidR="009D481E" w:rsidRDefault="009D481E" w:rsidP="009D481E">
      <w:pPr>
        <w:pStyle w:val="NormalWeb"/>
        <w:numPr>
          <w:ilvl w:val="0"/>
          <w:numId w:val="1"/>
        </w:numPr>
        <w:rPr>
          <w:sz w:val="20"/>
          <w:szCs w:val="20"/>
        </w:rPr>
      </w:pPr>
      <w:r w:rsidRPr="00CF3068">
        <w:rPr>
          <w:rFonts w:asciiTheme="minorHAnsi" w:eastAsiaTheme="minorHAnsi" w:hAnsiTheme="minorHAnsi" w:cstheme="minorBidi"/>
          <w:sz w:val="20"/>
          <w:szCs w:val="20"/>
          <w:lang w:eastAsia="en-US"/>
        </w:rPr>
        <w:t xml:space="preserve">Metropolitan Police </w:t>
      </w:r>
      <w:r w:rsidRPr="00CF3068">
        <w:rPr>
          <w:sz w:val="20"/>
          <w:szCs w:val="20"/>
        </w:rPr>
        <w:t xml:space="preserve">(2023) </w:t>
      </w:r>
      <w:r w:rsidRPr="00CF3068">
        <w:rPr>
          <w:i/>
          <w:iCs/>
          <w:sz w:val="20"/>
          <w:szCs w:val="20"/>
        </w:rPr>
        <w:t>“Turnaround plan 2023-2025” - metropolitan police. Available</w:t>
      </w:r>
      <w:r w:rsidRPr="00CF3068">
        <w:rPr>
          <w:sz w:val="20"/>
          <w:szCs w:val="20"/>
        </w:rPr>
        <w:t xml:space="preserve"> at: https://www.met.police.uk/SysSiteAssets/media/downloads/met/about-us/turnaround-plan.pdf (Accessed: </w:t>
      </w:r>
      <w:r>
        <w:rPr>
          <w:sz w:val="20"/>
          <w:szCs w:val="20"/>
        </w:rPr>
        <w:t>9</w:t>
      </w:r>
      <w:r w:rsidRPr="00CF3068">
        <w:rPr>
          <w:sz w:val="20"/>
          <w:szCs w:val="20"/>
        </w:rPr>
        <w:t xml:space="preserve"> </w:t>
      </w:r>
      <w:r>
        <w:rPr>
          <w:sz w:val="20"/>
          <w:szCs w:val="20"/>
        </w:rPr>
        <w:t>August</w:t>
      </w:r>
      <w:r w:rsidRPr="00CF3068">
        <w:rPr>
          <w:sz w:val="20"/>
          <w:szCs w:val="20"/>
        </w:rPr>
        <w:t xml:space="preserve"> 2023). </w:t>
      </w:r>
    </w:p>
    <w:p w14:paraId="2F77384A" w14:textId="77777777" w:rsidR="00040ECE" w:rsidRDefault="00040ECE" w:rsidP="00040ECE">
      <w:pPr>
        <w:pStyle w:val="ListParagraph"/>
        <w:rPr>
          <w:sz w:val="20"/>
          <w:szCs w:val="20"/>
        </w:rPr>
      </w:pPr>
    </w:p>
    <w:p w14:paraId="4E90DB70" w14:textId="6C77C3D6" w:rsidR="00040ECE" w:rsidRDefault="001E41D0" w:rsidP="00040ECE">
      <w:pPr>
        <w:pStyle w:val="NormalWeb"/>
        <w:numPr>
          <w:ilvl w:val="0"/>
          <w:numId w:val="1"/>
        </w:numPr>
        <w:rPr>
          <w:sz w:val="20"/>
          <w:szCs w:val="20"/>
        </w:rPr>
      </w:pPr>
      <w:r w:rsidRPr="009D481E">
        <w:rPr>
          <w:rFonts w:eastAsiaTheme="minorHAnsi"/>
          <w:sz w:val="20"/>
          <w:szCs w:val="20"/>
          <w:lang w:eastAsia="en-US"/>
        </w:rPr>
        <w:t xml:space="preserve">Merriam-Webster (2023) </w:t>
      </w:r>
      <w:r>
        <w:rPr>
          <w:rFonts w:eastAsiaTheme="minorHAnsi"/>
          <w:sz w:val="20"/>
          <w:szCs w:val="20"/>
          <w:lang w:eastAsia="en-US"/>
        </w:rPr>
        <w:t>‘</w:t>
      </w:r>
      <w:r w:rsidR="00040ECE" w:rsidRPr="00040ECE">
        <w:rPr>
          <w:i/>
          <w:iCs/>
          <w:sz w:val="20"/>
          <w:szCs w:val="20"/>
        </w:rPr>
        <w:t>Engagement definition &amp; meaning</w:t>
      </w:r>
      <w:r>
        <w:rPr>
          <w:i/>
          <w:iCs/>
          <w:sz w:val="20"/>
          <w:szCs w:val="20"/>
        </w:rPr>
        <w:t xml:space="preserve">’ </w:t>
      </w:r>
      <w:r w:rsidR="00040ECE" w:rsidRPr="00040ECE">
        <w:rPr>
          <w:i/>
          <w:iCs/>
          <w:sz w:val="20"/>
          <w:szCs w:val="20"/>
        </w:rPr>
        <w:t>Merriam-Webster</w:t>
      </w:r>
      <w:r w:rsidR="00040ECE" w:rsidRPr="00040ECE">
        <w:rPr>
          <w:sz w:val="20"/>
          <w:szCs w:val="20"/>
        </w:rPr>
        <w:t xml:space="preserve">. Available at: https://www.merriam-webster.com/dictionary/engagement (Accessed: 04 August 2023). </w:t>
      </w:r>
    </w:p>
    <w:p w14:paraId="68164D50" w14:textId="77777777" w:rsidR="001E41D0" w:rsidRDefault="001E41D0" w:rsidP="001E41D0">
      <w:pPr>
        <w:pStyle w:val="ListParagraph"/>
        <w:rPr>
          <w:sz w:val="20"/>
          <w:szCs w:val="20"/>
        </w:rPr>
      </w:pPr>
    </w:p>
    <w:p w14:paraId="43606F98" w14:textId="7F5B4A0A" w:rsidR="00EC0F6C" w:rsidRDefault="00EC0F6C" w:rsidP="00EC0F6C">
      <w:pPr>
        <w:pStyle w:val="NormalWeb"/>
        <w:numPr>
          <w:ilvl w:val="0"/>
          <w:numId w:val="1"/>
        </w:numPr>
        <w:rPr>
          <w:sz w:val="20"/>
          <w:szCs w:val="20"/>
        </w:rPr>
      </w:pPr>
      <w:r>
        <w:rPr>
          <w:rFonts w:asciiTheme="minorHAnsi" w:eastAsiaTheme="minorHAnsi" w:hAnsiTheme="minorHAnsi" w:cstheme="minorBidi"/>
          <w:sz w:val="20"/>
          <w:szCs w:val="20"/>
          <w:lang w:eastAsia="en-US"/>
        </w:rPr>
        <w:t xml:space="preserve">Morin, et al (2017) </w:t>
      </w:r>
      <w:r w:rsidR="009B5DEC">
        <w:rPr>
          <w:rFonts w:asciiTheme="minorHAnsi" w:eastAsiaTheme="minorHAnsi" w:hAnsiTheme="minorHAnsi" w:cstheme="minorBidi"/>
          <w:sz w:val="20"/>
          <w:szCs w:val="20"/>
          <w:lang w:eastAsia="en-US"/>
        </w:rPr>
        <w:t>‘</w:t>
      </w:r>
      <w:r w:rsidRPr="00EC0F6C">
        <w:rPr>
          <w:i/>
          <w:iCs/>
          <w:sz w:val="20"/>
          <w:szCs w:val="20"/>
        </w:rPr>
        <w:t>Six Police Views, Public Views</w:t>
      </w:r>
      <w:r w:rsidR="009B5DEC">
        <w:rPr>
          <w:i/>
          <w:iCs/>
          <w:sz w:val="20"/>
          <w:szCs w:val="20"/>
        </w:rPr>
        <w:t>’</w:t>
      </w:r>
      <w:r w:rsidRPr="00EC0F6C">
        <w:rPr>
          <w:sz w:val="20"/>
          <w:szCs w:val="20"/>
        </w:rPr>
        <w:t xml:space="preserve"> </w:t>
      </w:r>
      <w:r w:rsidRPr="00EC0F6C">
        <w:rPr>
          <w:i/>
          <w:iCs/>
          <w:sz w:val="20"/>
          <w:szCs w:val="20"/>
        </w:rPr>
        <w:t xml:space="preserve">Pew Research </w:t>
      </w:r>
      <w:proofErr w:type="spellStart"/>
      <w:r w:rsidRPr="00EC0F6C">
        <w:rPr>
          <w:i/>
          <w:iCs/>
          <w:sz w:val="20"/>
          <w:szCs w:val="20"/>
        </w:rPr>
        <w:t>Center’s</w:t>
      </w:r>
      <w:proofErr w:type="spellEnd"/>
      <w:r w:rsidRPr="00EC0F6C">
        <w:rPr>
          <w:i/>
          <w:iCs/>
          <w:sz w:val="20"/>
          <w:szCs w:val="20"/>
        </w:rPr>
        <w:t xml:space="preserve"> Social &amp; Demographic Trends Project</w:t>
      </w:r>
      <w:r w:rsidRPr="00EC0F6C">
        <w:rPr>
          <w:sz w:val="20"/>
          <w:szCs w:val="20"/>
        </w:rPr>
        <w:t xml:space="preserve">. Available at: https://www.pewresearch.org/social-trends/2017/01/11/police-views-public-views/ (Accessed: 01 August 2023). </w:t>
      </w:r>
    </w:p>
    <w:p w14:paraId="73BEBC31" w14:textId="77777777" w:rsidR="003734AC" w:rsidRDefault="003734AC" w:rsidP="003734AC">
      <w:pPr>
        <w:pStyle w:val="ListParagraph"/>
        <w:rPr>
          <w:sz w:val="20"/>
          <w:szCs w:val="20"/>
        </w:rPr>
      </w:pPr>
    </w:p>
    <w:p w14:paraId="5D2D85A0" w14:textId="481FAD89" w:rsidR="003734AC" w:rsidRDefault="009E318B" w:rsidP="003734AC">
      <w:pPr>
        <w:pStyle w:val="NormalWeb"/>
        <w:numPr>
          <w:ilvl w:val="0"/>
          <w:numId w:val="1"/>
        </w:numPr>
        <w:rPr>
          <w:sz w:val="20"/>
          <w:szCs w:val="20"/>
        </w:rPr>
      </w:pPr>
      <w:proofErr w:type="spellStart"/>
      <w:r w:rsidRPr="009E318B">
        <w:rPr>
          <w:rFonts w:asciiTheme="minorHAnsi" w:eastAsiaTheme="minorHAnsi" w:hAnsiTheme="minorHAnsi" w:cstheme="minorBidi"/>
          <w:sz w:val="20"/>
          <w:szCs w:val="20"/>
          <w:lang w:eastAsia="en-US"/>
        </w:rPr>
        <w:t>Nivette</w:t>
      </w:r>
      <w:proofErr w:type="spellEnd"/>
      <w:r w:rsidRPr="009E318B">
        <w:rPr>
          <w:rFonts w:asciiTheme="minorHAnsi" w:eastAsiaTheme="minorHAnsi" w:hAnsiTheme="minorHAnsi" w:cstheme="minorBidi"/>
          <w:sz w:val="20"/>
          <w:szCs w:val="20"/>
          <w:lang w:eastAsia="en-US"/>
        </w:rPr>
        <w:t xml:space="preserve">, Eisner &amp; </w:t>
      </w:r>
      <w:proofErr w:type="spellStart"/>
      <w:r w:rsidRPr="009E318B">
        <w:rPr>
          <w:rFonts w:asciiTheme="minorHAnsi" w:eastAsiaTheme="minorHAnsi" w:hAnsiTheme="minorHAnsi" w:cstheme="minorBidi"/>
          <w:sz w:val="20"/>
          <w:szCs w:val="20"/>
          <w:lang w:eastAsia="en-US"/>
        </w:rPr>
        <w:t>Ribeaud</w:t>
      </w:r>
      <w:proofErr w:type="spellEnd"/>
      <w:r w:rsidRPr="009E318B">
        <w:rPr>
          <w:rFonts w:asciiTheme="minorHAnsi" w:eastAsiaTheme="minorHAnsi" w:hAnsiTheme="minorHAnsi" w:cstheme="minorBidi"/>
          <w:sz w:val="20"/>
          <w:szCs w:val="20"/>
          <w:lang w:eastAsia="en-US"/>
        </w:rPr>
        <w:t xml:space="preserve"> (2020</w:t>
      </w:r>
      <w:proofErr w:type="gramStart"/>
      <w:r w:rsidRPr="009E318B">
        <w:rPr>
          <w:rFonts w:asciiTheme="minorHAnsi" w:eastAsiaTheme="minorHAnsi" w:hAnsiTheme="minorHAnsi" w:cstheme="minorBidi"/>
          <w:sz w:val="20"/>
          <w:szCs w:val="20"/>
          <w:lang w:eastAsia="en-US"/>
        </w:rPr>
        <w:t xml:space="preserve">) </w:t>
      </w:r>
      <w:r w:rsidR="003734AC" w:rsidRPr="009E318B">
        <w:rPr>
          <w:i/>
          <w:iCs/>
          <w:sz w:val="20"/>
          <w:szCs w:val="20"/>
        </w:rPr>
        <w:t xml:space="preserve"> </w:t>
      </w:r>
      <w:r w:rsidRPr="009E318B">
        <w:rPr>
          <w:i/>
          <w:iCs/>
          <w:sz w:val="20"/>
          <w:szCs w:val="20"/>
        </w:rPr>
        <w:t>‘</w:t>
      </w:r>
      <w:proofErr w:type="gramEnd"/>
      <w:r w:rsidRPr="009E318B">
        <w:rPr>
          <w:i/>
          <w:iCs/>
          <w:sz w:val="20"/>
          <w:szCs w:val="20"/>
        </w:rPr>
        <w:t>E</w:t>
      </w:r>
      <w:r w:rsidR="003734AC" w:rsidRPr="009E318B">
        <w:rPr>
          <w:i/>
          <w:iCs/>
          <w:sz w:val="20"/>
          <w:szCs w:val="20"/>
        </w:rPr>
        <w:t xml:space="preserve">valuating the Shared and Unique Predictors of Legal </w:t>
      </w:r>
      <w:r w:rsidRPr="009E318B">
        <w:rPr>
          <w:i/>
          <w:iCs/>
          <w:sz w:val="20"/>
          <w:szCs w:val="20"/>
        </w:rPr>
        <w:t>C</w:t>
      </w:r>
      <w:r w:rsidR="003734AC" w:rsidRPr="009E318B">
        <w:rPr>
          <w:i/>
          <w:iCs/>
          <w:sz w:val="20"/>
          <w:szCs w:val="20"/>
        </w:rPr>
        <w:t>ynicism an</w:t>
      </w:r>
      <w:r w:rsidRPr="009E318B">
        <w:rPr>
          <w:i/>
          <w:iCs/>
          <w:sz w:val="20"/>
          <w:szCs w:val="20"/>
        </w:rPr>
        <w:t>d Police Legitimacy from Adolescence into Early Adulthood’</w:t>
      </w:r>
      <w:r>
        <w:rPr>
          <w:i/>
          <w:iCs/>
          <w:sz w:val="20"/>
          <w:szCs w:val="20"/>
        </w:rPr>
        <w:t xml:space="preserve"> </w:t>
      </w:r>
      <w:r w:rsidR="003734AC" w:rsidRPr="009E318B">
        <w:rPr>
          <w:sz w:val="20"/>
          <w:szCs w:val="20"/>
        </w:rPr>
        <w:t xml:space="preserve">Available at: https://www.researchgate.net/publication/336848341_Evaluating_the_shared_and_unique_predictors_of_legal_cynicism_and_police_legitimacy_from_adolescence_into_early_adulthood (Accessed: 04 July 2023). </w:t>
      </w:r>
    </w:p>
    <w:p w14:paraId="16EA8CF8" w14:textId="77777777" w:rsidR="00E12AA6" w:rsidRDefault="00E12AA6" w:rsidP="00E12AA6">
      <w:pPr>
        <w:pStyle w:val="ListParagraph"/>
        <w:rPr>
          <w:sz w:val="20"/>
          <w:szCs w:val="20"/>
        </w:rPr>
      </w:pPr>
    </w:p>
    <w:p w14:paraId="58B84527" w14:textId="61690D6F" w:rsidR="00F064B6" w:rsidRDefault="00F064B6" w:rsidP="00F064B6">
      <w:pPr>
        <w:pStyle w:val="NormalWeb"/>
        <w:numPr>
          <w:ilvl w:val="0"/>
          <w:numId w:val="1"/>
        </w:numPr>
        <w:rPr>
          <w:sz w:val="20"/>
          <w:szCs w:val="20"/>
        </w:rPr>
      </w:pPr>
      <w:proofErr w:type="spellStart"/>
      <w:r w:rsidRPr="00F064B6">
        <w:rPr>
          <w:sz w:val="20"/>
          <w:szCs w:val="20"/>
        </w:rPr>
        <w:t>Rebuck</w:t>
      </w:r>
      <w:proofErr w:type="spellEnd"/>
      <w:r w:rsidRPr="00F064B6">
        <w:rPr>
          <w:sz w:val="20"/>
          <w:szCs w:val="20"/>
        </w:rPr>
        <w:t xml:space="preserve"> and Bertrand (2020) </w:t>
      </w:r>
      <w:r>
        <w:rPr>
          <w:sz w:val="20"/>
          <w:szCs w:val="20"/>
        </w:rPr>
        <w:t>‘</w:t>
      </w:r>
      <w:r w:rsidRPr="00F064B6">
        <w:rPr>
          <w:i/>
          <w:iCs/>
          <w:sz w:val="20"/>
          <w:szCs w:val="20"/>
        </w:rPr>
        <w:t>Positive Policing</w:t>
      </w:r>
      <w:r>
        <w:rPr>
          <w:i/>
          <w:iCs/>
          <w:sz w:val="20"/>
          <w:szCs w:val="20"/>
        </w:rPr>
        <w:t>’</w:t>
      </w:r>
      <w:r w:rsidRPr="00F064B6">
        <w:rPr>
          <w:sz w:val="20"/>
          <w:szCs w:val="20"/>
        </w:rPr>
        <w:t xml:space="preserve">, </w:t>
      </w:r>
      <w:r w:rsidRPr="00F064B6">
        <w:rPr>
          <w:i/>
          <w:iCs/>
          <w:sz w:val="20"/>
          <w:szCs w:val="20"/>
        </w:rPr>
        <w:t>FBI</w:t>
      </w:r>
      <w:r w:rsidRPr="00F064B6">
        <w:rPr>
          <w:sz w:val="20"/>
          <w:szCs w:val="20"/>
        </w:rPr>
        <w:t xml:space="preserve">. Available at: https://leb.fbi.gov/articles/featured-articles/positive-policing (Accessed: 04 June 2023). </w:t>
      </w:r>
    </w:p>
    <w:p w14:paraId="0EFF52D8" w14:textId="77777777" w:rsidR="00AB334B" w:rsidRDefault="00AB334B" w:rsidP="00AB334B">
      <w:pPr>
        <w:pStyle w:val="ListParagraph"/>
        <w:rPr>
          <w:sz w:val="20"/>
          <w:szCs w:val="20"/>
        </w:rPr>
      </w:pPr>
    </w:p>
    <w:p w14:paraId="1D5FD860" w14:textId="77777777" w:rsidR="00AB334B" w:rsidRDefault="00AB334B" w:rsidP="00AB334B">
      <w:pPr>
        <w:spacing w:after="160" w:line="259" w:lineRule="auto"/>
        <w:ind w:left="720" w:right="0" w:firstLine="0"/>
        <w:contextualSpacing/>
        <w:jc w:val="left"/>
        <w:rPr>
          <w:rFonts w:asciiTheme="minorHAnsi" w:eastAsiaTheme="minorHAnsi" w:hAnsiTheme="minorHAnsi" w:cstheme="minorBidi"/>
          <w:color w:val="auto"/>
          <w:sz w:val="20"/>
          <w:szCs w:val="20"/>
          <w:lang w:eastAsia="en-US"/>
        </w:rPr>
      </w:pPr>
    </w:p>
    <w:p w14:paraId="60A5C99A" w14:textId="3CF01340" w:rsidR="00017164" w:rsidRDefault="007E0DAE" w:rsidP="00A32B10">
      <w:pPr>
        <w:pStyle w:val="NormalWeb"/>
        <w:numPr>
          <w:ilvl w:val="0"/>
          <w:numId w:val="1"/>
        </w:numPr>
        <w:rPr>
          <w:sz w:val="20"/>
          <w:szCs w:val="20"/>
        </w:rPr>
      </w:pPr>
      <w:r w:rsidRPr="003C352D">
        <w:rPr>
          <w:sz w:val="20"/>
          <w:szCs w:val="20"/>
        </w:rPr>
        <w:t>Samanta (2021) ‘Ten</w:t>
      </w:r>
      <w:r w:rsidRPr="003C352D">
        <w:rPr>
          <w:i/>
          <w:iCs/>
          <w:sz w:val="20"/>
          <w:szCs w:val="20"/>
        </w:rPr>
        <w:t xml:space="preserve"> Qualities for Community Leader’</w:t>
      </w:r>
      <w:r w:rsidRPr="003C352D">
        <w:rPr>
          <w:sz w:val="20"/>
          <w:szCs w:val="20"/>
        </w:rPr>
        <w:t xml:space="preserve">, </w:t>
      </w:r>
      <w:proofErr w:type="spellStart"/>
      <w:r w:rsidRPr="003C352D">
        <w:rPr>
          <w:i/>
          <w:iCs/>
          <w:sz w:val="20"/>
          <w:szCs w:val="20"/>
        </w:rPr>
        <w:t>OpenGrowth</w:t>
      </w:r>
      <w:proofErr w:type="spellEnd"/>
      <w:r w:rsidRPr="003C352D">
        <w:rPr>
          <w:sz w:val="20"/>
          <w:szCs w:val="20"/>
        </w:rPr>
        <w:t xml:space="preserve">. Available at: https://www.opengrowth.com/resources/10-qualities-for-community-leaders (Accessed: 04 June 2023). </w:t>
      </w:r>
    </w:p>
    <w:p w14:paraId="09FF01FB" w14:textId="77777777" w:rsidR="003C352D" w:rsidRDefault="003C352D" w:rsidP="003C352D">
      <w:pPr>
        <w:pStyle w:val="NormalWeb"/>
        <w:ind w:left="720"/>
        <w:rPr>
          <w:sz w:val="20"/>
          <w:szCs w:val="20"/>
        </w:rPr>
      </w:pPr>
    </w:p>
    <w:p w14:paraId="4FDA82B9" w14:textId="77EC09DF" w:rsidR="003C352D" w:rsidRDefault="003C352D" w:rsidP="004A0C84">
      <w:pPr>
        <w:pStyle w:val="NormalWeb"/>
        <w:numPr>
          <w:ilvl w:val="0"/>
          <w:numId w:val="1"/>
        </w:numPr>
        <w:rPr>
          <w:sz w:val="20"/>
          <w:szCs w:val="20"/>
        </w:rPr>
      </w:pPr>
      <w:r w:rsidRPr="00015859">
        <w:rPr>
          <w:sz w:val="20"/>
          <w:szCs w:val="20"/>
        </w:rPr>
        <w:t>Scarman (</w:t>
      </w:r>
      <w:r w:rsidR="00CB4196" w:rsidRPr="00015859">
        <w:rPr>
          <w:sz w:val="20"/>
          <w:szCs w:val="20"/>
        </w:rPr>
        <w:t>1981</w:t>
      </w:r>
      <w:r w:rsidRPr="00015859">
        <w:rPr>
          <w:sz w:val="20"/>
          <w:szCs w:val="20"/>
        </w:rPr>
        <w:t xml:space="preserve">) </w:t>
      </w:r>
      <w:r w:rsidR="00CB4196" w:rsidRPr="00015859">
        <w:rPr>
          <w:sz w:val="20"/>
          <w:szCs w:val="20"/>
        </w:rPr>
        <w:t>‘</w:t>
      </w:r>
      <w:r w:rsidRPr="00015859">
        <w:rPr>
          <w:i/>
          <w:iCs/>
          <w:sz w:val="20"/>
          <w:szCs w:val="20"/>
        </w:rPr>
        <w:t xml:space="preserve">The Scarman </w:t>
      </w:r>
      <w:proofErr w:type="gramStart"/>
      <w:r w:rsidRPr="00015859">
        <w:rPr>
          <w:i/>
          <w:iCs/>
          <w:sz w:val="20"/>
          <w:szCs w:val="20"/>
        </w:rPr>
        <w:t>Report :</w:t>
      </w:r>
      <w:proofErr w:type="gramEnd"/>
      <w:r w:rsidRPr="00015859">
        <w:rPr>
          <w:i/>
          <w:iCs/>
          <w:sz w:val="20"/>
          <w:szCs w:val="20"/>
        </w:rPr>
        <w:t xml:space="preserve"> Report of an inquiry</w:t>
      </w:r>
      <w:r w:rsidR="00CB4196" w:rsidRPr="00015859">
        <w:rPr>
          <w:i/>
          <w:iCs/>
          <w:sz w:val="20"/>
          <w:szCs w:val="20"/>
        </w:rPr>
        <w:t>’</w:t>
      </w:r>
      <w:r w:rsidRPr="00015859">
        <w:rPr>
          <w:i/>
          <w:iCs/>
          <w:sz w:val="20"/>
          <w:szCs w:val="20"/>
        </w:rPr>
        <w:t> : Scarman, Leslie Scarman, Baron, 1911-2004</w:t>
      </w:r>
      <w:r w:rsidRPr="00015859">
        <w:rPr>
          <w:sz w:val="20"/>
          <w:szCs w:val="20"/>
        </w:rPr>
        <w:t xml:space="preserve">, </w:t>
      </w:r>
      <w:r w:rsidRPr="00015859">
        <w:rPr>
          <w:i/>
          <w:iCs/>
          <w:sz w:val="20"/>
          <w:szCs w:val="20"/>
        </w:rPr>
        <w:t>Internet Archive</w:t>
      </w:r>
      <w:r w:rsidRPr="00015859">
        <w:rPr>
          <w:sz w:val="20"/>
          <w:szCs w:val="20"/>
        </w:rPr>
        <w:t xml:space="preserve">. Available at: https://archive.org/details/scarmanreportrep0000scar (Accessed: 04 September 2023). </w:t>
      </w:r>
    </w:p>
    <w:p w14:paraId="434152B3" w14:textId="77777777" w:rsidR="00015859" w:rsidRDefault="00015859" w:rsidP="00015859">
      <w:pPr>
        <w:pStyle w:val="ListParagraph"/>
        <w:rPr>
          <w:sz w:val="20"/>
          <w:szCs w:val="20"/>
        </w:rPr>
      </w:pPr>
    </w:p>
    <w:p w14:paraId="154DAB4B" w14:textId="21772105" w:rsidR="00015859" w:rsidRDefault="00015859" w:rsidP="00015859">
      <w:pPr>
        <w:pStyle w:val="NormalWeb"/>
        <w:numPr>
          <w:ilvl w:val="0"/>
          <w:numId w:val="1"/>
        </w:numPr>
        <w:rPr>
          <w:sz w:val="20"/>
          <w:szCs w:val="20"/>
        </w:rPr>
      </w:pPr>
      <w:r w:rsidRPr="00015859">
        <w:rPr>
          <w:sz w:val="20"/>
          <w:szCs w:val="20"/>
        </w:rPr>
        <w:t xml:space="preserve">Tyler (1990) </w:t>
      </w:r>
      <w:r>
        <w:rPr>
          <w:sz w:val="20"/>
          <w:szCs w:val="20"/>
        </w:rPr>
        <w:t>‘</w:t>
      </w:r>
      <w:r w:rsidRPr="00015859">
        <w:rPr>
          <w:i/>
          <w:iCs/>
          <w:sz w:val="20"/>
          <w:szCs w:val="20"/>
        </w:rPr>
        <w:t>Why People Obey the La</w:t>
      </w:r>
      <w:r>
        <w:rPr>
          <w:i/>
          <w:iCs/>
          <w:sz w:val="20"/>
          <w:szCs w:val="20"/>
        </w:rPr>
        <w:t>w’</w:t>
      </w:r>
      <w:r w:rsidRPr="00015859">
        <w:rPr>
          <w:sz w:val="20"/>
          <w:szCs w:val="20"/>
        </w:rPr>
        <w:t>. Available at:</w:t>
      </w:r>
      <w:r>
        <w:rPr>
          <w:sz w:val="20"/>
          <w:szCs w:val="20"/>
        </w:rPr>
        <w:t xml:space="preserve"> </w:t>
      </w:r>
      <w:r w:rsidRPr="00015859">
        <w:rPr>
          <w:sz w:val="20"/>
          <w:szCs w:val="20"/>
        </w:rPr>
        <w:t xml:space="preserve">https://www.researchgate.net/publication/220011500_Why_do_People_Obey_the_Law (Accessed: 04 </w:t>
      </w:r>
      <w:r>
        <w:rPr>
          <w:sz w:val="20"/>
          <w:szCs w:val="20"/>
        </w:rPr>
        <w:t>August</w:t>
      </w:r>
      <w:r w:rsidRPr="00015859">
        <w:rPr>
          <w:sz w:val="20"/>
          <w:szCs w:val="20"/>
        </w:rPr>
        <w:t xml:space="preserve"> 2023). </w:t>
      </w:r>
    </w:p>
    <w:p w14:paraId="1F8C4BE0" w14:textId="77777777" w:rsidR="00FB6066" w:rsidRDefault="00FB6066" w:rsidP="00FB6066">
      <w:pPr>
        <w:pStyle w:val="ListParagraph"/>
        <w:rPr>
          <w:sz w:val="20"/>
          <w:szCs w:val="20"/>
        </w:rPr>
      </w:pPr>
    </w:p>
    <w:p w14:paraId="535A2C4C" w14:textId="54ACF5AB" w:rsidR="00FB6066" w:rsidRDefault="00FB6066" w:rsidP="00FB6066">
      <w:pPr>
        <w:pStyle w:val="NormalWeb"/>
        <w:numPr>
          <w:ilvl w:val="0"/>
          <w:numId w:val="1"/>
        </w:numPr>
        <w:rPr>
          <w:sz w:val="20"/>
          <w:szCs w:val="20"/>
        </w:rPr>
      </w:pPr>
      <w:r w:rsidRPr="00FB6066">
        <w:rPr>
          <w:sz w:val="20"/>
          <w:szCs w:val="20"/>
        </w:rPr>
        <w:t xml:space="preserve">Tyler (2003) ‘Procedural </w:t>
      </w:r>
      <w:r>
        <w:rPr>
          <w:sz w:val="20"/>
          <w:szCs w:val="20"/>
        </w:rPr>
        <w:t>J</w:t>
      </w:r>
      <w:r w:rsidRPr="00FB6066">
        <w:rPr>
          <w:sz w:val="20"/>
          <w:szCs w:val="20"/>
        </w:rPr>
        <w:t xml:space="preserve">ustice, </w:t>
      </w:r>
      <w:r>
        <w:rPr>
          <w:sz w:val="20"/>
          <w:szCs w:val="20"/>
        </w:rPr>
        <w:t>L</w:t>
      </w:r>
      <w:r w:rsidRPr="00FB6066">
        <w:rPr>
          <w:sz w:val="20"/>
          <w:szCs w:val="20"/>
        </w:rPr>
        <w:t xml:space="preserve">egitimacy, and the </w:t>
      </w:r>
      <w:r>
        <w:rPr>
          <w:sz w:val="20"/>
          <w:szCs w:val="20"/>
        </w:rPr>
        <w:t>E</w:t>
      </w:r>
      <w:r w:rsidRPr="00FB6066">
        <w:rPr>
          <w:sz w:val="20"/>
          <w:szCs w:val="20"/>
        </w:rPr>
        <w:t xml:space="preserve">ffective </w:t>
      </w:r>
      <w:r>
        <w:rPr>
          <w:sz w:val="20"/>
          <w:szCs w:val="20"/>
        </w:rPr>
        <w:t>R</w:t>
      </w:r>
      <w:r w:rsidRPr="00FB6066">
        <w:rPr>
          <w:sz w:val="20"/>
          <w:szCs w:val="20"/>
        </w:rPr>
        <w:t xml:space="preserve">ule of </w:t>
      </w:r>
      <w:r>
        <w:rPr>
          <w:sz w:val="20"/>
          <w:szCs w:val="20"/>
        </w:rPr>
        <w:t>L</w:t>
      </w:r>
      <w:r w:rsidRPr="00FB6066">
        <w:rPr>
          <w:sz w:val="20"/>
          <w:szCs w:val="20"/>
        </w:rPr>
        <w:t xml:space="preserve">aw’, </w:t>
      </w:r>
      <w:r w:rsidRPr="00FB6066">
        <w:rPr>
          <w:i/>
          <w:iCs/>
          <w:sz w:val="20"/>
          <w:szCs w:val="20"/>
        </w:rPr>
        <w:t>Crime and Justice</w:t>
      </w:r>
      <w:r w:rsidRPr="00FB6066">
        <w:rPr>
          <w:sz w:val="20"/>
          <w:szCs w:val="20"/>
        </w:rPr>
        <w:t xml:space="preserve">, 30, pp. 283–357. doi:10.1086/652233. </w:t>
      </w:r>
    </w:p>
    <w:p w14:paraId="44B58176" w14:textId="77777777" w:rsidR="006421C2" w:rsidRDefault="006421C2" w:rsidP="006421C2">
      <w:pPr>
        <w:pStyle w:val="ListParagraph"/>
        <w:rPr>
          <w:sz w:val="20"/>
          <w:szCs w:val="20"/>
        </w:rPr>
      </w:pPr>
    </w:p>
    <w:p w14:paraId="00282B80" w14:textId="0F43284F" w:rsidR="006421C2" w:rsidRDefault="004E46F3" w:rsidP="006421C2">
      <w:pPr>
        <w:pStyle w:val="NormalWeb"/>
        <w:numPr>
          <w:ilvl w:val="0"/>
          <w:numId w:val="1"/>
        </w:numPr>
        <w:rPr>
          <w:sz w:val="20"/>
          <w:szCs w:val="20"/>
        </w:rPr>
      </w:pPr>
      <w:r w:rsidRPr="004E46F3">
        <w:rPr>
          <w:rFonts w:asciiTheme="minorHAnsi" w:eastAsiaTheme="minorHAnsi" w:hAnsiTheme="minorHAnsi" w:cstheme="minorBidi"/>
          <w:sz w:val="20"/>
          <w:szCs w:val="20"/>
          <w:lang w:eastAsia="en-US"/>
        </w:rPr>
        <w:t xml:space="preserve">Wunsch, et al (2016) </w:t>
      </w:r>
      <w:r w:rsidR="006421C2" w:rsidRPr="004E46F3">
        <w:rPr>
          <w:i/>
          <w:iCs/>
          <w:sz w:val="20"/>
          <w:szCs w:val="20"/>
        </w:rPr>
        <w:t>Misconduct cases in the Metropolitan Police Service - London City Hall</w:t>
      </w:r>
      <w:r w:rsidR="006421C2" w:rsidRPr="004E46F3">
        <w:rPr>
          <w:sz w:val="20"/>
          <w:szCs w:val="20"/>
        </w:rPr>
        <w:t xml:space="preserve">. Available at: https://www.london.gov.uk/sites/default/files/misconduct_research.pdf (Accessed: 04 August 2023). </w:t>
      </w:r>
    </w:p>
    <w:p w14:paraId="488E408A" w14:textId="77777777" w:rsidR="0028105E" w:rsidRDefault="0028105E" w:rsidP="0028105E">
      <w:pPr>
        <w:pStyle w:val="ListParagraph"/>
        <w:rPr>
          <w:sz w:val="20"/>
          <w:szCs w:val="20"/>
        </w:rPr>
      </w:pPr>
    </w:p>
    <w:p w14:paraId="652C1DEF" w14:textId="1FF8E5EF" w:rsidR="009D481E" w:rsidRPr="00384138" w:rsidRDefault="00384138" w:rsidP="00384138">
      <w:pPr>
        <w:pStyle w:val="NormalWeb"/>
        <w:numPr>
          <w:ilvl w:val="0"/>
          <w:numId w:val="1"/>
        </w:numPr>
        <w:rPr>
          <w:rStyle w:val="Hyperlink"/>
          <w:color w:val="auto"/>
          <w:sz w:val="20"/>
          <w:szCs w:val="20"/>
          <w:u w:val="none"/>
        </w:rPr>
      </w:pPr>
      <w:proofErr w:type="spellStart"/>
      <w:r w:rsidRPr="00384138">
        <w:rPr>
          <w:sz w:val="20"/>
          <w:szCs w:val="20"/>
        </w:rPr>
        <w:t>Yesberg</w:t>
      </w:r>
      <w:proofErr w:type="spellEnd"/>
      <w:r w:rsidRPr="00384138">
        <w:rPr>
          <w:sz w:val="20"/>
          <w:szCs w:val="20"/>
        </w:rPr>
        <w:t xml:space="preserve">, J. (2021) ‘Police </w:t>
      </w:r>
      <w:r>
        <w:rPr>
          <w:sz w:val="20"/>
          <w:szCs w:val="20"/>
        </w:rPr>
        <w:t>V</w:t>
      </w:r>
      <w:r w:rsidRPr="00384138">
        <w:rPr>
          <w:sz w:val="20"/>
          <w:szCs w:val="20"/>
        </w:rPr>
        <w:t xml:space="preserve">isibility, </w:t>
      </w:r>
      <w:r>
        <w:rPr>
          <w:sz w:val="20"/>
          <w:szCs w:val="20"/>
        </w:rPr>
        <w:t>T</w:t>
      </w:r>
      <w:r w:rsidRPr="00384138">
        <w:rPr>
          <w:sz w:val="20"/>
          <w:szCs w:val="20"/>
        </w:rPr>
        <w:t xml:space="preserve">rust in </w:t>
      </w:r>
      <w:r>
        <w:rPr>
          <w:sz w:val="20"/>
          <w:szCs w:val="20"/>
        </w:rPr>
        <w:t>P</w:t>
      </w:r>
      <w:r w:rsidRPr="00384138">
        <w:rPr>
          <w:sz w:val="20"/>
          <w:szCs w:val="20"/>
        </w:rPr>
        <w:t xml:space="preserve">olice </w:t>
      </w:r>
      <w:r>
        <w:rPr>
          <w:sz w:val="20"/>
          <w:szCs w:val="20"/>
        </w:rPr>
        <w:t>F</w:t>
      </w:r>
      <w:r w:rsidRPr="00384138">
        <w:rPr>
          <w:sz w:val="20"/>
          <w:szCs w:val="20"/>
        </w:rPr>
        <w:t xml:space="preserve">airness, and </w:t>
      </w:r>
      <w:r>
        <w:rPr>
          <w:sz w:val="20"/>
          <w:szCs w:val="20"/>
        </w:rPr>
        <w:t>C</w:t>
      </w:r>
      <w:r w:rsidRPr="00384138">
        <w:rPr>
          <w:sz w:val="20"/>
          <w:szCs w:val="20"/>
        </w:rPr>
        <w:t xml:space="preserve">ollective </w:t>
      </w:r>
      <w:r>
        <w:rPr>
          <w:sz w:val="20"/>
          <w:szCs w:val="20"/>
        </w:rPr>
        <w:t>E</w:t>
      </w:r>
      <w:r w:rsidRPr="00384138">
        <w:rPr>
          <w:sz w:val="20"/>
          <w:szCs w:val="20"/>
        </w:rPr>
        <w:t xml:space="preserve">fficacy: A multilevel structural equation model’, </w:t>
      </w:r>
      <w:r w:rsidRPr="00384138">
        <w:rPr>
          <w:i/>
          <w:iCs/>
          <w:sz w:val="20"/>
          <w:szCs w:val="20"/>
        </w:rPr>
        <w:t>European Journal of Criminology</w:t>
      </w:r>
      <w:r w:rsidRPr="00384138">
        <w:rPr>
          <w:sz w:val="20"/>
          <w:szCs w:val="20"/>
        </w:rPr>
        <w:t xml:space="preserve">, 20(2), pp. 712–737. doi:10.1177/14773708211035306. </w:t>
      </w:r>
    </w:p>
    <w:p w14:paraId="792B31E4" w14:textId="77777777" w:rsidR="009D481E" w:rsidRDefault="009D481E" w:rsidP="009D481E">
      <w:pPr>
        <w:rPr>
          <w:rStyle w:val="Hyperlink"/>
          <w:rFonts w:asciiTheme="minorHAnsi" w:eastAsiaTheme="minorHAnsi" w:hAnsiTheme="minorHAnsi" w:cstheme="minorBidi"/>
          <w:sz w:val="20"/>
          <w:szCs w:val="20"/>
          <w:lang w:eastAsia="en-US"/>
        </w:rPr>
      </w:pPr>
    </w:p>
    <w:p w14:paraId="0A39C742" w14:textId="77777777" w:rsidR="00B70D79" w:rsidRPr="00B70D79" w:rsidRDefault="00B70D79" w:rsidP="00B70D79">
      <w:pPr>
        <w:spacing w:after="8" w:line="268" w:lineRule="auto"/>
        <w:ind w:left="283" w:right="507" w:firstLine="0"/>
        <w:jc w:val="left"/>
        <w:rPr>
          <w:b/>
          <w:bCs/>
          <w:sz w:val="20"/>
          <w:szCs w:val="20"/>
        </w:rPr>
      </w:pPr>
    </w:p>
    <w:p w14:paraId="0B6648C3" w14:textId="50269B0B" w:rsidR="00B70D79" w:rsidRPr="006F325A" w:rsidRDefault="00B47DD4" w:rsidP="00B47DD4">
      <w:pPr>
        <w:spacing w:after="8" w:line="268" w:lineRule="auto"/>
        <w:ind w:left="0" w:right="507" w:firstLine="0"/>
        <w:jc w:val="left"/>
        <w:rPr>
          <w:rFonts w:asciiTheme="minorHAnsi" w:hAnsiTheme="minorHAnsi" w:cstheme="minorHAnsi"/>
          <w:b/>
          <w:bCs/>
          <w:sz w:val="20"/>
          <w:szCs w:val="20"/>
        </w:rPr>
      </w:pPr>
      <w:r>
        <w:rPr>
          <w:rFonts w:asciiTheme="minorHAnsi" w:hAnsiTheme="minorHAnsi" w:cstheme="minorHAnsi"/>
          <w:b/>
          <w:bCs/>
          <w:sz w:val="20"/>
          <w:szCs w:val="20"/>
        </w:rPr>
        <w:t xml:space="preserve">            </w:t>
      </w:r>
      <w:r w:rsidR="00B70D79" w:rsidRPr="006F325A">
        <w:rPr>
          <w:rFonts w:asciiTheme="minorHAnsi" w:hAnsiTheme="minorHAnsi" w:cstheme="minorHAnsi"/>
          <w:b/>
          <w:bCs/>
          <w:sz w:val="20"/>
          <w:szCs w:val="20"/>
        </w:rPr>
        <w:t>Question 6</w:t>
      </w:r>
    </w:p>
    <w:p w14:paraId="2B6DEDD5" w14:textId="2B523274" w:rsidR="009D481E" w:rsidRPr="006F325A" w:rsidRDefault="009D481E" w:rsidP="000D039F">
      <w:pPr>
        <w:spacing w:after="8" w:line="268" w:lineRule="auto"/>
        <w:ind w:right="507"/>
        <w:jc w:val="left"/>
        <w:rPr>
          <w:rFonts w:asciiTheme="minorHAnsi" w:hAnsiTheme="minorHAnsi" w:cstheme="minorHAnsi"/>
          <w:b/>
          <w:bCs/>
          <w:sz w:val="20"/>
          <w:szCs w:val="20"/>
        </w:rPr>
      </w:pPr>
      <w:r w:rsidRPr="006F325A">
        <w:rPr>
          <w:rFonts w:asciiTheme="minorHAnsi" w:hAnsiTheme="minorHAnsi" w:cstheme="minorHAnsi"/>
          <w:b/>
          <w:bCs/>
          <w:sz w:val="20"/>
          <w:szCs w:val="20"/>
        </w:rPr>
        <w:t xml:space="preserve">The College of Policing (2021) defines a critical incident as “any incident where the effectiveness of the police response is likely to have a significant impact on the confidence of the victim, their family and/or the community”. Why is it so important that the police maintain the confidence of local communities?  </w:t>
      </w:r>
    </w:p>
    <w:p w14:paraId="3349DAC6"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335AA1F7"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370457DF"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The way I propose to answer this task will be to look at case studies to analyse its impact and the potential consequences that may follow thereafter. Then I will provide an analysis of both the good and bad examples, before looking at cohesion to hopefully avoid the criticality of any incident, whilst reviewing research and doctrine relating to the maintaining confidence through engagement.</w:t>
      </w:r>
    </w:p>
    <w:p w14:paraId="3CABE95E"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2A248F72"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Cambridge (2023) defines confidence as ‘the ability to have trust in people, plans or the future.’ Collins (2023) offers the definition of a community as ‘those who may live in a particular area or place.’</w:t>
      </w:r>
    </w:p>
    <w:p w14:paraId="579FC927"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27F4B49C"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Similarly, the College of Policing (2021) ‘Introduction and Types of Critical Incidents’ - and College of Policing (2023) ‘Critical Incident Management’ support the definitions as well as offering background into a variety of notable historical operational incidents, case studies and principles. One such example is that of the murder of Fiona Pilkington, to which I will return later. </w:t>
      </w:r>
    </w:p>
    <w:p w14:paraId="71C19D89"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2BC57AF2"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Furthermore, College of Policing (2023) ‘Neighbourhood Policing’ discusses and defines this concept as well as the importance of its engagement within our communities, with reference to matters such as keeping people safe, the critical role of the prevention of crime and disorder as well as the securing and handling of information and intelligence from within such neighbourhoods.</w:t>
      </w:r>
    </w:p>
    <w:p w14:paraId="520A583A"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71E7796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However, in critically analysing this task, it is right and proper to offer a contrary view as despite such positive efforts in maintaining confidence within communities, research suggests that where policing and community engagement is found to be lacking - perhaps in the more socially or economically deprived areas of a community - then trust and confidence is significantly reduced, Fraser (2014).</w:t>
      </w:r>
    </w:p>
    <w:p w14:paraId="5828E6BD"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3428D2C7"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So, commencing the review of the utterly tragic events that followed the deaths of Fiona Pilkington and her eighteen-year-old daughter </w:t>
      </w:r>
      <w:proofErr w:type="spellStart"/>
      <w:r w:rsidRPr="006F325A">
        <w:rPr>
          <w:rFonts w:asciiTheme="minorHAnsi" w:hAnsiTheme="minorHAnsi" w:cstheme="minorHAnsi"/>
          <w:sz w:val="20"/>
          <w:szCs w:val="20"/>
        </w:rPr>
        <w:t>Francecca</w:t>
      </w:r>
      <w:proofErr w:type="spellEnd"/>
      <w:r w:rsidRPr="006F325A">
        <w:rPr>
          <w:rFonts w:asciiTheme="minorHAnsi" w:hAnsiTheme="minorHAnsi" w:cstheme="minorHAnsi"/>
          <w:sz w:val="20"/>
          <w:szCs w:val="20"/>
        </w:rPr>
        <w:t xml:space="preserve"> Hardwick in Leicester on October 23, 2007 Walker (2011), I found this case highlighted the repeated and unheeded calls for assistance at the hands of local anti-social behaviour aimed at a very vulnerable young female which resulting in her death as well as that of her mother - and pet rabbit - as they could suffer no more.</w:t>
      </w:r>
    </w:p>
    <w:p w14:paraId="1D2AE846"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121D7FF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Can you just begin to imagine the darkest of places you must be in to start to even contemplate the violent and life-ending actions that followed?</w:t>
      </w:r>
    </w:p>
    <w:p w14:paraId="10C261CD"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C2EA4C2" w14:textId="5968A438"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In answering, you have to wonder at the level of ineffectiveness of responses in </w:t>
      </w:r>
      <w:proofErr w:type="gramStart"/>
      <w:r w:rsidR="001B3BE6" w:rsidRPr="006F325A">
        <w:rPr>
          <w:rFonts w:asciiTheme="minorHAnsi" w:hAnsiTheme="minorHAnsi" w:cstheme="minorHAnsi"/>
          <w:sz w:val="20"/>
          <w:szCs w:val="20"/>
        </w:rPr>
        <w:t>what</w:t>
      </w:r>
      <w:proofErr w:type="gramEnd"/>
    </w:p>
    <w:p w14:paraId="74734B30" w14:textId="77777777" w:rsidR="009D481E" w:rsidRPr="006F325A" w:rsidRDefault="009D481E" w:rsidP="001B3BE6">
      <w:pPr>
        <w:spacing w:after="0" w:line="360" w:lineRule="auto"/>
        <w:ind w:right="0"/>
        <w:jc w:val="left"/>
        <w:rPr>
          <w:rFonts w:asciiTheme="minorHAnsi" w:hAnsiTheme="minorHAnsi" w:cstheme="minorHAnsi"/>
          <w:sz w:val="20"/>
          <w:szCs w:val="20"/>
        </w:rPr>
      </w:pPr>
      <w:r w:rsidRPr="006F325A">
        <w:rPr>
          <w:rFonts w:asciiTheme="minorHAnsi" w:hAnsiTheme="minorHAnsi" w:cstheme="minorHAnsi"/>
          <w:sz w:val="20"/>
          <w:szCs w:val="20"/>
        </w:rPr>
        <w:t xml:space="preserve">appears to be the very model of a critical incident by the above College of Policing definition. With the tragic consequences of both victims, their families, their community and indeed far further afield. It is no surprise then that related communities would think twice about engaging or indeed question the involvement of policing from the outset because of a more than understandable lack of confidence arising out of its failure to respond earlier to appeals for assistance. </w:t>
      </w:r>
    </w:p>
    <w:p w14:paraId="061870C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72ABD510"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Furthermore, in recognising the horror of the reaction and fallout that followed, it wasn’t just the local community or indeed county community of Leicestershire that was affected. There is a strong argument to suggest that representatives of any community where disability or vulnerability is present could be adversely affected and lose confidence. With worldwide media coverage available in moments, such communities are no longer defined by country boundaries and indeed such concern could know no geographical boundary.</w:t>
      </w:r>
    </w:p>
    <w:p w14:paraId="4519C54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8B2991A"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Much went wrong. So, to understand what it was that went wrong and to analyse why such events went so wrong, I start to begin a response with reference to College of Policing (2021) ‘Introduction and Types of Critical Incidents’ which referred to the three phases where community confidence matters are likely to escalate – namely the need to prepare for the potential for such critical incidents, managing them when they present themselves and then to restoring that lost confidence at the earliest opportunity when they have. There is a further argument that such preparation should include early problem-solving opportunities from the outset, College of Policing (2022). </w:t>
      </w:r>
    </w:p>
    <w:p w14:paraId="46A83F87"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3F9A0A0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This response is further supported by NHS England (2015) doctrine, referring to a slightly different health-related definition, but which nevertheless refers to the absolute need to ‘plan and respond to a wide range of incidents and emergencies that could affect care.’</w:t>
      </w:r>
    </w:p>
    <w:p w14:paraId="137F0B7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BE820DD"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Conversely, there is surely an argument that suggests that the best way to maintain community confidence is to avoid the criticality of an incident in the first place – or at least take early action, such as those advocated in the above problem-solving techniques, to mitigate the consequences of an incident in isolation that realises such a catastrophic loss of life. Such earlier interventions would have prevented such tragedy such as this and others such as the serial killer Stephen Port, BBC (2021) and which if actions had been taken sooner would instead have perhaps at least maintained, if not improved local confidence in policing – especially from within the most vulnerable groups such as persons with a learning disability as in Pilkington, or within the gay community following the actions of Port. </w:t>
      </w:r>
    </w:p>
    <w:p w14:paraId="63417415"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610F3380"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It is this improved confidence that would realise a far quicker recovery to the ‘state of normality’ as referred to in College of Policing (2023) ‘Approaches to POPS’ rather than the generational harm that resulted. To reinforce that point, again by moving away from policing, this philosophy of keeping an incident ‘as a </w:t>
      </w:r>
      <w:proofErr w:type="gramStart"/>
      <w:r w:rsidRPr="006F325A">
        <w:rPr>
          <w:rFonts w:asciiTheme="minorHAnsi" w:hAnsiTheme="minorHAnsi" w:cstheme="minorHAnsi"/>
          <w:sz w:val="20"/>
          <w:szCs w:val="20"/>
        </w:rPr>
        <w:t>mole-hill</w:t>
      </w:r>
      <w:proofErr w:type="gramEnd"/>
      <w:r w:rsidRPr="006F325A">
        <w:rPr>
          <w:rFonts w:asciiTheme="minorHAnsi" w:hAnsiTheme="minorHAnsi" w:cstheme="minorHAnsi"/>
          <w:sz w:val="20"/>
          <w:szCs w:val="20"/>
        </w:rPr>
        <w:t xml:space="preserve"> and not a mountain’ also extends into Education as can be seen by </w:t>
      </w:r>
      <w:proofErr w:type="spellStart"/>
      <w:r w:rsidRPr="006F325A">
        <w:rPr>
          <w:rFonts w:asciiTheme="minorHAnsi" w:hAnsiTheme="minorHAnsi" w:cstheme="minorHAnsi"/>
          <w:sz w:val="20"/>
          <w:szCs w:val="20"/>
        </w:rPr>
        <w:t>Mander</w:t>
      </w:r>
      <w:proofErr w:type="spellEnd"/>
      <w:r w:rsidRPr="006F325A">
        <w:rPr>
          <w:rFonts w:asciiTheme="minorHAnsi" w:hAnsiTheme="minorHAnsi" w:cstheme="minorHAnsi"/>
          <w:sz w:val="20"/>
          <w:szCs w:val="20"/>
        </w:rPr>
        <w:t xml:space="preserve"> (2008). </w:t>
      </w:r>
    </w:p>
    <w:p w14:paraId="1F37A898"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354B82B2"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Additionally, in researching the effect of damaging relations with the police after incidents go wrong, </w:t>
      </w:r>
      <w:proofErr w:type="spellStart"/>
      <w:r w:rsidRPr="006F325A">
        <w:rPr>
          <w:rFonts w:asciiTheme="minorHAnsi" w:hAnsiTheme="minorHAnsi" w:cstheme="minorHAnsi"/>
          <w:sz w:val="20"/>
          <w:szCs w:val="20"/>
        </w:rPr>
        <w:t>Mynenko</w:t>
      </w:r>
      <w:proofErr w:type="spellEnd"/>
      <w:r w:rsidRPr="006F325A">
        <w:rPr>
          <w:rFonts w:asciiTheme="minorHAnsi" w:hAnsiTheme="minorHAnsi" w:cstheme="minorHAnsi"/>
          <w:sz w:val="20"/>
          <w:szCs w:val="20"/>
        </w:rPr>
        <w:t xml:space="preserve"> and Ditcham (2022) comment on the ‘need to quickly rebuild public confidence in the police,’ as a result of what they saw as a series of revelations that brought shock to communities and which undermined confidence in local policing as a result. This supports the argument still further of the need to intervene sooner to reduce harm and damage within communities by instead improving such engagement and confidence. It is because of the reliance upon that confidence that the public, and by association its communities, have trust in its policing. That trust is questioned constantly by the challenges of the ever-changing criminal market and the requirement to prevent such crime and maintain order because of it. This confidence is also adversely affected when the perception of such confidence in within those communities of how they are being treated within those challenges. </w:t>
      </w:r>
    </w:p>
    <w:p w14:paraId="2CE1B856"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6A6994A1"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Brown and Hobbs (2023) add that British policing relies on the public’s consent and trust, but also state such trust is not only based on ability and effectiveness, but that it extends perception of how the police maintain confidence within communities.  </w:t>
      </w:r>
    </w:p>
    <w:p w14:paraId="6F77D913"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63CFA00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In recent times, far too may incidents have eroded that confidence with names that have become conversationally popular - Sarah Everard and Wayne </w:t>
      </w:r>
      <w:proofErr w:type="spellStart"/>
      <w:r w:rsidRPr="006F325A">
        <w:rPr>
          <w:rFonts w:asciiTheme="minorHAnsi" w:hAnsiTheme="minorHAnsi" w:cstheme="minorHAnsi"/>
          <w:sz w:val="20"/>
          <w:szCs w:val="20"/>
        </w:rPr>
        <w:t>Couzens</w:t>
      </w:r>
      <w:proofErr w:type="spellEnd"/>
      <w:r w:rsidRPr="006F325A">
        <w:rPr>
          <w:rFonts w:asciiTheme="minorHAnsi" w:hAnsiTheme="minorHAnsi" w:cstheme="minorHAnsi"/>
          <w:sz w:val="20"/>
          <w:szCs w:val="20"/>
        </w:rPr>
        <w:t xml:space="preserve">, Morton (2021) plus Steven Port, Simone (2021) to name but a few. </w:t>
      </w:r>
    </w:p>
    <w:p w14:paraId="2F3AABDF"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78E04B7F"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So how does a police service start to regain that trust and confidence within vulnerable communities when it is it is labelled as misogynist or homophobic? In starting to answer, it is surely because of the need to maintain that confidence and cohesion in the first place. </w:t>
      </w:r>
      <w:bookmarkStart w:id="3" w:name="_Hlk144162501"/>
      <w:r w:rsidRPr="006F325A">
        <w:rPr>
          <w:rFonts w:asciiTheme="minorHAnsi" w:hAnsiTheme="minorHAnsi" w:cstheme="minorHAnsi"/>
          <w:sz w:val="20"/>
          <w:szCs w:val="20"/>
        </w:rPr>
        <w:t xml:space="preserve">Hall (2022), offers almost a defence of some the above, citing the ‘unique service conditions’ as well as the ‘related stresses and strains’ involved in policing. Thankfully, </w:t>
      </w:r>
      <w:bookmarkStart w:id="4" w:name="_Hlk144162928"/>
      <w:r w:rsidRPr="006F325A">
        <w:rPr>
          <w:rFonts w:asciiTheme="minorHAnsi" w:hAnsiTheme="minorHAnsi" w:cstheme="minorHAnsi"/>
          <w:sz w:val="20"/>
          <w:szCs w:val="20"/>
        </w:rPr>
        <w:t xml:space="preserve">Kurtz and Upton (2017) had earlier asserted that such misogynistic behaviour as a ‘sinister undertone.’  </w:t>
      </w:r>
      <w:bookmarkEnd w:id="3"/>
    </w:p>
    <w:p w14:paraId="4FBD3DE6"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29FC76A6"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That trust surely starts to be regained, therefore, by correctly identifying the behavioural and organisational lessons that need to be learned and changing as well as adopting the correct methods to so re-engage. Consequently, the ‘unique service conditions’ offered above can only be a small part of that identification process and never seen as an excuse. Changing and walking away from any ‘sinister’ environment and into an arena of openness and trust should start to leave those damaging effects behind and start to properly establish how better policing impacts on these most vulnerable of communities. This is demonstrated in the Metropolitan Police (2023) Turnaround Plan that ‘refreshes values’ and ‘sets out priority areas that require specific attention.’ Identifying its organisational failings, it is a plan that aims to deliver outcomes of improved performance such as its ‘strongest ever neighbourhood policing’ and a ‘compassionate and effective service to victims’ through 2025 and beyond. </w:t>
      </w:r>
    </w:p>
    <w:bookmarkEnd w:id="4"/>
    <w:p w14:paraId="55608CD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740788A3"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Having seen the damaging effects on policing and started to question and understand the willingness of why people would or would not want to engage with the police, I will now look further at what happens when policing impacts positively and negatively on the community.</w:t>
      </w:r>
    </w:p>
    <w:p w14:paraId="6011DD6F"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2868CDD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Jones (2023) capitalises on positive community engagement, reinforcing the above desires to reach into groups within communities in support of the priorities set out by Chief Constable Jeremy Vaughan of ‘prompt, positive action with partners’ South Wales Police (2023) in participating in a multi-agency parade near the home of Morgan Phillips, a terminally ill three-year-old boy.    </w:t>
      </w:r>
    </w:p>
    <w:p w14:paraId="57AE1EED"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 </w:t>
      </w:r>
    </w:p>
    <w:p w14:paraId="4DE5582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Unfortunately, the perceived negative views of such community engagement </w:t>
      </w:r>
      <w:proofErr w:type="gramStart"/>
      <w:r w:rsidRPr="006F325A">
        <w:rPr>
          <w:rFonts w:asciiTheme="minorHAnsi" w:hAnsiTheme="minorHAnsi" w:cstheme="minorHAnsi"/>
          <w:sz w:val="20"/>
          <w:szCs w:val="20"/>
        </w:rPr>
        <w:t>is</w:t>
      </w:r>
      <w:proofErr w:type="gramEnd"/>
      <w:r w:rsidRPr="006F325A">
        <w:rPr>
          <w:rFonts w:asciiTheme="minorHAnsi" w:hAnsiTheme="minorHAnsi" w:cstheme="minorHAnsi"/>
          <w:sz w:val="20"/>
          <w:szCs w:val="20"/>
        </w:rPr>
        <w:t xml:space="preserve"> also raised and as a result its positive impact is questioned, with criticism of the decision making to allow such attendance sometimes wide ranging and potentially long-lasting. </w:t>
      </w:r>
    </w:p>
    <w:p w14:paraId="72743CF0"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7052C2CA"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Contrast this with Mathews (2023) and the disorder that followed the pursuit of two young males riding unlawfully on an e-bike understood to be stolen. Two deaths followed, as did localised rioting and significant community harm. It raised moral and ethical questions over the pursuit of such bikes when ridden by youths in the first place as well as suggesting officers should be expected to turn a blind eye to such offending - and in so doing incur the wrath of the other point of view within that same community.</w:t>
      </w:r>
    </w:p>
    <w:p w14:paraId="3207A61C"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6A7C5B35"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Impartiality is the answer, accompanied by the trust of the community to investigate but still maintain the confidence of the community affected. Either way, having seen the impact of good and bad upon a community, someone has to pick up the pieces thereafter and this is the task of community policing as they foster and maintain that often fragile cohesion. </w:t>
      </w:r>
    </w:p>
    <w:p w14:paraId="3FC3F4B1"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5B8F0E7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Such practices are front and centre in most, if not all policing priorities. An example is West Yorkshire PCC (2023) which talks of ‘strengthening relationships with communities’ to be ‘better able to understand the issues which really matter’ and to ‘encourage inclusivity’ to mitigate a variety of threats and threads that can unravel that very cohesion that is sought.</w:t>
      </w:r>
    </w:p>
    <w:p w14:paraId="1A2B58E8"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BFE760E"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College of Policing (2021) ‘Engaging Communities’ also offers further cohesion advice including ‘visibility, contact, availability, engagement and understanding’ as essentials for the journey. But is it and should it all be, police led? Local Government Association (2019) suggests councils and councillors have key roles to play, but surely full cohesion allows all a voice with differing agencies taking the lead role in differing areas of tension or crises?</w:t>
      </w:r>
    </w:p>
    <w:p w14:paraId="3C03AC49"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73F54502"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In answering that question, we draw this task to a close by looking at the principles of such engagement having accepted that all have a part to play in longer term community cohesion. Schlake (2015) offers nine such principles that include sharing goals and purposes, an understanding of each-others community, removing obstructions to progress as a result, seeing through problems fully, learning together as partners, mutual respect, plus many more in the pursuit of longer-term strategic aims and ambitions.</w:t>
      </w:r>
    </w:p>
    <w:p w14:paraId="23654B6C"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00B4515"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The reality is that challenges are often found in the delivery where one side suggests the other is either or has a stronger position. Reassuring however is that partners also offer variations on a similar theme. NHS Wales (2019) in recognising the importance of ‘acknowledging a power imbalance’ asserted that even though these issues may be apparent in fostering cohesion, it is important to be ‘explicit about relinquishing’ such strength or power when such knowledge is required to maintain it. </w:t>
      </w:r>
    </w:p>
    <w:p w14:paraId="4B65D7BF"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1D129F2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By way of a personal example, I will refer to an incident where serious disorder was anticipated by a group of young, predominantly black males in a deprived, city centre community. Rather than deploy specialist officers trained and equipped to deploy and deliver public order tactics such as crowd dispersals, instead a local civic leader was contacted. He in turn, aware of the sensitivities of such an intervention where injury was likely to both sides, contacted someone with a much stronger position in the community - the mothers of those suspected of involvement! </w:t>
      </w:r>
    </w:p>
    <w:p w14:paraId="6E71017F"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0534CEB"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 xml:space="preserve">Messages were delivered quickly and directly to all involved as to the consequences and all was reported as quiet within the hour. Effective community engagement – impartiality with the enhanced trust of the local community, enhancing cohesion and avoiding a potentially critical incident.  </w:t>
      </w:r>
    </w:p>
    <w:p w14:paraId="16BA768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p>
    <w:p w14:paraId="0A6160B4" w14:textId="77777777" w:rsidR="009D481E" w:rsidRPr="006F325A" w:rsidRDefault="009D481E" w:rsidP="00EF026C">
      <w:pPr>
        <w:spacing w:after="0" w:line="360" w:lineRule="auto"/>
        <w:ind w:left="566" w:right="0" w:firstLine="0"/>
        <w:jc w:val="left"/>
        <w:rPr>
          <w:rFonts w:asciiTheme="minorHAnsi" w:hAnsiTheme="minorHAnsi" w:cstheme="minorHAnsi"/>
          <w:sz w:val="20"/>
          <w:szCs w:val="20"/>
        </w:rPr>
      </w:pPr>
      <w:r w:rsidRPr="006F325A">
        <w:rPr>
          <w:rFonts w:asciiTheme="minorHAnsi" w:hAnsiTheme="minorHAnsi" w:cstheme="minorHAnsi"/>
          <w:sz w:val="20"/>
          <w:szCs w:val="20"/>
        </w:rPr>
        <w:t>To summarise then, I have provided an insight into why trust and confidence within communities is so important by providing examples of the consequences of when it is lost as well as offering insights into options to mitigate such areas of concern at the earliest opportunities. Then offered analysis on the damaging effect of lost trust and then looked at the effects of good and bad community interactions and the impact on cohesion. Research supported opinion supporting effective policing engagement whilst questioning whether community policing engagement needs to be police led – when another authority can effectively enhance confidence in the ability of the police within communities.</w:t>
      </w:r>
    </w:p>
    <w:p w14:paraId="54C78474"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053148D7" w14:textId="77777777" w:rsidR="009D481E" w:rsidRPr="006F325A" w:rsidRDefault="009D481E" w:rsidP="009D481E">
      <w:pPr>
        <w:spacing w:after="0" w:line="259" w:lineRule="auto"/>
        <w:ind w:left="566" w:right="0" w:firstLine="0"/>
        <w:jc w:val="right"/>
        <w:rPr>
          <w:rFonts w:asciiTheme="minorHAnsi" w:hAnsiTheme="minorHAnsi" w:cstheme="minorHAnsi"/>
          <w:color w:val="FF0000"/>
          <w:sz w:val="20"/>
          <w:szCs w:val="20"/>
        </w:rPr>
      </w:pPr>
      <w:r w:rsidRPr="006F325A">
        <w:rPr>
          <w:rFonts w:asciiTheme="minorHAnsi" w:hAnsiTheme="minorHAnsi" w:cstheme="minorHAnsi"/>
          <w:sz w:val="20"/>
          <w:szCs w:val="20"/>
        </w:rPr>
        <w:t xml:space="preserve">Word </w:t>
      </w:r>
      <w:r w:rsidRPr="006F325A">
        <w:rPr>
          <w:rFonts w:asciiTheme="minorHAnsi" w:hAnsiTheme="minorHAnsi" w:cstheme="minorHAnsi"/>
          <w:color w:val="auto"/>
          <w:sz w:val="20"/>
          <w:szCs w:val="20"/>
        </w:rPr>
        <w:t>Count 2187</w:t>
      </w:r>
    </w:p>
    <w:p w14:paraId="4EC41EF8"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54E4F924" w14:textId="77777777" w:rsidR="009D481E" w:rsidRPr="006F325A" w:rsidRDefault="009D481E" w:rsidP="009D481E">
      <w:pPr>
        <w:spacing w:after="0" w:line="259" w:lineRule="auto"/>
        <w:ind w:left="566" w:right="0" w:firstLine="0"/>
        <w:jc w:val="left"/>
        <w:rPr>
          <w:rFonts w:asciiTheme="minorHAnsi" w:hAnsiTheme="minorHAnsi" w:cstheme="minorHAnsi"/>
          <w:sz w:val="20"/>
          <w:szCs w:val="20"/>
        </w:rPr>
      </w:pPr>
    </w:p>
    <w:p w14:paraId="4FB1CFA8" w14:textId="7405F0C7" w:rsidR="00CE6882" w:rsidRPr="006F325A" w:rsidRDefault="00CE6882" w:rsidP="006F325A">
      <w:pPr>
        <w:spacing w:after="0" w:line="259" w:lineRule="auto"/>
        <w:ind w:left="566" w:right="0" w:firstLine="0"/>
        <w:jc w:val="left"/>
        <w:rPr>
          <w:rFonts w:asciiTheme="minorHAnsi" w:hAnsiTheme="minorHAnsi" w:cstheme="minorHAnsi"/>
          <w:sz w:val="20"/>
          <w:szCs w:val="20"/>
        </w:rPr>
      </w:pPr>
    </w:p>
    <w:p w14:paraId="681CDCFD" w14:textId="77777777" w:rsidR="00CE6882" w:rsidRDefault="00CE6882" w:rsidP="009D481E">
      <w:pPr>
        <w:spacing w:after="0" w:line="259" w:lineRule="auto"/>
        <w:ind w:left="566" w:right="0" w:firstLine="0"/>
        <w:jc w:val="left"/>
        <w:rPr>
          <w:sz w:val="22"/>
        </w:rPr>
      </w:pPr>
    </w:p>
    <w:p w14:paraId="493DBDE4" w14:textId="77777777" w:rsidR="00CE6882" w:rsidRDefault="00CE6882" w:rsidP="009D481E">
      <w:pPr>
        <w:spacing w:after="0" w:line="259" w:lineRule="auto"/>
        <w:ind w:left="566" w:right="0" w:firstLine="0"/>
        <w:jc w:val="left"/>
        <w:rPr>
          <w:sz w:val="22"/>
        </w:rPr>
      </w:pPr>
    </w:p>
    <w:p w14:paraId="08AEFFD4" w14:textId="77777777" w:rsidR="009D481E" w:rsidRDefault="009D481E" w:rsidP="009D481E">
      <w:pPr>
        <w:spacing w:after="0" w:line="259" w:lineRule="auto"/>
        <w:ind w:left="566" w:right="0" w:firstLine="0"/>
        <w:jc w:val="left"/>
        <w:rPr>
          <w:sz w:val="22"/>
        </w:rPr>
      </w:pPr>
    </w:p>
    <w:p w14:paraId="4E333499" w14:textId="77777777" w:rsidR="00715201" w:rsidRDefault="00715201" w:rsidP="009D481E">
      <w:pPr>
        <w:spacing w:after="0" w:line="240" w:lineRule="auto"/>
        <w:ind w:left="0" w:right="0" w:firstLine="0"/>
        <w:jc w:val="left"/>
        <w:rPr>
          <w:sz w:val="22"/>
        </w:rPr>
      </w:pPr>
      <w:bookmarkStart w:id="5" w:name="_Hlk144303430"/>
    </w:p>
    <w:p w14:paraId="582DE9B0" w14:textId="49A80777" w:rsidR="009D481E" w:rsidRDefault="009D481E" w:rsidP="009D481E">
      <w:pPr>
        <w:spacing w:after="0" w:line="240" w:lineRule="auto"/>
        <w:ind w:left="0" w:right="0" w:firstLine="0"/>
        <w:jc w:val="left"/>
        <w:rPr>
          <w:rFonts w:eastAsia="Times New Roman"/>
          <w:b/>
          <w:bCs/>
          <w:kern w:val="0"/>
          <w:sz w:val="20"/>
          <w:szCs w:val="20"/>
          <w14:ligatures w14:val="none"/>
        </w:rPr>
      </w:pPr>
      <w:r w:rsidRPr="00D55BCE">
        <w:rPr>
          <w:rFonts w:eastAsia="Times New Roman"/>
          <w:b/>
          <w:bCs/>
          <w:kern w:val="0"/>
          <w:sz w:val="20"/>
          <w:szCs w:val="20"/>
          <w14:ligatures w14:val="none"/>
        </w:rPr>
        <w:t>Bibliography</w:t>
      </w:r>
    </w:p>
    <w:p w14:paraId="746AD9D4" w14:textId="77777777" w:rsidR="009D481E" w:rsidRDefault="009D481E" w:rsidP="009D481E">
      <w:pPr>
        <w:spacing w:after="0" w:line="240" w:lineRule="auto"/>
        <w:ind w:left="0" w:right="0" w:firstLine="0"/>
        <w:jc w:val="left"/>
        <w:rPr>
          <w:rFonts w:eastAsia="Times New Roman"/>
          <w:b/>
          <w:bCs/>
          <w:kern w:val="0"/>
          <w:sz w:val="20"/>
          <w:szCs w:val="20"/>
          <w14:ligatures w14:val="none"/>
        </w:rPr>
      </w:pPr>
    </w:p>
    <w:p w14:paraId="42339280" w14:textId="77777777" w:rsidR="009D481E" w:rsidRPr="009473A0" w:rsidRDefault="009D481E" w:rsidP="009D481E">
      <w:pPr>
        <w:spacing w:after="0" w:line="240" w:lineRule="auto"/>
        <w:ind w:left="0" w:right="0" w:firstLine="0"/>
        <w:jc w:val="left"/>
        <w:rPr>
          <w:rFonts w:ascii="Times New Roman" w:eastAsia="Times New Roman" w:hAnsi="Times New Roman" w:cs="Times New Roman"/>
          <w:color w:val="auto"/>
          <w:kern w:val="0"/>
          <w:sz w:val="20"/>
          <w:szCs w:val="20"/>
          <w14:ligatures w14:val="none"/>
        </w:rPr>
      </w:pPr>
    </w:p>
    <w:p w14:paraId="4F881556" w14:textId="77777777" w:rsidR="009D481E" w:rsidRPr="00AF6847" w:rsidRDefault="009D481E" w:rsidP="009D481E">
      <w:pPr>
        <w:pStyle w:val="NormalWeb"/>
        <w:numPr>
          <w:ilvl w:val="0"/>
          <w:numId w:val="4"/>
        </w:numPr>
        <w:rPr>
          <w:sz w:val="20"/>
          <w:szCs w:val="20"/>
        </w:rPr>
      </w:pPr>
      <w:r w:rsidRPr="009473A0">
        <w:rPr>
          <w:sz w:val="20"/>
          <w:szCs w:val="20"/>
        </w:rPr>
        <w:t>BBC News (202</w:t>
      </w:r>
      <w:r>
        <w:rPr>
          <w:sz w:val="20"/>
          <w:szCs w:val="20"/>
        </w:rPr>
        <w:t>1</w:t>
      </w:r>
      <w:r w:rsidRPr="009473A0">
        <w:rPr>
          <w:sz w:val="20"/>
          <w:szCs w:val="20"/>
        </w:rPr>
        <w:t>)</w:t>
      </w:r>
      <w:r>
        <w:rPr>
          <w:i/>
          <w:iCs/>
          <w:sz w:val="20"/>
          <w:szCs w:val="20"/>
        </w:rPr>
        <w:t xml:space="preserve"> </w:t>
      </w:r>
      <w:r w:rsidRPr="00AF6847">
        <w:rPr>
          <w:i/>
          <w:iCs/>
          <w:sz w:val="20"/>
          <w:szCs w:val="20"/>
        </w:rPr>
        <w:t xml:space="preserve">“Stephen Port: Met Police Failings Led to More Deaths” </w:t>
      </w:r>
      <w:r w:rsidRPr="00AF6847">
        <w:rPr>
          <w:sz w:val="20"/>
          <w:szCs w:val="20"/>
        </w:rPr>
        <w:t>(</w:t>
      </w:r>
      <w:r>
        <w:rPr>
          <w:sz w:val="20"/>
          <w:szCs w:val="20"/>
        </w:rPr>
        <w:t>2021</w:t>
      </w:r>
      <w:r w:rsidRPr="00AF6847">
        <w:rPr>
          <w:sz w:val="20"/>
          <w:szCs w:val="20"/>
        </w:rPr>
        <w:t xml:space="preserve">). Available at: https://www.bbc.co.uk/news/uk-england-london-59593887 (Accessed: 09 July 2023). </w:t>
      </w:r>
    </w:p>
    <w:p w14:paraId="32A7601B" w14:textId="77777777" w:rsidR="009D481E" w:rsidRPr="009473A0" w:rsidRDefault="009D481E" w:rsidP="009D481E">
      <w:pPr>
        <w:pStyle w:val="ListParagraph"/>
        <w:spacing w:after="0" w:line="259" w:lineRule="auto"/>
        <w:ind w:right="0" w:firstLine="0"/>
        <w:jc w:val="left"/>
        <w:rPr>
          <w:rFonts w:ascii="Times New Roman" w:eastAsiaTheme="minorHAnsi" w:hAnsi="Times New Roman" w:cs="Times New Roman"/>
          <w:i/>
          <w:iCs/>
          <w:color w:val="auto"/>
          <w:sz w:val="20"/>
          <w:szCs w:val="20"/>
          <w:lang w:eastAsia="en-US"/>
        </w:rPr>
      </w:pPr>
    </w:p>
    <w:p w14:paraId="5A1EB9CF" w14:textId="77777777" w:rsidR="009D481E" w:rsidRPr="00E222EE" w:rsidRDefault="009D481E" w:rsidP="009D481E">
      <w:pPr>
        <w:pStyle w:val="ListParagraph"/>
        <w:numPr>
          <w:ilvl w:val="0"/>
          <w:numId w:val="3"/>
        </w:numPr>
        <w:spacing w:after="0" w:line="259" w:lineRule="auto"/>
        <w:ind w:right="0"/>
        <w:jc w:val="left"/>
        <w:rPr>
          <w:rFonts w:ascii="Times New Roman" w:eastAsiaTheme="minorHAnsi" w:hAnsi="Times New Roman" w:cs="Times New Roman"/>
          <w:i/>
          <w:iCs/>
          <w:color w:val="auto"/>
          <w:sz w:val="20"/>
          <w:szCs w:val="20"/>
          <w:lang w:eastAsia="en-US"/>
        </w:rPr>
      </w:pPr>
      <w:r w:rsidRPr="00CC0096">
        <w:rPr>
          <w:rFonts w:ascii="Times New Roman" w:eastAsiaTheme="minorHAnsi" w:hAnsi="Times New Roman" w:cs="Times New Roman"/>
          <w:color w:val="auto"/>
          <w:sz w:val="20"/>
          <w:szCs w:val="20"/>
          <w:lang w:eastAsia="en-US"/>
        </w:rPr>
        <w:t xml:space="preserve">Brown and Hobbs (2023) </w:t>
      </w:r>
      <w:r>
        <w:rPr>
          <w:rFonts w:ascii="Times New Roman" w:eastAsiaTheme="minorHAnsi" w:hAnsi="Times New Roman" w:cs="Times New Roman"/>
          <w:i/>
          <w:iCs/>
          <w:color w:val="auto"/>
          <w:sz w:val="20"/>
          <w:szCs w:val="20"/>
          <w:lang w:eastAsia="en-US"/>
        </w:rPr>
        <w:t>-</w:t>
      </w:r>
      <w:r w:rsidRPr="00E222EE">
        <w:rPr>
          <w:rFonts w:ascii="Times New Roman" w:eastAsiaTheme="minorHAnsi" w:hAnsi="Times New Roman" w:cs="Times New Roman"/>
          <w:i/>
          <w:iCs/>
          <w:color w:val="auto"/>
          <w:sz w:val="20"/>
          <w:szCs w:val="20"/>
          <w:lang w:eastAsia="en-US"/>
        </w:rPr>
        <w:t xml:space="preserve"> “Trust in the Police” - </w:t>
      </w:r>
    </w:p>
    <w:p w14:paraId="67CB1768" w14:textId="77777777" w:rsidR="009D481E" w:rsidRPr="00E222EE" w:rsidRDefault="009D481E" w:rsidP="009D481E">
      <w:pPr>
        <w:pStyle w:val="ListParagraph"/>
        <w:spacing w:after="0" w:line="259" w:lineRule="auto"/>
        <w:ind w:right="0" w:firstLine="0"/>
        <w:jc w:val="left"/>
        <w:rPr>
          <w:rFonts w:ascii="Times New Roman" w:eastAsiaTheme="minorHAnsi" w:hAnsi="Times New Roman" w:cs="Times New Roman"/>
          <w:color w:val="auto"/>
          <w:sz w:val="20"/>
          <w:szCs w:val="20"/>
          <w:lang w:eastAsia="en-US"/>
        </w:rPr>
      </w:pPr>
      <w:r w:rsidRPr="00E222EE">
        <w:rPr>
          <w:rFonts w:ascii="Times New Roman" w:eastAsiaTheme="minorHAnsi" w:hAnsi="Times New Roman" w:cs="Times New Roman"/>
          <w:i/>
          <w:iCs/>
          <w:color w:val="auto"/>
          <w:sz w:val="20"/>
          <w:szCs w:val="20"/>
          <w:lang w:eastAsia="en-US"/>
        </w:rPr>
        <w:t xml:space="preserve">Trust in the police - researchbriefings.files.parliament.uk (2023) Trust in the Police. </w:t>
      </w:r>
      <w:r w:rsidRPr="00E222EE">
        <w:rPr>
          <w:rFonts w:ascii="Times New Roman" w:eastAsiaTheme="minorHAnsi" w:hAnsi="Times New Roman" w:cs="Times New Roman"/>
          <w:color w:val="auto"/>
          <w:sz w:val="20"/>
          <w:szCs w:val="20"/>
          <w:lang w:eastAsia="en-US"/>
        </w:rPr>
        <w:t>Available at: https://researchbriefings.files.parliament.uk/documents/POST-PN-0693/POST-PN-0693.pdf (Accessed: 20 August 2023).</w:t>
      </w:r>
    </w:p>
    <w:p w14:paraId="754DEF7B" w14:textId="77777777" w:rsidR="009D481E" w:rsidRPr="00E222EE" w:rsidRDefault="009D481E" w:rsidP="009D481E">
      <w:pPr>
        <w:pStyle w:val="ListParagraph"/>
        <w:spacing w:after="0" w:line="259" w:lineRule="auto"/>
        <w:ind w:right="0" w:firstLine="0"/>
        <w:jc w:val="left"/>
        <w:rPr>
          <w:rFonts w:ascii="Times New Roman" w:eastAsiaTheme="minorHAnsi" w:hAnsi="Times New Roman" w:cs="Times New Roman"/>
          <w:i/>
          <w:iCs/>
          <w:color w:val="auto"/>
          <w:sz w:val="20"/>
          <w:szCs w:val="20"/>
          <w:lang w:eastAsia="en-US"/>
        </w:rPr>
      </w:pPr>
    </w:p>
    <w:p w14:paraId="49E947CE" w14:textId="77777777" w:rsidR="009D481E" w:rsidRPr="00E222EE" w:rsidRDefault="009D481E" w:rsidP="009D481E">
      <w:pPr>
        <w:numPr>
          <w:ilvl w:val="0"/>
          <w:numId w:val="1"/>
        </w:numPr>
        <w:spacing w:after="0" w:line="259" w:lineRule="auto"/>
        <w:ind w:right="0"/>
        <w:contextualSpacing/>
        <w:jc w:val="left"/>
        <w:rPr>
          <w:rFonts w:ascii="Times New Roman" w:hAnsi="Times New Roman" w:cs="Times New Roman"/>
          <w:i/>
          <w:iCs/>
          <w:sz w:val="20"/>
          <w:szCs w:val="20"/>
        </w:rPr>
      </w:pPr>
      <w:r w:rsidRPr="00CC0096">
        <w:rPr>
          <w:rFonts w:ascii="Times New Roman" w:eastAsiaTheme="minorHAnsi" w:hAnsi="Times New Roman" w:cs="Times New Roman"/>
          <w:color w:val="auto"/>
          <w:sz w:val="20"/>
          <w:szCs w:val="20"/>
          <w:lang w:eastAsia="en-US"/>
        </w:rPr>
        <w:t>Cambridge Dictionary (2023)</w:t>
      </w:r>
      <w:r>
        <w:rPr>
          <w:rFonts w:ascii="Times New Roman" w:eastAsiaTheme="minorHAnsi" w:hAnsi="Times New Roman" w:cs="Times New Roman"/>
          <w:i/>
          <w:iCs/>
          <w:color w:val="auto"/>
          <w:sz w:val="20"/>
          <w:szCs w:val="20"/>
          <w:lang w:eastAsia="en-US"/>
        </w:rPr>
        <w:t xml:space="preserve"> -</w:t>
      </w:r>
      <w:r w:rsidRPr="00E222EE">
        <w:rPr>
          <w:rFonts w:ascii="Times New Roman" w:eastAsiaTheme="minorHAnsi" w:hAnsi="Times New Roman" w:cs="Times New Roman"/>
          <w:i/>
          <w:iCs/>
          <w:color w:val="auto"/>
          <w:sz w:val="20"/>
          <w:szCs w:val="20"/>
          <w:lang w:eastAsia="en-US"/>
        </w:rPr>
        <w:t xml:space="preserve"> “Definition of ‘Confidence’” - </w:t>
      </w:r>
      <w:r w:rsidRPr="00E222EE">
        <w:rPr>
          <w:rFonts w:ascii="Times New Roman" w:hAnsi="Times New Roman" w:cs="Times New Roman"/>
          <w:i/>
          <w:iCs/>
          <w:sz w:val="20"/>
          <w:szCs w:val="20"/>
        </w:rPr>
        <w:t xml:space="preserve">Vale, D., Mullaney, S. and </w:t>
      </w:r>
      <w:proofErr w:type="spellStart"/>
      <w:r w:rsidRPr="00E222EE">
        <w:rPr>
          <w:rFonts w:ascii="Times New Roman" w:hAnsi="Times New Roman" w:cs="Times New Roman"/>
          <w:i/>
          <w:iCs/>
          <w:sz w:val="20"/>
          <w:szCs w:val="20"/>
        </w:rPr>
        <w:t>Hartas</w:t>
      </w:r>
      <w:proofErr w:type="spellEnd"/>
      <w:r w:rsidRPr="00E222EE">
        <w:rPr>
          <w:rFonts w:ascii="Times New Roman" w:hAnsi="Times New Roman" w:cs="Times New Roman"/>
          <w:i/>
          <w:iCs/>
          <w:sz w:val="20"/>
          <w:szCs w:val="20"/>
        </w:rPr>
        <w:t xml:space="preserve">, L. (2023) ‘“Confidence”’, The Cambridge Dictionary. Cambridge: Cambridge University Press. </w:t>
      </w:r>
      <w:r w:rsidRPr="00E222EE">
        <w:rPr>
          <w:rFonts w:ascii="Times New Roman" w:hAnsi="Times New Roman" w:cs="Times New Roman"/>
          <w:sz w:val="20"/>
          <w:szCs w:val="20"/>
        </w:rPr>
        <w:t xml:space="preserve">Available at: </w:t>
      </w:r>
      <w:hyperlink r:id="rId5" w:history="1">
        <w:r w:rsidRPr="00E222EE">
          <w:rPr>
            <w:rStyle w:val="Hyperlink"/>
            <w:rFonts w:ascii="Times New Roman" w:hAnsi="Times New Roman" w:cs="Times New Roman"/>
            <w:color w:val="auto"/>
            <w:sz w:val="20"/>
            <w:szCs w:val="20"/>
            <w:u w:val="none"/>
          </w:rPr>
          <w:t>https://dictionary.cambridge.org/dictionary/english/confidence</w:t>
        </w:r>
      </w:hyperlink>
      <w:r w:rsidRPr="00E222EE">
        <w:rPr>
          <w:rFonts w:ascii="Times New Roman" w:hAnsi="Times New Roman" w:cs="Times New Roman"/>
          <w:sz w:val="20"/>
          <w:szCs w:val="20"/>
        </w:rPr>
        <w:t xml:space="preserve"> (Accessed: 20 August 2023).</w:t>
      </w:r>
    </w:p>
    <w:p w14:paraId="15748913" w14:textId="77777777" w:rsidR="009D481E" w:rsidRPr="00E222EE" w:rsidRDefault="009D481E" w:rsidP="009D481E">
      <w:pPr>
        <w:spacing w:after="0" w:line="259" w:lineRule="auto"/>
        <w:ind w:right="0"/>
        <w:contextualSpacing/>
        <w:jc w:val="left"/>
        <w:rPr>
          <w:rFonts w:ascii="Times New Roman" w:hAnsi="Times New Roman" w:cs="Times New Roman"/>
          <w:i/>
          <w:iCs/>
          <w:sz w:val="20"/>
          <w:szCs w:val="20"/>
        </w:rPr>
      </w:pPr>
    </w:p>
    <w:p w14:paraId="32BB4C36" w14:textId="77777777" w:rsidR="009D481E" w:rsidRPr="00E222EE" w:rsidRDefault="009D481E" w:rsidP="009D481E">
      <w:pPr>
        <w:spacing w:after="0" w:line="259" w:lineRule="auto"/>
        <w:ind w:right="0"/>
        <w:contextualSpacing/>
        <w:jc w:val="left"/>
        <w:rPr>
          <w:rFonts w:ascii="Times New Roman" w:hAnsi="Times New Roman" w:cs="Times New Roman"/>
          <w:i/>
          <w:iCs/>
          <w:sz w:val="20"/>
          <w:szCs w:val="20"/>
        </w:rPr>
      </w:pPr>
    </w:p>
    <w:p w14:paraId="566770D5" w14:textId="77777777" w:rsidR="009D481E" w:rsidRPr="00A34439" w:rsidRDefault="009D481E" w:rsidP="009D481E">
      <w:pPr>
        <w:numPr>
          <w:ilvl w:val="0"/>
          <w:numId w:val="1"/>
        </w:numPr>
        <w:spacing w:after="160" w:line="259" w:lineRule="auto"/>
        <w:ind w:right="0"/>
        <w:contextualSpacing/>
        <w:jc w:val="left"/>
        <w:rPr>
          <w:rFonts w:ascii="Times New Roman" w:eastAsiaTheme="minorHAnsi" w:hAnsi="Times New Roman" w:cs="Times New Roman"/>
          <w:color w:val="auto"/>
          <w:sz w:val="20"/>
          <w:szCs w:val="20"/>
          <w:lang w:eastAsia="en-US"/>
        </w:rPr>
      </w:pPr>
      <w:r w:rsidRPr="00CC0096">
        <w:rPr>
          <w:rFonts w:ascii="Times New Roman" w:hAnsi="Times New Roman" w:cs="Times New Roman"/>
          <w:sz w:val="20"/>
          <w:szCs w:val="20"/>
        </w:rPr>
        <w:t>Collins Dictionary (2023)</w:t>
      </w:r>
      <w:r>
        <w:rPr>
          <w:rFonts w:ascii="Times New Roman" w:hAnsi="Times New Roman" w:cs="Times New Roman"/>
          <w:i/>
          <w:iCs/>
          <w:sz w:val="20"/>
          <w:szCs w:val="20"/>
        </w:rPr>
        <w:t xml:space="preserve"> -</w:t>
      </w:r>
      <w:r w:rsidRPr="00E222EE">
        <w:rPr>
          <w:rFonts w:ascii="Times New Roman" w:hAnsi="Times New Roman" w:cs="Times New Roman"/>
          <w:i/>
          <w:iCs/>
          <w:sz w:val="20"/>
          <w:szCs w:val="20"/>
        </w:rPr>
        <w:t xml:space="preserve"> ‘’Definition of Community’’ (2023) Collins dictionary. Glasgow: HarperCollins. </w:t>
      </w:r>
      <w:r w:rsidRPr="00A34439">
        <w:rPr>
          <w:rFonts w:ascii="Times New Roman" w:hAnsi="Times New Roman" w:cs="Times New Roman"/>
          <w:sz w:val="20"/>
          <w:szCs w:val="20"/>
        </w:rPr>
        <w:t xml:space="preserve">Available at: </w:t>
      </w:r>
      <w:hyperlink r:id="rId6" w:history="1">
        <w:r w:rsidRPr="00A34439">
          <w:rPr>
            <w:rStyle w:val="Hyperlink"/>
            <w:rFonts w:ascii="Times New Roman" w:eastAsiaTheme="minorHAnsi" w:hAnsi="Times New Roman" w:cs="Times New Roman"/>
            <w:color w:val="auto"/>
            <w:sz w:val="20"/>
            <w:szCs w:val="20"/>
            <w:u w:val="none"/>
            <w:lang w:eastAsia="en-US"/>
          </w:rPr>
          <w:t>https://www.collinsdictionary.com/dictionary/english/community</w:t>
        </w:r>
      </w:hyperlink>
      <w:r w:rsidRPr="00A34439">
        <w:rPr>
          <w:rFonts w:ascii="Times New Roman" w:eastAsiaTheme="minorHAnsi" w:hAnsi="Times New Roman" w:cs="Times New Roman"/>
          <w:color w:val="auto"/>
          <w:sz w:val="20"/>
          <w:szCs w:val="20"/>
          <w:lang w:eastAsia="en-US"/>
        </w:rPr>
        <w:t xml:space="preserve"> (Accessed: 20 August 2023).</w:t>
      </w:r>
    </w:p>
    <w:p w14:paraId="59608494" w14:textId="77777777" w:rsidR="009D481E" w:rsidRPr="00E222EE" w:rsidRDefault="009D481E" w:rsidP="009D481E">
      <w:pPr>
        <w:spacing w:after="160" w:line="259" w:lineRule="auto"/>
        <w:ind w:left="0" w:right="0" w:firstLine="0"/>
        <w:contextualSpacing/>
        <w:jc w:val="left"/>
        <w:rPr>
          <w:rFonts w:ascii="Times New Roman" w:eastAsiaTheme="minorHAnsi" w:hAnsi="Times New Roman" w:cs="Times New Roman"/>
          <w:i/>
          <w:iCs/>
          <w:color w:val="auto"/>
          <w:sz w:val="20"/>
          <w:szCs w:val="20"/>
          <w:lang w:eastAsia="en-US"/>
        </w:rPr>
      </w:pPr>
    </w:p>
    <w:p w14:paraId="66CAFC80" w14:textId="77777777" w:rsidR="009D481E" w:rsidRDefault="009D481E" w:rsidP="009D481E">
      <w:pPr>
        <w:pStyle w:val="NormalWeb"/>
        <w:numPr>
          <w:ilvl w:val="0"/>
          <w:numId w:val="1"/>
        </w:numPr>
        <w:rPr>
          <w:sz w:val="20"/>
          <w:szCs w:val="20"/>
        </w:rPr>
      </w:pPr>
      <w:r w:rsidRPr="00CC0096">
        <w:rPr>
          <w:sz w:val="20"/>
          <w:szCs w:val="20"/>
        </w:rPr>
        <w:t>College of Policing (2021)</w:t>
      </w:r>
      <w:r>
        <w:rPr>
          <w:i/>
          <w:iCs/>
          <w:sz w:val="20"/>
          <w:szCs w:val="20"/>
        </w:rPr>
        <w:t xml:space="preserve"> </w:t>
      </w:r>
      <w:proofErr w:type="gramStart"/>
      <w:r>
        <w:rPr>
          <w:i/>
          <w:iCs/>
          <w:sz w:val="20"/>
          <w:szCs w:val="20"/>
        </w:rPr>
        <w:t>-“</w:t>
      </w:r>
      <w:proofErr w:type="gramEnd"/>
      <w:r w:rsidRPr="00E222EE">
        <w:rPr>
          <w:i/>
          <w:iCs/>
          <w:sz w:val="20"/>
          <w:szCs w:val="20"/>
        </w:rPr>
        <w:t>Engaging communitie</w:t>
      </w:r>
      <w:r>
        <w:rPr>
          <w:i/>
          <w:iCs/>
          <w:sz w:val="20"/>
          <w:szCs w:val="20"/>
        </w:rPr>
        <w:t>s”</w:t>
      </w:r>
      <w:r w:rsidRPr="00E222EE">
        <w:rPr>
          <w:i/>
          <w:iCs/>
          <w:sz w:val="20"/>
          <w:szCs w:val="20"/>
        </w:rPr>
        <w:t xml:space="preserve"> College </w:t>
      </w:r>
      <w:r>
        <w:rPr>
          <w:i/>
          <w:iCs/>
          <w:sz w:val="20"/>
          <w:szCs w:val="20"/>
        </w:rPr>
        <w:t>of Policing</w:t>
      </w:r>
      <w:r w:rsidRPr="00E222EE">
        <w:rPr>
          <w:i/>
          <w:iCs/>
          <w:sz w:val="20"/>
          <w:szCs w:val="20"/>
        </w:rPr>
        <w:t xml:space="preserve">. </w:t>
      </w:r>
      <w:r w:rsidRPr="00E222EE">
        <w:rPr>
          <w:sz w:val="20"/>
          <w:szCs w:val="20"/>
        </w:rPr>
        <w:t xml:space="preserve">Available at: https://www.college.police.uk/guidance/neighbourhood-policing/engaging-communities (Accessed: 19 August 2023). </w:t>
      </w:r>
    </w:p>
    <w:p w14:paraId="1445B96E" w14:textId="77777777" w:rsidR="009D481E" w:rsidRPr="00E50506" w:rsidRDefault="009D481E" w:rsidP="009D481E">
      <w:pPr>
        <w:pStyle w:val="NormalWeb"/>
        <w:ind w:left="360"/>
        <w:rPr>
          <w:sz w:val="20"/>
          <w:szCs w:val="20"/>
        </w:rPr>
      </w:pPr>
    </w:p>
    <w:p w14:paraId="51E77F43" w14:textId="77777777" w:rsidR="009D481E" w:rsidRPr="00E222EE" w:rsidRDefault="009D481E" w:rsidP="009D481E">
      <w:pPr>
        <w:pStyle w:val="NormalWeb"/>
        <w:numPr>
          <w:ilvl w:val="0"/>
          <w:numId w:val="1"/>
        </w:numPr>
        <w:rPr>
          <w:sz w:val="20"/>
          <w:szCs w:val="20"/>
        </w:rPr>
      </w:pPr>
      <w:r w:rsidRPr="00CC0096">
        <w:rPr>
          <w:sz w:val="20"/>
          <w:szCs w:val="20"/>
        </w:rPr>
        <w:t>College of Policing (2021)</w:t>
      </w:r>
      <w:r>
        <w:rPr>
          <w:i/>
          <w:iCs/>
          <w:sz w:val="20"/>
          <w:szCs w:val="20"/>
        </w:rPr>
        <w:t xml:space="preserve"> –</w:t>
      </w:r>
      <w:r w:rsidRPr="00E222EE">
        <w:rPr>
          <w:i/>
          <w:iCs/>
          <w:sz w:val="20"/>
          <w:szCs w:val="20"/>
        </w:rPr>
        <w:t xml:space="preserve"> </w:t>
      </w:r>
      <w:r>
        <w:rPr>
          <w:i/>
          <w:iCs/>
          <w:sz w:val="20"/>
          <w:szCs w:val="20"/>
        </w:rPr>
        <w:t>“</w:t>
      </w:r>
      <w:r w:rsidRPr="00E222EE">
        <w:rPr>
          <w:i/>
          <w:iCs/>
          <w:sz w:val="20"/>
          <w:szCs w:val="20"/>
        </w:rPr>
        <w:t>Introduction and types of critical incident</w:t>
      </w:r>
      <w:r>
        <w:rPr>
          <w:i/>
          <w:iCs/>
          <w:sz w:val="20"/>
          <w:szCs w:val="20"/>
        </w:rPr>
        <w:t>s”</w:t>
      </w:r>
      <w:r w:rsidRPr="00E222EE">
        <w:rPr>
          <w:i/>
          <w:iCs/>
          <w:sz w:val="20"/>
          <w:szCs w:val="20"/>
        </w:rPr>
        <w:t xml:space="preserve"> College of Policing. </w:t>
      </w:r>
      <w:r w:rsidRPr="00E222EE">
        <w:rPr>
          <w:sz w:val="20"/>
          <w:szCs w:val="20"/>
        </w:rPr>
        <w:t xml:space="preserve">Available at: https://www.college.police.uk/app/critical-incident-management/introduction-and-types-critical-incidents (Accessed: 19 July 2023). </w:t>
      </w:r>
    </w:p>
    <w:p w14:paraId="390A0010" w14:textId="77777777" w:rsidR="009D481E" w:rsidRDefault="009D481E" w:rsidP="009D481E">
      <w:pPr>
        <w:spacing w:after="160" w:line="259" w:lineRule="auto"/>
        <w:ind w:right="0"/>
        <w:contextualSpacing/>
        <w:jc w:val="left"/>
        <w:rPr>
          <w:rFonts w:asciiTheme="minorHAnsi" w:eastAsiaTheme="minorHAnsi" w:hAnsiTheme="minorHAnsi" w:cstheme="minorHAnsi"/>
          <w:color w:val="auto"/>
          <w:sz w:val="20"/>
          <w:szCs w:val="20"/>
          <w:lang w:eastAsia="en-US"/>
        </w:rPr>
      </w:pPr>
    </w:p>
    <w:p w14:paraId="4FB12DAB" w14:textId="77777777" w:rsidR="009D481E" w:rsidRDefault="009D481E" w:rsidP="009D481E">
      <w:pPr>
        <w:pStyle w:val="NormalWeb"/>
        <w:numPr>
          <w:ilvl w:val="0"/>
          <w:numId w:val="1"/>
        </w:numPr>
        <w:rPr>
          <w:sz w:val="20"/>
          <w:szCs w:val="20"/>
        </w:rPr>
      </w:pPr>
      <w:r w:rsidRPr="00CC0096">
        <w:rPr>
          <w:sz w:val="20"/>
          <w:szCs w:val="20"/>
        </w:rPr>
        <w:t>College of Policing (2022)</w:t>
      </w:r>
      <w:r>
        <w:rPr>
          <w:i/>
          <w:iCs/>
          <w:sz w:val="20"/>
          <w:szCs w:val="20"/>
        </w:rPr>
        <w:t xml:space="preserve"> – “</w:t>
      </w:r>
      <w:r w:rsidRPr="00E222EE">
        <w:rPr>
          <w:i/>
          <w:iCs/>
          <w:sz w:val="20"/>
          <w:szCs w:val="20"/>
        </w:rPr>
        <w:t>Problem-solving policin</w:t>
      </w:r>
      <w:r>
        <w:rPr>
          <w:i/>
          <w:iCs/>
          <w:sz w:val="20"/>
          <w:szCs w:val="20"/>
        </w:rPr>
        <w:t>g”</w:t>
      </w:r>
      <w:r>
        <w:rPr>
          <w:sz w:val="20"/>
          <w:szCs w:val="20"/>
        </w:rPr>
        <w:t xml:space="preserve"> </w:t>
      </w:r>
      <w:r w:rsidRPr="00E222EE">
        <w:rPr>
          <w:i/>
          <w:iCs/>
          <w:sz w:val="20"/>
          <w:szCs w:val="20"/>
        </w:rPr>
        <w:t>College of Policing</w:t>
      </w:r>
      <w:r>
        <w:rPr>
          <w:i/>
          <w:iCs/>
          <w:sz w:val="20"/>
          <w:szCs w:val="20"/>
        </w:rPr>
        <w:t>.</w:t>
      </w:r>
      <w:r w:rsidRPr="00E222EE">
        <w:rPr>
          <w:sz w:val="20"/>
          <w:szCs w:val="20"/>
        </w:rPr>
        <w:t xml:space="preserve"> Available at: https://www.college.police.uk/guidance/problem-solving-policing (Accessed: 08 July 2023). </w:t>
      </w:r>
    </w:p>
    <w:p w14:paraId="5B31DA60" w14:textId="77777777" w:rsidR="009D481E" w:rsidRDefault="009D481E" w:rsidP="009D481E">
      <w:pPr>
        <w:pStyle w:val="ListParagraph"/>
        <w:rPr>
          <w:sz w:val="20"/>
          <w:szCs w:val="20"/>
        </w:rPr>
      </w:pPr>
    </w:p>
    <w:p w14:paraId="22938C3D" w14:textId="77777777" w:rsidR="009D481E" w:rsidRDefault="009D481E" w:rsidP="009D481E">
      <w:pPr>
        <w:pStyle w:val="NormalWeb"/>
        <w:numPr>
          <w:ilvl w:val="0"/>
          <w:numId w:val="1"/>
        </w:numPr>
        <w:rPr>
          <w:sz w:val="20"/>
          <w:szCs w:val="20"/>
        </w:rPr>
      </w:pPr>
      <w:r w:rsidRPr="00CC0096">
        <w:rPr>
          <w:sz w:val="20"/>
          <w:szCs w:val="20"/>
        </w:rPr>
        <w:t>College of Policing (2023)</w:t>
      </w:r>
      <w:r>
        <w:rPr>
          <w:i/>
          <w:iCs/>
          <w:sz w:val="20"/>
          <w:szCs w:val="20"/>
        </w:rPr>
        <w:t xml:space="preserve"> - </w:t>
      </w:r>
      <w:r w:rsidRPr="00F4604E">
        <w:rPr>
          <w:i/>
          <w:iCs/>
          <w:sz w:val="20"/>
          <w:szCs w:val="20"/>
        </w:rPr>
        <w:t>“Critical incident management</w:t>
      </w:r>
      <w:r w:rsidRPr="00F4604E">
        <w:rPr>
          <w:sz w:val="20"/>
          <w:szCs w:val="20"/>
        </w:rPr>
        <w:t xml:space="preserve">” </w:t>
      </w:r>
      <w:r w:rsidRPr="00F4604E">
        <w:rPr>
          <w:i/>
          <w:iCs/>
          <w:sz w:val="20"/>
          <w:szCs w:val="20"/>
        </w:rPr>
        <w:t>College of Policing</w:t>
      </w:r>
      <w:r w:rsidRPr="00F4604E">
        <w:rPr>
          <w:sz w:val="20"/>
          <w:szCs w:val="20"/>
        </w:rPr>
        <w:t xml:space="preserve">. Available at: https://www.college.police.uk/app/critical-incident-management (Accessed: 30 July 2023). </w:t>
      </w:r>
    </w:p>
    <w:p w14:paraId="1177C133" w14:textId="77777777" w:rsidR="009D481E" w:rsidRDefault="009D481E" w:rsidP="009D481E">
      <w:pPr>
        <w:pStyle w:val="ListParagraph"/>
        <w:rPr>
          <w:sz w:val="20"/>
          <w:szCs w:val="20"/>
        </w:rPr>
      </w:pPr>
    </w:p>
    <w:p w14:paraId="3A3B8E7B" w14:textId="77777777" w:rsidR="009D481E" w:rsidRDefault="009D481E" w:rsidP="009D481E">
      <w:pPr>
        <w:pStyle w:val="NormalWeb"/>
        <w:numPr>
          <w:ilvl w:val="0"/>
          <w:numId w:val="1"/>
        </w:numPr>
        <w:rPr>
          <w:sz w:val="20"/>
          <w:szCs w:val="20"/>
        </w:rPr>
      </w:pPr>
      <w:r w:rsidRPr="00CC0096">
        <w:rPr>
          <w:sz w:val="20"/>
          <w:szCs w:val="20"/>
        </w:rPr>
        <w:t>College of Policing (2023)</w:t>
      </w:r>
      <w:r>
        <w:rPr>
          <w:i/>
          <w:iCs/>
          <w:sz w:val="20"/>
          <w:szCs w:val="20"/>
        </w:rPr>
        <w:t xml:space="preserve"> - “</w:t>
      </w:r>
      <w:r w:rsidRPr="00F4604E">
        <w:rPr>
          <w:i/>
          <w:iCs/>
          <w:sz w:val="20"/>
          <w:szCs w:val="20"/>
        </w:rPr>
        <w:t>Approaches to pops</w:t>
      </w:r>
      <w:r>
        <w:rPr>
          <w:i/>
          <w:iCs/>
          <w:sz w:val="20"/>
          <w:szCs w:val="20"/>
        </w:rPr>
        <w:t>”</w:t>
      </w:r>
      <w:r w:rsidRPr="00F4604E">
        <w:rPr>
          <w:sz w:val="20"/>
          <w:szCs w:val="20"/>
        </w:rPr>
        <w:t xml:space="preserve"> (2023) </w:t>
      </w:r>
      <w:r w:rsidRPr="00F4604E">
        <w:rPr>
          <w:i/>
          <w:iCs/>
          <w:sz w:val="20"/>
          <w:szCs w:val="20"/>
        </w:rPr>
        <w:t>College of Policing</w:t>
      </w:r>
      <w:r w:rsidRPr="00F4604E">
        <w:rPr>
          <w:sz w:val="20"/>
          <w:szCs w:val="20"/>
        </w:rPr>
        <w:t xml:space="preserve">. Available at: https://www.college.police.uk/app/public-order-public-safety/approaches-pops (Accessed: 20 August 2023). </w:t>
      </w:r>
    </w:p>
    <w:p w14:paraId="19D5CD11" w14:textId="77777777" w:rsidR="009D481E" w:rsidRDefault="009D481E" w:rsidP="009D481E">
      <w:pPr>
        <w:pStyle w:val="ListParagraph"/>
        <w:rPr>
          <w:sz w:val="20"/>
          <w:szCs w:val="20"/>
        </w:rPr>
      </w:pPr>
    </w:p>
    <w:p w14:paraId="3A28CA7C" w14:textId="77777777" w:rsidR="009D481E" w:rsidRDefault="009D481E" w:rsidP="009D481E">
      <w:pPr>
        <w:pStyle w:val="NormalWeb"/>
        <w:numPr>
          <w:ilvl w:val="0"/>
          <w:numId w:val="1"/>
        </w:numPr>
        <w:rPr>
          <w:sz w:val="20"/>
          <w:szCs w:val="20"/>
        </w:rPr>
      </w:pPr>
      <w:r w:rsidRPr="00CC0096">
        <w:rPr>
          <w:sz w:val="20"/>
          <w:szCs w:val="20"/>
        </w:rPr>
        <w:t>College of Policing (2023)</w:t>
      </w:r>
      <w:r>
        <w:rPr>
          <w:sz w:val="20"/>
          <w:szCs w:val="20"/>
        </w:rPr>
        <w:t xml:space="preserve"> -</w:t>
      </w:r>
      <w:r w:rsidRPr="0028291D">
        <w:rPr>
          <w:i/>
          <w:iCs/>
          <w:sz w:val="20"/>
          <w:szCs w:val="20"/>
        </w:rPr>
        <w:t xml:space="preserve"> “Neighbourhood</w:t>
      </w:r>
      <w:r w:rsidRPr="008504D6">
        <w:rPr>
          <w:i/>
          <w:iCs/>
          <w:sz w:val="20"/>
          <w:szCs w:val="20"/>
        </w:rPr>
        <w:t xml:space="preserve"> policing</w:t>
      </w:r>
      <w:r>
        <w:rPr>
          <w:i/>
          <w:iCs/>
          <w:sz w:val="20"/>
          <w:szCs w:val="20"/>
        </w:rPr>
        <w:t>”</w:t>
      </w:r>
      <w:r w:rsidRPr="008504D6">
        <w:rPr>
          <w:sz w:val="20"/>
          <w:szCs w:val="20"/>
        </w:rPr>
        <w:t xml:space="preserve"> </w:t>
      </w:r>
      <w:r w:rsidRPr="008504D6">
        <w:rPr>
          <w:i/>
          <w:iCs/>
          <w:sz w:val="20"/>
          <w:szCs w:val="20"/>
        </w:rPr>
        <w:t>College of Policing</w:t>
      </w:r>
      <w:r w:rsidRPr="008504D6">
        <w:rPr>
          <w:sz w:val="20"/>
          <w:szCs w:val="20"/>
        </w:rPr>
        <w:t xml:space="preserve">. Available at: https://www.college.police.uk/guidance/neighbourhood-policing (Accessed: 10 July 2023). </w:t>
      </w:r>
    </w:p>
    <w:p w14:paraId="49ECD18F" w14:textId="77777777" w:rsidR="009D481E" w:rsidRDefault="009D481E" w:rsidP="009D481E">
      <w:pPr>
        <w:pStyle w:val="ListParagraph"/>
        <w:rPr>
          <w:sz w:val="20"/>
          <w:szCs w:val="20"/>
        </w:rPr>
      </w:pPr>
    </w:p>
    <w:p w14:paraId="1D3044FA" w14:textId="77777777" w:rsidR="009D481E" w:rsidRDefault="009D481E" w:rsidP="009D481E">
      <w:pPr>
        <w:pStyle w:val="NormalWeb"/>
        <w:numPr>
          <w:ilvl w:val="0"/>
          <w:numId w:val="1"/>
        </w:numPr>
        <w:rPr>
          <w:sz w:val="20"/>
          <w:szCs w:val="20"/>
        </w:rPr>
      </w:pPr>
      <w:r w:rsidRPr="00CC0096">
        <w:rPr>
          <w:sz w:val="20"/>
          <w:szCs w:val="20"/>
        </w:rPr>
        <w:t>Fraser, C. (</w:t>
      </w:r>
      <w:proofErr w:type="gramStart"/>
      <w:r w:rsidRPr="00CC0096">
        <w:rPr>
          <w:sz w:val="20"/>
          <w:szCs w:val="20"/>
        </w:rPr>
        <w:t>2014)</w:t>
      </w:r>
      <w:r w:rsidRPr="00CC0096">
        <w:rPr>
          <w:i/>
          <w:iCs/>
          <w:sz w:val="20"/>
          <w:szCs w:val="20"/>
        </w:rPr>
        <w:t>“</w:t>
      </w:r>
      <w:proofErr w:type="gramEnd"/>
      <w:r w:rsidRPr="00CC0096">
        <w:rPr>
          <w:i/>
          <w:iCs/>
          <w:sz w:val="20"/>
          <w:szCs w:val="20"/>
        </w:rPr>
        <w:t xml:space="preserve">Police Service is Failing to Engage Our Most Deprived Communities” </w:t>
      </w:r>
      <w:r w:rsidRPr="00CC0096">
        <w:rPr>
          <w:sz w:val="20"/>
          <w:szCs w:val="20"/>
        </w:rPr>
        <w:t>, 16 July. Available at: https://www.theguardian.com/public-leaders-network/2014/jul/16/police-failing-engage-deprived-communitie</w:t>
      </w:r>
      <w:r>
        <w:rPr>
          <w:sz w:val="20"/>
          <w:szCs w:val="20"/>
        </w:rPr>
        <w:t>-</w:t>
      </w:r>
      <w:r w:rsidRPr="00CC0096">
        <w:rPr>
          <w:sz w:val="20"/>
          <w:szCs w:val="20"/>
        </w:rPr>
        <w:t xml:space="preserve"> (Accessed: 04 July 2023). </w:t>
      </w:r>
    </w:p>
    <w:p w14:paraId="3D53B373" w14:textId="77777777" w:rsidR="009D481E" w:rsidRPr="00CC0096" w:rsidRDefault="009D481E" w:rsidP="009D481E">
      <w:pPr>
        <w:pStyle w:val="NormalWeb"/>
        <w:rPr>
          <w:sz w:val="20"/>
          <w:szCs w:val="20"/>
        </w:rPr>
      </w:pPr>
    </w:p>
    <w:p w14:paraId="5FD2DF1E" w14:textId="2A5CF1BC" w:rsidR="009D481E" w:rsidRPr="009D481E" w:rsidRDefault="009D481E" w:rsidP="009D481E">
      <w:pPr>
        <w:pStyle w:val="NormalWeb"/>
        <w:numPr>
          <w:ilvl w:val="0"/>
          <w:numId w:val="1"/>
        </w:numPr>
        <w:rPr>
          <w:sz w:val="20"/>
          <w:szCs w:val="20"/>
        </w:rPr>
      </w:pPr>
      <w:r>
        <w:rPr>
          <w:sz w:val="20"/>
          <w:szCs w:val="20"/>
        </w:rPr>
        <w:t xml:space="preserve">Hall, N. </w:t>
      </w:r>
      <w:r w:rsidRPr="00260DEF">
        <w:rPr>
          <w:sz w:val="20"/>
          <w:szCs w:val="20"/>
        </w:rPr>
        <w:t>(202</w:t>
      </w:r>
      <w:r>
        <w:rPr>
          <w:sz w:val="20"/>
          <w:szCs w:val="20"/>
        </w:rPr>
        <w:t>2</w:t>
      </w:r>
      <w:r w:rsidRPr="00260DEF">
        <w:rPr>
          <w:sz w:val="20"/>
          <w:szCs w:val="20"/>
        </w:rPr>
        <w:t xml:space="preserve">) </w:t>
      </w:r>
      <w:r>
        <w:rPr>
          <w:sz w:val="20"/>
          <w:szCs w:val="20"/>
        </w:rPr>
        <w:t>“</w:t>
      </w:r>
      <w:r w:rsidRPr="00260DEF">
        <w:rPr>
          <w:i/>
          <w:iCs/>
          <w:sz w:val="20"/>
          <w:szCs w:val="20"/>
        </w:rPr>
        <w:t>Misogyny in police forces: Under</w:t>
      </w:r>
      <w:r w:rsidRPr="009D481E">
        <w:rPr>
          <w:i/>
          <w:iCs/>
          <w:sz w:val="20"/>
          <w:szCs w:val="20"/>
        </w:rPr>
        <w:t>standing and fixing ‘cop culture’”</w:t>
      </w:r>
      <w:r w:rsidRPr="009D481E">
        <w:rPr>
          <w:sz w:val="20"/>
          <w:szCs w:val="20"/>
        </w:rPr>
        <w:t xml:space="preserve">, </w:t>
      </w:r>
      <w:r w:rsidRPr="009D481E">
        <w:rPr>
          <w:i/>
          <w:iCs/>
          <w:sz w:val="20"/>
          <w:szCs w:val="20"/>
        </w:rPr>
        <w:t>The Conversation</w:t>
      </w:r>
      <w:r w:rsidRPr="009D481E">
        <w:rPr>
          <w:sz w:val="20"/>
          <w:szCs w:val="20"/>
        </w:rPr>
        <w:t xml:space="preserve">. Available at: https://theconversation.com/misogyny-in-police-forces-understanding-and-fixing-cop-culture-176303 (Accessed: 10 August 2023). </w:t>
      </w:r>
    </w:p>
    <w:p w14:paraId="37C679DC" w14:textId="77777777" w:rsidR="009D481E" w:rsidRDefault="009D481E" w:rsidP="009D481E">
      <w:pPr>
        <w:pStyle w:val="NormalWeb"/>
        <w:ind w:left="720"/>
        <w:rPr>
          <w:sz w:val="20"/>
          <w:szCs w:val="20"/>
        </w:rPr>
      </w:pPr>
    </w:p>
    <w:p w14:paraId="543DBF58" w14:textId="77777777" w:rsidR="009D481E" w:rsidRDefault="009D481E" w:rsidP="009D481E">
      <w:pPr>
        <w:pStyle w:val="NormalWeb"/>
        <w:numPr>
          <w:ilvl w:val="0"/>
          <w:numId w:val="1"/>
        </w:numPr>
        <w:rPr>
          <w:sz w:val="20"/>
          <w:szCs w:val="20"/>
        </w:rPr>
      </w:pPr>
      <w:r>
        <w:rPr>
          <w:sz w:val="20"/>
          <w:szCs w:val="20"/>
        </w:rPr>
        <w:t>Jones, L</w:t>
      </w:r>
      <w:r w:rsidRPr="00EC71E4">
        <w:rPr>
          <w:sz w:val="20"/>
          <w:szCs w:val="20"/>
        </w:rPr>
        <w:t xml:space="preserve"> (2023) </w:t>
      </w:r>
      <w:r w:rsidRPr="001A6E50">
        <w:rPr>
          <w:i/>
          <w:iCs/>
          <w:sz w:val="20"/>
          <w:szCs w:val="20"/>
        </w:rPr>
        <w:t xml:space="preserve">“Special Treat for Swansea Boy Living with Cancer as Supercars Parade Past His </w:t>
      </w:r>
      <w:proofErr w:type="spellStart"/>
      <w:r w:rsidRPr="001A6E50">
        <w:rPr>
          <w:i/>
          <w:iCs/>
          <w:sz w:val="20"/>
          <w:szCs w:val="20"/>
        </w:rPr>
        <w:t>Gorseinon</w:t>
      </w:r>
      <w:proofErr w:type="spellEnd"/>
      <w:r w:rsidRPr="001A6E50">
        <w:rPr>
          <w:i/>
          <w:iCs/>
          <w:sz w:val="20"/>
          <w:szCs w:val="20"/>
        </w:rPr>
        <w:t xml:space="preserve"> </w:t>
      </w:r>
      <w:proofErr w:type="gramStart"/>
      <w:r w:rsidRPr="001A6E50">
        <w:rPr>
          <w:i/>
          <w:iCs/>
          <w:sz w:val="20"/>
          <w:szCs w:val="20"/>
        </w:rPr>
        <w:t>Home“</w:t>
      </w:r>
      <w:r w:rsidRPr="001A6E50">
        <w:rPr>
          <w:rFonts w:asciiTheme="minorHAnsi" w:hAnsiTheme="minorHAnsi" w:cstheme="minorHAnsi"/>
          <w:i/>
          <w:iCs/>
          <w:sz w:val="20"/>
          <w:szCs w:val="20"/>
        </w:rPr>
        <w:t xml:space="preserve"> </w:t>
      </w:r>
      <w:r w:rsidRPr="001A6E50">
        <w:rPr>
          <w:i/>
          <w:iCs/>
          <w:sz w:val="20"/>
          <w:szCs w:val="20"/>
        </w:rPr>
        <w:t>News</w:t>
      </w:r>
      <w:proofErr w:type="gramEnd"/>
      <w:r w:rsidRPr="00EC71E4">
        <w:rPr>
          <w:sz w:val="20"/>
          <w:szCs w:val="20"/>
        </w:rPr>
        <w:t xml:space="preserve">. Available at: https://www.itv.com/news/wales/2023-06-23/boy-3-living-with-cancer-treated-to-supercar-parade-outside-his-home (Accessed: 10 August 2023). </w:t>
      </w:r>
    </w:p>
    <w:p w14:paraId="5FE26550" w14:textId="77777777" w:rsidR="009D481E" w:rsidRDefault="009D481E" w:rsidP="009D481E">
      <w:pPr>
        <w:pStyle w:val="ListParagraph"/>
        <w:rPr>
          <w:sz w:val="20"/>
          <w:szCs w:val="20"/>
        </w:rPr>
      </w:pPr>
    </w:p>
    <w:p w14:paraId="0B559FCF" w14:textId="77777777" w:rsidR="009D481E" w:rsidRDefault="009D481E" w:rsidP="009D481E">
      <w:pPr>
        <w:pStyle w:val="NormalWeb"/>
        <w:numPr>
          <w:ilvl w:val="0"/>
          <w:numId w:val="1"/>
        </w:numPr>
        <w:rPr>
          <w:sz w:val="20"/>
          <w:szCs w:val="20"/>
        </w:rPr>
      </w:pPr>
      <w:r w:rsidRPr="009268AC">
        <w:rPr>
          <w:sz w:val="20"/>
          <w:szCs w:val="20"/>
        </w:rPr>
        <w:t>Kurtz</w:t>
      </w:r>
      <w:r>
        <w:rPr>
          <w:sz w:val="20"/>
          <w:szCs w:val="20"/>
        </w:rPr>
        <w:t>,</w:t>
      </w:r>
      <w:r w:rsidRPr="009268AC">
        <w:rPr>
          <w:sz w:val="20"/>
          <w:szCs w:val="20"/>
        </w:rPr>
        <w:t xml:space="preserve"> and Upton (2017) </w:t>
      </w:r>
      <w:r>
        <w:rPr>
          <w:sz w:val="20"/>
          <w:szCs w:val="20"/>
        </w:rPr>
        <w:t>“</w:t>
      </w:r>
      <w:r w:rsidRPr="009268AC">
        <w:rPr>
          <w:i/>
          <w:iCs/>
          <w:sz w:val="20"/>
          <w:szCs w:val="20"/>
        </w:rPr>
        <w:t>The gender in stories:</w:t>
      </w:r>
      <w:r>
        <w:rPr>
          <w:i/>
          <w:iCs/>
          <w:sz w:val="20"/>
          <w:szCs w:val="20"/>
        </w:rPr>
        <w:t xml:space="preserve"> </w:t>
      </w:r>
      <w:r w:rsidRPr="009268AC">
        <w:rPr>
          <w:i/>
          <w:iCs/>
          <w:sz w:val="20"/>
          <w:szCs w:val="20"/>
        </w:rPr>
        <w:t>The Gender in Stories: How War Stories and Police Narratives Shape Masculine Police Culture</w:t>
      </w:r>
      <w:r w:rsidRPr="009268AC">
        <w:rPr>
          <w:sz w:val="20"/>
          <w:szCs w:val="20"/>
        </w:rPr>
        <w:t>.</w:t>
      </w:r>
      <w:r>
        <w:rPr>
          <w:sz w:val="20"/>
          <w:szCs w:val="20"/>
        </w:rPr>
        <w:t>”</w:t>
      </w:r>
      <w:r w:rsidRPr="009268AC">
        <w:rPr>
          <w:sz w:val="20"/>
          <w:szCs w:val="20"/>
        </w:rPr>
        <w:t xml:space="preserve"> Available at: https://www.tandfonline.com/doi/full/10.1080/08974454.2017.1294132 (Accessed: 10 August 2023). </w:t>
      </w:r>
    </w:p>
    <w:p w14:paraId="6EE07155" w14:textId="77777777" w:rsidR="009D481E" w:rsidRDefault="009D481E" w:rsidP="009D481E">
      <w:pPr>
        <w:pStyle w:val="ListParagraph"/>
        <w:rPr>
          <w:sz w:val="20"/>
          <w:szCs w:val="20"/>
        </w:rPr>
      </w:pPr>
    </w:p>
    <w:p w14:paraId="3368BF5E" w14:textId="77777777" w:rsidR="009D481E" w:rsidRDefault="009D481E" w:rsidP="009D481E">
      <w:pPr>
        <w:pStyle w:val="NormalWeb"/>
        <w:numPr>
          <w:ilvl w:val="0"/>
          <w:numId w:val="1"/>
        </w:numPr>
        <w:rPr>
          <w:sz w:val="20"/>
          <w:szCs w:val="20"/>
        </w:rPr>
      </w:pPr>
      <w:r>
        <w:rPr>
          <w:sz w:val="20"/>
          <w:szCs w:val="20"/>
        </w:rPr>
        <w:t xml:space="preserve">LGA </w:t>
      </w:r>
      <w:r w:rsidRPr="00374904">
        <w:rPr>
          <w:sz w:val="20"/>
          <w:szCs w:val="20"/>
        </w:rPr>
        <w:t xml:space="preserve">(2019) </w:t>
      </w:r>
      <w:r>
        <w:rPr>
          <w:sz w:val="20"/>
          <w:szCs w:val="20"/>
        </w:rPr>
        <w:t>“</w:t>
      </w:r>
      <w:r w:rsidRPr="00374904">
        <w:rPr>
          <w:i/>
          <w:iCs/>
          <w:sz w:val="20"/>
          <w:szCs w:val="20"/>
        </w:rPr>
        <w:t>Building Cohesive Communities: An LGA Guide</w:t>
      </w:r>
      <w:r>
        <w:rPr>
          <w:i/>
          <w:iCs/>
          <w:sz w:val="20"/>
          <w:szCs w:val="20"/>
        </w:rPr>
        <w:t>”</w:t>
      </w:r>
      <w:r w:rsidRPr="00374904">
        <w:rPr>
          <w:sz w:val="20"/>
          <w:szCs w:val="20"/>
        </w:rPr>
        <w:t xml:space="preserve">. Available at: https://www.local.gov.uk/sites/default/files/documents/10.31%20Community%20cohesion%20guidance_04.2.pdf#:~:text=As%20leaders%20of%20local%20places%2C%20councils%20and%20councillors,a%20hugely%20important%20role%20in%20promoting%20community%20cohesion. (Accessed: 10 August 2023). </w:t>
      </w:r>
    </w:p>
    <w:p w14:paraId="54824BCB" w14:textId="77777777" w:rsidR="009D481E" w:rsidRDefault="009D481E" w:rsidP="009D481E">
      <w:pPr>
        <w:pStyle w:val="ListParagraph"/>
        <w:rPr>
          <w:sz w:val="20"/>
          <w:szCs w:val="20"/>
        </w:rPr>
      </w:pPr>
    </w:p>
    <w:p w14:paraId="25A29200" w14:textId="77777777" w:rsidR="009D481E" w:rsidRDefault="009D481E" w:rsidP="009D481E">
      <w:pPr>
        <w:pStyle w:val="NormalWeb"/>
        <w:numPr>
          <w:ilvl w:val="0"/>
          <w:numId w:val="1"/>
        </w:numPr>
        <w:rPr>
          <w:sz w:val="20"/>
          <w:szCs w:val="20"/>
        </w:rPr>
      </w:pPr>
      <w:proofErr w:type="spellStart"/>
      <w:r>
        <w:rPr>
          <w:sz w:val="20"/>
          <w:szCs w:val="20"/>
        </w:rPr>
        <w:t>Mander</w:t>
      </w:r>
      <w:proofErr w:type="spellEnd"/>
      <w:r>
        <w:rPr>
          <w:sz w:val="20"/>
          <w:szCs w:val="20"/>
        </w:rPr>
        <w:t xml:space="preserve"> </w:t>
      </w:r>
      <w:r w:rsidRPr="005334F0">
        <w:rPr>
          <w:sz w:val="20"/>
          <w:szCs w:val="20"/>
        </w:rPr>
        <w:t xml:space="preserve">(2008) </w:t>
      </w:r>
      <w:r>
        <w:rPr>
          <w:sz w:val="20"/>
          <w:szCs w:val="20"/>
        </w:rPr>
        <w:t>“</w:t>
      </w:r>
      <w:r w:rsidRPr="005334F0">
        <w:rPr>
          <w:i/>
          <w:iCs/>
          <w:sz w:val="20"/>
          <w:szCs w:val="20"/>
        </w:rPr>
        <w:t>Critical Incidents: Effective Responses and the Factors Behind Them</w:t>
      </w:r>
      <w:r w:rsidRPr="005334F0">
        <w:rPr>
          <w:sz w:val="20"/>
          <w:szCs w:val="20"/>
        </w:rPr>
        <w:t>.</w:t>
      </w:r>
      <w:r>
        <w:rPr>
          <w:sz w:val="20"/>
          <w:szCs w:val="20"/>
        </w:rPr>
        <w:t>”</w:t>
      </w:r>
      <w:r w:rsidRPr="005334F0">
        <w:rPr>
          <w:sz w:val="20"/>
          <w:szCs w:val="20"/>
        </w:rPr>
        <w:t xml:space="preserve"> Available at: https://dera.ioe.ac.uk/id/eprint/8211/1/critical-incidents-full-report.pdf (Accessed: 09 August 2023). </w:t>
      </w:r>
    </w:p>
    <w:p w14:paraId="68C7C903" w14:textId="77777777" w:rsidR="009D481E" w:rsidRDefault="009D481E" w:rsidP="009D481E">
      <w:pPr>
        <w:pStyle w:val="ListParagraph"/>
        <w:rPr>
          <w:sz w:val="20"/>
          <w:szCs w:val="20"/>
        </w:rPr>
      </w:pPr>
    </w:p>
    <w:p w14:paraId="53776F13" w14:textId="77777777" w:rsidR="009D481E" w:rsidRDefault="009D481E" w:rsidP="009D481E">
      <w:pPr>
        <w:pStyle w:val="NormalWeb"/>
        <w:numPr>
          <w:ilvl w:val="0"/>
          <w:numId w:val="1"/>
        </w:numPr>
        <w:rPr>
          <w:sz w:val="20"/>
          <w:szCs w:val="20"/>
        </w:rPr>
      </w:pPr>
      <w:r w:rsidRPr="002D6B06">
        <w:rPr>
          <w:sz w:val="20"/>
          <w:szCs w:val="20"/>
        </w:rPr>
        <w:t xml:space="preserve">Matthews, A (2023) ‘Ely Riots: Police Officers’ Conduct Before Fatal Crash Probed’, </w:t>
      </w:r>
      <w:r w:rsidRPr="002D6B06">
        <w:rPr>
          <w:i/>
          <w:iCs/>
          <w:sz w:val="20"/>
          <w:szCs w:val="20"/>
        </w:rPr>
        <w:t>BBC News</w:t>
      </w:r>
      <w:r w:rsidRPr="002D6B06">
        <w:rPr>
          <w:sz w:val="20"/>
          <w:szCs w:val="20"/>
        </w:rPr>
        <w:t xml:space="preserve">, 13 June. Available at: https://www.bbc.co.uk/news/uk-wales-65893769 (Accessed: 09 August 2023). </w:t>
      </w:r>
    </w:p>
    <w:p w14:paraId="27ED16D4" w14:textId="77777777" w:rsidR="009D481E" w:rsidRDefault="009D481E" w:rsidP="009D481E">
      <w:pPr>
        <w:pStyle w:val="ListParagraph"/>
        <w:rPr>
          <w:sz w:val="20"/>
          <w:szCs w:val="20"/>
        </w:rPr>
      </w:pPr>
    </w:p>
    <w:p w14:paraId="4D917E35" w14:textId="77777777" w:rsidR="009D481E" w:rsidRDefault="009D481E" w:rsidP="009D481E">
      <w:pPr>
        <w:pStyle w:val="NormalWeb"/>
        <w:numPr>
          <w:ilvl w:val="0"/>
          <w:numId w:val="1"/>
        </w:numPr>
        <w:rPr>
          <w:sz w:val="20"/>
          <w:szCs w:val="20"/>
        </w:rPr>
      </w:pPr>
      <w:r>
        <w:rPr>
          <w:sz w:val="20"/>
          <w:szCs w:val="20"/>
        </w:rPr>
        <w:t xml:space="preserve">Metropolitan Police </w:t>
      </w:r>
      <w:r w:rsidRPr="008775DE">
        <w:rPr>
          <w:sz w:val="20"/>
          <w:szCs w:val="20"/>
        </w:rPr>
        <w:t xml:space="preserve">(2023) </w:t>
      </w:r>
      <w:r>
        <w:rPr>
          <w:sz w:val="20"/>
          <w:szCs w:val="20"/>
        </w:rPr>
        <w:t>“</w:t>
      </w:r>
      <w:r w:rsidRPr="008775DE">
        <w:rPr>
          <w:i/>
          <w:iCs/>
          <w:sz w:val="20"/>
          <w:szCs w:val="20"/>
        </w:rPr>
        <w:t>MPs</w:t>
      </w:r>
      <w:r>
        <w:rPr>
          <w:i/>
          <w:iCs/>
          <w:sz w:val="20"/>
          <w:szCs w:val="20"/>
        </w:rPr>
        <w:t xml:space="preserve"> T</w:t>
      </w:r>
      <w:r w:rsidRPr="008775DE">
        <w:rPr>
          <w:i/>
          <w:iCs/>
          <w:sz w:val="20"/>
          <w:szCs w:val="20"/>
        </w:rPr>
        <w:t xml:space="preserve">urnaround </w:t>
      </w:r>
      <w:r>
        <w:rPr>
          <w:i/>
          <w:iCs/>
          <w:sz w:val="20"/>
          <w:szCs w:val="20"/>
        </w:rPr>
        <w:t>P</w:t>
      </w:r>
      <w:r w:rsidRPr="008775DE">
        <w:rPr>
          <w:i/>
          <w:iCs/>
          <w:sz w:val="20"/>
          <w:szCs w:val="20"/>
        </w:rPr>
        <w:t>lan 2023-2025 - Metropolitan Police</w:t>
      </w:r>
      <w:r>
        <w:rPr>
          <w:i/>
          <w:iCs/>
          <w:sz w:val="20"/>
          <w:szCs w:val="20"/>
        </w:rPr>
        <w:t>”</w:t>
      </w:r>
      <w:r w:rsidRPr="008775DE">
        <w:rPr>
          <w:sz w:val="20"/>
          <w:szCs w:val="20"/>
        </w:rPr>
        <w:t xml:space="preserve">. Available at: https://www.met.police.uk/SysSiteAssets/media/downloads/met/about-us/turnaround-plan.pdf (Accessed: 09 August 2023). </w:t>
      </w:r>
    </w:p>
    <w:p w14:paraId="61A3A41F" w14:textId="77777777" w:rsidR="009D481E" w:rsidRDefault="009D481E" w:rsidP="009D481E">
      <w:pPr>
        <w:pStyle w:val="ListParagraph"/>
        <w:rPr>
          <w:sz w:val="20"/>
          <w:szCs w:val="20"/>
        </w:rPr>
      </w:pPr>
    </w:p>
    <w:p w14:paraId="5DDC368A" w14:textId="77777777" w:rsidR="009D481E" w:rsidRDefault="009D481E" w:rsidP="009D481E">
      <w:pPr>
        <w:pStyle w:val="NormalWeb"/>
        <w:numPr>
          <w:ilvl w:val="0"/>
          <w:numId w:val="1"/>
        </w:numPr>
        <w:rPr>
          <w:sz w:val="20"/>
          <w:szCs w:val="20"/>
        </w:rPr>
      </w:pPr>
      <w:r w:rsidRPr="00B04CAF">
        <w:rPr>
          <w:sz w:val="20"/>
          <w:szCs w:val="20"/>
        </w:rPr>
        <w:t xml:space="preserve">Morton, B. (2021) </w:t>
      </w:r>
      <w:r>
        <w:rPr>
          <w:sz w:val="20"/>
          <w:szCs w:val="20"/>
        </w:rPr>
        <w:t>“</w:t>
      </w:r>
      <w:r w:rsidRPr="00B04CAF">
        <w:rPr>
          <w:i/>
          <w:iCs/>
          <w:sz w:val="20"/>
          <w:szCs w:val="20"/>
        </w:rPr>
        <w:t xml:space="preserve">Sarah Everard: How Wayne </w:t>
      </w:r>
      <w:proofErr w:type="spellStart"/>
      <w:r w:rsidRPr="00B04CAF">
        <w:rPr>
          <w:i/>
          <w:iCs/>
          <w:sz w:val="20"/>
          <w:szCs w:val="20"/>
        </w:rPr>
        <w:t>Couzens</w:t>
      </w:r>
      <w:proofErr w:type="spellEnd"/>
      <w:r w:rsidRPr="00B04CAF">
        <w:rPr>
          <w:i/>
          <w:iCs/>
          <w:sz w:val="20"/>
          <w:szCs w:val="20"/>
        </w:rPr>
        <w:t xml:space="preserve"> planned her murder</w:t>
      </w:r>
      <w:r>
        <w:rPr>
          <w:i/>
          <w:iCs/>
          <w:sz w:val="20"/>
          <w:szCs w:val="20"/>
        </w:rPr>
        <w:t>”</w:t>
      </w:r>
      <w:r w:rsidRPr="00B04CAF">
        <w:rPr>
          <w:sz w:val="20"/>
          <w:szCs w:val="20"/>
        </w:rPr>
        <w:t xml:space="preserve">, </w:t>
      </w:r>
      <w:r w:rsidRPr="00B04CAF">
        <w:rPr>
          <w:i/>
          <w:iCs/>
          <w:sz w:val="20"/>
          <w:szCs w:val="20"/>
        </w:rPr>
        <w:t>BBC News</w:t>
      </w:r>
      <w:r w:rsidRPr="00B04CAF">
        <w:rPr>
          <w:sz w:val="20"/>
          <w:szCs w:val="20"/>
        </w:rPr>
        <w:t xml:space="preserve">. Available at: https://www.bbc.co.uk/news/uk-58746108 (Accessed: </w:t>
      </w:r>
      <w:r>
        <w:rPr>
          <w:sz w:val="20"/>
          <w:szCs w:val="20"/>
        </w:rPr>
        <w:t>10</w:t>
      </w:r>
      <w:r w:rsidRPr="00B04CAF">
        <w:rPr>
          <w:sz w:val="20"/>
          <w:szCs w:val="20"/>
        </w:rPr>
        <w:t xml:space="preserve"> August 2023). </w:t>
      </w:r>
    </w:p>
    <w:p w14:paraId="642540F2" w14:textId="77777777" w:rsidR="009D481E" w:rsidRDefault="009D481E" w:rsidP="009D481E">
      <w:pPr>
        <w:pStyle w:val="ListParagraph"/>
        <w:rPr>
          <w:sz w:val="20"/>
          <w:szCs w:val="20"/>
        </w:rPr>
      </w:pPr>
    </w:p>
    <w:p w14:paraId="04396493" w14:textId="77777777" w:rsidR="009D481E" w:rsidRDefault="009D481E" w:rsidP="009D481E">
      <w:pPr>
        <w:pStyle w:val="NormalWeb"/>
        <w:numPr>
          <w:ilvl w:val="0"/>
          <w:numId w:val="1"/>
        </w:numPr>
        <w:rPr>
          <w:sz w:val="20"/>
          <w:szCs w:val="20"/>
        </w:rPr>
      </w:pPr>
      <w:proofErr w:type="spellStart"/>
      <w:r w:rsidRPr="00E53F4E">
        <w:rPr>
          <w:sz w:val="20"/>
          <w:szCs w:val="20"/>
        </w:rPr>
        <w:t>Mynenko</w:t>
      </w:r>
      <w:proofErr w:type="spellEnd"/>
      <w:r w:rsidRPr="00E53F4E">
        <w:rPr>
          <w:sz w:val="20"/>
          <w:szCs w:val="20"/>
        </w:rPr>
        <w:t xml:space="preserve"> and Ditcham (2022) </w:t>
      </w:r>
      <w:r>
        <w:rPr>
          <w:sz w:val="20"/>
          <w:szCs w:val="20"/>
        </w:rPr>
        <w:t>RUSI – “</w:t>
      </w:r>
      <w:r w:rsidRPr="00E53F4E">
        <w:rPr>
          <w:i/>
          <w:iCs/>
          <w:sz w:val="20"/>
          <w:szCs w:val="20"/>
        </w:rPr>
        <w:t>Public confidence in the police: A new low for the service</w:t>
      </w:r>
      <w:r w:rsidRPr="00E53F4E">
        <w:rPr>
          <w:sz w:val="20"/>
          <w:szCs w:val="20"/>
        </w:rPr>
        <w:t xml:space="preserve">, </w:t>
      </w:r>
      <w:r w:rsidRPr="00E53F4E">
        <w:rPr>
          <w:i/>
          <w:iCs/>
          <w:sz w:val="20"/>
          <w:szCs w:val="20"/>
        </w:rPr>
        <w:t>Royal United Services Institute</w:t>
      </w:r>
      <w:r>
        <w:rPr>
          <w:i/>
          <w:iCs/>
          <w:sz w:val="20"/>
          <w:szCs w:val="20"/>
        </w:rPr>
        <w:t>”</w:t>
      </w:r>
      <w:r w:rsidRPr="00E53F4E">
        <w:rPr>
          <w:sz w:val="20"/>
          <w:szCs w:val="20"/>
        </w:rPr>
        <w:t xml:space="preserve">. Available at: https://www.rusi.org/explore-our-research/publications/commentary/public-confidence-police-new-low-service (Accessed: </w:t>
      </w:r>
      <w:r>
        <w:rPr>
          <w:sz w:val="20"/>
          <w:szCs w:val="20"/>
        </w:rPr>
        <w:t>20 July</w:t>
      </w:r>
      <w:r w:rsidRPr="00E53F4E">
        <w:rPr>
          <w:sz w:val="20"/>
          <w:szCs w:val="20"/>
        </w:rPr>
        <w:t xml:space="preserve"> 2023). </w:t>
      </w:r>
    </w:p>
    <w:p w14:paraId="28D41B05" w14:textId="77777777" w:rsidR="009D481E" w:rsidRDefault="009D481E" w:rsidP="009D481E">
      <w:pPr>
        <w:pStyle w:val="ListParagraph"/>
        <w:rPr>
          <w:sz w:val="20"/>
          <w:szCs w:val="20"/>
        </w:rPr>
      </w:pPr>
    </w:p>
    <w:p w14:paraId="6C1D4A75" w14:textId="77777777" w:rsidR="009D481E" w:rsidRDefault="009D481E" w:rsidP="009D481E">
      <w:pPr>
        <w:pStyle w:val="NormalWeb"/>
        <w:numPr>
          <w:ilvl w:val="0"/>
          <w:numId w:val="1"/>
        </w:numPr>
        <w:rPr>
          <w:sz w:val="20"/>
          <w:szCs w:val="20"/>
        </w:rPr>
      </w:pPr>
      <w:r w:rsidRPr="005A3D85">
        <w:rPr>
          <w:sz w:val="20"/>
          <w:szCs w:val="20"/>
        </w:rPr>
        <w:t>NHS E</w:t>
      </w:r>
      <w:r>
        <w:rPr>
          <w:sz w:val="20"/>
          <w:szCs w:val="20"/>
        </w:rPr>
        <w:t>ngland</w:t>
      </w:r>
      <w:r w:rsidRPr="005A3D85">
        <w:rPr>
          <w:sz w:val="20"/>
          <w:szCs w:val="20"/>
        </w:rPr>
        <w:t xml:space="preserve"> (2015)</w:t>
      </w:r>
      <w:r>
        <w:rPr>
          <w:sz w:val="20"/>
          <w:szCs w:val="20"/>
        </w:rPr>
        <w:t xml:space="preserve"> NEPRRU “</w:t>
      </w:r>
      <w:r w:rsidRPr="005A3D85">
        <w:rPr>
          <w:i/>
          <w:iCs/>
          <w:sz w:val="20"/>
          <w:szCs w:val="20"/>
        </w:rPr>
        <w:t>NHS England Emergency Preparedness, resilience and response framework</w:t>
      </w:r>
      <w:r>
        <w:rPr>
          <w:i/>
          <w:iCs/>
          <w:sz w:val="20"/>
          <w:szCs w:val="20"/>
        </w:rPr>
        <w:t>”</w:t>
      </w:r>
      <w:r w:rsidRPr="005A3D85">
        <w:rPr>
          <w:sz w:val="20"/>
          <w:szCs w:val="20"/>
        </w:rPr>
        <w:t xml:space="preserve">. Available at: https://www.england.nhs.uk/wp-content/uploads/2015/11/eprr-framework.pdf (Accessed: </w:t>
      </w:r>
      <w:r>
        <w:rPr>
          <w:sz w:val="20"/>
          <w:szCs w:val="20"/>
        </w:rPr>
        <w:t>10</w:t>
      </w:r>
      <w:r w:rsidRPr="005A3D85">
        <w:rPr>
          <w:sz w:val="20"/>
          <w:szCs w:val="20"/>
        </w:rPr>
        <w:t xml:space="preserve"> August 2023). </w:t>
      </w:r>
    </w:p>
    <w:p w14:paraId="3ABE5AD2" w14:textId="77777777" w:rsidR="009D481E" w:rsidRDefault="009D481E" w:rsidP="009D481E">
      <w:pPr>
        <w:pStyle w:val="ListParagraph"/>
        <w:rPr>
          <w:sz w:val="20"/>
          <w:szCs w:val="20"/>
        </w:rPr>
      </w:pPr>
    </w:p>
    <w:p w14:paraId="33AF0EEB" w14:textId="77777777" w:rsidR="009D481E" w:rsidRDefault="009D481E" w:rsidP="009D481E">
      <w:pPr>
        <w:pStyle w:val="NormalWeb"/>
        <w:numPr>
          <w:ilvl w:val="0"/>
          <w:numId w:val="1"/>
        </w:numPr>
        <w:rPr>
          <w:sz w:val="20"/>
          <w:szCs w:val="20"/>
        </w:rPr>
      </w:pPr>
      <w:r w:rsidRPr="00D75CC5">
        <w:rPr>
          <w:rFonts w:asciiTheme="minorHAnsi" w:hAnsiTheme="minorHAnsi" w:cstheme="minorHAnsi"/>
          <w:sz w:val="20"/>
          <w:szCs w:val="20"/>
        </w:rPr>
        <w:t xml:space="preserve">NHS </w:t>
      </w:r>
      <w:r w:rsidRPr="00507A53">
        <w:rPr>
          <w:rFonts w:asciiTheme="minorHAnsi" w:hAnsiTheme="minorHAnsi" w:cstheme="minorHAnsi"/>
          <w:sz w:val="20"/>
          <w:szCs w:val="20"/>
        </w:rPr>
        <w:t xml:space="preserve">Wales </w:t>
      </w:r>
      <w:r w:rsidRPr="00507A53">
        <w:rPr>
          <w:sz w:val="20"/>
          <w:szCs w:val="20"/>
        </w:rPr>
        <w:t xml:space="preserve">(2019) </w:t>
      </w:r>
      <w:r>
        <w:rPr>
          <w:sz w:val="20"/>
          <w:szCs w:val="20"/>
        </w:rPr>
        <w:t>“</w:t>
      </w:r>
      <w:r w:rsidRPr="00507A53">
        <w:rPr>
          <w:i/>
          <w:iCs/>
          <w:sz w:val="20"/>
          <w:szCs w:val="20"/>
        </w:rPr>
        <w:t>Principles of Community Engagement for Empowerment</w:t>
      </w:r>
      <w:r>
        <w:rPr>
          <w:i/>
          <w:iCs/>
          <w:sz w:val="20"/>
          <w:szCs w:val="20"/>
        </w:rPr>
        <w:t>.</w:t>
      </w:r>
      <w:r w:rsidRPr="00507A53">
        <w:rPr>
          <w:sz w:val="20"/>
          <w:szCs w:val="20"/>
        </w:rPr>
        <w:t xml:space="preserve"> Available at: https://phw.nhs.wales/news/rules-of-community-engagement-relinquish-your-power-so-that-communities-can-take-control/principles-of-community-engagement-for-empowerment/ (Accessed: 19 July 2023). </w:t>
      </w:r>
    </w:p>
    <w:p w14:paraId="5DDC2509" w14:textId="77777777" w:rsidR="009D481E" w:rsidRDefault="009D481E" w:rsidP="009D481E">
      <w:pPr>
        <w:pStyle w:val="ListParagraph"/>
        <w:rPr>
          <w:sz w:val="20"/>
          <w:szCs w:val="20"/>
        </w:rPr>
      </w:pPr>
    </w:p>
    <w:p w14:paraId="6185B80A" w14:textId="77777777" w:rsidR="009D481E" w:rsidRDefault="009D481E" w:rsidP="009D481E">
      <w:pPr>
        <w:pStyle w:val="NormalWeb"/>
        <w:numPr>
          <w:ilvl w:val="0"/>
          <w:numId w:val="1"/>
        </w:numPr>
        <w:rPr>
          <w:sz w:val="20"/>
          <w:szCs w:val="20"/>
        </w:rPr>
      </w:pPr>
      <w:proofErr w:type="spellStart"/>
      <w:r w:rsidRPr="00703CFD">
        <w:rPr>
          <w:sz w:val="20"/>
          <w:szCs w:val="20"/>
        </w:rPr>
        <w:t>Neporent</w:t>
      </w:r>
      <w:proofErr w:type="spellEnd"/>
      <w:r w:rsidRPr="00703CFD">
        <w:rPr>
          <w:sz w:val="20"/>
          <w:szCs w:val="20"/>
        </w:rPr>
        <w:t xml:space="preserve">, L. (2015) </w:t>
      </w:r>
      <w:r w:rsidRPr="00703CFD">
        <w:rPr>
          <w:i/>
          <w:iCs/>
          <w:sz w:val="20"/>
          <w:szCs w:val="20"/>
        </w:rPr>
        <w:t>‘When No One Showed Up to Autistic Boy’s Birthday Party, Strangers Saved the Day’</w:t>
      </w:r>
      <w:r w:rsidRPr="00703CFD">
        <w:rPr>
          <w:sz w:val="20"/>
          <w:szCs w:val="20"/>
        </w:rPr>
        <w:t xml:space="preserve">, </w:t>
      </w:r>
      <w:r w:rsidRPr="00703CFD">
        <w:rPr>
          <w:i/>
          <w:iCs/>
          <w:sz w:val="20"/>
          <w:szCs w:val="20"/>
        </w:rPr>
        <w:t>ABC News</w:t>
      </w:r>
      <w:r w:rsidRPr="00703CFD">
        <w:rPr>
          <w:sz w:val="20"/>
          <w:szCs w:val="20"/>
        </w:rPr>
        <w:t xml:space="preserve">. Available at: https://abcnews.go.com/Health/showed-autistic-boys-birthday-party-strangers-saved-day/story?id=29166772 (Accessed: </w:t>
      </w:r>
      <w:r>
        <w:rPr>
          <w:sz w:val="20"/>
          <w:szCs w:val="20"/>
        </w:rPr>
        <w:t>19 July</w:t>
      </w:r>
      <w:r w:rsidRPr="00703CFD">
        <w:rPr>
          <w:sz w:val="20"/>
          <w:szCs w:val="20"/>
        </w:rPr>
        <w:t xml:space="preserve"> 2023). </w:t>
      </w:r>
    </w:p>
    <w:p w14:paraId="61F23571" w14:textId="77777777" w:rsidR="009D481E" w:rsidRDefault="009D481E" w:rsidP="009D481E">
      <w:pPr>
        <w:pStyle w:val="ListParagraph"/>
        <w:rPr>
          <w:sz w:val="20"/>
          <w:szCs w:val="20"/>
        </w:rPr>
      </w:pPr>
    </w:p>
    <w:p w14:paraId="23F919C7" w14:textId="77777777" w:rsidR="009D481E" w:rsidRDefault="009D481E" w:rsidP="009D481E">
      <w:pPr>
        <w:pStyle w:val="NormalWeb"/>
        <w:numPr>
          <w:ilvl w:val="0"/>
          <w:numId w:val="1"/>
        </w:numPr>
        <w:rPr>
          <w:sz w:val="20"/>
          <w:szCs w:val="20"/>
        </w:rPr>
      </w:pPr>
      <w:r w:rsidRPr="002F4F12">
        <w:rPr>
          <w:sz w:val="20"/>
          <w:szCs w:val="20"/>
        </w:rPr>
        <w:t xml:space="preserve">Schlake, M. (2015) </w:t>
      </w:r>
      <w:r w:rsidRPr="002F4F12">
        <w:rPr>
          <w:i/>
          <w:iCs/>
          <w:sz w:val="20"/>
          <w:szCs w:val="20"/>
        </w:rPr>
        <w:t>‘Community Engagement: Nine Principles’</w:t>
      </w:r>
      <w:r w:rsidRPr="002F4F12">
        <w:rPr>
          <w:sz w:val="20"/>
          <w:szCs w:val="20"/>
        </w:rPr>
        <w:t xml:space="preserve">. Available at: https://www.researchgate.net/publication/309572230_Community_Engagement_Nine_Principles (Accessed: 17 August 2023). </w:t>
      </w:r>
    </w:p>
    <w:p w14:paraId="265EA616" w14:textId="77777777" w:rsidR="009D481E" w:rsidRDefault="009D481E" w:rsidP="009D481E">
      <w:pPr>
        <w:pStyle w:val="ListParagraph"/>
        <w:rPr>
          <w:sz w:val="20"/>
          <w:szCs w:val="20"/>
        </w:rPr>
      </w:pPr>
    </w:p>
    <w:p w14:paraId="181655B6" w14:textId="77777777" w:rsidR="009D481E" w:rsidRDefault="009D481E" w:rsidP="009D481E">
      <w:pPr>
        <w:pStyle w:val="NormalWeb"/>
        <w:numPr>
          <w:ilvl w:val="0"/>
          <w:numId w:val="1"/>
        </w:numPr>
        <w:rPr>
          <w:sz w:val="20"/>
          <w:szCs w:val="20"/>
        </w:rPr>
      </w:pPr>
      <w:r w:rsidRPr="004A4982">
        <w:rPr>
          <w:sz w:val="20"/>
          <w:szCs w:val="20"/>
        </w:rPr>
        <w:t xml:space="preserve">Simone, D. (2021) </w:t>
      </w:r>
      <w:r>
        <w:rPr>
          <w:sz w:val="20"/>
          <w:szCs w:val="20"/>
        </w:rPr>
        <w:t>“</w:t>
      </w:r>
      <w:r w:rsidRPr="004A4982">
        <w:rPr>
          <w:i/>
          <w:iCs/>
          <w:sz w:val="20"/>
          <w:szCs w:val="20"/>
        </w:rPr>
        <w:t>Stephen Port: How met failings contributed to the deaths of three men</w:t>
      </w:r>
      <w:r>
        <w:rPr>
          <w:i/>
          <w:iCs/>
          <w:sz w:val="20"/>
          <w:szCs w:val="20"/>
        </w:rPr>
        <w:t>”</w:t>
      </w:r>
      <w:r w:rsidRPr="004A4982">
        <w:rPr>
          <w:sz w:val="20"/>
          <w:szCs w:val="20"/>
        </w:rPr>
        <w:t xml:space="preserve">, </w:t>
      </w:r>
      <w:r w:rsidRPr="004A4982">
        <w:rPr>
          <w:i/>
          <w:iCs/>
          <w:sz w:val="20"/>
          <w:szCs w:val="20"/>
        </w:rPr>
        <w:t>BBC News</w:t>
      </w:r>
      <w:r w:rsidRPr="004A4982">
        <w:rPr>
          <w:sz w:val="20"/>
          <w:szCs w:val="20"/>
        </w:rPr>
        <w:t xml:space="preserve">. Available at: https://www.bbc.co.uk/news/uk-59576717 (Accessed: 14 August 2023). </w:t>
      </w:r>
    </w:p>
    <w:p w14:paraId="2BE2F80B" w14:textId="77777777" w:rsidR="009D481E" w:rsidRDefault="009D481E" w:rsidP="009D481E">
      <w:pPr>
        <w:pStyle w:val="ListParagraph"/>
        <w:rPr>
          <w:sz w:val="20"/>
          <w:szCs w:val="20"/>
        </w:rPr>
      </w:pPr>
    </w:p>
    <w:p w14:paraId="3D527811" w14:textId="77777777" w:rsidR="009D481E" w:rsidRDefault="009D481E" w:rsidP="009D481E">
      <w:pPr>
        <w:pStyle w:val="NormalWeb"/>
        <w:numPr>
          <w:ilvl w:val="0"/>
          <w:numId w:val="1"/>
        </w:numPr>
        <w:rPr>
          <w:sz w:val="20"/>
          <w:szCs w:val="20"/>
        </w:rPr>
      </w:pPr>
      <w:r w:rsidRPr="0019564F">
        <w:rPr>
          <w:sz w:val="20"/>
          <w:szCs w:val="20"/>
        </w:rPr>
        <w:t xml:space="preserve">South Wales Police (2023) </w:t>
      </w:r>
      <w:r w:rsidRPr="0019564F">
        <w:rPr>
          <w:i/>
          <w:iCs/>
          <w:sz w:val="20"/>
          <w:szCs w:val="20"/>
        </w:rPr>
        <w:t>‘Performance and Priorities | South Wales Police’</w:t>
      </w:r>
      <w:r w:rsidRPr="0019564F">
        <w:rPr>
          <w:sz w:val="20"/>
          <w:szCs w:val="20"/>
        </w:rPr>
        <w:t xml:space="preserve">. Available at: https://www.south-wales.police.uk/police-forces/south-wales-police/areas/about-us/about-us/performance-priorities/ (Accessed: 20 August 2023). </w:t>
      </w:r>
    </w:p>
    <w:p w14:paraId="1FD4F540" w14:textId="77777777" w:rsidR="009D481E" w:rsidRDefault="009D481E" w:rsidP="009D481E">
      <w:pPr>
        <w:pStyle w:val="ListParagraph"/>
        <w:rPr>
          <w:sz w:val="20"/>
          <w:szCs w:val="20"/>
        </w:rPr>
      </w:pPr>
    </w:p>
    <w:p w14:paraId="47D16042" w14:textId="77777777" w:rsidR="009D481E" w:rsidRDefault="009D481E" w:rsidP="009D481E">
      <w:pPr>
        <w:pStyle w:val="NormalWeb"/>
        <w:numPr>
          <w:ilvl w:val="0"/>
          <w:numId w:val="1"/>
        </w:numPr>
        <w:rPr>
          <w:sz w:val="20"/>
          <w:szCs w:val="20"/>
        </w:rPr>
      </w:pPr>
      <w:r w:rsidRPr="007F20F8">
        <w:rPr>
          <w:sz w:val="20"/>
          <w:szCs w:val="20"/>
        </w:rPr>
        <w:t xml:space="preserve">Walker, P. (2011) </w:t>
      </w:r>
      <w:r>
        <w:rPr>
          <w:sz w:val="20"/>
          <w:szCs w:val="20"/>
        </w:rPr>
        <w:t>“</w:t>
      </w:r>
      <w:r w:rsidRPr="007F20F8">
        <w:rPr>
          <w:sz w:val="20"/>
          <w:szCs w:val="20"/>
        </w:rPr>
        <w:t>Fiona Pilkington Case: Police Face Misconduct Proceedings</w:t>
      </w:r>
      <w:r>
        <w:rPr>
          <w:sz w:val="20"/>
          <w:szCs w:val="20"/>
        </w:rPr>
        <w:t>”</w:t>
      </w:r>
      <w:r w:rsidRPr="007F20F8">
        <w:rPr>
          <w:sz w:val="20"/>
          <w:szCs w:val="20"/>
        </w:rPr>
        <w:t xml:space="preserve">, </w:t>
      </w:r>
      <w:r w:rsidRPr="007F20F8">
        <w:rPr>
          <w:i/>
          <w:iCs/>
          <w:sz w:val="20"/>
          <w:szCs w:val="20"/>
        </w:rPr>
        <w:t>The Guardian</w:t>
      </w:r>
      <w:r w:rsidRPr="007F20F8">
        <w:rPr>
          <w:sz w:val="20"/>
          <w:szCs w:val="20"/>
        </w:rPr>
        <w:t xml:space="preserve">, 24 May. Available at: https://www.theguardian.com/uk/2011/may/24/fiona-pilkington-police-misconduct-proceedings (Accessed: 20 July 2023). </w:t>
      </w:r>
    </w:p>
    <w:p w14:paraId="46668CCF" w14:textId="77777777" w:rsidR="009D481E" w:rsidRDefault="009D481E" w:rsidP="009D481E">
      <w:pPr>
        <w:pStyle w:val="ListParagraph"/>
        <w:rPr>
          <w:sz w:val="20"/>
          <w:szCs w:val="20"/>
        </w:rPr>
      </w:pPr>
    </w:p>
    <w:p w14:paraId="6734A9F4" w14:textId="77777777" w:rsidR="009D481E" w:rsidRDefault="009D481E" w:rsidP="009D481E">
      <w:pPr>
        <w:pStyle w:val="NormalWeb"/>
        <w:numPr>
          <w:ilvl w:val="0"/>
          <w:numId w:val="1"/>
        </w:numPr>
        <w:rPr>
          <w:sz w:val="20"/>
          <w:szCs w:val="20"/>
        </w:rPr>
      </w:pPr>
      <w:r w:rsidRPr="00515096">
        <w:rPr>
          <w:sz w:val="20"/>
          <w:szCs w:val="20"/>
        </w:rPr>
        <w:t>West Yorkshire PCC</w:t>
      </w:r>
      <w:r>
        <w:rPr>
          <w:sz w:val="20"/>
          <w:szCs w:val="20"/>
        </w:rPr>
        <w:t xml:space="preserve"> (2022)</w:t>
      </w:r>
      <w:r w:rsidRPr="00483241">
        <w:rPr>
          <w:i/>
          <w:iCs/>
          <w:sz w:val="20"/>
          <w:szCs w:val="20"/>
        </w:rPr>
        <w:t xml:space="preserve"> “Community Cohesion”</w:t>
      </w:r>
      <w:r w:rsidRPr="00483241">
        <w:rPr>
          <w:sz w:val="20"/>
          <w:szCs w:val="20"/>
        </w:rPr>
        <w:t xml:space="preserve"> </w:t>
      </w:r>
      <w:r w:rsidRPr="00483241">
        <w:rPr>
          <w:i/>
          <w:iCs/>
          <w:sz w:val="20"/>
          <w:szCs w:val="20"/>
        </w:rPr>
        <w:t>Police and Crime Commissioner for West Yorkshire | WYPCC</w:t>
      </w:r>
      <w:r w:rsidRPr="00483241">
        <w:rPr>
          <w:sz w:val="20"/>
          <w:szCs w:val="20"/>
        </w:rPr>
        <w:t xml:space="preserve">. Available at: https://westyorkshire-pcc.gov.uk/how-we-work/our-priorities/community-cohesion (Accessed: 12 August 2023). </w:t>
      </w:r>
    </w:p>
    <w:p w14:paraId="6A68DDCA" w14:textId="77777777" w:rsidR="009D481E" w:rsidRPr="00D55BCE" w:rsidRDefault="009D481E" w:rsidP="009D481E">
      <w:pPr>
        <w:spacing w:after="0" w:line="259" w:lineRule="auto"/>
        <w:ind w:left="566" w:right="0" w:firstLine="0"/>
        <w:jc w:val="left"/>
        <w:rPr>
          <w:rFonts w:asciiTheme="minorHAnsi" w:hAnsiTheme="minorHAnsi" w:cstheme="minorHAnsi"/>
          <w:sz w:val="20"/>
          <w:szCs w:val="20"/>
        </w:rPr>
      </w:pPr>
    </w:p>
    <w:p w14:paraId="54117AA7" w14:textId="77777777" w:rsidR="009D481E" w:rsidRPr="00515096" w:rsidRDefault="009D481E" w:rsidP="009D481E">
      <w:pPr>
        <w:pStyle w:val="NormalWeb"/>
        <w:numPr>
          <w:ilvl w:val="0"/>
          <w:numId w:val="1"/>
        </w:numPr>
        <w:rPr>
          <w:i/>
          <w:iCs/>
          <w:sz w:val="20"/>
          <w:szCs w:val="20"/>
        </w:rPr>
      </w:pPr>
      <w:proofErr w:type="spellStart"/>
      <w:r w:rsidRPr="00966F59">
        <w:rPr>
          <w:sz w:val="20"/>
          <w:szCs w:val="20"/>
        </w:rPr>
        <w:t>Yesberg</w:t>
      </w:r>
      <w:proofErr w:type="spellEnd"/>
      <w:r w:rsidRPr="00966F59">
        <w:rPr>
          <w:sz w:val="20"/>
          <w:szCs w:val="20"/>
        </w:rPr>
        <w:t xml:space="preserve">, J., Brunton-Smith, I. and Bradford, B. (2021) </w:t>
      </w:r>
      <w:r w:rsidRPr="00515096">
        <w:rPr>
          <w:i/>
          <w:iCs/>
          <w:sz w:val="20"/>
          <w:szCs w:val="20"/>
        </w:rPr>
        <w:t xml:space="preserve">‘Police visibility, trust in police fairness, and collective efficacy: A multilevel structural equation model’, European Journal of Criminology, 20(2), pp. 712–737. doi:10.1177/14773708211035306. </w:t>
      </w:r>
    </w:p>
    <w:p w14:paraId="3D9B4491" w14:textId="77777777" w:rsidR="009D481E" w:rsidRPr="00483241" w:rsidRDefault="009D481E" w:rsidP="009D481E">
      <w:pPr>
        <w:pStyle w:val="NormalWeb"/>
        <w:ind w:left="720"/>
        <w:rPr>
          <w:sz w:val="20"/>
          <w:szCs w:val="20"/>
        </w:rPr>
      </w:pPr>
    </w:p>
    <w:bookmarkEnd w:id="5"/>
    <w:p w14:paraId="0EBAB2E7" w14:textId="77777777" w:rsidR="009D481E" w:rsidRDefault="009D481E" w:rsidP="009D481E"/>
    <w:sectPr w:rsidR="009D48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63B43"/>
    <w:multiLevelType w:val="hybridMultilevel"/>
    <w:tmpl w:val="8F182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BD0553"/>
    <w:multiLevelType w:val="hybridMultilevel"/>
    <w:tmpl w:val="D7208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401B5"/>
    <w:multiLevelType w:val="hybridMultilevel"/>
    <w:tmpl w:val="7430F31C"/>
    <w:lvl w:ilvl="0" w:tplc="114CCCBA">
      <w:start w:val="6"/>
      <w:numFmt w:val="decimal"/>
      <w:lvlText w:val="%1."/>
      <w:lvlJc w:val="left"/>
      <w:pPr>
        <w:ind w:left="643" w:hanging="360"/>
      </w:pPr>
      <w:rPr>
        <w:rFonts w:hint="default"/>
        <w:sz w:val="22"/>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68D46301"/>
    <w:multiLevelType w:val="hybridMultilevel"/>
    <w:tmpl w:val="C12AF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1513434">
    <w:abstractNumId w:val="3"/>
  </w:num>
  <w:num w:numId="2" w16cid:durableId="703017737">
    <w:abstractNumId w:val="2"/>
  </w:num>
  <w:num w:numId="3" w16cid:durableId="314994257">
    <w:abstractNumId w:val="0"/>
  </w:num>
  <w:num w:numId="4" w16cid:durableId="1872760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81E"/>
    <w:rsid w:val="00015859"/>
    <w:rsid w:val="00017164"/>
    <w:rsid w:val="00035BC0"/>
    <w:rsid w:val="00040ECE"/>
    <w:rsid w:val="00070123"/>
    <w:rsid w:val="000D039F"/>
    <w:rsid w:val="001A01C9"/>
    <w:rsid w:val="001B3BE6"/>
    <w:rsid w:val="001E41D0"/>
    <w:rsid w:val="0028105E"/>
    <w:rsid w:val="002C346C"/>
    <w:rsid w:val="003734AC"/>
    <w:rsid w:val="00384138"/>
    <w:rsid w:val="003C352D"/>
    <w:rsid w:val="004E46F3"/>
    <w:rsid w:val="00577F83"/>
    <w:rsid w:val="006421C2"/>
    <w:rsid w:val="006615A6"/>
    <w:rsid w:val="006E778B"/>
    <w:rsid w:val="006F325A"/>
    <w:rsid w:val="00715201"/>
    <w:rsid w:val="00774DCF"/>
    <w:rsid w:val="007E0DAE"/>
    <w:rsid w:val="00817EF1"/>
    <w:rsid w:val="00821D07"/>
    <w:rsid w:val="00997DFC"/>
    <w:rsid w:val="009B5DEC"/>
    <w:rsid w:val="009C720E"/>
    <w:rsid w:val="009D481E"/>
    <w:rsid w:val="009E318B"/>
    <w:rsid w:val="00A07EE1"/>
    <w:rsid w:val="00AA746C"/>
    <w:rsid w:val="00AB31DA"/>
    <w:rsid w:val="00AB334B"/>
    <w:rsid w:val="00B35BE8"/>
    <w:rsid w:val="00B47DD4"/>
    <w:rsid w:val="00B70D79"/>
    <w:rsid w:val="00CB4196"/>
    <w:rsid w:val="00CE6882"/>
    <w:rsid w:val="00E12AA6"/>
    <w:rsid w:val="00E15DA9"/>
    <w:rsid w:val="00E5526F"/>
    <w:rsid w:val="00EC0F6C"/>
    <w:rsid w:val="00EF026C"/>
    <w:rsid w:val="00F064B6"/>
    <w:rsid w:val="00F83245"/>
    <w:rsid w:val="00F9165E"/>
    <w:rsid w:val="00FA73DF"/>
    <w:rsid w:val="00FB6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3B417"/>
  <w15:chartTrackingRefBased/>
  <w15:docId w15:val="{20BBCF00-EDA1-4797-AAE3-4D138B87F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81E"/>
    <w:pPr>
      <w:spacing w:after="3" w:line="276" w:lineRule="auto"/>
      <w:ind w:left="576" w:right="529" w:hanging="10"/>
      <w:jc w:val="both"/>
    </w:pPr>
    <w:rPr>
      <w:rFonts w:ascii="Arial" w:eastAsia="Arial" w:hAnsi="Arial" w:cs="Arial"/>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81E"/>
    <w:pPr>
      <w:ind w:left="720"/>
      <w:contextualSpacing/>
    </w:pPr>
  </w:style>
  <w:style w:type="character" w:styleId="Hyperlink">
    <w:name w:val="Hyperlink"/>
    <w:basedOn w:val="DefaultParagraphFont"/>
    <w:uiPriority w:val="99"/>
    <w:unhideWhenUsed/>
    <w:rsid w:val="009D481E"/>
    <w:rPr>
      <w:color w:val="0563C1" w:themeColor="hyperlink"/>
      <w:u w:val="single"/>
    </w:rPr>
  </w:style>
  <w:style w:type="paragraph" w:styleId="NormalWeb">
    <w:name w:val="Normal (Web)"/>
    <w:basedOn w:val="Normal"/>
    <w:uiPriority w:val="99"/>
    <w:unhideWhenUsed/>
    <w:rsid w:val="009D481E"/>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783328">
      <w:bodyDiv w:val="1"/>
      <w:marLeft w:val="0"/>
      <w:marRight w:val="0"/>
      <w:marTop w:val="0"/>
      <w:marBottom w:val="0"/>
      <w:divBdr>
        <w:top w:val="none" w:sz="0" w:space="0" w:color="auto"/>
        <w:left w:val="none" w:sz="0" w:space="0" w:color="auto"/>
        <w:bottom w:val="none" w:sz="0" w:space="0" w:color="auto"/>
        <w:right w:val="none" w:sz="0" w:space="0" w:color="auto"/>
      </w:divBdr>
    </w:div>
    <w:div w:id="560293967">
      <w:bodyDiv w:val="1"/>
      <w:marLeft w:val="0"/>
      <w:marRight w:val="0"/>
      <w:marTop w:val="0"/>
      <w:marBottom w:val="0"/>
      <w:divBdr>
        <w:top w:val="none" w:sz="0" w:space="0" w:color="auto"/>
        <w:left w:val="none" w:sz="0" w:space="0" w:color="auto"/>
        <w:bottom w:val="none" w:sz="0" w:space="0" w:color="auto"/>
        <w:right w:val="none" w:sz="0" w:space="0" w:color="auto"/>
      </w:divBdr>
    </w:div>
    <w:div w:id="653145730">
      <w:bodyDiv w:val="1"/>
      <w:marLeft w:val="0"/>
      <w:marRight w:val="0"/>
      <w:marTop w:val="0"/>
      <w:marBottom w:val="0"/>
      <w:divBdr>
        <w:top w:val="none" w:sz="0" w:space="0" w:color="auto"/>
        <w:left w:val="none" w:sz="0" w:space="0" w:color="auto"/>
        <w:bottom w:val="none" w:sz="0" w:space="0" w:color="auto"/>
        <w:right w:val="none" w:sz="0" w:space="0" w:color="auto"/>
      </w:divBdr>
    </w:div>
    <w:div w:id="973483710">
      <w:bodyDiv w:val="1"/>
      <w:marLeft w:val="0"/>
      <w:marRight w:val="0"/>
      <w:marTop w:val="0"/>
      <w:marBottom w:val="0"/>
      <w:divBdr>
        <w:top w:val="none" w:sz="0" w:space="0" w:color="auto"/>
        <w:left w:val="none" w:sz="0" w:space="0" w:color="auto"/>
        <w:bottom w:val="none" w:sz="0" w:space="0" w:color="auto"/>
        <w:right w:val="none" w:sz="0" w:space="0" w:color="auto"/>
      </w:divBdr>
    </w:div>
    <w:div w:id="1341810942">
      <w:bodyDiv w:val="1"/>
      <w:marLeft w:val="0"/>
      <w:marRight w:val="0"/>
      <w:marTop w:val="0"/>
      <w:marBottom w:val="0"/>
      <w:divBdr>
        <w:top w:val="none" w:sz="0" w:space="0" w:color="auto"/>
        <w:left w:val="none" w:sz="0" w:space="0" w:color="auto"/>
        <w:bottom w:val="none" w:sz="0" w:space="0" w:color="auto"/>
        <w:right w:val="none" w:sz="0" w:space="0" w:color="auto"/>
      </w:divBdr>
    </w:div>
    <w:div w:id="1351637966">
      <w:bodyDiv w:val="1"/>
      <w:marLeft w:val="0"/>
      <w:marRight w:val="0"/>
      <w:marTop w:val="0"/>
      <w:marBottom w:val="0"/>
      <w:divBdr>
        <w:top w:val="none" w:sz="0" w:space="0" w:color="auto"/>
        <w:left w:val="none" w:sz="0" w:space="0" w:color="auto"/>
        <w:bottom w:val="none" w:sz="0" w:space="0" w:color="auto"/>
        <w:right w:val="none" w:sz="0" w:space="0" w:color="auto"/>
      </w:divBdr>
    </w:div>
    <w:div w:id="1384600445">
      <w:bodyDiv w:val="1"/>
      <w:marLeft w:val="0"/>
      <w:marRight w:val="0"/>
      <w:marTop w:val="0"/>
      <w:marBottom w:val="0"/>
      <w:divBdr>
        <w:top w:val="none" w:sz="0" w:space="0" w:color="auto"/>
        <w:left w:val="none" w:sz="0" w:space="0" w:color="auto"/>
        <w:bottom w:val="none" w:sz="0" w:space="0" w:color="auto"/>
        <w:right w:val="none" w:sz="0" w:space="0" w:color="auto"/>
      </w:divBdr>
    </w:div>
    <w:div w:id="1503396773">
      <w:bodyDiv w:val="1"/>
      <w:marLeft w:val="0"/>
      <w:marRight w:val="0"/>
      <w:marTop w:val="0"/>
      <w:marBottom w:val="0"/>
      <w:divBdr>
        <w:top w:val="none" w:sz="0" w:space="0" w:color="auto"/>
        <w:left w:val="none" w:sz="0" w:space="0" w:color="auto"/>
        <w:bottom w:val="none" w:sz="0" w:space="0" w:color="auto"/>
        <w:right w:val="none" w:sz="0" w:space="0" w:color="auto"/>
      </w:divBdr>
    </w:div>
    <w:div w:id="1639605574">
      <w:bodyDiv w:val="1"/>
      <w:marLeft w:val="0"/>
      <w:marRight w:val="0"/>
      <w:marTop w:val="0"/>
      <w:marBottom w:val="0"/>
      <w:divBdr>
        <w:top w:val="none" w:sz="0" w:space="0" w:color="auto"/>
        <w:left w:val="none" w:sz="0" w:space="0" w:color="auto"/>
        <w:bottom w:val="none" w:sz="0" w:space="0" w:color="auto"/>
        <w:right w:val="none" w:sz="0" w:space="0" w:color="auto"/>
      </w:divBdr>
    </w:div>
    <w:div w:id="1676111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insdictionary.com/dictionary/english/community" TargetMode="External"/><Relationship Id="rId5" Type="http://schemas.openxmlformats.org/officeDocument/2006/relationships/hyperlink" Target="https://dictionary.cambridge.org/dictionary/english/confiden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858</TotalTime>
  <Pages>17</Pages>
  <Words>6083</Words>
  <Characters>34674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Morgan,Ffion swp8160</dc:creator>
  <cp:keywords/>
  <dc:description/>
  <cp:lastModifiedBy>Morgan,Ffion swp8160</cp:lastModifiedBy>
  <cp:revision>73</cp:revision>
  <dcterms:created xsi:type="dcterms:W3CDTF">2023-09-04T21:27:00Z</dcterms:created>
  <dcterms:modified xsi:type="dcterms:W3CDTF">2023-09-05T21:04:00Z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2023-09-04T16:44:32Z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289aadcf-44d9-4521-847d-a58aaca13803</vt:lpwstr>
  </property>
  <property fmtid="{D5CDD505-2E9C-101B-9397-08002B2CF9AE}" pid="8" name="MSIP_Label_66cf8fe5-b7b7-4df7-b38d-1c61ac2f6639_ContentBits">
    <vt:lpwstr>0</vt:lpwstr>
  </property>
</Properties>
</file>