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92406761"/>
        <w:docPartObj>
          <w:docPartGallery w:val="Cover Pages"/>
          <w:docPartUnique/>
        </w:docPartObj>
      </w:sdtPr>
      <w:sdtEndPr/>
      <w:sdtContent>
        <w:p w14:paraId="3D04D399" w14:textId="1161D5CE" w:rsidR="00971E45" w:rsidRDefault="00971E45"/>
        <w:p w14:paraId="4382EF4D" w14:textId="3B79B0A2" w:rsidR="00971E45" w:rsidRDefault="00971E45">
          <w:r>
            <w:rPr>
              <w:noProof/>
            </w:rPr>
            <mc:AlternateContent>
              <mc:Choice Requires="wps">
                <w:drawing>
                  <wp:anchor distT="0" distB="0" distL="182880" distR="182880" simplePos="0" relativeHeight="251660288" behindDoc="0" locked="0" layoutInCell="1" allowOverlap="1" wp14:anchorId="2C08F8FA" wp14:editId="6F445D91">
                    <wp:simplePos x="0" y="0"/>
                    <mc:AlternateContent>
                      <mc:Choice Requires="wp14">
                        <wp:positionH relativeFrom="margin">
                          <wp14:pctPosHOffset>7700</wp14:pctPosHOffset>
                        </wp:positionH>
                      </mc:Choice>
                      <mc:Fallback>
                        <wp:positionH relativeFrom="page">
                          <wp:posOffset>968375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93429" w14:textId="7F973A2A" w:rsidR="00971E45" w:rsidRDefault="00654AF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56F2D">
                                      <w:rPr>
                                        <w:color w:val="4472C4" w:themeColor="accent1"/>
                                        <w:sz w:val="72"/>
                                        <w:szCs w:val="72"/>
                                      </w:rPr>
                                      <w:t>Understanding Resourcing and Talent Planning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AC2DE76" w14:textId="0692AA5F" w:rsidR="00971E45" w:rsidRDefault="00971E45">
                                    <w:pPr>
                                      <w:pStyle w:val="NoSpacing"/>
                                      <w:spacing w:before="40" w:after="40"/>
                                      <w:rPr>
                                        <w:caps/>
                                        <w:color w:val="1F4E79" w:themeColor="accent5" w:themeShade="80"/>
                                        <w:sz w:val="28"/>
                                        <w:szCs w:val="28"/>
                                      </w:rPr>
                                    </w:pPr>
                                    <w:r>
                                      <w:rPr>
                                        <w:caps/>
                                        <w:color w:val="1F4E79" w:themeColor="accent5" w:themeShade="80"/>
                                        <w:sz w:val="28"/>
                                        <w:szCs w:val="28"/>
                                      </w:rPr>
                                      <w:t>1400169</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0DD3F58" w14:textId="387520E2" w:rsidR="00971E45" w:rsidRDefault="00971E45">
                                    <w:pPr>
                                      <w:pStyle w:val="NoSpacing"/>
                                      <w:spacing w:before="80" w:after="40"/>
                                      <w:rPr>
                                        <w:caps/>
                                        <w:color w:val="5B9BD5" w:themeColor="accent5"/>
                                        <w:sz w:val="24"/>
                                        <w:szCs w:val="24"/>
                                      </w:rPr>
                                    </w:pPr>
                                    <w:r>
                                      <w:rPr>
                                        <w:caps/>
                                        <w:color w:val="5B9BD5" w:themeColor="accent5"/>
                                        <w:sz w:val="24"/>
                                        <w:szCs w:val="24"/>
                                      </w:rPr>
                                      <w:t>Kimberley Low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C08F8FA"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F293429" w14:textId="7F973A2A" w:rsidR="00971E45" w:rsidRDefault="00654AF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56F2D">
                                <w:rPr>
                                  <w:color w:val="4472C4" w:themeColor="accent1"/>
                                  <w:sz w:val="72"/>
                                  <w:szCs w:val="72"/>
                                </w:rPr>
                                <w:t>Understanding Resourcing and Talent Planning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AC2DE76" w14:textId="0692AA5F" w:rsidR="00971E45" w:rsidRDefault="00971E45">
                              <w:pPr>
                                <w:pStyle w:val="NoSpacing"/>
                                <w:spacing w:before="40" w:after="40"/>
                                <w:rPr>
                                  <w:caps/>
                                  <w:color w:val="1F4E79" w:themeColor="accent5" w:themeShade="80"/>
                                  <w:sz w:val="28"/>
                                  <w:szCs w:val="28"/>
                                </w:rPr>
                              </w:pPr>
                              <w:r>
                                <w:rPr>
                                  <w:caps/>
                                  <w:color w:val="1F4E79" w:themeColor="accent5" w:themeShade="80"/>
                                  <w:sz w:val="28"/>
                                  <w:szCs w:val="28"/>
                                </w:rPr>
                                <w:t>1400169</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0DD3F58" w14:textId="387520E2" w:rsidR="00971E45" w:rsidRDefault="00971E45">
                              <w:pPr>
                                <w:pStyle w:val="NoSpacing"/>
                                <w:spacing w:before="80" w:after="40"/>
                                <w:rPr>
                                  <w:caps/>
                                  <w:color w:val="5B9BD5" w:themeColor="accent5"/>
                                  <w:sz w:val="24"/>
                                  <w:szCs w:val="24"/>
                                </w:rPr>
                              </w:pPr>
                              <w:r>
                                <w:rPr>
                                  <w:caps/>
                                  <w:color w:val="5B9BD5" w:themeColor="accent5"/>
                                  <w:sz w:val="24"/>
                                  <w:szCs w:val="24"/>
                                </w:rPr>
                                <w:t>Kimberley Low</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CC68035" wp14:editId="563146E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214ADB7" w14:textId="77777777" w:rsidR="00971E45" w:rsidRDefault="00971E45">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CC68035"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214ADB7" w14:textId="77777777" w:rsidR="00971E45" w:rsidRDefault="00971E45">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p w14:paraId="6BEF0787"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lastRenderedPageBreak/>
        <w:t>Qualification: CIPD Diploma in Applied Human Resources</w:t>
      </w:r>
    </w:p>
    <w:p w14:paraId="4C00C81E" w14:textId="77777777" w:rsidR="00971E45" w:rsidRPr="00BD064F" w:rsidRDefault="00971E45" w:rsidP="00971E45">
      <w:pPr>
        <w:spacing w:after="0" w:line="240" w:lineRule="auto"/>
        <w:rPr>
          <w:rFonts w:ascii="Arial" w:eastAsia="Calibri" w:hAnsi="Arial" w:cs="Arial"/>
          <w:color w:val="58595B"/>
          <w:sz w:val="36"/>
          <w:szCs w:val="36"/>
          <w:lang w:val="en-US"/>
        </w:rPr>
      </w:pPr>
    </w:p>
    <w:p w14:paraId="550A0D53"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Module Name: Contributing to </w:t>
      </w:r>
      <w:r>
        <w:rPr>
          <w:rFonts w:ascii="Arial" w:eastAsia="Calibri" w:hAnsi="Arial" w:cs="Arial"/>
          <w:color w:val="58595B"/>
          <w:sz w:val="36"/>
          <w:szCs w:val="36"/>
          <w:lang w:val="en-US"/>
        </w:rPr>
        <w:t>the Management of Cha</w:t>
      </w:r>
      <w:r w:rsidRPr="00BD064F">
        <w:rPr>
          <w:rFonts w:ascii="Arial" w:eastAsia="Calibri" w:hAnsi="Arial" w:cs="Arial"/>
          <w:color w:val="58595B"/>
          <w:sz w:val="36"/>
          <w:szCs w:val="36"/>
          <w:lang w:val="en-US"/>
        </w:rPr>
        <w:t xml:space="preserve"> </w:t>
      </w:r>
    </w:p>
    <w:p w14:paraId="7DAE0E9A" w14:textId="77777777" w:rsidR="00971E45" w:rsidRPr="00BD064F" w:rsidRDefault="00971E45" w:rsidP="00971E45">
      <w:pPr>
        <w:spacing w:after="0" w:line="240" w:lineRule="auto"/>
        <w:rPr>
          <w:rFonts w:ascii="Arial" w:eastAsia="Calibri" w:hAnsi="Arial" w:cs="Arial"/>
          <w:color w:val="58595B"/>
          <w:sz w:val="36"/>
          <w:szCs w:val="36"/>
          <w:lang w:val="en-US"/>
        </w:rPr>
      </w:pPr>
    </w:p>
    <w:p w14:paraId="197327E7"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[Title of Assessment]</w:t>
      </w:r>
    </w:p>
    <w:p w14:paraId="71CE896E" w14:textId="77777777" w:rsidR="00971E45" w:rsidRPr="00BD064F" w:rsidRDefault="00971E45" w:rsidP="00971E45">
      <w:pPr>
        <w:spacing w:after="0" w:line="240" w:lineRule="auto"/>
        <w:rPr>
          <w:rFonts w:ascii="Arial" w:eastAsia="Calibri" w:hAnsi="Arial" w:cs="Arial"/>
          <w:color w:val="58595B"/>
          <w:sz w:val="36"/>
          <w:szCs w:val="36"/>
          <w:lang w:val="en-US"/>
        </w:rPr>
      </w:pPr>
    </w:p>
    <w:p w14:paraId="1B7B29DD" w14:textId="48C1811C"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Word Count:  </w:t>
      </w:r>
      <w:r w:rsidR="006471DD">
        <w:rPr>
          <w:rFonts w:ascii="Arial" w:eastAsia="Calibri" w:hAnsi="Arial" w:cs="Arial"/>
          <w:color w:val="58595B"/>
          <w:sz w:val="36"/>
          <w:szCs w:val="36"/>
          <w:lang w:val="en-US"/>
        </w:rPr>
        <w:t>3100</w:t>
      </w:r>
    </w:p>
    <w:p w14:paraId="5F01C226" w14:textId="77777777" w:rsidR="00971E45" w:rsidRPr="00BD064F" w:rsidRDefault="00971E45" w:rsidP="00971E45">
      <w:pPr>
        <w:spacing w:after="0" w:line="240" w:lineRule="auto"/>
        <w:rPr>
          <w:rFonts w:ascii="Arial" w:eastAsia="Calibri" w:hAnsi="Arial" w:cs="Arial"/>
          <w:color w:val="58595B"/>
          <w:sz w:val="36"/>
          <w:szCs w:val="36"/>
          <w:lang w:val="en-US"/>
        </w:rPr>
      </w:pPr>
    </w:p>
    <w:p w14:paraId="618214DA" w14:textId="77777777" w:rsidR="00971E45" w:rsidRPr="00BD064F" w:rsidRDefault="00971E45" w:rsidP="00971E45">
      <w:pPr>
        <w:spacing w:after="0" w:line="240" w:lineRule="auto"/>
        <w:rPr>
          <w:rFonts w:ascii="Arial" w:eastAsia="Calibri" w:hAnsi="Arial" w:cs="Arial"/>
          <w:color w:val="58595B"/>
          <w:sz w:val="36"/>
          <w:szCs w:val="36"/>
          <w:lang w:val="en-US"/>
        </w:rPr>
      </w:pPr>
    </w:p>
    <w:p w14:paraId="5666E25C" w14:textId="77777777" w:rsidR="00971E45" w:rsidRPr="00BD064F" w:rsidRDefault="00971E45" w:rsidP="00971E45">
      <w:pPr>
        <w:spacing w:after="0" w:line="240" w:lineRule="auto"/>
        <w:rPr>
          <w:rFonts w:ascii="Arial" w:eastAsia="Calibri" w:hAnsi="Arial" w:cs="Arial"/>
          <w:color w:val="58595B"/>
          <w:sz w:val="36"/>
          <w:szCs w:val="36"/>
          <w:lang w:val="en-US"/>
        </w:rPr>
      </w:pPr>
    </w:p>
    <w:p w14:paraId="4406C43B" w14:textId="77777777" w:rsidR="00971E45" w:rsidRPr="00BD064F" w:rsidRDefault="00971E45" w:rsidP="00971E45">
      <w:pPr>
        <w:spacing w:after="0" w:line="240" w:lineRule="auto"/>
        <w:rPr>
          <w:rFonts w:ascii="Arial" w:eastAsia="Calibri" w:hAnsi="Arial" w:cs="Arial"/>
          <w:color w:val="58595B"/>
          <w:sz w:val="36"/>
          <w:szCs w:val="36"/>
          <w:lang w:val="en-US"/>
        </w:rPr>
      </w:pPr>
    </w:p>
    <w:p w14:paraId="52A2D8FC" w14:textId="77777777" w:rsidR="00971E45" w:rsidRPr="00BD064F" w:rsidRDefault="00971E45" w:rsidP="00971E45">
      <w:pPr>
        <w:spacing w:after="0" w:line="240" w:lineRule="auto"/>
        <w:rPr>
          <w:rFonts w:ascii="Arial" w:eastAsia="Calibri" w:hAnsi="Arial" w:cs="Arial"/>
          <w:color w:val="58595B"/>
          <w:sz w:val="36"/>
          <w:szCs w:val="36"/>
          <w:lang w:val="en-US"/>
        </w:rPr>
      </w:pPr>
    </w:p>
    <w:p w14:paraId="4C6B154F" w14:textId="77777777" w:rsidR="00971E45" w:rsidRPr="00BD064F" w:rsidRDefault="00971E45" w:rsidP="00971E45">
      <w:pPr>
        <w:spacing w:after="0" w:line="240" w:lineRule="auto"/>
        <w:rPr>
          <w:rFonts w:ascii="Arial" w:eastAsia="Calibri" w:hAnsi="Arial" w:cs="Arial"/>
          <w:color w:val="58595B"/>
          <w:sz w:val="36"/>
          <w:szCs w:val="36"/>
          <w:lang w:val="en-US"/>
        </w:rPr>
      </w:pPr>
    </w:p>
    <w:p w14:paraId="431D68C4" w14:textId="77777777" w:rsidR="00971E45" w:rsidRPr="00BD064F" w:rsidRDefault="00971E45" w:rsidP="00971E45">
      <w:pPr>
        <w:spacing w:after="0" w:line="240" w:lineRule="auto"/>
        <w:rPr>
          <w:rFonts w:ascii="Arial" w:eastAsia="Calibri" w:hAnsi="Arial" w:cs="Arial"/>
          <w:color w:val="58595B"/>
          <w:sz w:val="36"/>
          <w:szCs w:val="36"/>
          <w:lang w:val="en-US"/>
        </w:rPr>
      </w:pPr>
    </w:p>
    <w:p w14:paraId="5A4904B6" w14:textId="77777777" w:rsidR="00971E45" w:rsidRPr="00BD064F" w:rsidRDefault="00971E45" w:rsidP="00971E45">
      <w:pPr>
        <w:spacing w:after="0" w:line="240" w:lineRule="auto"/>
        <w:rPr>
          <w:rFonts w:ascii="Arial" w:eastAsia="Calibri" w:hAnsi="Arial" w:cs="Arial"/>
          <w:color w:val="58595B"/>
          <w:sz w:val="36"/>
          <w:szCs w:val="36"/>
          <w:lang w:val="en-US"/>
        </w:rPr>
      </w:pPr>
    </w:p>
    <w:p w14:paraId="3E46AE55"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Student Name: Kimberley Low </w:t>
      </w:r>
    </w:p>
    <w:p w14:paraId="389AC227"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Student Number: 1400169</w:t>
      </w:r>
    </w:p>
    <w:p w14:paraId="241732C1"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CIPD Membership Number: 57493170</w:t>
      </w:r>
    </w:p>
    <w:p w14:paraId="2902CEC3" w14:textId="77777777" w:rsidR="00971E45" w:rsidRPr="00BD064F" w:rsidRDefault="00971E45" w:rsidP="00971E45">
      <w:pPr>
        <w:spacing w:after="0" w:line="240" w:lineRule="auto"/>
        <w:rPr>
          <w:rFonts w:ascii="Arial" w:eastAsia="Calibri" w:hAnsi="Arial" w:cs="Arial"/>
          <w:color w:val="58595B"/>
          <w:sz w:val="36"/>
          <w:szCs w:val="36"/>
          <w:lang w:val="en-US"/>
        </w:rPr>
      </w:pPr>
    </w:p>
    <w:p w14:paraId="6BC2CE9A" w14:textId="77777777" w:rsidR="00971E45" w:rsidRPr="00BD064F" w:rsidRDefault="00971E45" w:rsidP="00971E45">
      <w:pPr>
        <w:spacing w:after="0" w:line="240" w:lineRule="auto"/>
        <w:rPr>
          <w:rFonts w:ascii="Arial" w:eastAsia="Calibri" w:hAnsi="Arial" w:cs="Arial"/>
          <w:color w:val="58595B"/>
          <w:sz w:val="36"/>
          <w:szCs w:val="36"/>
          <w:lang w:val="en-US"/>
        </w:rPr>
      </w:pPr>
    </w:p>
    <w:p w14:paraId="2B7CD9E4" w14:textId="77777777" w:rsidR="00971E45" w:rsidRPr="00BD064F" w:rsidRDefault="00971E45" w:rsidP="00971E45">
      <w:pPr>
        <w:spacing w:after="0" w:line="240" w:lineRule="auto"/>
        <w:rPr>
          <w:rFonts w:ascii="Arial" w:eastAsia="Calibri" w:hAnsi="Arial" w:cs="Arial"/>
          <w:color w:val="58595B"/>
          <w:sz w:val="36"/>
          <w:szCs w:val="36"/>
          <w:lang w:val="en-US"/>
        </w:rPr>
      </w:pPr>
    </w:p>
    <w:p w14:paraId="6FBFC1B0"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14:paraId="2A76702E" w14:textId="77777777" w:rsidR="00971E45" w:rsidRPr="00BD064F" w:rsidRDefault="00971E45" w:rsidP="00971E45">
      <w:pPr>
        <w:spacing w:after="0" w:line="240" w:lineRule="auto"/>
        <w:rPr>
          <w:rFonts w:ascii="Arial" w:eastAsia="Calibri" w:hAnsi="Arial" w:cs="Arial"/>
          <w:color w:val="58595B"/>
          <w:sz w:val="36"/>
          <w:szCs w:val="36"/>
          <w:lang w:val="en-US"/>
        </w:rPr>
      </w:pPr>
    </w:p>
    <w:p w14:paraId="1CBA5647"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Signed: Kimberley A Low </w:t>
      </w:r>
    </w:p>
    <w:p w14:paraId="338C92CC" w14:textId="595C49AD" w:rsidR="00971E45"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Date: </w:t>
      </w:r>
      <w:r>
        <w:rPr>
          <w:rFonts w:ascii="Arial" w:eastAsia="Calibri" w:hAnsi="Arial" w:cs="Arial"/>
          <w:color w:val="58595B"/>
          <w:sz w:val="36"/>
          <w:szCs w:val="36"/>
          <w:lang w:val="en-US"/>
        </w:rPr>
        <w:t>25/04</w:t>
      </w:r>
      <w:r w:rsidRPr="00BD064F">
        <w:rPr>
          <w:rFonts w:ascii="Arial" w:eastAsia="Calibri" w:hAnsi="Arial" w:cs="Arial"/>
          <w:color w:val="58595B"/>
          <w:sz w:val="36"/>
          <w:szCs w:val="36"/>
          <w:lang w:val="en-US"/>
        </w:rPr>
        <w:t>/202</w:t>
      </w:r>
      <w:r>
        <w:rPr>
          <w:rFonts w:ascii="Arial" w:eastAsia="Calibri" w:hAnsi="Arial" w:cs="Arial"/>
          <w:color w:val="58595B"/>
          <w:sz w:val="36"/>
          <w:szCs w:val="36"/>
          <w:lang w:val="en-US"/>
        </w:rPr>
        <w:t>2</w:t>
      </w:r>
    </w:p>
    <w:p w14:paraId="55C084C4" w14:textId="44834DC9" w:rsidR="00013FDF" w:rsidRDefault="00013FDF"/>
    <w:p w14:paraId="7C4BECFC" w14:textId="07CF7F01" w:rsidR="00971E45" w:rsidRDefault="00971E45"/>
    <w:p w14:paraId="3E47FBCA" w14:textId="6A935796" w:rsidR="00971E45" w:rsidRDefault="00971E45"/>
    <w:p w14:paraId="31940237" w14:textId="1625C0F7" w:rsidR="00971E45" w:rsidRDefault="00971E45"/>
    <w:p w14:paraId="4168740F" w14:textId="5F39435B" w:rsidR="00971E45" w:rsidRDefault="00971E45"/>
    <w:p w14:paraId="32D9E715" w14:textId="6C82CF1E" w:rsidR="00971E45" w:rsidRDefault="00971E45"/>
    <w:p w14:paraId="71509E78" w14:textId="3CDC4313" w:rsidR="00971E45" w:rsidRDefault="00971E45"/>
    <w:p w14:paraId="690615E1" w14:textId="29823ABF" w:rsidR="00971E45" w:rsidRDefault="00971E45"/>
    <w:p w14:paraId="04147B58" w14:textId="20CC9D29" w:rsidR="00971E45" w:rsidRDefault="00971E45"/>
    <w:sdt>
      <w:sdtPr>
        <w:rPr>
          <w:rFonts w:asciiTheme="minorHAnsi" w:eastAsiaTheme="minorHAnsi" w:hAnsiTheme="minorHAnsi" w:cstheme="minorBidi"/>
          <w:color w:val="auto"/>
          <w:sz w:val="22"/>
          <w:szCs w:val="22"/>
          <w:lang w:val="en-GB"/>
        </w:rPr>
        <w:id w:val="-2081741660"/>
        <w:docPartObj>
          <w:docPartGallery w:val="Table of Contents"/>
          <w:docPartUnique/>
        </w:docPartObj>
      </w:sdtPr>
      <w:sdtEndPr>
        <w:rPr>
          <w:b/>
          <w:bCs/>
          <w:noProof/>
        </w:rPr>
      </w:sdtEndPr>
      <w:sdtContent>
        <w:p w14:paraId="25FDE951" w14:textId="5291E473" w:rsidR="00971E45" w:rsidRDefault="00971E45">
          <w:pPr>
            <w:pStyle w:val="TOCHeading"/>
          </w:pPr>
          <w:r>
            <w:t>Contents</w:t>
          </w:r>
        </w:p>
        <w:p w14:paraId="0C6622B0" w14:textId="52C8C52C" w:rsidR="006471DD" w:rsidRDefault="00971E45">
          <w:pPr>
            <w:pStyle w:val="TOC1"/>
            <w:tabs>
              <w:tab w:val="right" w:leader="dot" w:pos="10457"/>
            </w:tabs>
            <w:rPr>
              <w:rFonts w:eastAsiaTheme="minorEastAsia"/>
              <w:noProof/>
              <w:lang w:eastAsia="en-GB"/>
            </w:rPr>
          </w:pPr>
          <w:r>
            <w:fldChar w:fldCharType="begin"/>
          </w:r>
          <w:r>
            <w:instrText xml:space="preserve"> TOC \o "1-3" \h \z \u </w:instrText>
          </w:r>
          <w:r>
            <w:fldChar w:fldCharType="separate"/>
          </w:r>
          <w:hyperlink w:anchor="_Toc102418970" w:history="1">
            <w:r w:rsidR="006471DD" w:rsidRPr="00D1662A">
              <w:rPr>
                <w:rStyle w:val="Hyperlink"/>
                <w:noProof/>
              </w:rPr>
              <w:t>1.1 Key contemporary labour trends UK vs Sweden</w:t>
            </w:r>
            <w:r w:rsidR="006471DD">
              <w:rPr>
                <w:noProof/>
                <w:webHidden/>
              </w:rPr>
              <w:tab/>
            </w:r>
            <w:r w:rsidR="006471DD">
              <w:rPr>
                <w:noProof/>
                <w:webHidden/>
              </w:rPr>
              <w:fldChar w:fldCharType="begin"/>
            </w:r>
            <w:r w:rsidR="006471DD">
              <w:rPr>
                <w:noProof/>
                <w:webHidden/>
              </w:rPr>
              <w:instrText xml:space="preserve"> PAGEREF _Toc102418970 \h </w:instrText>
            </w:r>
            <w:r w:rsidR="006471DD">
              <w:rPr>
                <w:noProof/>
                <w:webHidden/>
              </w:rPr>
            </w:r>
            <w:r w:rsidR="006471DD">
              <w:rPr>
                <w:noProof/>
                <w:webHidden/>
              </w:rPr>
              <w:fldChar w:fldCharType="separate"/>
            </w:r>
            <w:r w:rsidR="006471DD">
              <w:rPr>
                <w:noProof/>
                <w:webHidden/>
              </w:rPr>
              <w:t>3</w:t>
            </w:r>
            <w:r w:rsidR="006471DD">
              <w:rPr>
                <w:noProof/>
                <w:webHidden/>
              </w:rPr>
              <w:fldChar w:fldCharType="end"/>
            </w:r>
          </w:hyperlink>
        </w:p>
        <w:p w14:paraId="454D7342" w14:textId="5B2E7DAD" w:rsidR="006471DD" w:rsidRDefault="006471DD">
          <w:pPr>
            <w:pStyle w:val="TOC1"/>
            <w:tabs>
              <w:tab w:val="right" w:leader="dot" w:pos="10457"/>
            </w:tabs>
            <w:rPr>
              <w:rFonts w:eastAsiaTheme="minorEastAsia"/>
              <w:noProof/>
              <w:lang w:eastAsia="en-GB"/>
            </w:rPr>
          </w:pPr>
          <w:hyperlink w:anchor="_Toc102418971" w:history="1">
            <w:r w:rsidRPr="00D1662A">
              <w:rPr>
                <w:rStyle w:val="Hyperlink"/>
                <w:noProof/>
              </w:rPr>
              <w:t>1.2 Principles of effective workforce planning, and tools used</w:t>
            </w:r>
            <w:r>
              <w:rPr>
                <w:noProof/>
                <w:webHidden/>
              </w:rPr>
              <w:tab/>
            </w:r>
            <w:r>
              <w:rPr>
                <w:noProof/>
                <w:webHidden/>
              </w:rPr>
              <w:fldChar w:fldCharType="begin"/>
            </w:r>
            <w:r>
              <w:rPr>
                <w:noProof/>
                <w:webHidden/>
              </w:rPr>
              <w:instrText xml:space="preserve"> PAGEREF _Toc102418971 \h </w:instrText>
            </w:r>
            <w:r>
              <w:rPr>
                <w:noProof/>
                <w:webHidden/>
              </w:rPr>
            </w:r>
            <w:r>
              <w:rPr>
                <w:noProof/>
                <w:webHidden/>
              </w:rPr>
              <w:fldChar w:fldCharType="separate"/>
            </w:r>
            <w:r>
              <w:rPr>
                <w:noProof/>
                <w:webHidden/>
              </w:rPr>
              <w:t>4</w:t>
            </w:r>
            <w:r>
              <w:rPr>
                <w:noProof/>
                <w:webHidden/>
              </w:rPr>
              <w:fldChar w:fldCharType="end"/>
            </w:r>
          </w:hyperlink>
        </w:p>
        <w:p w14:paraId="474B8318" w14:textId="16763702" w:rsidR="006471DD" w:rsidRDefault="006471DD">
          <w:pPr>
            <w:pStyle w:val="TOC1"/>
            <w:tabs>
              <w:tab w:val="right" w:leader="dot" w:pos="10457"/>
            </w:tabs>
            <w:rPr>
              <w:rFonts w:eastAsiaTheme="minorEastAsia"/>
              <w:noProof/>
              <w:lang w:eastAsia="en-GB"/>
            </w:rPr>
          </w:pPr>
          <w:hyperlink w:anchor="_Toc102418972" w:history="1">
            <w:r w:rsidRPr="00D1662A">
              <w:rPr>
                <w:rStyle w:val="Hyperlink"/>
                <w:noProof/>
              </w:rPr>
              <w:t>1.3 How to develop basic people plans and succession plans</w:t>
            </w:r>
            <w:r>
              <w:rPr>
                <w:noProof/>
                <w:webHidden/>
              </w:rPr>
              <w:tab/>
            </w:r>
            <w:r>
              <w:rPr>
                <w:noProof/>
                <w:webHidden/>
              </w:rPr>
              <w:fldChar w:fldCharType="begin"/>
            </w:r>
            <w:r>
              <w:rPr>
                <w:noProof/>
                <w:webHidden/>
              </w:rPr>
              <w:instrText xml:space="preserve"> PAGEREF _Toc102418972 \h </w:instrText>
            </w:r>
            <w:r>
              <w:rPr>
                <w:noProof/>
                <w:webHidden/>
              </w:rPr>
            </w:r>
            <w:r>
              <w:rPr>
                <w:noProof/>
                <w:webHidden/>
              </w:rPr>
              <w:fldChar w:fldCharType="separate"/>
            </w:r>
            <w:r>
              <w:rPr>
                <w:noProof/>
                <w:webHidden/>
              </w:rPr>
              <w:t>5</w:t>
            </w:r>
            <w:r>
              <w:rPr>
                <w:noProof/>
                <w:webHidden/>
              </w:rPr>
              <w:fldChar w:fldCharType="end"/>
            </w:r>
          </w:hyperlink>
        </w:p>
        <w:p w14:paraId="36F0FA93" w14:textId="1ACF98F2" w:rsidR="006471DD" w:rsidRDefault="006471DD">
          <w:pPr>
            <w:pStyle w:val="TOC1"/>
            <w:tabs>
              <w:tab w:val="right" w:leader="dot" w:pos="10457"/>
            </w:tabs>
            <w:rPr>
              <w:rFonts w:eastAsiaTheme="minorEastAsia"/>
              <w:noProof/>
              <w:lang w:eastAsia="en-GB"/>
            </w:rPr>
          </w:pPr>
          <w:hyperlink w:anchor="_Toc102418973" w:history="1">
            <w:r w:rsidRPr="00D1662A">
              <w:rPr>
                <w:rStyle w:val="Hyperlink"/>
                <w:noProof/>
              </w:rPr>
              <w:t>2.1 Strengths and weaknesses of approaches to attracting talent</w:t>
            </w:r>
            <w:r>
              <w:rPr>
                <w:noProof/>
                <w:webHidden/>
              </w:rPr>
              <w:tab/>
            </w:r>
            <w:r>
              <w:rPr>
                <w:noProof/>
                <w:webHidden/>
              </w:rPr>
              <w:fldChar w:fldCharType="begin"/>
            </w:r>
            <w:r>
              <w:rPr>
                <w:noProof/>
                <w:webHidden/>
              </w:rPr>
              <w:instrText xml:space="preserve"> PAGEREF _Toc102418973 \h </w:instrText>
            </w:r>
            <w:r>
              <w:rPr>
                <w:noProof/>
                <w:webHidden/>
              </w:rPr>
            </w:r>
            <w:r>
              <w:rPr>
                <w:noProof/>
                <w:webHidden/>
              </w:rPr>
              <w:fldChar w:fldCharType="separate"/>
            </w:r>
            <w:r>
              <w:rPr>
                <w:noProof/>
                <w:webHidden/>
              </w:rPr>
              <w:t>6</w:t>
            </w:r>
            <w:r>
              <w:rPr>
                <w:noProof/>
                <w:webHidden/>
              </w:rPr>
              <w:fldChar w:fldCharType="end"/>
            </w:r>
          </w:hyperlink>
        </w:p>
        <w:p w14:paraId="55C99E7C" w14:textId="5243BA05" w:rsidR="006471DD" w:rsidRDefault="006471DD">
          <w:pPr>
            <w:pStyle w:val="TOC1"/>
            <w:tabs>
              <w:tab w:val="right" w:leader="dot" w:pos="10457"/>
            </w:tabs>
            <w:rPr>
              <w:rFonts w:eastAsiaTheme="minorEastAsia"/>
              <w:noProof/>
              <w:lang w:eastAsia="en-GB"/>
            </w:rPr>
          </w:pPr>
          <w:hyperlink w:anchor="_Toc102418974" w:history="1">
            <w:r w:rsidRPr="00D1662A">
              <w:rPr>
                <w:rStyle w:val="Hyperlink"/>
                <w:noProof/>
              </w:rPr>
              <w:t>2.2 Strengths and weaknesses of different approaches to retaining talent</w:t>
            </w:r>
            <w:r>
              <w:rPr>
                <w:noProof/>
                <w:webHidden/>
              </w:rPr>
              <w:tab/>
            </w:r>
            <w:r>
              <w:rPr>
                <w:noProof/>
                <w:webHidden/>
              </w:rPr>
              <w:fldChar w:fldCharType="begin"/>
            </w:r>
            <w:r>
              <w:rPr>
                <w:noProof/>
                <w:webHidden/>
              </w:rPr>
              <w:instrText xml:space="preserve"> PAGEREF _Toc102418974 \h </w:instrText>
            </w:r>
            <w:r>
              <w:rPr>
                <w:noProof/>
                <w:webHidden/>
              </w:rPr>
            </w:r>
            <w:r>
              <w:rPr>
                <w:noProof/>
                <w:webHidden/>
              </w:rPr>
              <w:fldChar w:fldCharType="separate"/>
            </w:r>
            <w:r>
              <w:rPr>
                <w:noProof/>
                <w:webHidden/>
              </w:rPr>
              <w:t>7</w:t>
            </w:r>
            <w:r>
              <w:rPr>
                <w:noProof/>
                <w:webHidden/>
              </w:rPr>
              <w:fldChar w:fldCharType="end"/>
            </w:r>
          </w:hyperlink>
        </w:p>
        <w:p w14:paraId="32D1E705" w14:textId="3D9D3E52" w:rsidR="006471DD" w:rsidRDefault="006471DD">
          <w:pPr>
            <w:pStyle w:val="TOC1"/>
            <w:tabs>
              <w:tab w:val="right" w:leader="dot" w:pos="10457"/>
            </w:tabs>
            <w:rPr>
              <w:rFonts w:eastAsiaTheme="minorEastAsia"/>
              <w:noProof/>
              <w:lang w:eastAsia="en-GB"/>
            </w:rPr>
          </w:pPr>
          <w:hyperlink w:anchor="_Toc102418975" w:history="1">
            <w:r w:rsidRPr="00D1662A">
              <w:rPr>
                <w:rStyle w:val="Hyperlink"/>
                <w:noProof/>
              </w:rPr>
              <w:t>3.1 Key aspects of good practice relating to developing job descriptions, person specifications and competency frameworks</w:t>
            </w:r>
            <w:r>
              <w:rPr>
                <w:noProof/>
                <w:webHidden/>
              </w:rPr>
              <w:tab/>
            </w:r>
            <w:r>
              <w:rPr>
                <w:noProof/>
                <w:webHidden/>
              </w:rPr>
              <w:fldChar w:fldCharType="begin"/>
            </w:r>
            <w:r>
              <w:rPr>
                <w:noProof/>
                <w:webHidden/>
              </w:rPr>
              <w:instrText xml:space="preserve"> PAGEREF _Toc102418975 \h </w:instrText>
            </w:r>
            <w:r>
              <w:rPr>
                <w:noProof/>
                <w:webHidden/>
              </w:rPr>
            </w:r>
            <w:r>
              <w:rPr>
                <w:noProof/>
                <w:webHidden/>
              </w:rPr>
              <w:fldChar w:fldCharType="separate"/>
            </w:r>
            <w:r>
              <w:rPr>
                <w:noProof/>
                <w:webHidden/>
              </w:rPr>
              <w:t>8</w:t>
            </w:r>
            <w:r>
              <w:rPr>
                <w:noProof/>
                <w:webHidden/>
              </w:rPr>
              <w:fldChar w:fldCharType="end"/>
            </w:r>
          </w:hyperlink>
        </w:p>
        <w:p w14:paraId="39987AD7" w14:textId="4638C78D" w:rsidR="006471DD" w:rsidRDefault="006471DD">
          <w:pPr>
            <w:pStyle w:val="TOC1"/>
            <w:tabs>
              <w:tab w:val="right" w:leader="dot" w:pos="10457"/>
            </w:tabs>
            <w:rPr>
              <w:rFonts w:eastAsiaTheme="minorEastAsia"/>
              <w:noProof/>
              <w:lang w:eastAsia="en-GB"/>
            </w:rPr>
          </w:pPr>
          <w:hyperlink w:anchor="_Toc102418976" w:history="1">
            <w:r w:rsidRPr="00D1662A">
              <w:rPr>
                <w:rStyle w:val="Hyperlink"/>
                <w:noProof/>
              </w:rPr>
              <w:t>3.2 Evaluate different methods of recruitment and selection</w:t>
            </w:r>
            <w:r>
              <w:rPr>
                <w:noProof/>
                <w:webHidden/>
              </w:rPr>
              <w:tab/>
            </w:r>
            <w:r>
              <w:rPr>
                <w:noProof/>
                <w:webHidden/>
              </w:rPr>
              <w:fldChar w:fldCharType="begin"/>
            </w:r>
            <w:r>
              <w:rPr>
                <w:noProof/>
                <w:webHidden/>
              </w:rPr>
              <w:instrText xml:space="preserve"> PAGEREF _Toc102418976 \h </w:instrText>
            </w:r>
            <w:r>
              <w:rPr>
                <w:noProof/>
                <w:webHidden/>
              </w:rPr>
            </w:r>
            <w:r>
              <w:rPr>
                <w:noProof/>
                <w:webHidden/>
              </w:rPr>
              <w:fldChar w:fldCharType="separate"/>
            </w:r>
            <w:r>
              <w:rPr>
                <w:noProof/>
                <w:webHidden/>
              </w:rPr>
              <w:t>9</w:t>
            </w:r>
            <w:r>
              <w:rPr>
                <w:noProof/>
                <w:webHidden/>
              </w:rPr>
              <w:fldChar w:fldCharType="end"/>
            </w:r>
          </w:hyperlink>
        </w:p>
        <w:p w14:paraId="29AD63A5" w14:textId="70107CD7" w:rsidR="006471DD" w:rsidRDefault="006471DD">
          <w:pPr>
            <w:pStyle w:val="TOC1"/>
            <w:tabs>
              <w:tab w:val="right" w:leader="dot" w:pos="10457"/>
            </w:tabs>
            <w:rPr>
              <w:rFonts w:eastAsiaTheme="minorEastAsia"/>
              <w:noProof/>
              <w:lang w:eastAsia="en-GB"/>
            </w:rPr>
          </w:pPr>
          <w:hyperlink w:anchor="_Toc102418977" w:history="1">
            <w:r w:rsidRPr="00D1662A">
              <w:rPr>
                <w:rStyle w:val="Hyperlink"/>
                <w:noProof/>
              </w:rPr>
              <w:t>3.3 Key aspects of good practice in relation to dismissal, redundancy, and retirement</w:t>
            </w:r>
            <w:r>
              <w:rPr>
                <w:noProof/>
                <w:webHidden/>
              </w:rPr>
              <w:tab/>
            </w:r>
            <w:r>
              <w:rPr>
                <w:noProof/>
                <w:webHidden/>
              </w:rPr>
              <w:fldChar w:fldCharType="begin"/>
            </w:r>
            <w:r>
              <w:rPr>
                <w:noProof/>
                <w:webHidden/>
              </w:rPr>
              <w:instrText xml:space="preserve"> PAGEREF _Toc102418977 \h </w:instrText>
            </w:r>
            <w:r>
              <w:rPr>
                <w:noProof/>
                <w:webHidden/>
              </w:rPr>
            </w:r>
            <w:r>
              <w:rPr>
                <w:noProof/>
                <w:webHidden/>
              </w:rPr>
              <w:fldChar w:fldCharType="separate"/>
            </w:r>
            <w:r>
              <w:rPr>
                <w:noProof/>
                <w:webHidden/>
              </w:rPr>
              <w:t>10</w:t>
            </w:r>
            <w:r>
              <w:rPr>
                <w:noProof/>
                <w:webHidden/>
              </w:rPr>
              <w:fldChar w:fldCharType="end"/>
            </w:r>
          </w:hyperlink>
        </w:p>
        <w:p w14:paraId="7BD48D1A" w14:textId="2FDF2B18" w:rsidR="006471DD" w:rsidRDefault="006471DD">
          <w:pPr>
            <w:pStyle w:val="TOC1"/>
            <w:tabs>
              <w:tab w:val="right" w:leader="dot" w:pos="10457"/>
            </w:tabs>
            <w:rPr>
              <w:rFonts w:eastAsiaTheme="minorEastAsia"/>
              <w:noProof/>
              <w:lang w:eastAsia="en-GB"/>
            </w:rPr>
          </w:pPr>
          <w:hyperlink w:anchor="_Toc102418978" w:history="1">
            <w:r w:rsidRPr="00D1662A">
              <w:rPr>
                <w:rStyle w:val="Hyperlink"/>
                <w:noProof/>
              </w:rPr>
              <w:t>References</w:t>
            </w:r>
            <w:r>
              <w:rPr>
                <w:noProof/>
                <w:webHidden/>
              </w:rPr>
              <w:tab/>
            </w:r>
            <w:r>
              <w:rPr>
                <w:noProof/>
                <w:webHidden/>
              </w:rPr>
              <w:fldChar w:fldCharType="begin"/>
            </w:r>
            <w:r>
              <w:rPr>
                <w:noProof/>
                <w:webHidden/>
              </w:rPr>
              <w:instrText xml:space="preserve"> PAGEREF _Toc102418978 \h </w:instrText>
            </w:r>
            <w:r>
              <w:rPr>
                <w:noProof/>
                <w:webHidden/>
              </w:rPr>
            </w:r>
            <w:r>
              <w:rPr>
                <w:noProof/>
                <w:webHidden/>
              </w:rPr>
              <w:fldChar w:fldCharType="separate"/>
            </w:r>
            <w:r>
              <w:rPr>
                <w:noProof/>
                <w:webHidden/>
              </w:rPr>
              <w:t>11</w:t>
            </w:r>
            <w:r>
              <w:rPr>
                <w:noProof/>
                <w:webHidden/>
              </w:rPr>
              <w:fldChar w:fldCharType="end"/>
            </w:r>
          </w:hyperlink>
        </w:p>
        <w:p w14:paraId="24360852" w14:textId="609BD82B" w:rsidR="006471DD" w:rsidRDefault="006471DD">
          <w:pPr>
            <w:pStyle w:val="TOC1"/>
            <w:tabs>
              <w:tab w:val="right" w:leader="dot" w:pos="10457"/>
            </w:tabs>
            <w:rPr>
              <w:rFonts w:eastAsiaTheme="minorEastAsia"/>
              <w:noProof/>
              <w:lang w:eastAsia="en-GB"/>
            </w:rPr>
          </w:pPr>
          <w:hyperlink w:anchor="_Toc102418979" w:history="1">
            <w:r w:rsidRPr="00D1662A">
              <w:rPr>
                <w:rStyle w:val="Hyperlink"/>
                <w:noProof/>
              </w:rPr>
              <w:t>Bibliography</w:t>
            </w:r>
            <w:r>
              <w:rPr>
                <w:noProof/>
                <w:webHidden/>
              </w:rPr>
              <w:tab/>
            </w:r>
            <w:r>
              <w:rPr>
                <w:noProof/>
                <w:webHidden/>
              </w:rPr>
              <w:fldChar w:fldCharType="begin"/>
            </w:r>
            <w:r>
              <w:rPr>
                <w:noProof/>
                <w:webHidden/>
              </w:rPr>
              <w:instrText xml:space="preserve"> PAGEREF _Toc102418979 \h </w:instrText>
            </w:r>
            <w:r>
              <w:rPr>
                <w:noProof/>
                <w:webHidden/>
              </w:rPr>
            </w:r>
            <w:r>
              <w:rPr>
                <w:noProof/>
                <w:webHidden/>
              </w:rPr>
              <w:fldChar w:fldCharType="separate"/>
            </w:r>
            <w:r>
              <w:rPr>
                <w:noProof/>
                <w:webHidden/>
              </w:rPr>
              <w:t>13</w:t>
            </w:r>
            <w:r>
              <w:rPr>
                <w:noProof/>
                <w:webHidden/>
              </w:rPr>
              <w:fldChar w:fldCharType="end"/>
            </w:r>
          </w:hyperlink>
        </w:p>
        <w:p w14:paraId="18EC9BE6" w14:textId="47E9FE97" w:rsidR="00971E45" w:rsidRDefault="00971E45">
          <w:r>
            <w:rPr>
              <w:b/>
              <w:bCs/>
              <w:noProof/>
            </w:rPr>
            <w:fldChar w:fldCharType="end"/>
          </w:r>
        </w:p>
      </w:sdtContent>
    </w:sdt>
    <w:p w14:paraId="64B5FE97" w14:textId="48F782B8" w:rsidR="00971E45" w:rsidRDefault="00971E45">
      <w:r>
        <w:br w:type="page"/>
      </w:r>
    </w:p>
    <w:p w14:paraId="5A5EABC7" w14:textId="078CAF6B" w:rsidR="00971E45" w:rsidRDefault="00971E45" w:rsidP="00971E45">
      <w:pPr>
        <w:pStyle w:val="Heading1"/>
      </w:pPr>
      <w:bookmarkStart w:id="0" w:name="_Toc102418970"/>
      <w:r>
        <w:lastRenderedPageBreak/>
        <w:t xml:space="preserve">1.1 Key contemporary labour trends </w:t>
      </w:r>
      <w:r w:rsidR="00335200">
        <w:t>UK</w:t>
      </w:r>
      <w:r>
        <w:t xml:space="preserve"> vs </w:t>
      </w:r>
      <w:r w:rsidR="00335200">
        <w:t>Sweden</w:t>
      </w:r>
      <w:bookmarkEnd w:id="0"/>
      <w:r>
        <w:t xml:space="preserve"> </w:t>
      </w:r>
    </w:p>
    <w:p w14:paraId="0E306A20" w14:textId="56748478" w:rsidR="00971E45" w:rsidRDefault="00971E45" w:rsidP="00971E45"/>
    <w:p w14:paraId="43D7B6D3" w14:textId="458D9AFD" w:rsidR="00040D74" w:rsidRDefault="00FD1C98" w:rsidP="00971E45">
      <w:r>
        <w:t xml:space="preserve">Different countries have different labour market trends. When looking at wage rates and inequalities, </w:t>
      </w:r>
      <w:r w:rsidR="00CD6D5B">
        <w:t>the OEDC (2021) identified the difference between female and male pay rates, Sweden has a much lower difference of 26% whereas the UK difference sits at 42%, highlighting the face</w:t>
      </w:r>
      <w:r w:rsidR="002B46BC">
        <w:t>t</w:t>
      </w:r>
      <w:r w:rsidR="00CD6D5B">
        <w:t xml:space="preserve"> </w:t>
      </w:r>
      <w:r w:rsidR="002B46BC">
        <w:t>Sweden</w:t>
      </w:r>
      <w:r w:rsidR="00CD6D5B">
        <w:t xml:space="preserve"> has a more </w:t>
      </w:r>
      <w:r w:rsidR="002B46BC">
        <w:t>inclusive approach to pay</w:t>
      </w:r>
      <w:r w:rsidR="00C70896">
        <w:t xml:space="preserve">, the survey also showed that average hourly earnings in the UK sat at 17.70 USD whereas the rate in Sweden was at 20.60 USD, again Sweden out ranked the UK in this area. </w:t>
      </w:r>
      <w:r w:rsidR="006C0B62">
        <w:t>This can be analysed further when looking at public and private sector, The average private sector salary in Sweden in 2020 was 36,600 and in the UK for the same year was 31,891, again wage rates in Sweden are higher across the board than they are in the UK, (Statista 2021).</w:t>
      </w:r>
      <w:r w:rsidR="0086224B">
        <w:t xml:space="preserve"> </w:t>
      </w:r>
      <w:r w:rsidR="000F4C2A">
        <w:t xml:space="preserve">Unemployment in Sweden (as per the number of </w:t>
      </w:r>
      <w:r w:rsidR="006622BE">
        <w:t>16–</w:t>
      </w:r>
      <w:proofErr w:type="gramStart"/>
      <w:r w:rsidR="006622BE">
        <w:t>65 year olds</w:t>
      </w:r>
      <w:proofErr w:type="gramEnd"/>
      <w:r w:rsidR="000F4C2A">
        <w:t xml:space="preserve"> not in employment) sits at 6.8% whereas the UK has a lower unemployment rate at 4.5%</w:t>
      </w:r>
      <w:r w:rsidR="007B206C">
        <w:t xml:space="preserve">. </w:t>
      </w:r>
    </w:p>
    <w:p w14:paraId="14DC6F9E" w14:textId="647FA9AF" w:rsidR="0086224B" w:rsidRDefault="00791E9B" w:rsidP="00971E45">
      <w:r>
        <w:t>When it comes to work</w:t>
      </w:r>
      <w:r w:rsidR="009B5AAF">
        <w:t xml:space="preserve"> </w:t>
      </w:r>
      <w:r>
        <w:t>life</w:t>
      </w:r>
      <w:r w:rsidR="00CC5E40">
        <w:t xml:space="preserve"> balance and arrangements, Sweden has a much more modern approach and is ahead of the game when it comes to flexible working, most of the work force in Sweden work 30 hours a week and flexible working is encouraged with the majority of shifts in offices being 10am-4pm for example,</w:t>
      </w:r>
      <w:r w:rsidR="00091814">
        <w:t xml:space="preserve"> this is also aided by the fact childcare is state provided so maternity and paternity pay are equal</w:t>
      </w:r>
      <w:r w:rsidR="00FD1563">
        <w:t>,</w:t>
      </w:r>
      <w:r w:rsidR="00CC5E40">
        <w:t xml:space="preserve"> (</w:t>
      </w:r>
      <w:proofErr w:type="spellStart"/>
      <w:r w:rsidR="00CC5E40">
        <w:t>Fjellborg</w:t>
      </w:r>
      <w:proofErr w:type="spellEnd"/>
      <w:r w:rsidR="00CC5E40">
        <w:t xml:space="preserve"> 2018). </w:t>
      </w:r>
      <w:r w:rsidR="00091814">
        <w:t xml:space="preserve"> </w:t>
      </w:r>
      <w:r w:rsidR="00FD1563">
        <w:t xml:space="preserve">This differs to the UK whereby the working day is longer, and most people work 38-40 hours per week, flexible working is also different in the UK and at present employees must have worked 26 weeks for their employer before they can even request flexible working arrangements (GOV UK 2022). </w:t>
      </w:r>
    </w:p>
    <w:p w14:paraId="109D8D3F" w14:textId="06058AE1" w:rsidR="00040D74" w:rsidRDefault="00040D74" w:rsidP="00971E45">
      <w:r>
        <w:t xml:space="preserve">Although the UK and Sweden have differences in labour market </w:t>
      </w:r>
      <w:r w:rsidR="00335200">
        <w:t>trends,</w:t>
      </w:r>
      <w:r>
        <w:t xml:space="preserve"> they do share some aspects, both have exceptionally tight labour markets with unemployment levels being particularly low, this is especially true in the post pandemic economy, and both countries are facing labour shortages at present which will likely lead to rising wages, </w:t>
      </w:r>
      <w:r w:rsidR="00FC6F4B">
        <w:t xml:space="preserve">(Spector 2021). </w:t>
      </w:r>
    </w:p>
    <w:p w14:paraId="6540997D" w14:textId="77777777" w:rsidR="0087795C" w:rsidRDefault="0087795C" w:rsidP="00971E45"/>
    <w:p w14:paraId="4F23072B" w14:textId="77777777" w:rsidR="000F4C2A" w:rsidRDefault="000F4C2A" w:rsidP="00924881"/>
    <w:p w14:paraId="08B71E78" w14:textId="77777777" w:rsidR="000F4C2A" w:rsidRDefault="000F4C2A" w:rsidP="00924881"/>
    <w:p w14:paraId="041A76A3" w14:textId="40EAF2C9" w:rsidR="00971E45" w:rsidRDefault="00971E45" w:rsidP="00924881">
      <w:r>
        <w:br w:type="page"/>
      </w:r>
    </w:p>
    <w:p w14:paraId="62E30654" w14:textId="77777777" w:rsidR="006C0B62" w:rsidRDefault="006C0B62" w:rsidP="00924881"/>
    <w:p w14:paraId="4368BF15" w14:textId="0F2DA9F5" w:rsidR="00971E45" w:rsidRDefault="00971E45" w:rsidP="00971E45">
      <w:pPr>
        <w:pStyle w:val="Heading1"/>
      </w:pPr>
      <w:bookmarkStart w:id="1" w:name="_Toc102418971"/>
      <w:r>
        <w:t>1.2 Principles of effective workforce planning, and tools used</w:t>
      </w:r>
      <w:bookmarkEnd w:id="1"/>
    </w:p>
    <w:p w14:paraId="41D8CE87" w14:textId="4207BF30" w:rsidR="00971E45" w:rsidRDefault="00971E45" w:rsidP="00971E45"/>
    <w:p w14:paraId="3E3E70F9" w14:textId="4E2D1F7C" w:rsidR="00656F2D" w:rsidRDefault="00656F2D" w:rsidP="00971E45">
      <w:r>
        <w:t xml:space="preserve">CIPD (2021) defines workforce planning as the process of balancing labour supply with labour demand, it is concerned with identifying the gap between present and future workforce needs and implementing plans which run alongside this as well as the organisations goals and mission. </w:t>
      </w:r>
      <w:r w:rsidR="006D11A1">
        <w:t xml:space="preserve">Principles of workforce planning include </w:t>
      </w:r>
      <w:r w:rsidR="006E7C98">
        <w:t>aligning workforce planning with the organisations needs and goals, this ensures that planning meets the needs of the organisation and guides it towards achieving its goals for example hiring specific skillsets to fill gaps rather than hiring bodies for labour hours, this can be both short term when adapting to organisational changes and longer term such as planning for new projects</w:t>
      </w:r>
      <w:r w:rsidR="003935DC">
        <w:t xml:space="preserve">.  Forbes (2020) discusses that work force planning strategies should focus on organisational profiling to identify skills gaps and use a combination of internal talent and upskilling current employees alongside hiring external candidates to bring fresh outlooks and increase productivity, the article goes on to mention that a key concept of workforce planning is continuous monitoring and adapting, for example moving skillsets around organisations to generate the best results. </w:t>
      </w:r>
    </w:p>
    <w:p w14:paraId="341DBFAC" w14:textId="30393827" w:rsidR="00E977B3" w:rsidRDefault="003C1C23" w:rsidP="00971E45">
      <w:r>
        <w:t>The majority of techniques for workforce planning involve analysing data about the organisation and externally such as the economy or upcoming trends</w:t>
      </w:r>
      <w:r w:rsidR="009F4FBA">
        <w:t xml:space="preserve"> and using this to create strategic plans. Analysis varies depending on scale of organisation, some large firms may use HR analytics to identify patterns and gaps, whereas small scale firms will do this in different ways such as skills matrices both of which achieve the same result and highlight a gap in the work force. There are also various strategic planning models that can be applied to aid workforce planning and ensure all aspects are covered, it is also worth noting that a basic technique for analysing and identifying comes from speaking to employees, this helps identify skills, interests and areas of development and can be used to the organisations advantage when it comes to addressing gaps and making long term plans, </w:t>
      </w:r>
      <w:r w:rsidR="00017470">
        <w:t xml:space="preserve">it is also vital to accept the ever changing environment and good workforce planning involves multiple plans or contingencies to allow for this, </w:t>
      </w:r>
      <w:r w:rsidR="009F4FBA">
        <w:t xml:space="preserve">(Holiday </w:t>
      </w:r>
      <w:r w:rsidR="00017470">
        <w:t xml:space="preserve">2021). </w:t>
      </w:r>
    </w:p>
    <w:p w14:paraId="101A4A87" w14:textId="5BA9DA7C" w:rsidR="00656F2D" w:rsidRDefault="00656F2D" w:rsidP="00971E45"/>
    <w:p w14:paraId="1E2F9ECA" w14:textId="77777777" w:rsidR="00656F2D" w:rsidRDefault="00656F2D" w:rsidP="00971E45"/>
    <w:p w14:paraId="54B70F0E" w14:textId="6ADB0DEE" w:rsidR="00971E45" w:rsidRDefault="00971E45">
      <w:r>
        <w:br w:type="page"/>
      </w:r>
    </w:p>
    <w:p w14:paraId="0B7E5B90" w14:textId="7523F4A5" w:rsidR="00971E45" w:rsidRDefault="00971E45" w:rsidP="00971E45">
      <w:pPr>
        <w:pStyle w:val="Heading1"/>
      </w:pPr>
      <w:bookmarkStart w:id="2" w:name="_Toc102418972"/>
      <w:r>
        <w:lastRenderedPageBreak/>
        <w:t>1.3 How to develop basic people plans and succession plans</w:t>
      </w:r>
      <w:bookmarkEnd w:id="2"/>
      <w:r>
        <w:t xml:space="preserve"> </w:t>
      </w:r>
    </w:p>
    <w:p w14:paraId="41CAC18B" w14:textId="27BE918B" w:rsidR="00373BD7" w:rsidRDefault="00373BD7"/>
    <w:p w14:paraId="54E2378E" w14:textId="2908D3BD" w:rsidR="00391C58" w:rsidRDefault="00C04F59">
      <w:r>
        <w:t xml:space="preserve">Succession planning is vital to future proof an organisations workforce, generally speaking this is a selection of activities which aim to ensure an organisation has the correct numbers of people with the right skillset, knowledge, and ability to step into roles, should they become vacant, </w:t>
      </w:r>
      <w:r w:rsidR="009B066C">
        <w:t xml:space="preserve">this can be done traditionally with a top down approach where managers select and nurture or in a more contemporary, open way whereby pools of talent are identified and management techniques developed, </w:t>
      </w:r>
      <w:r>
        <w:t xml:space="preserve">(Taylor and Woodhams 2019). </w:t>
      </w:r>
      <w:r w:rsidR="00A5593C">
        <w:t xml:space="preserve"> </w:t>
      </w:r>
    </w:p>
    <w:p w14:paraId="0AEA47C7" w14:textId="7F2CF4DD" w:rsidR="009B066C" w:rsidRDefault="00344BEC">
      <w:r>
        <w:t>Succession planning involves various activities, the first step is identifying the potential needs of the business for example potential new projects that may need to be managed or retirements that may be in the near future, the next step is to start succession planning with the business goals in mind and ensure any proposed strategy links the need for talent with the needs of the organisation and ultimately assists in achieving its mission</w:t>
      </w:r>
      <w:r w:rsidR="00AB43DC">
        <w:t xml:space="preserve">. </w:t>
      </w:r>
    </w:p>
    <w:p w14:paraId="7ABABDEA" w14:textId="360CC56B" w:rsidR="006B2812" w:rsidRDefault="006B2812">
      <w:r>
        <w:t xml:space="preserve">According to CIPD (2020) identifying successors can be one of the more challenging aspects of planning processes, this is due to the need for fairness and diversity, it is important that development opportunities and upskilling are available to all staff and not just long serving or full-time employees as this will discourage the rest of the workforce and impact productivity which does not align with the organisations mission. </w:t>
      </w:r>
    </w:p>
    <w:p w14:paraId="2032E030" w14:textId="6FD782C1" w:rsidR="00C04F59" w:rsidRDefault="00AE1696">
      <w:r>
        <w:t xml:space="preserve">When it comes to identifying successors, many organisations look at competency frame works or skills matrices to identify strong candidates who would naturally fit the next step in their career whether that’s a vertical or horizontal move, however it is important not to rely solely on this as many other attributes could be a better fit depending on what the job role is, (CIPD 2020). </w:t>
      </w:r>
      <w:r w:rsidR="002056CE">
        <w:t xml:space="preserve"> </w:t>
      </w:r>
      <w:r w:rsidR="006152EA">
        <w:t xml:space="preserve">Identifying techniques can include training matrices, using the appraisal process to find out what individuals want to achieve and where their interests lie and also coaching those with potential, coaching and mentoring can be beneficial if a senior manager retires and gives a longer notice period as it aids transition. </w:t>
      </w:r>
      <w:r w:rsidR="002056CE">
        <w:t xml:space="preserve">The best succession plans are well thought out, consider costs of training and the wider impacts on the rest of the team and organisation as a whole, people professionals need to take a holistic approach as getting this work can have detrimental effects, </w:t>
      </w:r>
      <w:r w:rsidR="002842F5">
        <w:t>this can occur if the identified successor does not which to progress or if candidates were not identified and feel discouraged or that the process was unfair, (</w:t>
      </w:r>
      <w:proofErr w:type="spellStart"/>
      <w:r w:rsidR="002842F5">
        <w:t>Hauwiller</w:t>
      </w:r>
      <w:proofErr w:type="spellEnd"/>
      <w:r w:rsidR="002842F5">
        <w:t xml:space="preserve"> 2021). </w:t>
      </w:r>
    </w:p>
    <w:p w14:paraId="6363AD17" w14:textId="01F42739" w:rsidR="00C04F59" w:rsidRDefault="00C04F59"/>
    <w:p w14:paraId="7F6D6376" w14:textId="326AFD40" w:rsidR="00971E45" w:rsidRDefault="00971E45">
      <w:r>
        <w:br w:type="page"/>
      </w:r>
    </w:p>
    <w:p w14:paraId="749758A1" w14:textId="77777777" w:rsidR="00526746" w:rsidRDefault="00526746"/>
    <w:p w14:paraId="2D5CE6FB" w14:textId="74F4EE00" w:rsidR="00971E45" w:rsidRDefault="00971E45" w:rsidP="00924881">
      <w:pPr>
        <w:pStyle w:val="Heading1"/>
      </w:pPr>
      <w:bookmarkStart w:id="3" w:name="_Toc102418973"/>
      <w:r>
        <w:t xml:space="preserve">2.1 Strengths and weaknesses of approaches to attracting </w:t>
      </w:r>
      <w:r w:rsidR="00924881">
        <w:t>talent</w:t>
      </w:r>
      <w:bookmarkEnd w:id="3"/>
      <w:r w:rsidR="00924881">
        <w:t xml:space="preserve"> </w:t>
      </w:r>
    </w:p>
    <w:p w14:paraId="510D57D1" w14:textId="77777777" w:rsidR="00700D7D" w:rsidRDefault="00700D7D"/>
    <w:p w14:paraId="3FA1C046" w14:textId="23993CA8" w:rsidR="005F44B9" w:rsidRDefault="00700D7D">
      <w:r>
        <w:t xml:space="preserve">There are many ways of attracting talent to an organisation, it is important to establish the organisations position as a first step, this refers to analysing competitors and establishing whether the goal is to be an employer of values, churn, choice, or cash which relates to how employees are treated and paid, establishing this can set the tone for recruitment strategy and branding. CIPD (2021) adds to this by noting that having a reputable brand can make an employer very attractive, </w:t>
      </w:r>
      <w:r w:rsidR="007E53CE">
        <w:t xml:space="preserve">this can be achieved by having strong induction and training processes and a good company culture, a good reputation in a saturated market can make an organisation more favourable and help attract top talent. </w:t>
      </w:r>
      <w:r w:rsidR="008D05D1">
        <w:t>To be effectives branding must be carefully planned and thought out and feedback sought, it’s important to deliver on branding as getting this wrong will have the opposite effect, it is not enough to simply have a good reputation and the challenge here comes from delivering and maintaining this, (Lybrand, 2018).</w:t>
      </w:r>
      <w:r w:rsidR="00DE7FE9">
        <w:t xml:space="preserve"> </w:t>
      </w:r>
      <w:r w:rsidR="008D3FE0">
        <w:t xml:space="preserve"> </w:t>
      </w:r>
    </w:p>
    <w:p w14:paraId="48B8CBAD" w14:textId="4BFF9D62" w:rsidR="00317F26" w:rsidRDefault="00F660EC">
      <w:r>
        <w:t xml:space="preserve">O’Callaghan (2021) discusses that in a saturated job market, post pandemic, the competition is fierce and this should be considered when approaching recruitment strategies, now more than ever it is important that job descriptions are clear and key facts and figures are available to potential candidates, there are so many vacancies that not listing salaries mean that often candidates will not bother applying and chose to apply for a role they know meets their salary expectations for example, the downside to this is employers have to show their hand and perhaps reveal more information than they would normally. </w:t>
      </w:r>
    </w:p>
    <w:p w14:paraId="4CA836F1" w14:textId="3E07DF49" w:rsidR="008D3FE0" w:rsidRDefault="00B64406">
      <w:r>
        <w:t xml:space="preserve">Another approach to attracting talent is having a strong reward and recognition scheme and company benefits, </w:t>
      </w:r>
      <w:r w:rsidR="00FB66C7">
        <w:t>Bower (2021) highlights the importance of this going beyond free snacks and table tennis in breakrooms and needs to include health care and dental schemes, and schemes which are extended to employee’s families, company cars/cycle to work schemes etc as this will have more of an impact than free tea and coffee. This can be a strong approach as in a post pandemic world and with the cost of living going up, employees will put more value on health these sorts of benefits, the downside is obviously costs and providing this for a large number of employees could mean other areas of the business need to take a hit</w:t>
      </w:r>
      <w:r w:rsidR="004643BA">
        <w:t xml:space="preserve">, it is also important to have clear policies on qualifying criteria to ensure fairness. </w:t>
      </w:r>
    </w:p>
    <w:p w14:paraId="0744789F" w14:textId="77777777" w:rsidR="00AE412F" w:rsidRDefault="00AE412F"/>
    <w:p w14:paraId="1543DF4C" w14:textId="67DA1703" w:rsidR="008B7235" w:rsidRDefault="008B7235"/>
    <w:p w14:paraId="5C0B5110" w14:textId="77653F93" w:rsidR="00924881" w:rsidRDefault="00924881">
      <w:r>
        <w:br w:type="page"/>
      </w:r>
    </w:p>
    <w:p w14:paraId="420410FA" w14:textId="735B73A7" w:rsidR="00924881" w:rsidRDefault="00924881" w:rsidP="00924881">
      <w:pPr>
        <w:pStyle w:val="Heading1"/>
      </w:pPr>
      <w:bookmarkStart w:id="4" w:name="_Toc102418974"/>
      <w:r>
        <w:lastRenderedPageBreak/>
        <w:t>2.2 Strengths and weaknesses of different approaches to retaining talent</w:t>
      </w:r>
      <w:bookmarkEnd w:id="4"/>
      <w:r>
        <w:t xml:space="preserve"> </w:t>
      </w:r>
    </w:p>
    <w:p w14:paraId="0AE771FA" w14:textId="77777777" w:rsidR="00C83C8D" w:rsidRDefault="00C83C8D"/>
    <w:p w14:paraId="120DD036" w14:textId="7E3AF105" w:rsidR="00E32B5A" w:rsidRDefault="00C83C8D">
      <w:r>
        <w:t xml:space="preserve">Attracting talent is the first step, but it is equally as important to retain that talent otherwise the initial efforts of attracting are lost. </w:t>
      </w:r>
      <w:r w:rsidR="001810DD">
        <w:t xml:space="preserve">Rogers (2020) discusses development is a </w:t>
      </w:r>
      <w:r w:rsidR="00E32B5A">
        <w:t>keyway</w:t>
      </w:r>
      <w:r w:rsidR="001810DD">
        <w:t xml:space="preserve"> to retaining employees, feedback systems, appraisals and development plans should be used to find out what employees want and where they wish to increase their skills, this information should then be acted upon and not just gathered, employees need to see that they have been listened to and that their organisation wants to invest in them and help them achieve their individual goals. This approach </w:t>
      </w:r>
      <w:r w:rsidR="00E32B5A">
        <w:t xml:space="preserve">carries a lot of benefits as it can be tailored to individuals and has a large impact if done appropriately, however it can be </w:t>
      </w:r>
      <w:r w:rsidR="00BF6CD0">
        <w:t>costly,</w:t>
      </w:r>
      <w:r w:rsidR="00E32B5A">
        <w:t xml:space="preserve"> time consuming and not practical in larger organisations due to time pressures. </w:t>
      </w:r>
    </w:p>
    <w:p w14:paraId="363D5257" w14:textId="55CB09FB" w:rsidR="00000BEC" w:rsidRDefault="00000BEC">
      <w:r>
        <w:t xml:space="preserve">CIPD (2021) discusses that good retention in organisations comes from being flexible and not having rigid criteria and the need to accept that employees’ lives will change and what they need for a good work life balance will also change, this means that employers need to do more to be adaptable with flexible working requests and part time hours. This allows for flexibility and employees to choose their hours, giving them ownership of how they work and increasing their engagement and retention, however in practice this is not always operationally possible depending on job role, business demands and economic climate and can open up further problem by requiring appropriate cover to be in place. </w:t>
      </w:r>
    </w:p>
    <w:p w14:paraId="694AB2BB" w14:textId="5561CB8D" w:rsidR="005553C1" w:rsidRDefault="006F39BE">
      <w:r>
        <w:t xml:space="preserve">Good </w:t>
      </w:r>
      <w:r w:rsidR="005553C1">
        <w:t xml:space="preserve">management practices and company culture are the main reason employees leave jobs, time and resources should be put into training management and developing strong company culture as a positive working environment and relationships between managers and their teams are going to generate the highest retention. </w:t>
      </w:r>
      <w:r>
        <w:t xml:space="preserve">Thomas (2019) discusses that employees what to feel listened to and that they can approach senior leader with concerns or problems and have a strong two-way communication channel. </w:t>
      </w:r>
      <w:r w:rsidR="00DC6C34">
        <w:t xml:space="preserve">Negative culture and </w:t>
      </w:r>
      <w:r w:rsidR="00AB2E6F">
        <w:t>workplace</w:t>
      </w:r>
      <w:r w:rsidR="00DC6C34">
        <w:t xml:space="preserve"> relationships spread through teams quickly and can cause lasting damage which is why it’s important to coach managers on how to actively develop strong relationships with their teams. </w:t>
      </w:r>
      <w:r w:rsidR="00AB2E6F">
        <w:t xml:space="preserve">The biggest barrier here is consistency and driving the relationships forward, it’s not enough to try hard one day and must be an ongoing cultural approach. </w:t>
      </w:r>
    </w:p>
    <w:p w14:paraId="3966DC35" w14:textId="77777777" w:rsidR="00C517CF" w:rsidRDefault="00C517CF"/>
    <w:p w14:paraId="4DD0F36C" w14:textId="77777777" w:rsidR="003A65D3" w:rsidRDefault="003A65D3"/>
    <w:p w14:paraId="177EB583" w14:textId="77777777" w:rsidR="00E32B5A" w:rsidRDefault="00E32B5A"/>
    <w:p w14:paraId="4FF02927" w14:textId="77777777" w:rsidR="00E32B5A" w:rsidRDefault="00E32B5A"/>
    <w:p w14:paraId="5F6C8128" w14:textId="77777777" w:rsidR="00E32B5A" w:rsidRDefault="00E32B5A"/>
    <w:p w14:paraId="1670BF0A" w14:textId="742C6273" w:rsidR="00924881" w:rsidRDefault="00924881">
      <w:r>
        <w:br w:type="page"/>
      </w:r>
    </w:p>
    <w:p w14:paraId="6651CD7B" w14:textId="0A7115D3" w:rsidR="00924881" w:rsidRDefault="00924881" w:rsidP="00924881">
      <w:pPr>
        <w:pStyle w:val="Heading1"/>
      </w:pPr>
      <w:bookmarkStart w:id="5" w:name="_Toc102418975"/>
      <w:r>
        <w:lastRenderedPageBreak/>
        <w:t>3.1 Key aspects of good practice relating to developing job descriptions, person specifications and competency frameworks</w:t>
      </w:r>
      <w:bookmarkEnd w:id="5"/>
      <w:r>
        <w:t xml:space="preserve"> </w:t>
      </w:r>
    </w:p>
    <w:p w14:paraId="2F5EEF4F" w14:textId="43EA1992" w:rsidR="00924881" w:rsidRDefault="00924881" w:rsidP="00924881"/>
    <w:p w14:paraId="191416E4" w14:textId="48A13F30" w:rsidR="002F0FC6" w:rsidRDefault="009D483D" w:rsidP="00924881">
      <w:r>
        <w:t xml:space="preserve">Competency frameworks are structures that set out </w:t>
      </w:r>
      <w:r w:rsidR="00911827">
        <w:t xml:space="preserve">and define each attribute required in an organisation or job role, they can be used to increase clarity surrounding job </w:t>
      </w:r>
      <w:r w:rsidR="00240986">
        <w:t>roles, competency frameworks can be used as Key performance Indicators (KPIs) and some organisations chose to use these as part of performance management systems and offer rewards for achieving KPIs. According to CIPD</w:t>
      </w:r>
      <w:r w:rsidR="00046E4A">
        <w:t xml:space="preserve"> (2021)</w:t>
      </w:r>
      <w:r w:rsidR="00240986">
        <w:t xml:space="preserve"> it is important when designing competency frameworks that these are inclusive and fair and do not focus solely of attributes but also attitude as well, </w:t>
      </w:r>
      <w:r w:rsidR="00046E4A">
        <w:t xml:space="preserve">good practice when implementing competency frames works includes using them to ensure that recruitment and appraisal processes are fair as there is a universal measuring system in place, and it allows for standardisation across the organisation or department. It is also good practice to set time frames for competency frameworks as they can be deemed unfair if they focus too much of past data and not the ever-changing working environment. </w:t>
      </w:r>
    </w:p>
    <w:p w14:paraId="0ACC3D42" w14:textId="6D01F64B" w:rsidR="005754F8" w:rsidRDefault="005754F8" w:rsidP="00924881">
      <w:r>
        <w:t xml:space="preserve">CIPD (2021) states that it is good practice when developing job descriptions and personal specifications to firstly set out what attributes are needed for the role and specifically what will be involved in said role, having this clearly set out makes the recruitment process easier as all parties know what is expected of them. </w:t>
      </w:r>
      <w:r w:rsidR="00671001">
        <w:t xml:space="preserve">Job descriptions explain to potential candidates exactly what is involved and the responsibilities of the role, this is not only a good starting point for hiring but can be referred back to if performance issues arise further into the employment relationship, </w:t>
      </w:r>
      <w:r w:rsidR="007F7A99">
        <w:t xml:space="preserve">Johnson </w:t>
      </w:r>
      <w:r w:rsidR="00671001">
        <w:t>(</w:t>
      </w:r>
      <w:r w:rsidR="007F7A99">
        <w:t>2021</w:t>
      </w:r>
      <w:r w:rsidR="00671001">
        <w:t xml:space="preserve">) discusses that the best way to design job descriptions is with the future in mind, this aids the recruitment process as it can avoid the need to re-recruit for a similar role further down the line. </w:t>
      </w:r>
    </w:p>
    <w:p w14:paraId="12CBC0A2" w14:textId="634CE9DE" w:rsidR="00D0541E" w:rsidRDefault="00D0541E" w:rsidP="00924881">
      <w:r>
        <w:t>Personal specifications differ from job descriptions as they are focused on criteria required for a certain role, these can be really beneficial as they can be used as checklists when evaluating CVs or application forms and ensure essential items do not get missed</w:t>
      </w:r>
      <w:r w:rsidR="00A45292">
        <w:t>, this also helps avoid bias as there are essential criteria that must be met</w:t>
      </w:r>
      <w:r w:rsidR="000662F6">
        <w:t xml:space="preserve">, (Hannington 2021).  Although personal specifications and job descriptions outline slightly different things, they do have many similarities and both aid recruitment and also help shape what is expected for future roles and can aid performance management as all parties know what is expected of them. </w:t>
      </w:r>
    </w:p>
    <w:p w14:paraId="6D5C995D" w14:textId="77777777" w:rsidR="00046E4A" w:rsidRDefault="00046E4A"/>
    <w:p w14:paraId="549D558D" w14:textId="77777777" w:rsidR="00046E4A" w:rsidRDefault="00046E4A"/>
    <w:p w14:paraId="3378B65C" w14:textId="4D1BED82" w:rsidR="00924881" w:rsidRDefault="00924881">
      <w:r>
        <w:br w:type="page"/>
      </w:r>
    </w:p>
    <w:p w14:paraId="3B402BD2" w14:textId="20CB2174" w:rsidR="00924881" w:rsidRDefault="00924881" w:rsidP="00924881">
      <w:pPr>
        <w:pStyle w:val="Heading1"/>
      </w:pPr>
      <w:bookmarkStart w:id="6" w:name="_Toc102418976"/>
      <w:r>
        <w:lastRenderedPageBreak/>
        <w:t>3.2 Evaluate different methods of recruitment and selection</w:t>
      </w:r>
      <w:bookmarkEnd w:id="6"/>
      <w:r>
        <w:t xml:space="preserve"> </w:t>
      </w:r>
    </w:p>
    <w:p w14:paraId="1F3D21FA" w14:textId="77777777" w:rsidR="009C6894" w:rsidRDefault="009C6894"/>
    <w:p w14:paraId="771844F3" w14:textId="71B8BD19" w:rsidR="00B55710" w:rsidRDefault="005E6C33">
      <w:r>
        <w:t xml:space="preserve">There are various recruitment methods and the right one often depends on the job in question. </w:t>
      </w:r>
      <w:r w:rsidR="00D13B51">
        <w:t>Taylor and Woodhams (2019) discuss different types of media which can be used for recruitment this includes adverts such as those seen in magazines or buss stops etc, radio adverts and social media campaigns, these are often used all together to have a larger impact</w:t>
      </w:r>
      <w:r w:rsidR="000A0040">
        <w:t xml:space="preserve"> however this can be costly. </w:t>
      </w:r>
      <w:r w:rsidR="00B55710">
        <w:t xml:space="preserve">Another approach to recruitment is using specialist expertise such as agencies or head hunting, these can generate high quality applicants and often make for positive employee-employer relationships has employees feel wanted and valued, </w:t>
      </w:r>
      <w:r w:rsidR="00DC4379">
        <w:t xml:space="preserve">however </w:t>
      </w:r>
      <w:proofErr w:type="spellStart"/>
      <w:r w:rsidR="00DC4379">
        <w:t>Gasparjan</w:t>
      </w:r>
      <w:proofErr w:type="spellEnd"/>
      <w:r w:rsidR="00B55710">
        <w:t xml:space="preserve"> (2017) discusses that this is a costly approach as these candidates know their worth and when competing for talent poaching from competitors can harm an organisations brand if it is not done properly. </w:t>
      </w:r>
      <w:r w:rsidR="00503339">
        <w:t xml:space="preserve">Another key recruitment option is internal, this looks at things such as promotions and job rotations, internal recruitment aids employee retention as they are given an opportunity to further grow within the company and develop their skillset, it is also convenient as they are already familiar with the vision and values of the organisation so there is less of a setting in period, the major downside to internal recruitment is the lack of fresh talent </w:t>
      </w:r>
      <w:r w:rsidR="009A619F">
        <w:t xml:space="preserve"> which can be especially challenging if organisational changes are on the horizon as internal candidates are often set in their ways, (Adams, 2012).</w:t>
      </w:r>
    </w:p>
    <w:p w14:paraId="7ABC9EAB" w14:textId="5552701E" w:rsidR="00B55710" w:rsidRDefault="00CD0C16">
      <w:r>
        <w:t xml:space="preserve">Selection methods depend on the type of job in question, </w:t>
      </w:r>
      <w:r w:rsidR="00CF497A">
        <w:t xml:space="preserve">CIPD (2021) discusses the process and the fact that usually the </w:t>
      </w:r>
      <w:proofErr w:type="gramStart"/>
      <w:r w:rsidR="00CF497A">
        <w:t>more high</w:t>
      </w:r>
      <w:proofErr w:type="gramEnd"/>
      <w:r w:rsidR="00CF497A">
        <w:t xml:space="preserve"> profile a job is the more stages of the selection process there are, generally the basis for most selection is screening CVs or application forms which is a simple way to select for interview. The interview process can be both formal or informal, again this largely depends on the role in question, interviews can be video/telephone, in-person or sometimes with a panel, this gives more </w:t>
      </w:r>
      <w:r w:rsidR="00A83FF0">
        <w:t>in-depth</w:t>
      </w:r>
      <w:r w:rsidR="00CF497A">
        <w:t xml:space="preserve"> information about a candidate than</w:t>
      </w:r>
      <w:r w:rsidR="00957EE7">
        <w:t xml:space="preserve"> </w:t>
      </w:r>
      <w:r w:rsidR="00CF497A">
        <w:t xml:space="preserve">a cv alone. </w:t>
      </w:r>
      <w:r w:rsidR="00A42312">
        <w:t>Often for highly skilled roles an assessment centre</w:t>
      </w:r>
      <w:r w:rsidR="008E7F64">
        <w:t>s</w:t>
      </w:r>
      <w:r w:rsidR="00A42312">
        <w:t xml:space="preserve"> take place which aim to assess </w:t>
      </w:r>
      <w:r w:rsidR="008E7F64">
        <w:t>candidates’</w:t>
      </w:r>
      <w:r w:rsidR="00A42312">
        <w:t xml:space="preserve"> suitability in different situations and scenarios</w:t>
      </w:r>
      <w:r w:rsidR="008E7F64">
        <w:t xml:space="preserve">, these give a strong indication of how someone would take to a role and although they can be time </w:t>
      </w:r>
      <w:proofErr w:type="gramStart"/>
      <w:r w:rsidR="008E7F64">
        <w:t>consuming</w:t>
      </w:r>
      <w:proofErr w:type="gramEnd"/>
      <w:r w:rsidR="008E7F64">
        <w:t xml:space="preserve"> they tend to have a high success rate, it is important though to ensure consistency when carrying out assessment centres and to ensure all candidates are given the same opportunity, (</w:t>
      </w:r>
      <w:proofErr w:type="spellStart"/>
      <w:r w:rsidR="008E7F64">
        <w:t>Hargaddon</w:t>
      </w:r>
      <w:proofErr w:type="spellEnd"/>
      <w:r w:rsidR="008E7F64">
        <w:t xml:space="preserve"> 2020). </w:t>
      </w:r>
    </w:p>
    <w:p w14:paraId="330D0201" w14:textId="77777777" w:rsidR="00B55710" w:rsidRDefault="00B55710"/>
    <w:p w14:paraId="2BCF35FC" w14:textId="5A3E07AE" w:rsidR="00924881" w:rsidRDefault="00924881">
      <w:r>
        <w:br w:type="page"/>
      </w:r>
    </w:p>
    <w:p w14:paraId="67DE0D52" w14:textId="6611A34B" w:rsidR="00924881" w:rsidRDefault="00924881" w:rsidP="00924881">
      <w:pPr>
        <w:pStyle w:val="Heading1"/>
      </w:pPr>
      <w:bookmarkStart w:id="7" w:name="_Toc102418977"/>
      <w:r>
        <w:lastRenderedPageBreak/>
        <w:t>3.3 Key aspects of good practice in relation to dismissal, redundancy, and retirement</w:t>
      </w:r>
      <w:bookmarkEnd w:id="7"/>
    </w:p>
    <w:p w14:paraId="60371FFE" w14:textId="77777777" w:rsidR="00333E5E" w:rsidRDefault="00333E5E"/>
    <w:p w14:paraId="558636AF" w14:textId="77777777" w:rsidR="00F6323C" w:rsidRDefault="00F6323C">
      <w:r>
        <w:t xml:space="preserve">Dismissal should be avoided where possible and effort should be made to do early investigations and address problems or issues in the workplace before resorting to dismissal. When carrying out dismissal it is important that the process is fair, ACAS (2022) states that if an employer is carrying out a dismissal it should be for a valid reason, follow a full procedure and be done in a balanced and consistent way, if these criteria are not met then the employee may have been unfairly dismissed. Dismissal usually occurs if an employees conduct or capability are not up to standard, employers should meet with the employee to address concerns and take reasonable steps to amend these before dismissal for example this could include re-training. </w:t>
      </w:r>
    </w:p>
    <w:p w14:paraId="36F08A6D" w14:textId="048CF237" w:rsidR="00630383" w:rsidRDefault="00EA69FE">
      <w:r>
        <w:t xml:space="preserve">Redundancy can be both voluntary </w:t>
      </w:r>
      <w:r w:rsidR="00DD2528">
        <w:t>whereby</w:t>
      </w:r>
      <w:r>
        <w:t xml:space="preserve"> employers ask for volunteers and employees come forward of their own accord or in voluntary </w:t>
      </w:r>
      <w:r w:rsidR="006224B0">
        <w:t>whereby</w:t>
      </w:r>
      <w:r>
        <w:t xml:space="preserve"> a selection process is carried out and redundancies are made</w:t>
      </w:r>
      <w:r w:rsidR="004C61A9">
        <w:t xml:space="preserve">, this often occurs when firms </w:t>
      </w:r>
      <w:r w:rsidR="006224B0">
        <w:t>downsize</w:t>
      </w:r>
      <w:r w:rsidR="004C61A9">
        <w:t xml:space="preserve"> or are in difficulty and can also happen when the economy is struggling. </w:t>
      </w:r>
      <w:r w:rsidR="00DD2528">
        <w:t xml:space="preserve">When selecting for redundancy it is vital that the process is fair, and consultations will take place giving both sides an opportunity to discuss the situation, by law the employer must listen to what the employee has to say and try to come to an agreement, (ACAS2022). If there are 20 or more redundancies to be </w:t>
      </w:r>
      <w:r w:rsidR="006224B0">
        <w:t>made,</w:t>
      </w:r>
      <w:r w:rsidR="00DD2528">
        <w:t xml:space="preserve"> then a collective consultation must take place with trade union representatives or employee representatives. </w:t>
      </w:r>
      <w:r w:rsidR="00FF4554">
        <w:t xml:space="preserve">Redundancies should be handled </w:t>
      </w:r>
      <w:r w:rsidR="006224B0">
        <w:t>sensitively,</w:t>
      </w:r>
      <w:r w:rsidR="00FF4554">
        <w:t xml:space="preserve"> and employers should offer reasonable alternative employment where possible and support employees through the difficult process. </w:t>
      </w:r>
    </w:p>
    <w:p w14:paraId="2E34E187" w14:textId="7114E3B0" w:rsidR="00155E40" w:rsidRDefault="00155E40">
      <w:r>
        <w:t xml:space="preserve">Retirement </w:t>
      </w:r>
      <w:r w:rsidR="00854623">
        <w:t xml:space="preserve">is a voluntary form of employee turnover, and it is unlawful to force any employee to retire once they reach a certain age. According to CIPD (2016) employers can set mandatory retirement ages </w:t>
      </w:r>
      <w:proofErr w:type="gramStart"/>
      <w:r w:rsidR="00854623">
        <w:t>as long as</w:t>
      </w:r>
      <w:proofErr w:type="gramEnd"/>
      <w:r w:rsidR="00854623">
        <w:t xml:space="preserve"> they are clearly stipulated within employment contracts and are justified, when </w:t>
      </w:r>
      <w:r w:rsidR="007D0725">
        <w:t>dealing</w:t>
      </w:r>
      <w:r w:rsidR="00854623">
        <w:t xml:space="preserve"> with an aging workforce it is best practice to have regular conversations with employees about their future plans </w:t>
      </w:r>
      <w:r w:rsidR="007D0725">
        <w:t>so to ensure that both sides can prepare</w:t>
      </w:r>
      <w:r w:rsidR="0069654A">
        <w:t>, employers should be prepared for discussion relating to pensions etc and be able to advise employees accordingly and offer support</w:t>
      </w:r>
      <w:r w:rsidR="007D0725">
        <w:t xml:space="preserve">. </w:t>
      </w:r>
      <w:r w:rsidR="004D13B8">
        <w:t xml:space="preserve">Retirement does not necessarily have to be a complete step, many employees may </w:t>
      </w:r>
      <w:r w:rsidR="0069654A">
        <w:t>choose</w:t>
      </w:r>
      <w:r w:rsidR="004D13B8">
        <w:t xml:space="preserve"> to move to part time contracts or do reduced hours, employers should work with employees to find workable solutions for both sides as there are benefits to be gained such as a highly experienced, </w:t>
      </w:r>
      <w:proofErr w:type="gramStart"/>
      <w:r w:rsidR="004D13B8">
        <w:t>skilled</w:t>
      </w:r>
      <w:proofErr w:type="gramEnd"/>
      <w:r w:rsidR="004D13B8">
        <w:t xml:space="preserve"> and capable workforce who are not ready to fully retire, (Dychtwald, Erickson and Morison, 2004). </w:t>
      </w:r>
    </w:p>
    <w:p w14:paraId="7747F4AD" w14:textId="77777777" w:rsidR="00630383" w:rsidRDefault="00630383"/>
    <w:p w14:paraId="4DB27160" w14:textId="4E1DE1AD" w:rsidR="00924881" w:rsidRDefault="00924881">
      <w:r>
        <w:br w:type="page"/>
      </w:r>
    </w:p>
    <w:p w14:paraId="0E70ECA7" w14:textId="59959DEC" w:rsidR="00924881" w:rsidRDefault="00924881" w:rsidP="00924881">
      <w:pPr>
        <w:pStyle w:val="Heading1"/>
      </w:pPr>
      <w:bookmarkStart w:id="8" w:name="_Toc102418978"/>
      <w:r>
        <w:lastRenderedPageBreak/>
        <w:t>References</w:t>
      </w:r>
      <w:bookmarkEnd w:id="8"/>
      <w:r>
        <w:t xml:space="preserve"> </w:t>
      </w:r>
    </w:p>
    <w:p w14:paraId="5BD84CDC" w14:textId="140983DE" w:rsidR="00924881" w:rsidRDefault="00924881" w:rsidP="00924881"/>
    <w:p w14:paraId="4EC352FE" w14:textId="77777777" w:rsidR="00766D1E" w:rsidRDefault="00766D1E" w:rsidP="003D001D">
      <w:r>
        <w:t xml:space="preserve">ACAS (2022) ‘Dismissals’ ACAS [Online] Available at: </w:t>
      </w:r>
      <w:hyperlink r:id="rId5" w:history="1">
        <w:r>
          <w:rPr>
            <w:rStyle w:val="Hyperlink"/>
          </w:rPr>
          <w:t xml:space="preserve">Dismissing someone </w:t>
        </w:r>
        <w:proofErr w:type="gramStart"/>
        <w:r>
          <w:rPr>
            <w:rStyle w:val="Hyperlink"/>
          </w:rPr>
          <w:t>fairly :</w:t>
        </w:r>
        <w:proofErr w:type="gramEnd"/>
        <w:r>
          <w:rPr>
            <w:rStyle w:val="Hyperlink"/>
          </w:rPr>
          <w:t xml:space="preserve"> Dismissals - </w:t>
        </w:r>
        <w:proofErr w:type="spellStart"/>
        <w:r>
          <w:rPr>
            <w:rStyle w:val="Hyperlink"/>
          </w:rPr>
          <w:t>Acas</w:t>
        </w:r>
        <w:proofErr w:type="spellEnd"/>
      </w:hyperlink>
      <w:r>
        <w:t xml:space="preserve"> (Accessed on 25</w:t>
      </w:r>
      <w:r w:rsidRPr="00630383">
        <w:rPr>
          <w:vertAlign w:val="superscript"/>
        </w:rPr>
        <w:t>th</w:t>
      </w:r>
      <w:r>
        <w:t xml:space="preserve"> April 2022) </w:t>
      </w:r>
    </w:p>
    <w:p w14:paraId="3653BA2F" w14:textId="77777777" w:rsidR="00766D1E" w:rsidRDefault="00766D1E" w:rsidP="003D001D">
      <w:r>
        <w:t xml:space="preserve">ACAS (2022) ‘Redundancy’ ACAs [Online] Available at: </w:t>
      </w:r>
      <w:hyperlink r:id="rId6" w:history="1">
        <w:r>
          <w:rPr>
            <w:rStyle w:val="Hyperlink"/>
          </w:rPr>
          <w:t xml:space="preserve">How your employer must consult you : Your rights during redundancy - </w:t>
        </w:r>
        <w:proofErr w:type="spellStart"/>
        <w:r>
          <w:rPr>
            <w:rStyle w:val="Hyperlink"/>
          </w:rPr>
          <w:t>Acas</w:t>
        </w:r>
        <w:proofErr w:type="spellEnd"/>
      </w:hyperlink>
      <w:r>
        <w:t xml:space="preserve"> (Accessed on 25</w:t>
      </w:r>
      <w:r w:rsidRPr="006224B0">
        <w:rPr>
          <w:vertAlign w:val="superscript"/>
        </w:rPr>
        <w:t>th</w:t>
      </w:r>
      <w:r>
        <w:t xml:space="preserve"> April 2022) </w:t>
      </w:r>
    </w:p>
    <w:p w14:paraId="451A63BB" w14:textId="77777777" w:rsidR="00766D1E" w:rsidRDefault="00766D1E" w:rsidP="003D001D">
      <w:r>
        <w:t xml:space="preserve">Adams, S (2012) ‘Why Promoting from Within Usually Beats Hiring From Outside’ Forbes [Online] Available at: </w:t>
      </w:r>
      <w:hyperlink r:id="rId7" w:history="1">
        <w:r>
          <w:rPr>
            <w:rStyle w:val="Hyperlink"/>
          </w:rPr>
          <w:t>Why Promoting From Within Usually Beats Hiring From Outside (forbes.com)</w:t>
        </w:r>
      </w:hyperlink>
      <w:r>
        <w:t xml:space="preserve"> (accessed on 25</w:t>
      </w:r>
      <w:r w:rsidRPr="00CD0C16">
        <w:rPr>
          <w:vertAlign w:val="superscript"/>
        </w:rPr>
        <w:t>th</w:t>
      </w:r>
      <w:r>
        <w:t xml:space="preserve"> April 2022) </w:t>
      </w:r>
    </w:p>
    <w:p w14:paraId="2070E1CA" w14:textId="77777777" w:rsidR="00766D1E" w:rsidRDefault="00766D1E" w:rsidP="003D001D">
      <w:r>
        <w:t>Bower, T (2021) ‘Re-engineering the Recruitment Process’ Harvard Business Review [Online] Available at:</w:t>
      </w:r>
      <w:r w:rsidRPr="00317F26">
        <w:t xml:space="preserve"> </w:t>
      </w:r>
      <w:hyperlink r:id="rId8" w:history="1">
        <w:r w:rsidRPr="00776848">
          <w:rPr>
            <w:rStyle w:val="Hyperlink"/>
          </w:rPr>
          <w:t>https://hbr.org/2021/03/reengineering-the-recruitment-process</w:t>
        </w:r>
      </w:hyperlink>
      <w:r>
        <w:t xml:space="preserve">  (Accessed on 21</w:t>
      </w:r>
      <w:r w:rsidRPr="00317F26">
        <w:rPr>
          <w:vertAlign w:val="superscript"/>
        </w:rPr>
        <w:t>st</w:t>
      </w:r>
      <w:r>
        <w:t xml:space="preserve"> April 2022) </w:t>
      </w:r>
    </w:p>
    <w:p w14:paraId="2592C898" w14:textId="77777777" w:rsidR="00766D1E" w:rsidRDefault="00766D1E" w:rsidP="003D001D">
      <w:r>
        <w:t xml:space="preserve">CIPD (2016) ‘Retirement Ages’ CIPD [Online] Available at: </w:t>
      </w:r>
      <w:hyperlink r:id="rId9" w:history="1">
        <w:r>
          <w:rPr>
            <w:rStyle w:val="Hyperlink"/>
          </w:rPr>
          <w:t>Retirement ages | Factsheets | CIPD</w:t>
        </w:r>
      </w:hyperlink>
      <w:r>
        <w:t xml:space="preserve"> (Accessed on 25</w:t>
      </w:r>
      <w:r w:rsidRPr="007D32C7">
        <w:rPr>
          <w:vertAlign w:val="superscript"/>
        </w:rPr>
        <w:t>th</w:t>
      </w:r>
      <w:r>
        <w:t xml:space="preserve"> April 2022) </w:t>
      </w:r>
    </w:p>
    <w:p w14:paraId="0B262A44" w14:textId="77777777" w:rsidR="00766D1E" w:rsidRDefault="00766D1E" w:rsidP="003D001D">
      <w:r>
        <w:t xml:space="preserve">CIPD (2020) ‘Succession Planning’ [Online] available at: </w:t>
      </w:r>
      <w:hyperlink r:id="rId10" w:anchor="gref" w:history="1">
        <w:r w:rsidRPr="00776848">
          <w:rPr>
            <w:rStyle w:val="Hyperlink"/>
          </w:rPr>
          <w:t>https://www.cipd.co.uk/knowledge/strategy/resourcing/succession-planning-factsheet#gref</w:t>
        </w:r>
      </w:hyperlink>
      <w:r>
        <w:t xml:space="preserve"> (accessed on 20</w:t>
      </w:r>
      <w:r w:rsidRPr="0036724E">
        <w:rPr>
          <w:vertAlign w:val="superscript"/>
        </w:rPr>
        <w:t>th</w:t>
      </w:r>
      <w:r>
        <w:t xml:space="preserve"> April 2022) </w:t>
      </w:r>
    </w:p>
    <w:p w14:paraId="52302B46" w14:textId="77777777" w:rsidR="00766D1E" w:rsidRDefault="00766D1E" w:rsidP="003D001D">
      <w:r>
        <w:t xml:space="preserve">CIPD (2021) ‘Competence and Competency Frame Work’ CIPD [Online] Available at: </w:t>
      </w:r>
      <w:hyperlink r:id="rId11" w:anchor="gref" w:history="1">
        <w:r w:rsidRPr="00776848">
          <w:rPr>
            <w:rStyle w:val="Hyperlink"/>
          </w:rPr>
          <w:t>https://www.cipd.co.uk/knowledge/fundamentals/people/performance/competency-factsheet#gref</w:t>
        </w:r>
      </w:hyperlink>
      <w:proofErr w:type="gramStart"/>
      <w:r>
        <w:t xml:space="preserve">   (</w:t>
      </w:r>
      <w:proofErr w:type="gramEnd"/>
      <w:r>
        <w:t>Accessed on 22</w:t>
      </w:r>
      <w:r w:rsidRPr="00046E4A">
        <w:rPr>
          <w:vertAlign w:val="superscript"/>
        </w:rPr>
        <w:t>nd</w:t>
      </w:r>
      <w:r>
        <w:t xml:space="preserve"> April 2022) </w:t>
      </w:r>
    </w:p>
    <w:p w14:paraId="1CF8FB97" w14:textId="77777777" w:rsidR="00766D1E" w:rsidRDefault="00766D1E" w:rsidP="003D001D">
      <w:r>
        <w:t xml:space="preserve">CIPD (2021) ‘Employer Branding’ CIPD [Online] Available at: </w:t>
      </w:r>
      <w:hyperlink r:id="rId12" w:anchor="gref" w:history="1">
        <w:r w:rsidRPr="00776848">
          <w:rPr>
            <w:rStyle w:val="Hyperlink"/>
          </w:rPr>
          <w:t>https://www.cipd.co.uk/knowledge/fundamentals/people/recruitment/brand-factsheet#gref</w:t>
        </w:r>
      </w:hyperlink>
      <w:r>
        <w:t xml:space="preserve">  (Accessed on 20</w:t>
      </w:r>
      <w:r w:rsidRPr="00CB6445">
        <w:rPr>
          <w:vertAlign w:val="superscript"/>
        </w:rPr>
        <w:t>th</w:t>
      </w:r>
      <w:r>
        <w:t xml:space="preserve"> April 2022) </w:t>
      </w:r>
    </w:p>
    <w:p w14:paraId="16D89D8F" w14:textId="77777777" w:rsidR="00766D1E" w:rsidRDefault="00766D1E" w:rsidP="003D001D">
      <w:r>
        <w:t>CIPD (2021) ‘Turnover and Retention’ CIPD [Online] Available at:</w:t>
      </w:r>
      <w:r w:rsidRPr="000504E5">
        <w:t xml:space="preserve"> </w:t>
      </w:r>
      <w:hyperlink r:id="rId13" w:anchor="gref" w:history="1">
        <w:r w:rsidRPr="00776848">
          <w:rPr>
            <w:rStyle w:val="Hyperlink"/>
          </w:rPr>
          <w:t>https://www.cipd.co.uk/knowledge/strategy/resourcing/turnover-retention-factsheet#gref</w:t>
        </w:r>
      </w:hyperlink>
      <w:r>
        <w:t xml:space="preserve">  (Accessed on 21</w:t>
      </w:r>
      <w:r w:rsidRPr="000504E5">
        <w:rPr>
          <w:vertAlign w:val="superscript"/>
        </w:rPr>
        <w:t>st</w:t>
      </w:r>
      <w:r>
        <w:t xml:space="preserve"> April 2022) </w:t>
      </w:r>
    </w:p>
    <w:p w14:paraId="0F21384A" w14:textId="77777777" w:rsidR="00766D1E" w:rsidRDefault="00766D1E" w:rsidP="003D001D">
      <w:r>
        <w:t xml:space="preserve">CIPD (2021) ‘Workforce Planning’ CIPD [Online] Available at: </w:t>
      </w:r>
      <w:hyperlink r:id="rId14" w:history="1">
        <w:r>
          <w:rPr>
            <w:rStyle w:val="Hyperlink"/>
          </w:rPr>
          <w:t>Workforce Planning | Factsheets | CIPD</w:t>
        </w:r>
      </w:hyperlink>
      <w:r>
        <w:t xml:space="preserve"> (Accessed on 20</w:t>
      </w:r>
      <w:r w:rsidRPr="00656F2D">
        <w:rPr>
          <w:vertAlign w:val="superscript"/>
        </w:rPr>
        <w:t>th</w:t>
      </w:r>
      <w:r>
        <w:t xml:space="preserve"> April 2022) </w:t>
      </w:r>
    </w:p>
    <w:p w14:paraId="2C66DB3B" w14:textId="6A130328" w:rsidR="00766D1E" w:rsidRDefault="00766D1E" w:rsidP="003D001D">
      <w:r>
        <w:t xml:space="preserve">Dychtwald, K, Erickson, T and Morison, B (2004) ‘It’s Time to Retire Retirement’ Harvard Business Review [Online] Available at: </w:t>
      </w:r>
      <w:hyperlink r:id="rId15" w:history="1">
        <w:r>
          <w:rPr>
            <w:rStyle w:val="Hyperlink"/>
          </w:rPr>
          <w:t>It’s Time to Retire Retirement (hbr.org)</w:t>
        </w:r>
      </w:hyperlink>
      <w:r>
        <w:t xml:space="preserve"> (Accessed on 25</w:t>
      </w:r>
      <w:r w:rsidRPr="0069654A">
        <w:rPr>
          <w:vertAlign w:val="superscript"/>
        </w:rPr>
        <w:t>th</w:t>
      </w:r>
      <w:r>
        <w:t xml:space="preserve"> April 2022) </w:t>
      </w:r>
      <w:proofErr w:type="spellStart"/>
      <w:r>
        <w:t>Fjellborg</w:t>
      </w:r>
      <w:proofErr w:type="spellEnd"/>
      <w:r>
        <w:t xml:space="preserve">, E (2018) ‘What the </w:t>
      </w:r>
      <w:proofErr w:type="spellStart"/>
      <w:r>
        <w:t>Uk</w:t>
      </w:r>
      <w:proofErr w:type="spellEnd"/>
      <w:r>
        <w:t xml:space="preserve"> can Learn from Sweden’ People Management [Online] Available at: </w:t>
      </w:r>
      <w:hyperlink r:id="rId16" w:history="1">
        <w:r w:rsidRPr="005433DE">
          <w:rPr>
            <w:rStyle w:val="Hyperlink"/>
          </w:rPr>
          <w:t>https://www.peoplemanagement.co.uk/article/1743817/uk-can-learn-from-sweden-flexible-work</w:t>
        </w:r>
      </w:hyperlink>
      <w:r>
        <w:t xml:space="preserve"> (accessed on 20th April 2022)</w:t>
      </w:r>
    </w:p>
    <w:p w14:paraId="00F52D3F" w14:textId="77777777" w:rsidR="00766D1E" w:rsidRDefault="00766D1E" w:rsidP="003D001D">
      <w:r>
        <w:t xml:space="preserve">Forbes (2020) ’14 Essential Steps in Workforce Planning’ Forbes [Online] Available at: </w:t>
      </w:r>
      <w:hyperlink r:id="rId17" w:history="1">
        <w:r>
          <w:rPr>
            <w:rStyle w:val="Hyperlink"/>
          </w:rPr>
          <w:t>14 Essential Steps In Workforce Planning (forbes.com)</w:t>
        </w:r>
      </w:hyperlink>
      <w:r>
        <w:t xml:space="preserve"> (Accessed on 20</w:t>
      </w:r>
      <w:r w:rsidRPr="003935DC">
        <w:rPr>
          <w:vertAlign w:val="superscript"/>
        </w:rPr>
        <w:t>th</w:t>
      </w:r>
      <w:r>
        <w:t xml:space="preserve"> April 2020)</w:t>
      </w:r>
    </w:p>
    <w:p w14:paraId="58D56FF3" w14:textId="77777777" w:rsidR="00766D1E" w:rsidRDefault="00766D1E" w:rsidP="003D001D">
      <w:proofErr w:type="spellStart"/>
      <w:r>
        <w:t>Gasparjan</w:t>
      </w:r>
      <w:proofErr w:type="spellEnd"/>
      <w:r>
        <w:t xml:space="preserve">, T (2017) ‘Pros and Cons of Headhunting’ LinkedIn [Online] Available at: </w:t>
      </w:r>
      <w:hyperlink r:id="rId18" w:history="1">
        <w:r>
          <w:rPr>
            <w:rStyle w:val="Hyperlink"/>
          </w:rPr>
          <w:t>Top Three Pros and Cons of Headhunting (linkedin.com)</w:t>
        </w:r>
      </w:hyperlink>
      <w:r>
        <w:t xml:space="preserve">  (Accessed on 25</w:t>
      </w:r>
      <w:r w:rsidRPr="006A7143">
        <w:rPr>
          <w:vertAlign w:val="superscript"/>
        </w:rPr>
        <w:t>th</w:t>
      </w:r>
      <w:r>
        <w:t xml:space="preserve"> April 2022) </w:t>
      </w:r>
    </w:p>
    <w:p w14:paraId="0F34A19C" w14:textId="77777777" w:rsidR="00766D1E" w:rsidRDefault="00766D1E" w:rsidP="003D001D">
      <w:r>
        <w:t xml:space="preserve">GOV UK (2022) ‘Flexible Working [Online] Available at: </w:t>
      </w:r>
      <w:hyperlink r:id="rId19" w:anchor=":~:text=All%20employees%20have%20the%20legal,26%20weeks%20to%20be%20eligible" w:history="1">
        <w:r w:rsidRPr="005433DE">
          <w:rPr>
            <w:rStyle w:val="Hyperlink"/>
          </w:rPr>
          <w:t>https://www.gov.uk/flexible-working#:~:text=All%20employees%20have%20the%20legal,26%20weeks%20to%20be%20eligible</w:t>
        </w:r>
      </w:hyperlink>
      <w:r w:rsidRPr="00FD1563">
        <w:t>.</w:t>
      </w:r>
      <w:r>
        <w:t xml:space="preserve"> (Accessed on 20</w:t>
      </w:r>
      <w:r w:rsidRPr="00FD1563">
        <w:rPr>
          <w:vertAlign w:val="superscript"/>
        </w:rPr>
        <w:t>th</w:t>
      </w:r>
      <w:r>
        <w:t xml:space="preserve"> April 2022)</w:t>
      </w:r>
    </w:p>
    <w:p w14:paraId="7128A4ED" w14:textId="77777777" w:rsidR="00766D1E" w:rsidRDefault="00766D1E" w:rsidP="003D001D">
      <w:r>
        <w:t xml:space="preserve">Hannington, G (2021) ‘Writing Effective Job Descriptions and Person Specifications’ TPP [Online] available at: </w:t>
      </w:r>
      <w:hyperlink r:id="rId20" w:history="1">
        <w:r w:rsidRPr="0072031B">
          <w:rPr>
            <w:rStyle w:val="Hyperlink"/>
          </w:rPr>
          <w:t>https://www.tpp.co.uk/blog/2021/11/writing-effective-job-descriptions-and-person-specifications?source=google.com</w:t>
        </w:r>
      </w:hyperlink>
      <w:r>
        <w:t xml:space="preserve"> </w:t>
      </w:r>
      <w:r w:rsidRPr="000662F6">
        <w:t xml:space="preserve"> </w:t>
      </w:r>
      <w:r>
        <w:t xml:space="preserve"> (accessed on 25</w:t>
      </w:r>
      <w:r w:rsidRPr="000662F6">
        <w:rPr>
          <w:vertAlign w:val="superscript"/>
        </w:rPr>
        <w:t>th</w:t>
      </w:r>
      <w:r>
        <w:t xml:space="preserve"> April 2022)</w:t>
      </w:r>
    </w:p>
    <w:p w14:paraId="3F4C0E56" w14:textId="77777777" w:rsidR="00766D1E" w:rsidRDefault="00766D1E" w:rsidP="003D001D">
      <w:proofErr w:type="spellStart"/>
      <w:r>
        <w:lastRenderedPageBreak/>
        <w:t>Hargaddon</w:t>
      </w:r>
      <w:proofErr w:type="spellEnd"/>
      <w:r>
        <w:t xml:space="preserve">, J (2020) ‘Making Effective Use of Assessment Centres in Recruitment’ </w:t>
      </w:r>
      <w:proofErr w:type="spellStart"/>
      <w:r>
        <w:t>XpertHR</w:t>
      </w:r>
      <w:proofErr w:type="spellEnd"/>
      <w:r>
        <w:t xml:space="preserve"> [Online] Available at: </w:t>
      </w:r>
      <w:hyperlink r:id="rId21" w:history="1">
        <w:r>
          <w:rPr>
            <w:rStyle w:val="Hyperlink"/>
          </w:rPr>
          <w:t>Making effective use of assessment centres in recruitment | Recruitment and selection | Good practice manual | Tools | XpertHR.co.uk</w:t>
        </w:r>
      </w:hyperlink>
      <w:r>
        <w:t xml:space="preserve"> (accessed on 25</w:t>
      </w:r>
      <w:r w:rsidRPr="008E7F64">
        <w:rPr>
          <w:vertAlign w:val="superscript"/>
        </w:rPr>
        <w:t>th</w:t>
      </w:r>
      <w:r>
        <w:t xml:space="preserve"> April 2022)</w:t>
      </w:r>
    </w:p>
    <w:p w14:paraId="63CEC4FE" w14:textId="77777777" w:rsidR="00766D1E" w:rsidRDefault="00766D1E" w:rsidP="003D001D">
      <w:proofErr w:type="spellStart"/>
      <w:r>
        <w:t>Hauwiller</w:t>
      </w:r>
      <w:proofErr w:type="spellEnd"/>
      <w:r>
        <w:t xml:space="preserve">, J (2021) ‘Successful Succession Planning: Managing Transparency and Risk’ Forbes [Online] Available at: </w:t>
      </w:r>
      <w:hyperlink r:id="rId22" w:history="1">
        <w:r w:rsidRPr="00776848">
          <w:rPr>
            <w:rStyle w:val="Hyperlink"/>
          </w:rPr>
          <w:t>https://www.forbes.com/sites/forbescoachescouncil/2021/10/20/successful-succession-planning-managing-transparency-and-risk/?sh=13c137c42761</w:t>
        </w:r>
      </w:hyperlink>
      <w:r>
        <w:t xml:space="preserve"> (Accessed on 20</w:t>
      </w:r>
      <w:r w:rsidRPr="00526746">
        <w:rPr>
          <w:vertAlign w:val="superscript"/>
        </w:rPr>
        <w:t>th</w:t>
      </w:r>
      <w:r>
        <w:t xml:space="preserve"> April 2022) </w:t>
      </w:r>
    </w:p>
    <w:p w14:paraId="0E68369E" w14:textId="77777777" w:rsidR="00766D1E" w:rsidRDefault="00766D1E" w:rsidP="003D001D">
      <w:r>
        <w:t xml:space="preserve">Holiday, M (2021) ‘A Guide to Workforce Planning’ Oracle [Online] Available at: </w:t>
      </w:r>
      <w:hyperlink r:id="rId23" w:history="1">
        <w:r>
          <w:rPr>
            <w:rStyle w:val="Hyperlink"/>
          </w:rPr>
          <w:t>A Guide to Workforce Planning: Process, Strategies, &amp; Template | NetSuite</w:t>
        </w:r>
      </w:hyperlink>
      <w:r>
        <w:t xml:space="preserve"> (Accessed on 20</w:t>
      </w:r>
      <w:r w:rsidRPr="00017470">
        <w:rPr>
          <w:vertAlign w:val="superscript"/>
        </w:rPr>
        <w:t>th</w:t>
      </w:r>
      <w:r>
        <w:t xml:space="preserve"> April 2022) </w:t>
      </w:r>
    </w:p>
    <w:p w14:paraId="4F0405EB" w14:textId="77777777" w:rsidR="00766D1E" w:rsidRDefault="00766D1E" w:rsidP="003D001D">
      <w:r>
        <w:t xml:space="preserve">Johnson, W (2021) ‘Write a Job Description That Attracts the Right Candidate’ Harvard Business Review [Online] Available at: </w:t>
      </w:r>
      <w:hyperlink r:id="rId24" w:history="1">
        <w:r w:rsidRPr="0072031B">
          <w:rPr>
            <w:rStyle w:val="Hyperlink"/>
          </w:rPr>
          <w:t>https://hbr.org/2020/03/write-a-job-description-that-attracts-the-right-candidate</w:t>
        </w:r>
      </w:hyperlink>
      <w:r>
        <w:t xml:space="preserve"> </w:t>
      </w:r>
      <w:r w:rsidRPr="007F7A99">
        <w:t xml:space="preserve"> </w:t>
      </w:r>
      <w:r>
        <w:t>(Accessed on 25</w:t>
      </w:r>
      <w:r w:rsidRPr="007F7A99">
        <w:rPr>
          <w:vertAlign w:val="superscript"/>
        </w:rPr>
        <w:t>th</w:t>
      </w:r>
      <w:r>
        <w:t xml:space="preserve"> April 2022) </w:t>
      </w:r>
    </w:p>
    <w:p w14:paraId="6863DCE3" w14:textId="77777777" w:rsidR="00766D1E" w:rsidRDefault="00766D1E" w:rsidP="003D001D">
      <w:r>
        <w:t xml:space="preserve">Lybrand, S (2018) ‘What is Employer Branding and How Can it Grow Your Business’ LinkedIn [Online] Available at: </w:t>
      </w:r>
      <w:hyperlink r:id="rId25" w:history="1">
        <w:r w:rsidRPr="00776848">
          <w:rPr>
            <w:rStyle w:val="Hyperlink"/>
          </w:rPr>
          <w:t>https://www.linkedin.com/business/talent/blog/talent-acquisition/employer-branding</w:t>
        </w:r>
      </w:hyperlink>
      <w:r>
        <w:t xml:space="preserve"> (Accessed on 20th April 2022) </w:t>
      </w:r>
    </w:p>
    <w:p w14:paraId="5A1DEC78" w14:textId="77777777" w:rsidR="00766D1E" w:rsidRDefault="00766D1E" w:rsidP="003D001D">
      <w:r>
        <w:t xml:space="preserve">O’Callaghan, A (2021) ‘How to Recruit Right: 9 Ways to attract and Retain Employees’ Breathe HR [Online] available at: </w:t>
      </w:r>
      <w:hyperlink r:id="rId26" w:history="1">
        <w:r w:rsidRPr="00776848">
          <w:rPr>
            <w:rStyle w:val="Hyperlink"/>
          </w:rPr>
          <w:t>https://www.breathehr.com/en-gb/blog/topic/recruiting-talent/how-to-recruit-right-5-ways-to-attract-and-retain-employees</w:t>
        </w:r>
      </w:hyperlink>
      <w:r>
        <w:t xml:space="preserve">  (Accessed on 21</w:t>
      </w:r>
      <w:r w:rsidRPr="00952EDD">
        <w:rPr>
          <w:vertAlign w:val="superscript"/>
        </w:rPr>
        <w:t>st</w:t>
      </w:r>
      <w:r>
        <w:t xml:space="preserve"> April 2022) </w:t>
      </w:r>
    </w:p>
    <w:p w14:paraId="4905A909" w14:textId="77777777" w:rsidR="00766D1E" w:rsidRDefault="00766D1E" w:rsidP="003D001D">
      <w:r>
        <w:t xml:space="preserve">OEDC (2021) ‘OEDC Jobs </w:t>
      </w:r>
      <w:proofErr w:type="spellStart"/>
      <w:r>
        <w:t>Stratergy</w:t>
      </w:r>
      <w:proofErr w:type="spellEnd"/>
      <w:r>
        <w:t>’ [Online] Available at:</w:t>
      </w:r>
      <w:r w:rsidRPr="000F4C2A">
        <w:t xml:space="preserve"> </w:t>
      </w:r>
      <w:hyperlink r:id="rId27" w:history="1">
        <w:r w:rsidRPr="005433DE">
          <w:rPr>
            <w:rStyle w:val="Hyperlink"/>
          </w:rPr>
          <w:t>https://www.oecd.org/employment/jobs-strategy/country/</w:t>
        </w:r>
      </w:hyperlink>
      <w:r>
        <w:t xml:space="preserve">  (accessed on 20</w:t>
      </w:r>
      <w:r w:rsidRPr="000F4C2A">
        <w:rPr>
          <w:vertAlign w:val="superscript"/>
        </w:rPr>
        <w:t>th</w:t>
      </w:r>
      <w:r>
        <w:t xml:space="preserve"> April 2022)</w:t>
      </w:r>
    </w:p>
    <w:p w14:paraId="79329841" w14:textId="77777777" w:rsidR="00766D1E" w:rsidRDefault="00766D1E" w:rsidP="003D001D">
      <w:r>
        <w:t xml:space="preserve">Rogers, M (2020) ‘A Better Way to Develop and Retain Talent’ Harvard Business Review [Online] available at: </w:t>
      </w:r>
      <w:hyperlink r:id="rId28" w:history="1">
        <w:r w:rsidRPr="00776848">
          <w:rPr>
            <w:rStyle w:val="Hyperlink"/>
          </w:rPr>
          <w:t>https://hbr.org/2020/01/a-better-way-to-develop-and-retain-top-talent</w:t>
        </w:r>
      </w:hyperlink>
      <w:r>
        <w:t xml:space="preserve"> (Accessed on 21</w:t>
      </w:r>
      <w:r w:rsidRPr="008511F4">
        <w:rPr>
          <w:vertAlign w:val="superscript"/>
        </w:rPr>
        <w:t>st</w:t>
      </w:r>
      <w:r>
        <w:t xml:space="preserve"> April 2022) </w:t>
      </w:r>
    </w:p>
    <w:p w14:paraId="2507FB96" w14:textId="77777777" w:rsidR="00766D1E" w:rsidRDefault="00766D1E" w:rsidP="003D001D">
      <w:r>
        <w:t xml:space="preserve">Spector, S (2021) ‘Sweden: Tightest Labour Market in a Decade’ Sweden Macro [Online] Available at: </w:t>
      </w:r>
      <w:hyperlink r:id="rId29" w:history="1">
        <w:r w:rsidRPr="005433DE">
          <w:rPr>
            <w:rStyle w:val="Hyperlink"/>
          </w:rPr>
          <w:t>https://corporate.nordea.com/article/68562/sweden-tightest-labour-market-in-a-decade</w:t>
        </w:r>
      </w:hyperlink>
      <w:r>
        <w:t xml:space="preserve"> (accessed on 20th April 2022) </w:t>
      </w:r>
    </w:p>
    <w:p w14:paraId="3E4B7AA4" w14:textId="77777777" w:rsidR="00766D1E" w:rsidRDefault="00766D1E" w:rsidP="003D001D">
      <w:r>
        <w:t>Statista (2021) ‘</w:t>
      </w:r>
      <w:r w:rsidRPr="00F03185">
        <w:t>Median annual earnings for full-time employees in the United Kingdom from 1999 to 2021</w:t>
      </w:r>
      <w:r>
        <w:t xml:space="preserve">’ [Online] Available at: </w:t>
      </w:r>
      <w:hyperlink r:id="rId30" w:history="1">
        <w:r w:rsidRPr="005433DE">
          <w:rPr>
            <w:rStyle w:val="Hyperlink"/>
          </w:rPr>
          <w:t>https://www.statista.com/statistics/1002964/average-full-time-annual-earnings-in-the-uk/</w:t>
        </w:r>
      </w:hyperlink>
      <w:r>
        <w:t xml:space="preserve"> (accessed on 20</w:t>
      </w:r>
      <w:r w:rsidRPr="00153AEA">
        <w:rPr>
          <w:vertAlign w:val="superscript"/>
        </w:rPr>
        <w:t>th</w:t>
      </w:r>
      <w:r>
        <w:t xml:space="preserve"> April 2022)</w:t>
      </w:r>
    </w:p>
    <w:p w14:paraId="70ACB48D" w14:textId="77777777" w:rsidR="00766D1E" w:rsidRDefault="00766D1E" w:rsidP="003D001D">
      <w:r>
        <w:t>Taylor, S and Woodhams, C (2019) ‘Studying Human Resource Management’ 2</w:t>
      </w:r>
      <w:r w:rsidRPr="00C04F59">
        <w:rPr>
          <w:vertAlign w:val="superscript"/>
        </w:rPr>
        <w:t>nd</w:t>
      </w:r>
      <w:r>
        <w:t xml:space="preserve"> Edition. London: chartered Institute of Personnel and Development. </w:t>
      </w:r>
    </w:p>
    <w:p w14:paraId="2C97704C" w14:textId="766D0F70" w:rsidR="00766D1E" w:rsidRDefault="00766D1E" w:rsidP="003D001D">
      <w:r>
        <w:t xml:space="preserve">Thomas, J (2019) ‘Retaining Talent with Leadership that Cares’ Strategic Hr [Online] Available at: </w:t>
      </w:r>
      <w:hyperlink r:id="rId31" w:history="1">
        <w:r w:rsidRPr="00776848">
          <w:rPr>
            <w:rStyle w:val="Hyperlink"/>
          </w:rPr>
          <w:t>https://moodle.uwtsd.ac.uk/pluginfile.php/240121/mod_resource/content/1/036_HR_0219_Diff%20Slant.pdf</w:t>
        </w:r>
      </w:hyperlink>
      <w:r>
        <w:t xml:space="preserve"> (Accessed on 21</w:t>
      </w:r>
      <w:r w:rsidRPr="001E55F3">
        <w:rPr>
          <w:vertAlign w:val="superscript"/>
        </w:rPr>
        <w:t>st</w:t>
      </w:r>
      <w:r>
        <w:t xml:space="preserve"> April 2022)</w:t>
      </w:r>
    </w:p>
    <w:p w14:paraId="50F629D5" w14:textId="0EAFAAD2" w:rsidR="00766D1E" w:rsidRDefault="00766D1E" w:rsidP="003D001D"/>
    <w:p w14:paraId="0438F6FC" w14:textId="2341895F" w:rsidR="00766D1E" w:rsidRDefault="00766D1E" w:rsidP="003D001D"/>
    <w:p w14:paraId="243FC21A" w14:textId="1A834007" w:rsidR="00766D1E" w:rsidRDefault="00766D1E" w:rsidP="003D001D"/>
    <w:p w14:paraId="383C15D3" w14:textId="4F3B4EB4" w:rsidR="00766D1E" w:rsidRDefault="00766D1E" w:rsidP="003D001D"/>
    <w:p w14:paraId="31472629" w14:textId="1D2F4971" w:rsidR="00766D1E" w:rsidRDefault="00766D1E" w:rsidP="003D001D"/>
    <w:p w14:paraId="3A2136BD" w14:textId="657D1265" w:rsidR="00766D1E" w:rsidRDefault="00766D1E" w:rsidP="003D001D"/>
    <w:p w14:paraId="0A37ACD3" w14:textId="41C933DF" w:rsidR="00766D1E" w:rsidRDefault="00766D1E" w:rsidP="003D001D"/>
    <w:p w14:paraId="5ED7C15C" w14:textId="77777777" w:rsidR="00766D1E" w:rsidRDefault="00766D1E" w:rsidP="003D001D"/>
    <w:p w14:paraId="188EA64D" w14:textId="24F1347E" w:rsidR="00EE375A" w:rsidRDefault="00924881" w:rsidP="00EE375A">
      <w:pPr>
        <w:pStyle w:val="Heading1"/>
      </w:pPr>
      <w:bookmarkStart w:id="9" w:name="_Toc102418979"/>
      <w:r>
        <w:lastRenderedPageBreak/>
        <w:t>Bibliography</w:t>
      </w:r>
      <w:bookmarkEnd w:id="9"/>
    </w:p>
    <w:p w14:paraId="338EA4DA" w14:textId="77777777" w:rsidR="00EE375A" w:rsidRDefault="00EE375A" w:rsidP="00EE375A">
      <w:r>
        <w:t xml:space="preserve">ACAS (2022) ‘Dismissals’ ACAS [Online] Available at: </w:t>
      </w:r>
      <w:hyperlink r:id="rId32" w:history="1">
        <w:r>
          <w:rPr>
            <w:rStyle w:val="Hyperlink"/>
          </w:rPr>
          <w:t xml:space="preserve">Dismissing someone </w:t>
        </w:r>
        <w:proofErr w:type="gramStart"/>
        <w:r>
          <w:rPr>
            <w:rStyle w:val="Hyperlink"/>
          </w:rPr>
          <w:t>fairly :</w:t>
        </w:r>
        <w:proofErr w:type="gramEnd"/>
        <w:r>
          <w:rPr>
            <w:rStyle w:val="Hyperlink"/>
          </w:rPr>
          <w:t xml:space="preserve"> Dismissals - </w:t>
        </w:r>
        <w:proofErr w:type="spellStart"/>
        <w:r>
          <w:rPr>
            <w:rStyle w:val="Hyperlink"/>
          </w:rPr>
          <w:t>Acas</w:t>
        </w:r>
        <w:proofErr w:type="spellEnd"/>
      </w:hyperlink>
      <w:r>
        <w:t xml:space="preserve"> (Accessed on 25</w:t>
      </w:r>
      <w:r w:rsidRPr="00630383">
        <w:rPr>
          <w:vertAlign w:val="superscript"/>
        </w:rPr>
        <w:t>th</w:t>
      </w:r>
      <w:r>
        <w:t xml:space="preserve"> April 2022) </w:t>
      </w:r>
    </w:p>
    <w:p w14:paraId="0257009D" w14:textId="77777777" w:rsidR="00EE375A" w:rsidRDefault="00EE375A" w:rsidP="00EE375A">
      <w:r>
        <w:t xml:space="preserve">ACAS (2022) ‘Redundancy’ ACAs [Online] Available at: </w:t>
      </w:r>
      <w:hyperlink r:id="rId33" w:history="1">
        <w:r>
          <w:rPr>
            <w:rStyle w:val="Hyperlink"/>
          </w:rPr>
          <w:t xml:space="preserve">How your employer must consult you : Your rights during redundancy - </w:t>
        </w:r>
        <w:proofErr w:type="spellStart"/>
        <w:r>
          <w:rPr>
            <w:rStyle w:val="Hyperlink"/>
          </w:rPr>
          <w:t>Acas</w:t>
        </w:r>
        <w:proofErr w:type="spellEnd"/>
      </w:hyperlink>
      <w:r>
        <w:t xml:space="preserve"> (Accessed on 25</w:t>
      </w:r>
      <w:r w:rsidRPr="006224B0">
        <w:rPr>
          <w:vertAlign w:val="superscript"/>
        </w:rPr>
        <w:t>th</w:t>
      </w:r>
      <w:r>
        <w:t xml:space="preserve"> April 2022) </w:t>
      </w:r>
    </w:p>
    <w:p w14:paraId="5EBF2A1A" w14:textId="77777777" w:rsidR="00EE375A" w:rsidRDefault="00EE375A" w:rsidP="00EE375A">
      <w:r>
        <w:t xml:space="preserve">Adams, S (2012) ‘Why Promoting from Within Usually Beats Hiring From Outside’ Forbes [Online] Available at: </w:t>
      </w:r>
      <w:hyperlink r:id="rId34" w:history="1">
        <w:r>
          <w:rPr>
            <w:rStyle w:val="Hyperlink"/>
          </w:rPr>
          <w:t>Why Promoting From Within Usually Beats Hiring From Outside (forbes.com)</w:t>
        </w:r>
      </w:hyperlink>
      <w:r>
        <w:t xml:space="preserve"> (accessed on 25</w:t>
      </w:r>
      <w:r w:rsidRPr="00CD0C16">
        <w:rPr>
          <w:vertAlign w:val="superscript"/>
        </w:rPr>
        <w:t>th</w:t>
      </w:r>
      <w:r>
        <w:t xml:space="preserve"> April 2022) </w:t>
      </w:r>
    </w:p>
    <w:p w14:paraId="66BF0196" w14:textId="77777777" w:rsidR="00EE375A" w:rsidRDefault="00EE375A" w:rsidP="00EE375A">
      <w:r>
        <w:t>Bower, T (2021) ‘Re-engineering the Recruitment Process’ Harvard Business Review [Online] Available at:</w:t>
      </w:r>
      <w:r w:rsidRPr="00317F26">
        <w:t xml:space="preserve"> </w:t>
      </w:r>
      <w:hyperlink r:id="rId35" w:history="1">
        <w:r w:rsidRPr="00776848">
          <w:rPr>
            <w:rStyle w:val="Hyperlink"/>
          </w:rPr>
          <w:t>https://hbr.org/2021/03/reengineering-the-recruitment-process</w:t>
        </w:r>
      </w:hyperlink>
      <w:r>
        <w:t xml:space="preserve">  (Accessed on 21</w:t>
      </w:r>
      <w:r w:rsidRPr="00317F26">
        <w:rPr>
          <w:vertAlign w:val="superscript"/>
        </w:rPr>
        <w:t>st</w:t>
      </w:r>
      <w:r>
        <w:t xml:space="preserve"> April 2022) </w:t>
      </w:r>
    </w:p>
    <w:p w14:paraId="48ACB5AD" w14:textId="77777777" w:rsidR="00EE375A" w:rsidRDefault="00EE375A" w:rsidP="00EE375A">
      <w:r>
        <w:t xml:space="preserve">CIPD (2016) ‘Retirement Ages’ CIPD [Online] Available at: </w:t>
      </w:r>
      <w:hyperlink r:id="rId36" w:history="1">
        <w:r>
          <w:rPr>
            <w:rStyle w:val="Hyperlink"/>
          </w:rPr>
          <w:t>Retirement ages | Factsheets | CIPD</w:t>
        </w:r>
      </w:hyperlink>
      <w:r>
        <w:t xml:space="preserve"> (Accessed on 25</w:t>
      </w:r>
      <w:r w:rsidRPr="007D32C7">
        <w:rPr>
          <w:vertAlign w:val="superscript"/>
        </w:rPr>
        <w:t>th</w:t>
      </w:r>
      <w:r>
        <w:t xml:space="preserve"> April 2022) </w:t>
      </w:r>
    </w:p>
    <w:p w14:paraId="24C2940D" w14:textId="77777777" w:rsidR="00EE375A" w:rsidRDefault="00EE375A" w:rsidP="00EE375A">
      <w:r>
        <w:t xml:space="preserve">CIPD (2020) ‘Succession Planning’ [Online] available at: </w:t>
      </w:r>
      <w:hyperlink r:id="rId37" w:anchor="gref" w:history="1">
        <w:r w:rsidRPr="00776848">
          <w:rPr>
            <w:rStyle w:val="Hyperlink"/>
          </w:rPr>
          <w:t>https://www.cipd.co.uk/knowledge/strategy/resourcing/succession-planning-factsheet#gref</w:t>
        </w:r>
      </w:hyperlink>
      <w:r>
        <w:t xml:space="preserve"> (accessed on 20</w:t>
      </w:r>
      <w:r w:rsidRPr="0036724E">
        <w:rPr>
          <w:vertAlign w:val="superscript"/>
        </w:rPr>
        <w:t>th</w:t>
      </w:r>
      <w:r>
        <w:t xml:space="preserve"> April 2022) </w:t>
      </w:r>
    </w:p>
    <w:p w14:paraId="57B68745" w14:textId="77777777" w:rsidR="00EE375A" w:rsidRDefault="00EE375A" w:rsidP="00EE375A">
      <w:r>
        <w:t xml:space="preserve">CIPD (2021) ‘Competence and Competency Frame Work’ CIPD [Online] Available at: </w:t>
      </w:r>
      <w:hyperlink r:id="rId38" w:anchor="gref" w:history="1">
        <w:r w:rsidRPr="00776848">
          <w:rPr>
            <w:rStyle w:val="Hyperlink"/>
          </w:rPr>
          <w:t>https://www.cipd.co.uk/knowledge/fundamentals/people/performance/competency-factsheet#gref</w:t>
        </w:r>
      </w:hyperlink>
      <w:proofErr w:type="gramStart"/>
      <w:r>
        <w:t xml:space="preserve">   (</w:t>
      </w:r>
      <w:proofErr w:type="gramEnd"/>
      <w:r>
        <w:t>Accessed on 22</w:t>
      </w:r>
      <w:r w:rsidRPr="00046E4A">
        <w:rPr>
          <w:vertAlign w:val="superscript"/>
        </w:rPr>
        <w:t>nd</w:t>
      </w:r>
      <w:r>
        <w:t xml:space="preserve"> April 2022) </w:t>
      </w:r>
    </w:p>
    <w:p w14:paraId="10704606" w14:textId="77777777" w:rsidR="00EE375A" w:rsidRDefault="00EE375A" w:rsidP="00EE375A">
      <w:r>
        <w:t xml:space="preserve">CIPD (2021) ‘Employer Branding’ CIPD [Online] Available at: </w:t>
      </w:r>
      <w:hyperlink r:id="rId39" w:anchor="gref" w:history="1">
        <w:r w:rsidRPr="00776848">
          <w:rPr>
            <w:rStyle w:val="Hyperlink"/>
          </w:rPr>
          <w:t>https://www.cipd.co.uk/knowledge/fundamentals/people/recruitment/brand-factsheet#gref</w:t>
        </w:r>
      </w:hyperlink>
      <w:r>
        <w:t xml:space="preserve">  (Accessed on 20</w:t>
      </w:r>
      <w:r w:rsidRPr="00CB6445">
        <w:rPr>
          <w:vertAlign w:val="superscript"/>
        </w:rPr>
        <w:t>th</w:t>
      </w:r>
      <w:r>
        <w:t xml:space="preserve"> April 2022) </w:t>
      </w:r>
    </w:p>
    <w:p w14:paraId="3E3B137F" w14:textId="77777777" w:rsidR="00EE375A" w:rsidRDefault="00EE375A" w:rsidP="00EE375A">
      <w:r>
        <w:t>CIPD (2021) ‘Turnover and Retention’ CIPD [Online] Available at:</w:t>
      </w:r>
      <w:r w:rsidRPr="000504E5">
        <w:t xml:space="preserve"> </w:t>
      </w:r>
      <w:hyperlink r:id="rId40" w:anchor="gref" w:history="1">
        <w:r w:rsidRPr="00776848">
          <w:rPr>
            <w:rStyle w:val="Hyperlink"/>
          </w:rPr>
          <w:t>https://www.cipd.co.uk/knowledge/strategy/resourcing/turnover-retention-factsheet#gref</w:t>
        </w:r>
      </w:hyperlink>
      <w:r>
        <w:t xml:space="preserve">  (Accessed on 21</w:t>
      </w:r>
      <w:r w:rsidRPr="000504E5">
        <w:rPr>
          <w:vertAlign w:val="superscript"/>
        </w:rPr>
        <w:t>st</w:t>
      </w:r>
      <w:r>
        <w:t xml:space="preserve"> April 2022) </w:t>
      </w:r>
    </w:p>
    <w:p w14:paraId="7B67B544" w14:textId="77777777" w:rsidR="00EE375A" w:rsidRDefault="00EE375A" w:rsidP="00EE375A">
      <w:r>
        <w:t xml:space="preserve">CIPD (2021) ‘Workforce Planning’ CIPD [Online] Available at: </w:t>
      </w:r>
      <w:hyperlink r:id="rId41" w:history="1">
        <w:r>
          <w:rPr>
            <w:rStyle w:val="Hyperlink"/>
          </w:rPr>
          <w:t>Workforce Planning | Factsheets | CIPD</w:t>
        </w:r>
      </w:hyperlink>
      <w:r>
        <w:t xml:space="preserve"> (Accessed on 20</w:t>
      </w:r>
      <w:r w:rsidRPr="00656F2D">
        <w:rPr>
          <w:vertAlign w:val="superscript"/>
        </w:rPr>
        <w:t>th</w:t>
      </w:r>
      <w:r>
        <w:t xml:space="preserve"> April 2022) </w:t>
      </w:r>
    </w:p>
    <w:p w14:paraId="54A1F281" w14:textId="77777777" w:rsidR="00EE375A" w:rsidRDefault="00EE375A" w:rsidP="00EE375A">
      <w:r>
        <w:t xml:space="preserve">Dychtwald, K, Erickson, T and Morison, B (2004) ‘It’s Time to Retire Retirement’ Harvard Business Review [Online] Available at: </w:t>
      </w:r>
      <w:hyperlink r:id="rId42" w:history="1">
        <w:r>
          <w:rPr>
            <w:rStyle w:val="Hyperlink"/>
          </w:rPr>
          <w:t>It’s Time to Retire Retirement (hbr.org)</w:t>
        </w:r>
      </w:hyperlink>
      <w:r>
        <w:t xml:space="preserve"> (Accessed on 25</w:t>
      </w:r>
      <w:r w:rsidRPr="0069654A">
        <w:rPr>
          <w:vertAlign w:val="superscript"/>
        </w:rPr>
        <w:t>th</w:t>
      </w:r>
      <w:r>
        <w:t xml:space="preserve"> April 2022) </w:t>
      </w:r>
      <w:proofErr w:type="spellStart"/>
      <w:r>
        <w:t>Fjellborg</w:t>
      </w:r>
      <w:proofErr w:type="spellEnd"/>
      <w:r>
        <w:t xml:space="preserve">, E (2018) ‘What the </w:t>
      </w:r>
      <w:proofErr w:type="spellStart"/>
      <w:r>
        <w:t>Uk</w:t>
      </w:r>
      <w:proofErr w:type="spellEnd"/>
      <w:r>
        <w:t xml:space="preserve"> can Learn from Sweden’ People Management [Online] Available at: </w:t>
      </w:r>
      <w:hyperlink r:id="rId43" w:history="1">
        <w:r w:rsidRPr="005433DE">
          <w:rPr>
            <w:rStyle w:val="Hyperlink"/>
          </w:rPr>
          <w:t>https://www.peoplemanagement.co.uk/article/1743817/uk-can-learn-from-sweden-flexible-work</w:t>
        </w:r>
      </w:hyperlink>
      <w:r>
        <w:t xml:space="preserve"> (accessed on 20th April 2022)</w:t>
      </w:r>
    </w:p>
    <w:p w14:paraId="63E121FE" w14:textId="77777777" w:rsidR="00EE375A" w:rsidRDefault="00EE375A" w:rsidP="00EE375A">
      <w:r>
        <w:t xml:space="preserve">Forbes (2020) ’14 Essential Steps in Workforce Planning’ Forbes [Online] Available at: </w:t>
      </w:r>
      <w:hyperlink r:id="rId44" w:history="1">
        <w:r>
          <w:rPr>
            <w:rStyle w:val="Hyperlink"/>
          </w:rPr>
          <w:t>14 Essential Steps In Workforce Planning (forbes.com)</w:t>
        </w:r>
      </w:hyperlink>
      <w:r>
        <w:t xml:space="preserve"> (Accessed on 20</w:t>
      </w:r>
      <w:r w:rsidRPr="003935DC">
        <w:rPr>
          <w:vertAlign w:val="superscript"/>
        </w:rPr>
        <w:t>th</w:t>
      </w:r>
      <w:r>
        <w:t xml:space="preserve"> April 2020)</w:t>
      </w:r>
    </w:p>
    <w:p w14:paraId="4EE1F307" w14:textId="77777777" w:rsidR="00EE375A" w:rsidRDefault="00EE375A" w:rsidP="00EE375A">
      <w:proofErr w:type="spellStart"/>
      <w:r>
        <w:t>Gasparjan</w:t>
      </w:r>
      <w:proofErr w:type="spellEnd"/>
      <w:r>
        <w:t xml:space="preserve">, T (2017) ‘Pros and Cons of Headhunting’ LinkedIn [Online] Available at: </w:t>
      </w:r>
      <w:hyperlink r:id="rId45" w:history="1">
        <w:r>
          <w:rPr>
            <w:rStyle w:val="Hyperlink"/>
          </w:rPr>
          <w:t>Top Three Pros and Cons of Headhunting (linkedin.com)</w:t>
        </w:r>
      </w:hyperlink>
      <w:r>
        <w:t xml:space="preserve">  (Accessed on 25</w:t>
      </w:r>
      <w:r w:rsidRPr="006A7143">
        <w:rPr>
          <w:vertAlign w:val="superscript"/>
        </w:rPr>
        <w:t>th</w:t>
      </w:r>
      <w:r>
        <w:t xml:space="preserve"> April 2022) </w:t>
      </w:r>
    </w:p>
    <w:p w14:paraId="4D3520A5" w14:textId="77777777" w:rsidR="00EE375A" w:rsidRDefault="00EE375A" w:rsidP="00EE375A">
      <w:r>
        <w:t xml:space="preserve">GOV UK (2022) ‘Flexible Working [Online] Available at: </w:t>
      </w:r>
      <w:hyperlink r:id="rId46" w:anchor=":~:text=All%20employees%20have%20the%20legal,26%20weeks%20to%20be%20eligible" w:history="1">
        <w:r w:rsidRPr="005433DE">
          <w:rPr>
            <w:rStyle w:val="Hyperlink"/>
          </w:rPr>
          <w:t>https://www.gov.uk/flexible-working#:~:text=All%20employees%20have%20the%20legal,26%20weeks%20to%20be%20eligible</w:t>
        </w:r>
      </w:hyperlink>
      <w:r w:rsidRPr="00FD1563">
        <w:t>.</w:t>
      </w:r>
      <w:r>
        <w:t xml:space="preserve"> (Accessed on 20</w:t>
      </w:r>
      <w:r w:rsidRPr="00FD1563">
        <w:rPr>
          <w:vertAlign w:val="superscript"/>
        </w:rPr>
        <w:t>th</w:t>
      </w:r>
      <w:r>
        <w:t xml:space="preserve"> April 2022)</w:t>
      </w:r>
    </w:p>
    <w:p w14:paraId="0A323043" w14:textId="77777777" w:rsidR="00EE375A" w:rsidRDefault="00EE375A" w:rsidP="00EE375A">
      <w:r>
        <w:t xml:space="preserve">Hannington, G (2021) ‘Writing Effective Job Descriptions and Person Specifications’ TPP [Online] available at: </w:t>
      </w:r>
      <w:hyperlink r:id="rId47" w:history="1">
        <w:r w:rsidRPr="0072031B">
          <w:rPr>
            <w:rStyle w:val="Hyperlink"/>
          </w:rPr>
          <w:t>https://www.tpp.co.uk/blog/2021/11/writing-effective-job-descriptions-and-person-specifications?source=google.com</w:t>
        </w:r>
      </w:hyperlink>
      <w:r>
        <w:t xml:space="preserve"> </w:t>
      </w:r>
      <w:r w:rsidRPr="000662F6">
        <w:t xml:space="preserve"> </w:t>
      </w:r>
      <w:r>
        <w:t xml:space="preserve"> (accessed on 25</w:t>
      </w:r>
      <w:r w:rsidRPr="000662F6">
        <w:rPr>
          <w:vertAlign w:val="superscript"/>
        </w:rPr>
        <w:t>th</w:t>
      </w:r>
      <w:r>
        <w:t xml:space="preserve"> April 2022)</w:t>
      </w:r>
    </w:p>
    <w:p w14:paraId="42723768" w14:textId="77777777" w:rsidR="00EE375A" w:rsidRDefault="00EE375A" w:rsidP="00EE375A">
      <w:proofErr w:type="spellStart"/>
      <w:r>
        <w:t>Hargaddon</w:t>
      </w:r>
      <w:proofErr w:type="spellEnd"/>
      <w:r>
        <w:t xml:space="preserve">, J (2020) ‘Making Effective Use of Assessment Centres in Recruitment’ </w:t>
      </w:r>
      <w:proofErr w:type="spellStart"/>
      <w:r>
        <w:t>XpertHR</w:t>
      </w:r>
      <w:proofErr w:type="spellEnd"/>
      <w:r>
        <w:t xml:space="preserve"> [Online] Available at: </w:t>
      </w:r>
      <w:hyperlink r:id="rId48" w:history="1">
        <w:r>
          <w:rPr>
            <w:rStyle w:val="Hyperlink"/>
          </w:rPr>
          <w:t>Making effective use of assessment centres in recruitment | Recruitment and selection | Good practice manual | Tools | XpertHR.co.uk</w:t>
        </w:r>
      </w:hyperlink>
      <w:r>
        <w:t xml:space="preserve"> (accessed on 25</w:t>
      </w:r>
      <w:r w:rsidRPr="008E7F64">
        <w:rPr>
          <w:vertAlign w:val="superscript"/>
        </w:rPr>
        <w:t>th</w:t>
      </w:r>
      <w:r>
        <w:t xml:space="preserve"> April 2022)</w:t>
      </w:r>
    </w:p>
    <w:p w14:paraId="32C46C0C" w14:textId="77777777" w:rsidR="00EE375A" w:rsidRDefault="00EE375A" w:rsidP="00EE375A">
      <w:proofErr w:type="spellStart"/>
      <w:r>
        <w:lastRenderedPageBreak/>
        <w:t>Hauwiller</w:t>
      </w:r>
      <w:proofErr w:type="spellEnd"/>
      <w:r>
        <w:t xml:space="preserve">, J (2021) ‘Successful Succession Planning: Managing Transparency and Risk’ Forbes [Online] Available at: </w:t>
      </w:r>
      <w:hyperlink r:id="rId49" w:history="1">
        <w:r w:rsidRPr="00776848">
          <w:rPr>
            <w:rStyle w:val="Hyperlink"/>
          </w:rPr>
          <w:t>https://www.forbes.com/sites/forbescoachescouncil/2021/10/20/successful-succession-planning-managing-transparency-and-risk/?sh=13c137c42761</w:t>
        </w:r>
      </w:hyperlink>
      <w:r>
        <w:t xml:space="preserve"> (Accessed on 20</w:t>
      </w:r>
      <w:r w:rsidRPr="00526746">
        <w:rPr>
          <w:vertAlign w:val="superscript"/>
        </w:rPr>
        <w:t>th</w:t>
      </w:r>
      <w:r>
        <w:t xml:space="preserve"> April 2022) </w:t>
      </w:r>
    </w:p>
    <w:p w14:paraId="3471C4FA" w14:textId="77777777" w:rsidR="00EE375A" w:rsidRDefault="00EE375A" w:rsidP="00EE375A">
      <w:r>
        <w:t xml:space="preserve">Holiday, M (2021) ‘A Guide to Workforce Planning’ Oracle [Online] Available at: </w:t>
      </w:r>
      <w:hyperlink r:id="rId50" w:history="1">
        <w:r>
          <w:rPr>
            <w:rStyle w:val="Hyperlink"/>
          </w:rPr>
          <w:t>A Guide to Workforce Planning: Process, Strategies, &amp; Template | NetSuite</w:t>
        </w:r>
      </w:hyperlink>
      <w:r>
        <w:t xml:space="preserve"> (Accessed on 20</w:t>
      </w:r>
      <w:r w:rsidRPr="00017470">
        <w:rPr>
          <w:vertAlign w:val="superscript"/>
        </w:rPr>
        <w:t>th</w:t>
      </w:r>
      <w:r>
        <w:t xml:space="preserve"> April 2022) </w:t>
      </w:r>
    </w:p>
    <w:p w14:paraId="0B9E82A4" w14:textId="77777777" w:rsidR="00EE375A" w:rsidRDefault="00EE375A" w:rsidP="00EE375A">
      <w:r>
        <w:t xml:space="preserve">Johnson, W (2021) ‘Write a Job Description That Attracts the Right Candidate’ Harvard Business Review [Online] Available at: </w:t>
      </w:r>
      <w:hyperlink r:id="rId51" w:history="1">
        <w:r w:rsidRPr="0072031B">
          <w:rPr>
            <w:rStyle w:val="Hyperlink"/>
          </w:rPr>
          <w:t>https://hbr.org/2020/03/write-a-job-description-that-attracts-the-right-candidate</w:t>
        </w:r>
      </w:hyperlink>
      <w:r>
        <w:t xml:space="preserve"> </w:t>
      </w:r>
      <w:r w:rsidRPr="007F7A99">
        <w:t xml:space="preserve"> </w:t>
      </w:r>
      <w:r>
        <w:t>(Accessed on 25</w:t>
      </w:r>
      <w:r w:rsidRPr="007F7A99">
        <w:rPr>
          <w:vertAlign w:val="superscript"/>
        </w:rPr>
        <w:t>th</w:t>
      </w:r>
      <w:r>
        <w:t xml:space="preserve"> April 2022) </w:t>
      </w:r>
    </w:p>
    <w:p w14:paraId="5B067C8F" w14:textId="136EE3A3" w:rsidR="00EE375A" w:rsidRDefault="00EE375A" w:rsidP="00EE375A">
      <w:r>
        <w:t xml:space="preserve">Lybrand, S (2018) ‘What is Employer Branding and How Can it Grow Your Business’ LinkedIn [Online] Available at: </w:t>
      </w:r>
      <w:hyperlink r:id="rId52" w:history="1">
        <w:r w:rsidRPr="00776848">
          <w:rPr>
            <w:rStyle w:val="Hyperlink"/>
          </w:rPr>
          <w:t>https://www.linkedin.com/business/talent/blog/talent-acquisition/employer-branding</w:t>
        </w:r>
      </w:hyperlink>
      <w:r>
        <w:t xml:space="preserve"> (Accessed on 20th April 2022) </w:t>
      </w:r>
    </w:p>
    <w:p w14:paraId="201FA16F" w14:textId="037119A3" w:rsidR="00EE375A" w:rsidRDefault="00EE375A" w:rsidP="00EE375A">
      <w:r>
        <w:t xml:space="preserve">Martin, F (2019) ‘How Does the UK Labour Market Compare to Other OEDC Countries’ PWC [Online] Available at: </w:t>
      </w:r>
      <w:hyperlink r:id="rId53" w:history="1">
        <w:r w:rsidRPr="00F5028B">
          <w:rPr>
            <w:rStyle w:val="Hyperlink"/>
          </w:rPr>
          <w:t>https://www.pwc.co.uk/economic-services/ukeo/ukeo-labour-market-july-2019.pdf</w:t>
        </w:r>
      </w:hyperlink>
      <w:r>
        <w:t xml:space="preserve"> (accessed on 24th April 2022)</w:t>
      </w:r>
    </w:p>
    <w:p w14:paraId="22E54F85" w14:textId="77777777" w:rsidR="00EE375A" w:rsidRDefault="00EE375A" w:rsidP="00EE375A">
      <w:r>
        <w:t xml:space="preserve">O’Callaghan, A (2021) ‘How to Recruit Right: 9 Ways to attract and Retain Employees’ Breathe HR [Online] available at: </w:t>
      </w:r>
      <w:hyperlink r:id="rId54" w:history="1">
        <w:r w:rsidRPr="00776848">
          <w:rPr>
            <w:rStyle w:val="Hyperlink"/>
          </w:rPr>
          <w:t>https://www.breathehr.com/en-gb/blog/topic/recruiting-talent/how-to-recruit-right-5-ways-to-attract-and-retain-employees</w:t>
        </w:r>
      </w:hyperlink>
      <w:r>
        <w:t xml:space="preserve">  (Accessed on 21</w:t>
      </w:r>
      <w:r w:rsidRPr="00952EDD">
        <w:rPr>
          <w:vertAlign w:val="superscript"/>
        </w:rPr>
        <w:t>st</w:t>
      </w:r>
      <w:r>
        <w:t xml:space="preserve"> April 2022) </w:t>
      </w:r>
    </w:p>
    <w:p w14:paraId="5228656D" w14:textId="77777777" w:rsidR="00EE375A" w:rsidRDefault="00EE375A" w:rsidP="00EE375A">
      <w:r>
        <w:t xml:space="preserve">OEDC (2021) ‘OEDC Jobs </w:t>
      </w:r>
      <w:proofErr w:type="spellStart"/>
      <w:r>
        <w:t>Stratergy</w:t>
      </w:r>
      <w:proofErr w:type="spellEnd"/>
      <w:r>
        <w:t>’ [Online] Available at:</w:t>
      </w:r>
      <w:r w:rsidRPr="000F4C2A">
        <w:t xml:space="preserve"> </w:t>
      </w:r>
      <w:hyperlink r:id="rId55" w:history="1">
        <w:r w:rsidRPr="005433DE">
          <w:rPr>
            <w:rStyle w:val="Hyperlink"/>
          </w:rPr>
          <w:t>https://www.oecd.org/employment/jobs-strategy/country/</w:t>
        </w:r>
      </w:hyperlink>
      <w:r>
        <w:t xml:space="preserve">  (accessed on 20</w:t>
      </w:r>
      <w:r w:rsidRPr="000F4C2A">
        <w:rPr>
          <w:vertAlign w:val="superscript"/>
        </w:rPr>
        <w:t>th</w:t>
      </w:r>
      <w:r>
        <w:t xml:space="preserve"> April 2022)</w:t>
      </w:r>
    </w:p>
    <w:p w14:paraId="72C7E4B4" w14:textId="77777777" w:rsidR="00EE375A" w:rsidRDefault="00EE375A" w:rsidP="00EE375A">
      <w:r>
        <w:t xml:space="preserve">Rogers, M (2020) ‘A Better Way to Develop and Retain Talent’ Harvard Business Review [Online] available at: </w:t>
      </w:r>
      <w:hyperlink r:id="rId56" w:history="1">
        <w:r w:rsidRPr="00776848">
          <w:rPr>
            <w:rStyle w:val="Hyperlink"/>
          </w:rPr>
          <w:t>https://hbr.org/2020/01/a-better-way-to-develop-and-retain-top-talent</w:t>
        </w:r>
      </w:hyperlink>
      <w:r>
        <w:t xml:space="preserve"> (Accessed on 21</w:t>
      </w:r>
      <w:r w:rsidRPr="008511F4">
        <w:rPr>
          <w:vertAlign w:val="superscript"/>
        </w:rPr>
        <w:t>st</w:t>
      </w:r>
      <w:r>
        <w:t xml:space="preserve"> April 2022) </w:t>
      </w:r>
    </w:p>
    <w:p w14:paraId="799DD2FC" w14:textId="77777777" w:rsidR="00EE375A" w:rsidRDefault="00EE375A" w:rsidP="00EE375A">
      <w:r>
        <w:t xml:space="preserve">Spector, S (2021) ‘Sweden: Tightest Labour Market in a Decade’ Sweden Macro [Online] Available at: </w:t>
      </w:r>
      <w:hyperlink r:id="rId57" w:history="1">
        <w:r w:rsidRPr="005433DE">
          <w:rPr>
            <w:rStyle w:val="Hyperlink"/>
          </w:rPr>
          <w:t>https://corporate.nordea.com/article/68562/sweden-tightest-labour-market-in-a-decade</w:t>
        </w:r>
      </w:hyperlink>
      <w:r>
        <w:t xml:space="preserve"> (accessed on 20th April 2022) </w:t>
      </w:r>
    </w:p>
    <w:p w14:paraId="36B408A8" w14:textId="77777777" w:rsidR="00EE375A" w:rsidRDefault="00EE375A" w:rsidP="00EE375A">
      <w:r>
        <w:t>Statista (2021) ‘</w:t>
      </w:r>
      <w:r w:rsidRPr="00F03185">
        <w:t>Median annual earnings for full-time employees in the United Kingdom from 1999 to 2021</w:t>
      </w:r>
      <w:r>
        <w:t xml:space="preserve">’ [Online] Available at: </w:t>
      </w:r>
      <w:hyperlink r:id="rId58" w:history="1">
        <w:r w:rsidRPr="005433DE">
          <w:rPr>
            <w:rStyle w:val="Hyperlink"/>
          </w:rPr>
          <w:t>https://www.statista.com/statistics/1002964/average-full-time-annual-earnings-in-the-uk/</w:t>
        </w:r>
      </w:hyperlink>
      <w:r>
        <w:t xml:space="preserve"> (accessed on 20</w:t>
      </w:r>
      <w:r w:rsidRPr="00153AEA">
        <w:rPr>
          <w:vertAlign w:val="superscript"/>
        </w:rPr>
        <w:t>th</w:t>
      </w:r>
      <w:r>
        <w:t xml:space="preserve"> April 2022)</w:t>
      </w:r>
    </w:p>
    <w:p w14:paraId="33BCD94B" w14:textId="77777777" w:rsidR="00EE375A" w:rsidRDefault="00EE375A" w:rsidP="00EE375A">
      <w:r>
        <w:t>Taylor, S and Woodhams, C (2019) ‘Studying Human Resource Management’ 2</w:t>
      </w:r>
      <w:r w:rsidRPr="00C04F59">
        <w:rPr>
          <w:vertAlign w:val="superscript"/>
        </w:rPr>
        <w:t>nd</w:t>
      </w:r>
      <w:r>
        <w:t xml:space="preserve"> Edition. London: chartered Institute of Personnel and Development. </w:t>
      </w:r>
    </w:p>
    <w:p w14:paraId="6EE8D7ED" w14:textId="77777777" w:rsidR="00EE375A" w:rsidRDefault="00EE375A" w:rsidP="00EE375A">
      <w:r>
        <w:t xml:space="preserve">Thomas, J (2019) ‘Retaining Talent with Leadership that Cares’ Strategic Hr [Online] Available at: </w:t>
      </w:r>
      <w:hyperlink r:id="rId59" w:history="1">
        <w:r w:rsidRPr="00776848">
          <w:rPr>
            <w:rStyle w:val="Hyperlink"/>
          </w:rPr>
          <w:t>https://moodle.uwtsd.ac.uk/pluginfile.php/240121/mod_resource/content/1/036_HR_0219_Diff%20Slant.pdf</w:t>
        </w:r>
      </w:hyperlink>
      <w:r>
        <w:t xml:space="preserve"> (Accessed on 21</w:t>
      </w:r>
      <w:r w:rsidRPr="001E55F3">
        <w:rPr>
          <w:vertAlign w:val="superscript"/>
        </w:rPr>
        <w:t>st</w:t>
      </w:r>
      <w:r>
        <w:t xml:space="preserve"> April 2022)</w:t>
      </w:r>
    </w:p>
    <w:p w14:paraId="55F44F2F" w14:textId="77777777" w:rsidR="00EE375A" w:rsidRPr="006622BE" w:rsidRDefault="00EE375A" w:rsidP="006622BE"/>
    <w:sectPr w:rsidR="00EE375A" w:rsidRPr="006622BE" w:rsidSect="00971E45">
      <w:pgSz w:w="11907" w:h="16840" w:code="9"/>
      <w:pgMar w:top="720" w:right="720" w:bottom="720" w:left="72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E45"/>
    <w:rsid w:val="00000BEC"/>
    <w:rsid w:val="00013FDF"/>
    <w:rsid w:val="00017470"/>
    <w:rsid w:val="00040D74"/>
    <w:rsid w:val="00046E4A"/>
    <w:rsid w:val="000504E5"/>
    <w:rsid w:val="000619BF"/>
    <w:rsid w:val="000662F6"/>
    <w:rsid w:val="00076CB9"/>
    <w:rsid w:val="00091814"/>
    <w:rsid w:val="000960E9"/>
    <w:rsid w:val="000A0040"/>
    <w:rsid w:val="000F2635"/>
    <w:rsid w:val="000F4C2A"/>
    <w:rsid w:val="000F584B"/>
    <w:rsid w:val="00102542"/>
    <w:rsid w:val="00102D02"/>
    <w:rsid w:val="0013376E"/>
    <w:rsid w:val="00153AEA"/>
    <w:rsid w:val="00155E40"/>
    <w:rsid w:val="00163CE5"/>
    <w:rsid w:val="00177D1B"/>
    <w:rsid w:val="001810DD"/>
    <w:rsid w:val="001822FB"/>
    <w:rsid w:val="001D39FB"/>
    <w:rsid w:val="001E0259"/>
    <w:rsid w:val="001E55F3"/>
    <w:rsid w:val="002056CE"/>
    <w:rsid w:val="00222B65"/>
    <w:rsid w:val="00222D09"/>
    <w:rsid w:val="00240986"/>
    <w:rsid w:val="002842F5"/>
    <w:rsid w:val="00290685"/>
    <w:rsid w:val="002B1A9E"/>
    <w:rsid w:val="002B46BC"/>
    <w:rsid w:val="002F0FC6"/>
    <w:rsid w:val="00317F26"/>
    <w:rsid w:val="00333E5E"/>
    <w:rsid w:val="003345AB"/>
    <w:rsid w:val="00335200"/>
    <w:rsid w:val="0034497A"/>
    <w:rsid w:val="00344BEC"/>
    <w:rsid w:val="00356512"/>
    <w:rsid w:val="00366376"/>
    <w:rsid w:val="0036724E"/>
    <w:rsid w:val="00373BD7"/>
    <w:rsid w:val="00391C58"/>
    <w:rsid w:val="003935DC"/>
    <w:rsid w:val="00393648"/>
    <w:rsid w:val="003A65D3"/>
    <w:rsid w:val="003B6FE6"/>
    <w:rsid w:val="003C1C23"/>
    <w:rsid w:val="003D001D"/>
    <w:rsid w:val="003D2C70"/>
    <w:rsid w:val="00450B97"/>
    <w:rsid w:val="00461FBA"/>
    <w:rsid w:val="004643BA"/>
    <w:rsid w:val="004C61A9"/>
    <w:rsid w:val="004D13B8"/>
    <w:rsid w:val="004F7646"/>
    <w:rsid w:val="00503339"/>
    <w:rsid w:val="0051574B"/>
    <w:rsid w:val="00526746"/>
    <w:rsid w:val="005534A7"/>
    <w:rsid w:val="005553C1"/>
    <w:rsid w:val="005754F8"/>
    <w:rsid w:val="005E6C33"/>
    <w:rsid w:val="005F44B9"/>
    <w:rsid w:val="00612E88"/>
    <w:rsid w:val="0061479F"/>
    <w:rsid w:val="006152EA"/>
    <w:rsid w:val="006224B0"/>
    <w:rsid w:val="00630383"/>
    <w:rsid w:val="006471DD"/>
    <w:rsid w:val="00654AF8"/>
    <w:rsid w:val="00656F2D"/>
    <w:rsid w:val="006622BE"/>
    <w:rsid w:val="00671001"/>
    <w:rsid w:val="00675B9A"/>
    <w:rsid w:val="00676FDC"/>
    <w:rsid w:val="0069654A"/>
    <w:rsid w:val="006978CF"/>
    <w:rsid w:val="006A7143"/>
    <w:rsid w:val="006B2812"/>
    <w:rsid w:val="006B3705"/>
    <w:rsid w:val="006C0B62"/>
    <w:rsid w:val="006D11A1"/>
    <w:rsid w:val="006E7C98"/>
    <w:rsid w:val="006F39BE"/>
    <w:rsid w:val="00700D7D"/>
    <w:rsid w:val="0070670E"/>
    <w:rsid w:val="0072632D"/>
    <w:rsid w:val="00737D69"/>
    <w:rsid w:val="00766D1E"/>
    <w:rsid w:val="007715F4"/>
    <w:rsid w:val="00786122"/>
    <w:rsid w:val="00791E9B"/>
    <w:rsid w:val="007B206C"/>
    <w:rsid w:val="007B5EC4"/>
    <w:rsid w:val="007C4375"/>
    <w:rsid w:val="007D0725"/>
    <w:rsid w:val="007D2E61"/>
    <w:rsid w:val="007D32C7"/>
    <w:rsid w:val="007E53CE"/>
    <w:rsid w:val="007F7A99"/>
    <w:rsid w:val="008127B5"/>
    <w:rsid w:val="00840163"/>
    <w:rsid w:val="008511F4"/>
    <w:rsid w:val="00851E4E"/>
    <w:rsid w:val="00854623"/>
    <w:rsid w:val="00854B20"/>
    <w:rsid w:val="0086224B"/>
    <w:rsid w:val="0087795C"/>
    <w:rsid w:val="008B151C"/>
    <w:rsid w:val="008B7235"/>
    <w:rsid w:val="008D05D1"/>
    <w:rsid w:val="008D3FE0"/>
    <w:rsid w:val="008E7F64"/>
    <w:rsid w:val="008F0727"/>
    <w:rsid w:val="00911827"/>
    <w:rsid w:val="00924881"/>
    <w:rsid w:val="00931D1D"/>
    <w:rsid w:val="00952EDD"/>
    <w:rsid w:val="00957EE7"/>
    <w:rsid w:val="00971E45"/>
    <w:rsid w:val="009A619F"/>
    <w:rsid w:val="009B066C"/>
    <w:rsid w:val="009B5AAF"/>
    <w:rsid w:val="009C5358"/>
    <w:rsid w:val="009C6894"/>
    <w:rsid w:val="009D483D"/>
    <w:rsid w:val="009F4FBA"/>
    <w:rsid w:val="00A075DC"/>
    <w:rsid w:val="00A2524E"/>
    <w:rsid w:val="00A319FF"/>
    <w:rsid w:val="00A42312"/>
    <w:rsid w:val="00A45292"/>
    <w:rsid w:val="00A51151"/>
    <w:rsid w:val="00A5593C"/>
    <w:rsid w:val="00A750A7"/>
    <w:rsid w:val="00A83FF0"/>
    <w:rsid w:val="00AB2E6F"/>
    <w:rsid w:val="00AB43DC"/>
    <w:rsid w:val="00AE1696"/>
    <w:rsid w:val="00AE412F"/>
    <w:rsid w:val="00B0507D"/>
    <w:rsid w:val="00B16C81"/>
    <w:rsid w:val="00B55710"/>
    <w:rsid w:val="00B64406"/>
    <w:rsid w:val="00B965CD"/>
    <w:rsid w:val="00BF17AA"/>
    <w:rsid w:val="00BF39AE"/>
    <w:rsid w:val="00BF6CD0"/>
    <w:rsid w:val="00C00992"/>
    <w:rsid w:val="00C04F59"/>
    <w:rsid w:val="00C517CF"/>
    <w:rsid w:val="00C64706"/>
    <w:rsid w:val="00C70896"/>
    <w:rsid w:val="00C83C8D"/>
    <w:rsid w:val="00C96285"/>
    <w:rsid w:val="00CA36CB"/>
    <w:rsid w:val="00CB2B11"/>
    <w:rsid w:val="00CB6445"/>
    <w:rsid w:val="00CC31E5"/>
    <w:rsid w:val="00CC5E40"/>
    <w:rsid w:val="00CD0C16"/>
    <w:rsid w:val="00CD6D5B"/>
    <w:rsid w:val="00CF3141"/>
    <w:rsid w:val="00CF497A"/>
    <w:rsid w:val="00D0541E"/>
    <w:rsid w:val="00D13B51"/>
    <w:rsid w:val="00D14E44"/>
    <w:rsid w:val="00D23F24"/>
    <w:rsid w:val="00D63753"/>
    <w:rsid w:val="00D64D27"/>
    <w:rsid w:val="00D77BF0"/>
    <w:rsid w:val="00D80FFD"/>
    <w:rsid w:val="00DC4379"/>
    <w:rsid w:val="00DC6C34"/>
    <w:rsid w:val="00DD2528"/>
    <w:rsid w:val="00DE7FE9"/>
    <w:rsid w:val="00E32B5A"/>
    <w:rsid w:val="00E81E01"/>
    <w:rsid w:val="00E977B3"/>
    <w:rsid w:val="00EA1308"/>
    <w:rsid w:val="00EA69FE"/>
    <w:rsid w:val="00ED4DC2"/>
    <w:rsid w:val="00EE375A"/>
    <w:rsid w:val="00F03185"/>
    <w:rsid w:val="00F6323C"/>
    <w:rsid w:val="00F660EC"/>
    <w:rsid w:val="00FA3763"/>
    <w:rsid w:val="00FB66C7"/>
    <w:rsid w:val="00FC6F4B"/>
    <w:rsid w:val="00FD1563"/>
    <w:rsid w:val="00FD1C98"/>
    <w:rsid w:val="00FF4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22723"/>
  <w15:chartTrackingRefBased/>
  <w15:docId w15:val="{1C50C8BF-ACD8-4062-9583-F0BA657E2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1E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1E45"/>
    <w:rPr>
      <w:rFonts w:eastAsiaTheme="minorEastAsia"/>
      <w:lang w:val="en-US"/>
    </w:rPr>
  </w:style>
  <w:style w:type="character" w:customStyle="1" w:styleId="Heading1Char">
    <w:name w:val="Heading 1 Char"/>
    <w:basedOn w:val="DefaultParagraphFont"/>
    <w:link w:val="Heading1"/>
    <w:uiPriority w:val="9"/>
    <w:rsid w:val="00971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1E45"/>
    <w:pPr>
      <w:outlineLvl w:val="9"/>
    </w:pPr>
    <w:rPr>
      <w:lang w:val="en-US"/>
    </w:rPr>
  </w:style>
  <w:style w:type="paragraph" w:styleId="TOC1">
    <w:name w:val="toc 1"/>
    <w:basedOn w:val="Normal"/>
    <w:next w:val="Normal"/>
    <w:autoRedefine/>
    <w:uiPriority w:val="39"/>
    <w:unhideWhenUsed/>
    <w:rsid w:val="00924881"/>
    <w:pPr>
      <w:spacing w:after="100"/>
    </w:pPr>
  </w:style>
  <w:style w:type="character" w:styleId="Hyperlink">
    <w:name w:val="Hyperlink"/>
    <w:basedOn w:val="DefaultParagraphFont"/>
    <w:uiPriority w:val="99"/>
    <w:unhideWhenUsed/>
    <w:rsid w:val="00924881"/>
    <w:rPr>
      <w:color w:val="0563C1" w:themeColor="hyperlink"/>
      <w:u w:val="single"/>
    </w:rPr>
  </w:style>
  <w:style w:type="character" w:styleId="UnresolvedMention">
    <w:name w:val="Unresolved Mention"/>
    <w:basedOn w:val="DefaultParagraphFont"/>
    <w:uiPriority w:val="99"/>
    <w:semiHidden/>
    <w:unhideWhenUsed/>
    <w:rsid w:val="000F4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strategy/resourcing/turnover-retention-factsheet" TargetMode="External"/><Relationship Id="rId18" Type="http://schemas.openxmlformats.org/officeDocument/2006/relationships/hyperlink" Target="https://www.linkedin.com/pulse/top-three-pros-cons-headhunting-tsovik-gasparjan" TargetMode="External"/><Relationship Id="rId26" Type="http://schemas.openxmlformats.org/officeDocument/2006/relationships/hyperlink" Target="https://www.breathehr.com/en-gb/blog/topic/recruiting-talent/how-to-recruit-right-5-ways-to-attract-and-retain-employees" TargetMode="External"/><Relationship Id="rId39" Type="http://schemas.openxmlformats.org/officeDocument/2006/relationships/hyperlink" Target="https://www.cipd.co.uk/knowledge/fundamentals/people/recruitment/brand-factsheet" TargetMode="External"/><Relationship Id="rId21" Type="http://schemas.openxmlformats.org/officeDocument/2006/relationships/hyperlink" Target="https://www.xperthr.co.uk/good-practice-manual/making-effective-use-of-assessment-centres-in-recruitment/116265/" TargetMode="External"/><Relationship Id="rId34" Type="http://schemas.openxmlformats.org/officeDocument/2006/relationships/hyperlink" Target="https://www.forbes.com/sites/susanadams/2012/04/05/why-promoting-from-within-usually-beats-hiring-from-outside/?sh=72d7551b36ce" TargetMode="External"/><Relationship Id="rId42" Type="http://schemas.openxmlformats.org/officeDocument/2006/relationships/hyperlink" Target="https://hbr.org/2004/03/its-time-to-retire-retirement" TargetMode="External"/><Relationship Id="rId47" Type="http://schemas.openxmlformats.org/officeDocument/2006/relationships/hyperlink" Target="https://www.tpp.co.uk/blog/2021/11/writing-effective-job-descriptions-and-person-specifications?source=google.com" TargetMode="External"/><Relationship Id="rId50" Type="http://schemas.openxmlformats.org/officeDocument/2006/relationships/hyperlink" Target="https://www.netsuite.com/portal/resource/articles/human-resources/workforce-planning.shtml?mc24943=v1" TargetMode="External"/><Relationship Id="rId55" Type="http://schemas.openxmlformats.org/officeDocument/2006/relationships/hyperlink" Target="https://www.oecd.org/employment/jobs-strategy/country/" TargetMode="External"/><Relationship Id="rId7" Type="http://schemas.openxmlformats.org/officeDocument/2006/relationships/hyperlink" Target="https://www.forbes.com/sites/susanadams/2012/04/05/why-promoting-from-within-usually-beats-hiring-from-outside/?sh=72d7551b36ce" TargetMode="External"/><Relationship Id="rId2" Type="http://schemas.openxmlformats.org/officeDocument/2006/relationships/styles" Target="styles.xml"/><Relationship Id="rId16" Type="http://schemas.openxmlformats.org/officeDocument/2006/relationships/hyperlink" Target="https://www.peoplemanagement.co.uk/article/1743817/uk-can-learn-from-sweden-flexible-work" TargetMode="External"/><Relationship Id="rId29" Type="http://schemas.openxmlformats.org/officeDocument/2006/relationships/hyperlink" Target="https://corporate.nordea.com/article/68562/sweden-tightest-labour-market-in-a-decade" TargetMode="External"/><Relationship Id="rId11" Type="http://schemas.openxmlformats.org/officeDocument/2006/relationships/hyperlink" Target="https://www.cipd.co.uk/knowledge/fundamentals/people/performance/competency-factsheet" TargetMode="External"/><Relationship Id="rId24" Type="http://schemas.openxmlformats.org/officeDocument/2006/relationships/hyperlink" Target="https://hbr.org/2020/03/write-a-job-description-that-attracts-the-right-candidate" TargetMode="External"/><Relationship Id="rId32" Type="http://schemas.openxmlformats.org/officeDocument/2006/relationships/hyperlink" Target="https://www.acas.org.uk/dismissals" TargetMode="External"/><Relationship Id="rId37" Type="http://schemas.openxmlformats.org/officeDocument/2006/relationships/hyperlink" Target="https://www.cipd.co.uk/knowledge/strategy/resourcing/succession-planning-factsheet" TargetMode="External"/><Relationship Id="rId40" Type="http://schemas.openxmlformats.org/officeDocument/2006/relationships/hyperlink" Target="https://www.cipd.co.uk/knowledge/strategy/resourcing/turnover-retention-factsheet" TargetMode="External"/><Relationship Id="rId45" Type="http://schemas.openxmlformats.org/officeDocument/2006/relationships/hyperlink" Target="https://www.linkedin.com/pulse/top-three-pros-cons-headhunting-tsovik-gasparjan" TargetMode="External"/><Relationship Id="rId53" Type="http://schemas.openxmlformats.org/officeDocument/2006/relationships/hyperlink" Target="https://www.pwc.co.uk/economic-services/ukeo/ukeo-labour-market-july-2019.pdf" TargetMode="External"/><Relationship Id="rId58" Type="http://schemas.openxmlformats.org/officeDocument/2006/relationships/hyperlink" Target="https://www.statista.com/statistics/1002964/average-full-time-annual-earnings-in-the-uk/" TargetMode="External"/><Relationship Id="rId5" Type="http://schemas.openxmlformats.org/officeDocument/2006/relationships/hyperlink" Target="https://www.acas.org.uk/dismissals" TargetMode="External"/><Relationship Id="rId61" Type="http://schemas.openxmlformats.org/officeDocument/2006/relationships/theme" Target="theme/theme1.xml"/><Relationship Id="rId19" Type="http://schemas.openxmlformats.org/officeDocument/2006/relationships/hyperlink" Target="https://www.gov.uk/flexible-working" TargetMode="External"/><Relationship Id="rId14" Type="http://schemas.openxmlformats.org/officeDocument/2006/relationships/hyperlink" Target="https://www.cipd.co.uk/knowledge/strategy/organisational-development/workforce-planning-factsheet" TargetMode="External"/><Relationship Id="rId22" Type="http://schemas.openxmlformats.org/officeDocument/2006/relationships/hyperlink" Target="https://www.forbes.com/sites/forbescoachescouncil/2021/10/20/successful-succession-planning-managing-transparency-and-risk/?sh=13c137c42761" TargetMode="External"/><Relationship Id="rId27" Type="http://schemas.openxmlformats.org/officeDocument/2006/relationships/hyperlink" Target="https://www.oecd.org/employment/jobs-strategy/country/" TargetMode="External"/><Relationship Id="rId30" Type="http://schemas.openxmlformats.org/officeDocument/2006/relationships/hyperlink" Target="https://www.statista.com/statistics/1002964/average-full-time-annual-earnings-in-the-uk/" TargetMode="External"/><Relationship Id="rId35" Type="http://schemas.openxmlformats.org/officeDocument/2006/relationships/hyperlink" Target="https://hbr.org/2021/03/reengineering-the-recruitment-process" TargetMode="External"/><Relationship Id="rId43" Type="http://schemas.openxmlformats.org/officeDocument/2006/relationships/hyperlink" Target="https://www.peoplemanagement.co.uk/article/1743817/uk-can-learn-from-sweden-flexible-work" TargetMode="External"/><Relationship Id="rId48" Type="http://schemas.openxmlformats.org/officeDocument/2006/relationships/hyperlink" Target="https://www.xperthr.co.uk/good-practice-manual/making-effective-use-of-assessment-centres-in-recruitment/116265/" TargetMode="External"/><Relationship Id="rId56" Type="http://schemas.openxmlformats.org/officeDocument/2006/relationships/hyperlink" Target="https://hbr.org/2020/01/a-better-way-to-develop-and-retain-top-talent" TargetMode="External"/><Relationship Id="rId8" Type="http://schemas.openxmlformats.org/officeDocument/2006/relationships/hyperlink" Target="https://hbr.org/2021/03/reengineering-the-recruitment-process" TargetMode="External"/><Relationship Id="rId51" Type="http://schemas.openxmlformats.org/officeDocument/2006/relationships/hyperlink" Target="https://hbr.org/2020/03/write-a-job-description-that-attracts-the-right-candidate" TargetMode="External"/><Relationship Id="rId3" Type="http://schemas.openxmlformats.org/officeDocument/2006/relationships/settings" Target="settings.xml"/><Relationship Id="rId12" Type="http://schemas.openxmlformats.org/officeDocument/2006/relationships/hyperlink" Target="https://www.cipd.co.uk/knowledge/fundamentals/people/recruitment/brand-factsheet" TargetMode="External"/><Relationship Id="rId17" Type="http://schemas.openxmlformats.org/officeDocument/2006/relationships/hyperlink" Target="https://www.forbes.com/sites/forbeshumanresourcescouncil/2020/07/20/14-essential-steps-in-workforce-planning/?sh=398beb9e589f" TargetMode="External"/><Relationship Id="rId25" Type="http://schemas.openxmlformats.org/officeDocument/2006/relationships/hyperlink" Target="https://www.linkedin.com/business/talent/blog/talent-acquisition/employer-branding" TargetMode="External"/><Relationship Id="rId33" Type="http://schemas.openxmlformats.org/officeDocument/2006/relationships/hyperlink" Target="https://www.acas.org.uk/your-rights-during-redundancy/how-your-employer-must-consult-you" TargetMode="External"/><Relationship Id="rId38" Type="http://schemas.openxmlformats.org/officeDocument/2006/relationships/hyperlink" Target="https://www.cipd.co.uk/knowledge/fundamentals/people/performance/competency-factsheet" TargetMode="External"/><Relationship Id="rId46" Type="http://schemas.openxmlformats.org/officeDocument/2006/relationships/hyperlink" Target="https://www.gov.uk/flexible-working" TargetMode="External"/><Relationship Id="rId59" Type="http://schemas.openxmlformats.org/officeDocument/2006/relationships/hyperlink" Target="https://moodle.uwtsd.ac.uk/pluginfile.php/240121/mod_resource/content/1/036_HR_0219_Diff%20Slant.pdf" TargetMode="External"/><Relationship Id="rId20" Type="http://schemas.openxmlformats.org/officeDocument/2006/relationships/hyperlink" Target="https://www.tpp.co.uk/blog/2021/11/writing-effective-job-descriptions-and-person-specifications?source=google.com" TargetMode="External"/><Relationship Id="rId41" Type="http://schemas.openxmlformats.org/officeDocument/2006/relationships/hyperlink" Target="https://www.cipd.co.uk/knowledge/strategy/organisational-development/workforce-planning-factsheet" TargetMode="External"/><Relationship Id="rId54" Type="http://schemas.openxmlformats.org/officeDocument/2006/relationships/hyperlink" Target="https://www.breathehr.com/en-gb/blog/topic/recruiting-talent/how-to-recruit-right-5-ways-to-attract-and-retain-employees" TargetMode="External"/><Relationship Id="rId1" Type="http://schemas.openxmlformats.org/officeDocument/2006/relationships/customXml" Target="../customXml/item1.xml"/><Relationship Id="rId6" Type="http://schemas.openxmlformats.org/officeDocument/2006/relationships/hyperlink" Target="https://www.acas.org.uk/your-rights-during-redundancy/how-your-employer-must-consult-you" TargetMode="External"/><Relationship Id="rId15" Type="http://schemas.openxmlformats.org/officeDocument/2006/relationships/hyperlink" Target="https://hbr.org/2004/03/its-time-to-retire-retirement" TargetMode="External"/><Relationship Id="rId23" Type="http://schemas.openxmlformats.org/officeDocument/2006/relationships/hyperlink" Target="https://www.netsuite.com/portal/resource/articles/human-resources/workforce-planning.shtml?mc24943=v1" TargetMode="External"/><Relationship Id="rId28" Type="http://schemas.openxmlformats.org/officeDocument/2006/relationships/hyperlink" Target="https://hbr.org/2020/01/a-better-way-to-develop-and-retain-top-talent" TargetMode="External"/><Relationship Id="rId36" Type="http://schemas.openxmlformats.org/officeDocument/2006/relationships/hyperlink" Target="https://www.cipd.ie/news-resources/practical-guidance/employment-law/factsheets/retirement-ages" TargetMode="External"/><Relationship Id="rId49" Type="http://schemas.openxmlformats.org/officeDocument/2006/relationships/hyperlink" Target="https://www.forbes.com/sites/forbescoachescouncil/2021/10/20/successful-succession-planning-managing-transparency-and-risk/?sh=13c137c42761" TargetMode="External"/><Relationship Id="rId57" Type="http://schemas.openxmlformats.org/officeDocument/2006/relationships/hyperlink" Target="https://corporate.nordea.com/article/68562/sweden-tightest-labour-market-in-a-decade" TargetMode="External"/><Relationship Id="rId10" Type="http://schemas.openxmlformats.org/officeDocument/2006/relationships/hyperlink" Target="https://www.cipd.co.uk/knowledge/strategy/resourcing/succession-planning-factsheet" TargetMode="External"/><Relationship Id="rId31" Type="http://schemas.openxmlformats.org/officeDocument/2006/relationships/hyperlink" Target="https://moodle.uwtsd.ac.uk/pluginfile.php/240121/mod_resource/content/1/036_HR_0219_Diff%20Slant.pdf" TargetMode="External"/><Relationship Id="rId44" Type="http://schemas.openxmlformats.org/officeDocument/2006/relationships/hyperlink" Target="https://www.forbes.com/sites/forbeshumanresourcescouncil/2020/07/20/14-essential-steps-in-workforce-planning/?sh=398beb9e589f" TargetMode="External"/><Relationship Id="rId52" Type="http://schemas.openxmlformats.org/officeDocument/2006/relationships/hyperlink" Target="https://www.linkedin.com/business/talent/blog/talent-acquisition/employer-branding"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ie/news-resources/practical-guidance/employment-law/factsheets/retireme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17E84-0A48-4BA1-9BE5-F38E3D859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5813</Words>
  <Characters>33138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Understanding Resourcing and Talent Planning</vt:lpstr>
    </vt:vector>
  </TitlesOfParts>
  <Company/>
  <LinksUpToDate>false</LinksUpToDate>
  <CharactersWithSpaces>38874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Resourcing and Talent Planning</dc:title>
  <dc:subject>1400169</dc:subject>
  <dc:creator>Kimberley Low</dc:creator>
  <cp:keywords/>
  <dc:description/>
  <cp:lastModifiedBy>Kimberley Low</cp:lastModifiedBy>
  <cp:revision>2</cp:revision>
  <dcterms:created xsi:type="dcterms:W3CDTF">2022-05-02T20:24:00Z</dcterms:created>
  <dcterms:modified xsi:type="dcterms:W3CDTF">2022-05-02T20:24:00Z</dcterms:modified>
</cp:coreProperties>
</file>