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9199F" w14:textId="59A216D1" w:rsidR="0007018A" w:rsidRDefault="00AF209D" w:rsidP="0007018A">
      <w:pPr>
        <w:jc w:val="center"/>
        <w:rPr>
          <w:lang w:val="en-US"/>
        </w:rPr>
      </w:pPr>
      <w:r w:rsidRPr="00AF209D">
        <w:t>‘</w:t>
      </w:r>
      <w:r w:rsidRPr="00AF209D">
        <w:rPr>
          <w:b/>
          <w:bCs/>
          <w:lang w:val="en-US"/>
        </w:rPr>
        <w:t>The Multi Agency model in Wales promotes the welfare of children and young people’</w:t>
      </w:r>
    </w:p>
    <w:p w14:paraId="6BA9F27B" w14:textId="77777777" w:rsidR="007B2905" w:rsidRDefault="007B2905" w:rsidP="007B2905">
      <w:pPr>
        <w:spacing w:line="360" w:lineRule="auto"/>
        <w:rPr>
          <w:rFonts w:ascii="Times New Roman" w:hAnsi="Times New Roman" w:cs="Times New Roman"/>
        </w:rPr>
      </w:pPr>
    </w:p>
    <w:p w14:paraId="36A92168" w14:textId="794BCAA4" w:rsidR="00AF209D" w:rsidRPr="007B2905" w:rsidRDefault="00AF209D" w:rsidP="007B2905">
      <w:pPr>
        <w:spacing w:line="360" w:lineRule="auto"/>
        <w:rPr>
          <w:rFonts w:ascii="Times New Roman" w:hAnsi="Times New Roman" w:cs="Times New Roman"/>
        </w:rPr>
      </w:pPr>
      <w:r w:rsidRPr="007B2905">
        <w:rPr>
          <w:rFonts w:ascii="Times New Roman" w:hAnsi="Times New Roman" w:cs="Times New Roman"/>
        </w:rPr>
        <w:t>This essay will look at how the multi-agency approach works in Wales to protect children and young people. It will look at the key frameworks, roles, and responsibilities, as well as the advantages and disadvantages of partnership working. This discussion will critically examine the importance of effective collaboration in protecting vulnerable children and promoting their well-being.</w:t>
      </w:r>
    </w:p>
    <w:p w14:paraId="5DCA4795" w14:textId="0ECBAC99" w:rsidR="00AF209D" w:rsidRPr="007B2905" w:rsidRDefault="00AF209D" w:rsidP="007B2905">
      <w:pPr>
        <w:spacing w:line="360" w:lineRule="auto"/>
        <w:rPr>
          <w:rFonts w:ascii="Times New Roman" w:hAnsi="Times New Roman" w:cs="Times New Roman"/>
        </w:rPr>
      </w:pPr>
      <w:r w:rsidRPr="007B2905">
        <w:rPr>
          <w:rFonts w:ascii="Times New Roman" w:hAnsi="Times New Roman" w:cs="Times New Roman"/>
        </w:rPr>
        <w:t>The promotion and safeguarding of children and young people is a top priority in Wales, necessitating collaborative efforts from a variety of services and professionals. It is increasingly recognised that children's needs are complex and cannot be fully met by a single agency operating in isolation. A child's wellbeing is influenced by a variety of factors, including family circumstances, health, education, and social environments. As a result, a multi-agency approach has become the foundation of safeguarding practice in Wales, ensuring that services collaborate to protect children and promote positive outcomes</w:t>
      </w:r>
      <w:r w:rsidRPr="007B2905">
        <w:rPr>
          <w:rFonts w:ascii="Times New Roman" w:hAnsi="Times New Roman" w:cs="Times New Roman"/>
        </w:rPr>
        <w:t>.</w:t>
      </w:r>
    </w:p>
    <w:p w14:paraId="1EE9703F" w14:textId="0C846856" w:rsidR="00AF209D" w:rsidRPr="007B2905" w:rsidRDefault="00AF209D" w:rsidP="007B2905">
      <w:pPr>
        <w:spacing w:line="360" w:lineRule="auto"/>
        <w:rPr>
          <w:rFonts w:ascii="Times New Roman" w:hAnsi="Times New Roman" w:cs="Times New Roman"/>
        </w:rPr>
      </w:pPr>
      <w:r w:rsidRPr="007B2905">
        <w:rPr>
          <w:rFonts w:ascii="Times New Roman" w:hAnsi="Times New Roman" w:cs="Times New Roman"/>
        </w:rPr>
        <w:t>In Wales, safeguarding is supported by a strong legislative and policy framework that values collaboration and shared responsibility. Key guidance, such as Working Together to Safeguard People, outlines organisations' responsibilities to cooperate, share information, and take coordinated action when concerns arise. This reflects a broader commitment in Welsh policy to prioritise the child's voice, needs, and rights. The Social Services and Well-being (Wales) Act 2014 strengthens this by encouraging integrated working and requiring agencies to collaborate in protecting and supporting individuals</w:t>
      </w:r>
      <w:r w:rsidRPr="007B2905">
        <w:rPr>
          <w:rFonts w:ascii="Times New Roman" w:hAnsi="Times New Roman" w:cs="Times New Roman"/>
        </w:rPr>
        <w:t>.</w:t>
      </w:r>
    </w:p>
    <w:p w14:paraId="65C7653A" w14:textId="5CE6DC58" w:rsidR="0007018A" w:rsidRPr="007B2905" w:rsidRDefault="00AF209D" w:rsidP="007B2905">
      <w:pPr>
        <w:spacing w:line="360" w:lineRule="auto"/>
        <w:rPr>
          <w:rFonts w:ascii="Times New Roman" w:hAnsi="Times New Roman" w:cs="Times New Roman"/>
        </w:rPr>
      </w:pPr>
      <w:r w:rsidRPr="007B2905">
        <w:rPr>
          <w:rFonts w:ascii="Times New Roman" w:hAnsi="Times New Roman" w:cs="Times New Roman"/>
        </w:rPr>
        <w:t>The multi-agency approach in Wales involves a range of professionals, including social workers, teachers, healthcare practitioners, police officers, and voluntary sector organisations. By sharing expertise and information, these agencies can develop a more complete understanding of a child’s situation and respond more effectively to risks. Collaborative models such as safeguarding boards and multi-agency teams facilitate joint decision-making and early intervention, which are critical in preventing harm and promoting long-term wellbeing.</w:t>
      </w:r>
    </w:p>
    <w:p w14:paraId="4194085F" w14:textId="52E940D0" w:rsidR="00935926" w:rsidRPr="007B2905" w:rsidRDefault="00935926" w:rsidP="007B2905">
      <w:pPr>
        <w:spacing w:line="360" w:lineRule="auto"/>
        <w:rPr>
          <w:rFonts w:ascii="Times New Roman" w:hAnsi="Times New Roman" w:cs="Times New Roman"/>
        </w:rPr>
      </w:pPr>
      <w:r w:rsidRPr="007B2905">
        <w:rPr>
          <w:rFonts w:ascii="Times New Roman" w:hAnsi="Times New Roman" w:cs="Times New Roman"/>
        </w:rPr>
        <w:t>A multi-agency approach refers to a collaborative way of working in which professionals from different organisations coordinate their efforts to meet the needs of individuals, families, or communitie</w:t>
      </w:r>
      <w:r w:rsidRPr="007B2905">
        <w:rPr>
          <w:rFonts w:ascii="Times New Roman" w:hAnsi="Times New Roman" w:cs="Times New Roman"/>
        </w:rPr>
        <w:t>s.</w:t>
      </w:r>
      <w:r w:rsidRPr="007B2905">
        <w:rPr>
          <w:rFonts w:ascii="Times New Roman" w:eastAsia="Times New Roman" w:hAnsi="Times New Roman" w:cs="Times New Roman"/>
          <w:kern w:val="0"/>
          <w:lang w:eastAsia="en-GB"/>
          <w14:ligatures w14:val="none"/>
        </w:rPr>
        <w:t xml:space="preserve"> </w:t>
      </w:r>
      <w:r w:rsidRPr="007B2905">
        <w:rPr>
          <w:rFonts w:ascii="Times New Roman" w:hAnsi="Times New Roman" w:cs="Times New Roman"/>
        </w:rPr>
        <w:t xml:space="preserve">Typically, services such as health, education, social care, policing, and </w:t>
      </w:r>
      <w:r w:rsidRPr="007B2905">
        <w:rPr>
          <w:rFonts w:ascii="Times New Roman" w:hAnsi="Times New Roman" w:cs="Times New Roman"/>
        </w:rPr>
        <w:lastRenderedPageBreak/>
        <w:t>voluntary organisations share information, resources, and decision-making process</w:t>
      </w:r>
      <w:r w:rsidRPr="007B2905">
        <w:rPr>
          <w:rFonts w:ascii="Times New Roman" w:hAnsi="Times New Roman" w:cs="Times New Roman"/>
        </w:rPr>
        <w:t>es.</w:t>
      </w:r>
      <w:r w:rsidRPr="007B2905">
        <w:rPr>
          <w:rFonts w:ascii="Times New Roman" w:eastAsia="Times New Roman" w:hAnsi="Times New Roman" w:cs="Times New Roman"/>
          <w:kern w:val="0"/>
          <w:lang w:eastAsia="en-GB"/>
          <w14:ligatures w14:val="none"/>
        </w:rPr>
        <w:t xml:space="preserve"> </w:t>
      </w:r>
      <w:r w:rsidRPr="007B2905">
        <w:rPr>
          <w:rFonts w:ascii="Times New Roman" w:hAnsi="Times New Roman" w:cs="Times New Roman"/>
        </w:rPr>
        <w:t>In practice, individuals frequently present with complex and overlapping needs that cannot be effectively met by a single service. Multi-agency collaboration allows for a more comprehensive understanding of risk, need, and appropriate intervention, especially in safeguarding contexts where information sharing is critic</w:t>
      </w:r>
      <w:r w:rsidRPr="007B2905">
        <w:rPr>
          <w:rFonts w:ascii="Times New Roman" w:hAnsi="Times New Roman" w:cs="Times New Roman"/>
        </w:rPr>
        <w:t>al.</w:t>
      </w:r>
      <w:r w:rsidRPr="007B2905">
        <w:rPr>
          <w:rFonts w:ascii="Times New Roman" w:hAnsi="Times New Roman" w:cs="Times New Roman"/>
          <w:color w:val="2C3E50"/>
          <w:sz w:val="23"/>
          <w:szCs w:val="23"/>
          <w:shd w:val="clear" w:color="auto" w:fill="FFFFFF"/>
        </w:rPr>
        <w:t xml:space="preserve"> </w:t>
      </w:r>
      <w:r w:rsidRPr="007B2905">
        <w:rPr>
          <w:rFonts w:ascii="Times New Roman" w:hAnsi="Times New Roman" w:cs="Times New Roman"/>
        </w:rPr>
        <w:t>(Department for Education, 2025</w:t>
      </w:r>
      <w:r w:rsidRPr="007B2905">
        <w:rPr>
          <w:rFonts w:ascii="Times New Roman" w:hAnsi="Times New Roman" w:cs="Times New Roman"/>
        </w:rPr>
        <w:t xml:space="preserve">) </w:t>
      </w:r>
    </w:p>
    <w:p w14:paraId="2508E654" w14:textId="12F3D72E" w:rsidR="002764F6" w:rsidRPr="007B2905" w:rsidRDefault="00935926" w:rsidP="007B2905">
      <w:pPr>
        <w:spacing w:line="360" w:lineRule="auto"/>
        <w:rPr>
          <w:rFonts w:ascii="Times New Roman" w:hAnsi="Times New Roman" w:cs="Times New Roman"/>
        </w:rPr>
      </w:pPr>
      <w:r w:rsidRPr="007B2905">
        <w:rPr>
          <w:rFonts w:ascii="Times New Roman" w:hAnsi="Times New Roman" w:cs="Times New Roman"/>
        </w:rPr>
        <w:t>There are several models of multi-agency working, each with various levels of integration and collaboration. The Multi-Agency Safeguarding Hub (MASH) is a key model in which professionals from various agencies collaborate, often in the same physical location, to share information and make rapid choices on safeguarding concerns. This model promotes timely responses while reducing work duplication. Another significant model is Multi-Agency Public Protection Arrangements (MAPPA), which combines police, probation, and prison services to manage high-risk offenders in the communi</w:t>
      </w:r>
      <w:r w:rsidRPr="007B2905">
        <w:rPr>
          <w:rFonts w:ascii="Times New Roman" w:hAnsi="Times New Roman" w:cs="Times New Roman"/>
        </w:rPr>
        <w:t>ty</w:t>
      </w:r>
      <w:r w:rsidR="002764F6" w:rsidRPr="007B2905">
        <w:rPr>
          <w:rFonts w:ascii="Times New Roman" w:hAnsi="Times New Roman" w:cs="Times New Roman"/>
        </w:rPr>
        <w:t xml:space="preserve"> </w:t>
      </w:r>
      <w:r w:rsidR="002764F6" w:rsidRPr="007B2905">
        <w:rPr>
          <w:rFonts w:ascii="Times New Roman" w:hAnsi="Times New Roman" w:cs="Times New Roman"/>
        </w:rPr>
        <w:t>(Legislation.gov.uk, 2022</w:t>
      </w:r>
      <w:r w:rsidR="002764F6" w:rsidRPr="007B2905">
        <w:rPr>
          <w:rFonts w:ascii="Times New Roman" w:hAnsi="Times New Roman" w:cs="Times New Roman"/>
        </w:rPr>
        <w:t xml:space="preserve">). </w:t>
      </w:r>
      <w:r w:rsidR="002764F6" w:rsidRPr="007B2905">
        <w:rPr>
          <w:rFonts w:ascii="Times New Roman" w:hAnsi="Times New Roman" w:cs="Times New Roman"/>
        </w:rPr>
        <w:t>Similarly, the Multi-Agency Risk Assessment Conference (MARAC) focuses on high-risk domestic abuse cases, allowing agencies to share information and create coordinated victim safety plan</w:t>
      </w:r>
      <w:r w:rsidR="002764F6" w:rsidRPr="007B2905">
        <w:rPr>
          <w:rFonts w:ascii="Times New Roman" w:hAnsi="Times New Roman" w:cs="Times New Roman"/>
        </w:rPr>
        <w:t xml:space="preserve">s </w:t>
      </w:r>
      <w:r w:rsidR="002764F6" w:rsidRPr="007B2905">
        <w:rPr>
          <w:rFonts w:ascii="Times New Roman" w:hAnsi="Times New Roman" w:cs="Times New Roman"/>
        </w:rPr>
        <w:t>(Legislation.gov.uk, 2021</w:t>
      </w:r>
      <w:r w:rsidR="002764F6" w:rsidRPr="007B2905">
        <w:rPr>
          <w:rFonts w:ascii="Times New Roman" w:hAnsi="Times New Roman" w:cs="Times New Roman"/>
        </w:rPr>
        <w:t>).</w:t>
      </w:r>
      <w:r w:rsidR="002764F6" w:rsidRPr="007B2905">
        <w:rPr>
          <w:rFonts w:ascii="Times New Roman" w:eastAsia="Times New Roman" w:hAnsi="Times New Roman" w:cs="Times New Roman"/>
          <w:kern w:val="0"/>
          <w:lang w:eastAsia="en-GB"/>
          <w14:ligatures w14:val="none"/>
        </w:rPr>
        <w:t xml:space="preserve"> </w:t>
      </w:r>
      <w:r w:rsidR="002764F6" w:rsidRPr="007B2905">
        <w:rPr>
          <w:rFonts w:ascii="Times New Roman" w:hAnsi="Times New Roman" w:cs="Times New Roman"/>
        </w:rPr>
        <w:t>Other models include integrated teams, such as health and social care partnerships, and strategic partnership boards, which have a broader policy impact. These various models show that multi-agency collaboration can range from informal cooperation to fully integrated systems with shared responsibilitie</w:t>
      </w:r>
      <w:r w:rsidR="002764F6" w:rsidRPr="007B2905">
        <w:rPr>
          <w:rFonts w:ascii="Times New Roman" w:hAnsi="Times New Roman" w:cs="Times New Roman"/>
        </w:rPr>
        <w:t>s.</w:t>
      </w:r>
    </w:p>
    <w:p w14:paraId="79B7E4E0" w14:textId="515FCD73" w:rsidR="00984A49" w:rsidRPr="007B2905" w:rsidRDefault="00984A49" w:rsidP="007B2905">
      <w:pPr>
        <w:spacing w:line="360" w:lineRule="auto"/>
        <w:rPr>
          <w:rFonts w:ascii="Times New Roman" w:hAnsi="Times New Roman" w:cs="Times New Roman"/>
        </w:rPr>
      </w:pPr>
      <w:r w:rsidRPr="007B2905">
        <w:rPr>
          <w:rFonts w:ascii="Times New Roman" w:hAnsi="Times New Roman" w:cs="Times New Roman"/>
        </w:rPr>
        <w:t>Legislation and policy frameworks underpin multi-agency working in the United Kingdom, ensuring that collaboration is structured and transparent. The Care Act 2014 places a duty on local authorities and partner organisations to collaborate in safeguarding adults, particularly through Safeguarding Adults Board</w:t>
      </w:r>
      <w:r w:rsidRPr="007B2905">
        <w:rPr>
          <w:rFonts w:ascii="Times New Roman" w:hAnsi="Times New Roman" w:cs="Times New Roman"/>
        </w:rPr>
        <w:t xml:space="preserve">s </w:t>
      </w:r>
      <w:r w:rsidRPr="007B2905">
        <w:rPr>
          <w:rFonts w:ascii="Times New Roman" w:hAnsi="Times New Roman" w:cs="Times New Roman"/>
        </w:rPr>
        <w:t>(Legislation.gov.uk, 2015</w:t>
      </w:r>
      <w:r w:rsidRPr="007B2905">
        <w:rPr>
          <w:rFonts w:ascii="Times New Roman" w:hAnsi="Times New Roman" w:cs="Times New Roman"/>
        </w:rPr>
        <w:t>).</w:t>
      </w:r>
      <w:r w:rsidRPr="007B2905">
        <w:rPr>
          <w:rFonts w:ascii="Times New Roman" w:eastAsia="Times New Roman" w:hAnsi="Times New Roman" w:cs="Times New Roman"/>
          <w:kern w:val="0"/>
          <w:lang w:eastAsia="en-GB"/>
          <w14:ligatures w14:val="none"/>
        </w:rPr>
        <w:t xml:space="preserve"> </w:t>
      </w:r>
      <w:r w:rsidRPr="007B2905">
        <w:rPr>
          <w:rFonts w:ascii="Times New Roman" w:hAnsi="Times New Roman" w:cs="Times New Roman"/>
        </w:rPr>
        <w:t>Similarly, the Domestic Abuse Act 2021 emphasises the importance of coordinated responses to domestic abuse, requiring agencies to collaborate to protect victims and manage perpetrators</w:t>
      </w:r>
      <w:r w:rsidRPr="007B2905">
        <w:rPr>
          <w:rFonts w:ascii="Times New Roman" w:hAnsi="Times New Roman" w:cs="Times New Roman"/>
        </w:rPr>
        <w:t xml:space="preserve"> </w:t>
      </w:r>
      <w:r w:rsidRPr="007B2905">
        <w:rPr>
          <w:rFonts w:ascii="Times New Roman" w:hAnsi="Times New Roman" w:cs="Times New Roman"/>
        </w:rPr>
        <w:t>(Legislation.gov.uk, 2021)</w:t>
      </w:r>
      <w:r w:rsidRPr="007B2905">
        <w:rPr>
          <w:rFonts w:ascii="Times New Roman" w:hAnsi="Times New Roman" w:cs="Times New Roman"/>
        </w:rPr>
        <w:t xml:space="preserve">. </w:t>
      </w:r>
      <w:r w:rsidRPr="007B2905">
        <w:rPr>
          <w:rFonts w:ascii="Times New Roman" w:hAnsi="Times New Roman" w:cs="Times New Roman"/>
        </w:rPr>
        <w:t>Policies such as Working Together to Safeguard Children further emphasise information sharing, joint assessments, and early intervention strategies</w:t>
      </w:r>
      <w:r w:rsidRPr="007B2905">
        <w:rPr>
          <w:rFonts w:ascii="Times New Roman" w:hAnsi="Times New Roman" w:cs="Times New Roman"/>
        </w:rPr>
        <w:t xml:space="preserve"> </w:t>
      </w:r>
      <w:r w:rsidRPr="007B2905">
        <w:rPr>
          <w:rFonts w:ascii="Times New Roman" w:hAnsi="Times New Roman" w:cs="Times New Roman"/>
        </w:rPr>
        <w:t>(Department for Education, 2025)</w:t>
      </w:r>
      <w:r w:rsidRPr="007B2905">
        <w:rPr>
          <w:rFonts w:ascii="Times New Roman" w:hAnsi="Times New Roman" w:cs="Times New Roman"/>
        </w:rPr>
        <w:t>.</w:t>
      </w:r>
      <w:r w:rsidRPr="007B2905">
        <w:rPr>
          <w:rFonts w:ascii="Times New Roman" w:eastAsia="Times New Roman" w:hAnsi="Times New Roman" w:cs="Times New Roman"/>
          <w:kern w:val="0"/>
          <w:lang w:eastAsia="en-GB"/>
          <w14:ligatures w14:val="none"/>
        </w:rPr>
        <w:t xml:space="preserve"> </w:t>
      </w:r>
      <w:r w:rsidRPr="007B2905">
        <w:rPr>
          <w:rFonts w:ascii="Times New Roman" w:hAnsi="Times New Roman" w:cs="Times New Roman"/>
        </w:rPr>
        <w:t>These frameworks show that multi-agency collaboration is more than just a recommended practice; it is a legal requirement designed to improve outcomes and reduce risk</w:t>
      </w:r>
      <w:r w:rsidRPr="007B2905">
        <w:rPr>
          <w:rFonts w:ascii="Times New Roman" w:hAnsi="Times New Roman" w:cs="Times New Roman"/>
        </w:rPr>
        <w:t>s.</w:t>
      </w:r>
    </w:p>
    <w:p w14:paraId="43BE7A46" w14:textId="1FF174E8" w:rsidR="00DE1EFE" w:rsidRPr="007B2905" w:rsidRDefault="00DE1EFE" w:rsidP="007B2905">
      <w:pPr>
        <w:spacing w:line="360" w:lineRule="auto"/>
        <w:rPr>
          <w:rFonts w:ascii="Times New Roman" w:hAnsi="Times New Roman" w:cs="Times New Roman"/>
        </w:rPr>
      </w:pPr>
      <w:r w:rsidRPr="007B2905">
        <w:rPr>
          <w:rFonts w:ascii="Times New Roman" w:hAnsi="Times New Roman" w:cs="Times New Roman"/>
        </w:rPr>
        <w:t xml:space="preserve">The importance of multi-agency working is supported by several theoretical perspectives. Systems theory is particularly relevant, as it views individuals as part of interconnected </w:t>
      </w:r>
      <w:r w:rsidRPr="007B2905">
        <w:rPr>
          <w:rFonts w:ascii="Times New Roman" w:hAnsi="Times New Roman" w:cs="Times New Roman"/>
        </w:rPr>
        <w:lastRenderedPageBreak/>
        <w:t>systems, including family, community, and wider social structures</w:t>
      </w:r>
      <w:r w:rsidRPr="007B2905">
        <w:rPr>
          <w:rFonts w:ascii="Times New Roman" w:hAnsi="Times New Roman" w:cs="Times New Roman"/>
        </w:rPr>
        <w:t>.</w:t>
      </w:r>
      <w:r w:rsidRPr="007B2905">
        <w:rPr>
          <w:rFonts w:ascii="Times New Roman" w:eastAsia="Times New Roman" w:hAnsi="Times New Roman" w:cs="Times New Roman"/>
          <w:kern w:val="0"/>
          <w:lang w:eastAsia="en-GB"/>
          <w14:ligatures w14:val="none"/>
        </w:rPr>
        <w:t xml:space="preserve"> </w:t>
      </w:r>
      <w:r w:rsidRPr="007B2905">
        <w:rPr>
          <w:rFonts w:ascii="Times New Roman" w:hAnsi="Times New Roman" w:cs="Times New Roman"/>
        </w:rPr>
        <w:t>This implies that coordination between various services is necessary for an effective intervention. Similarly, Urie Bronfenbrenner's ecological theory emphasises how various environmental layers affect a person's development, highlighting the necessity for agencies to collaborate</w:t>
      </w:r>
      <w:r w:rsidRPr="007B2905">
        <w:rPr>
          <w:rFonts w:ascii="Times New Roman" w:hAnsi="Times New Roman" w:cs="Times New Roman"/>
        </w:rPr>
        <w:t xml:space="preserve"> </w:t>
      </w:r>
      <w:r w:rsidRPr="007B2905">
        <w:rPr>
          <w:rFonts w:ascii="Times New Roman" w:hAnsi="Times New Roman" w:cs="Times New Roman"/>
        </w:rPr>
        <w:t>(Bronfenbrenner, 1977</w:t>
      </w:r>
      <w:r w:rsidRPr="007B2905">
        <w:rPr>
          <w:rFonts w:ascii="Times New Roman" w:hAnsi="Times New Roman" w:cs="Times New Roman"/>
        </w:rPr>
        <w:t xml:space="preserve">). </w:t>
      </w:r>
      <w:r w:rsidRPr="007B2905">
        <w:rPr>
          <w:rFonts w:ascii="Times New Roman" w:hAnsi="Times New Roman" w:cs="Times New Roman"/>
        </w:rPr>
        <w:t>Without these components, collaboration may be ineffective or fragmented. Furthermore, social constructivist theory proposes that knowledge emerges through interaction, implying that professionals can gain a more accurate understanding of complex situations by sharing perspectives. Network governance theory also explains how decision-making and responsibility are distributed across organisations, reflecting the collaborative nature of multi-agency practi</w:t>
      </w:r>
      <w:r w:rsidRPr="007B2905">
        <w:rPr>
          <w:rFonts w:ascii="Times New Roman" w:hAnsi="Times New Roman" w:cs="Times New Roman"/>
        </w:rPr>
        <w:t>ce.</w:t>
      </w:r>
    </w:p>
    <w:p w14:paraId="0079CE52" w14:textId="6712094A" w:rsidR="00935926" w:rsidRPr="007B2905" w:rsidRDefault="00935926" w:rsidP="007B2905">
      <w:pPr>
        <w:spacing w:line="360" w:lineRule="auto"/>
        <w:rPr>
          <w:rFonts w:ascii="Times New Roman" w:hAnsi="Times New Roman" w:cs="Times New Roman"/>
        </w:rPr>
      </w:pPr>
    </w:p>
    <w:p w14:paraId="637E74D1" w14:textId="77777777" w:rsidR="006924D8" w:rsidRPr="007B2905" w:rsidRDefault="006924D8" w:rsidP="007B2905">
      <w:pPr>
        <w:spacing w:line="360" w:lineRule="auto"/>
        <w:rPr>
          <w:rFonts w:ascii="Times New Roman" w:hAnsi="Times New Roman" w:cs="Times New Roman"/>
        </w:rPr>
      </w:pPr>
      <w:r w:rsidRPr="007B2905">
        <w:rPr>
          <w:rFonts w:ascii="Times New Roman" w:hAnsi="Times New Roman" w:cs="Times New Roman"/>
        </w:rPr>
        <w:t>The multi-agency approach has numerous advantages, especially when dealing with complex and interrelated needs. One of the most significant benefits is the ability to provide holistic support. Individuals and families frequently face multiple challenges at once, such as health issues, social disadvantage, and safety concerns. A multi-agency approach allows for a more comprehensive understanding of these needs and ensures that interventions are coordinated rather than fragmented. As stated in Working Together to Safeguard Children 2023, effective collaboration enables agencies to share relevant information and respond more appropriately to risks, ultimately improving outcomes for children and familie</w:t>
      </w:r>
      <w:r w:rsidRPr="007B2905">
        <w:rPr>
          <w:rFonts w:ascii="Times New Roman" w:hAnsi="Times New Roman" w:cs="Times New Roman"/>
        </w:rPr>
        <w:t xml:space="preserve">s </w:t>
      </w:r>
      <w:r w:rsidRPr="007B2905">
        <w:rPr>
          <w:rFonts w:ascii="Times New Roman" w:hAnsi="Times New Roman" w:cs="Times New Roman"/>
        </w:rPr>
        <w:t>(Working Together to Safeguard Children Statutory framework: legislation relevant to safeguarding and promoting the welfare of children, 2026</w:t>
      </w:r>
      <w:r w:rsidRPr="007B2905">
        <w:rPr>
          <w:rFonts w:ascii="Times New Roman" w:hAnsi="Times New Roman" w:cs="Times New Roman"/>
        </w:rPr>
        <w:t xml:space="preserve">). </w:t>
      </w:r>
    </w:p>
    <w:p w14:paraId="07AFF74E" w14:textId="7AF6A755" w:rsidR="006924D8" w:rsidRPr="007B2905" w:rsidRDefault="006924D8" w:rsidP="007B2905">
      <w:pPr>
        <w:spacing w:line="360" w:lineRule="auto"/>
        <w:rPr>
          <w:rFonts w:ascii="Times New Roman" w:hAnsi="Times New Roman" w:cs="Times New Roman"/>
        </w:rPr>
      </w:pPr>
      <w:r w:rsidRPr="007B2905">
        <w:rPr>
          <w:rFonts w:ascii="Times New Roman" w:hAnsi="Times New Roman" w:cs="Times New Roman"/>
        </w:rPr>
        <w:t>Another key benefit is improved safeguarding and risk management</w:t>
      </w:r>
      <w:r w:rsidRPr="007B2905">
        <w:rPr>
          <w:rFonts w:ascii="Times New Roman" w:hAnsi="Times New Roman" w:cs="Times New Roman"/>
        </w:rPr>
        <w:t xml:space="preserve">. </w:t>
      </w:r>
      <w:r w:rsidRPr="007B2905">
        <w:rPr>
          <w:rFonts w:ascii="Times New Roman" w:hAnsi="Times New Roman" w:cs="Times New Roman"/>
        </w:rPr>
        <w:t>When agencies work in isolation, important information may be overlooked, resulting in gaps in protection. Multi-agency work reduces this risk by promoting information sharing and collaborative decision-making. Frameworks such as the Multi-Agency Safeguarding Hub (MASH) and Multi-Agency Risk Assessment Conference (MARAC) show how collaborative processes can detect risks earlier and implement timely intervention</w:t>
      </w:r>
      <w:r w:rsidRPr="007B2905">
        <w:rPr>
          <w:rFonts w:ascii="Times New Roman" w:hAnsi="Times New Roman" w:cs="Times New Roman"/>
        </w:rPr>
        <w:t>s.</w:t>
      </w:r>
      <w:r w:rsidRPr="007B2905">
        <w:rPr>
          <w:rFonts w:ascii="Times New Roman" w:eastAsia="Times New Roman" w:hAnsi="Times New Roman" w:cs="Times New Roman"/>
          <w:kern w:val="0"/>
          <w:lang w:eastAsia="en-GB"/>
          <w14:ligatures w14:val="none"/>
        </w:rPr>
        <w:t xml:space="preserve"> </w:t>
      </w:r>
      <w:r w:rsidRPr="007B2905">
        <w:rPr>
          <w:rFonts w:ascii="Times New Roman" w:hAnsi="Times New Roman" w:cs="Times New Roman"/>
        </w:rPr>
        <w:t>This coordinated approach is especially important in cases of domestic abuse or child protection, where early intervention can prevent harm from worsening. The Care Act of 2014 also emphasises the importance of cooperation among agencies to safeguard vulnerable adults, reinforcing the role of partnership working in reducing ris</w:t>
      </w:r>
      <w:r w:rsidRPr="007B2905">
        <w:rPr>
          <w:rFonts w:ascii="Times New Roman" w:hAnsi="Times New Roman" w:cs="Times New Roman"/>
        </w:rPr>
        <w:t xml:space="preserve">k </w:t>
      </w:r>
      <w:r w:rsidRPr="007B2905">
        <w:rPr>
          <w:rFonts w:ascii="Times New Roman" w:hAnsi="Times New Roman" w:cs="Times New Roman"/>
        </w:rPr>
        <w:t>(Legislation.gov.uk, 2015)</w:t>
      </w:r>
      <w:r w:rsidRPr="007B2905">
        <w:rPr>
          <w:rFonts w:ascii="Times New Roman" w:hAnsi="Times New Roman" w:cs="Times New Roman"/>
        </w:rPr>
        <w:t>.</w:t>
      </w:r>
    </w:p>
    <w:p w14:paraId="07593BD4" w14:textId="1E8603DC" w:rsidR="00E1091F" w:rsidRPr="007B2905" w:rsidRDefault="00E1091F" w:rsidP="007B2905">
      <w:pPr>
        <w:spacing w:line="360" w:lineRule="auto"/>
        <w:rPr>
          <w:rFonts w:ascii="Times New Roman" w:hAnsi="Times New Roman" w:cs="Times New Roman"/>
        </w:rPr>
      </w:pPr>
      <w:r w:rsidRPr="007B2905">
        <w:rPr>
          <w:rFonts w:ascii="Times New Roman" w:hAnsi="Times New Roman" w:cs="Times New Roman"/>
        </w:rPr>
        <w:lastRenderedPageBreak/>
        <w:t xml:space="preserve">Efficiency and resource sharing are two significant benefits of a multi-agency approach. Collaboration enables organisations to pool their expertise, skills, and resources, reducing duplication of work and ensuring that services are delivered more effectively. Professionals who work in integrated teams, can coordinate assessments and interventions to avoid unnecessary referrals and delays. This not only improves the user </w:t>
      </w:r>
      <w:r w:rsidRPr="007B2905">
        <w:rPr>
          <w:rFonts w:ascii="Times New Roman" w:hAnsi="Times New Roman" w:cs="Times New Roman"/>
        </w:rPr>
        <w:t>experience but</w:t>
      </w:r>
      <w:r w:rsidRPr="007B2905">
        <w:rPr>
          <w:rFonts w:ascii="Times New Roman" w:hAnsi="Times New Roman" w:cs="Times New Roman"/>
        </w:rPr>
        <w:t xml:space="preserve"> also makes better use of limited public resources. The National Institute for Health and Care Excellence (NICE), integrated working can result in more efficient service delivery and better outcomes, especially in health and social care settin</w:t>
      </w:r>
      <w:r w:rsidRPr="007B2905">
        <w:rPr>
          <w:rFonts w:ascii="Times New Roman" w:hAnsi="Times New Roman" w:cs="Times New Roman"/>
        </w:rPr>
        <w:t>gs</w:t>
      </w:r>
      <w:r w:rsidRPr="007B2905">
        <w:rPr>
          <w:rFonts w:ascii="Times New Roman" w:hAnsi="Times New Roman" w:cs="Times New Roman"/>
          <w:color w:val="2C3E50"/>
          <w:sz w:val="23"/>
          <w:szCs w:val="23"/>
          <w:shd w:val="clear" w:color="auto" w:fill="FFFFFF"/>
        </w:rPr>
        <w:t xml:space="preserve"> </w:t>
      </w:r>
      <w:r w:rsidRPr="007B2905">
        <w:rPr>
          <w:rFonts w:ascii="Times New Roman" w:hAnsi="Times New Roman" w:cs="Times New Roman"/>
        </w:rPr>
        <w:t>(Nice.org.uk, 2016)</w:t>
      </w:r>
      <w:r w:rsidRPr="007B2905">
        <w:rPr>
          <w:rFonts w:ascii="Times New Roman" w:hAnsi="Times New Roman" w:cs="Times New Roman"/>
        </w:rPr>
        <w:t xml:space="preserve">. </w:t>
      </w:r>
      <w:r w:rsidRPr="007B2905">
        <w:rPr>
          <w:rFonts w:ascii="Times New Roman" w:hAnsi="Times New Roman" w:cs="Times New Roman"/>
        </w:rPr>
        <w:t>In this way, multi-agency collaboration contributes to both improved quality of care and cost-effectivene</w:t>
      </w:r>
      <w:r w:rsidRPr="007B2905">
        <w:rPr>
          <w:rFonts w:ascii="Times New Roman" w:hAnsi="Times New Roman" w:cs="Times New Roman"/>
        </w:rPr>
        <w:t>ss.</w:t>
      </w:r>
    </w:p>
    <w:p w14:paraId="125BF7A6" w14:textId="673B9153" w:rsidR="006924D8" w:rsidRPr="007B2905" w:rsidRDefault="00E1091F" w:rsidP="007B2905">
      <w:pPr>
        <w:spacing w:line="360" w:lineRule="auto"/>
        <w:rPr>
          <w:rFonts w:ascii="Times New Roman" w:hAnsi="Times New Roman" w:cs="Times New Roman"/>
        </w:rPr>
      </w:pPr>
      <w:r w:rsidRPr="007B2905">
        <w:rPr>
          <w:rFonts w:ascii="Times New Roman" w:hAnsi="Times New Roman" w:cs="Times New Roman"/>
        </w:rPr>
        <w:t xml:space="preserve">A further benefit is the enhancement of professional knowledge and practice. Working alongside professionals from different disciplines enables individuals to learn from each other, develop new skills, and gain broader perspectives. This can lead to more informed decision-making and innovative approaches to problem-solving. Interprofessional collaboration encourages reflective practice and challenges assumptions, which can improve the overall quality of service provision. Additionally, shared training and communication between agencies can strengthen relationships and build trust, which are essential for effective partnership working. </w:t>
      </w:r>
    </w:p>
    <w:p w14:paraId="6395D942" w14:textId="5EF38EF6" w:rsidR="00E1091F" w:rsidRPr="007B2905" w:rsidRDefault="00E1091F" w:rsidP="007B2905">
      <w:pPr>
        <w:spacing w:line="360" w:lineRule="auto"/>
        <w:rPr>
          <w:rFonts w:ascii="Times New Roman" w:hAnsi="Times New Roman" w:cs="Times New Roman"/>
        </w:rPr>
      </w:pPr>
      <w:r w:rsidRPr="007B2905">
        <w:rPr>
          <w:rFonts w:ascii="Times New Roman" w:hAnsi="Times New Roman" w:cs="Times New Roman"/>
        </w:rPr>
        <w:t>Collaboration among multiple agencies promotes consistency and continuity of care. When services are coordinated, individuals are less likely to encounter gaps or duplication of support. Instead of navigating multiple systems separately, service users benefit from a more seamless experience in which agencies collaborate to deliver a unified plan of care. This is especially important for vulnerable people, who may struggle to access multiple services. The Domestic Abuse Act 2021 emphasises the importance of coordinated responses to ensure victims receive consistent and effective support across various service</w:t>
      </w:r>
      <w:r w:rsidRPr="007B2905">
        <w:rPr>
          <w:rFonts w:ascii="Times New Roman" w:hAnsi="Times New Roman" w:cs="Times New Roman"/>
        </w:rPr>
        <w:t xml:space="preserve">s </w:t>
      </w:r>
      <w:r w:rsidRPr="007B2905">
        <w:rPr>
          <w:rFonts w:ascii="Times New Roman" w:hAnsi="Times New Roman" w:cs="Times New Roman"/>
        </w:rPr>
        <w:t>(Legislation.gov.uk, 2021).</w:t>
      </w:r>
      <w:r w:rsidRPr="007B2905">
        <w:rPr>
          <w:rFonts w:ascii="Times New Roman" w:hAnsi="Times New Roman" w:cs="Times New Roman"/>
        </w:rPr>
        <w:t xml:space="preserve"> </w:t>
      </w:r>
      <w:r w:rsidRPr="007B2905">
        <w:rPr>
          <w:rFonts w:ascii="Times New Roman" w:hAnsi="Times New Roman" w:cs="Times New Roman"/>
        </w:rPr>
        <w:t>By aligning interventions and maintaining clear communication, multi-agency working helps to ensure that support is sustained over time</w:t>
      </w:r>
      <w:r w:rsidRPr="007B2905">
        <w:rPr>
          <w:rFonts w:ascii="Times New Roman" w:hAnsi="Times New Roman" w:cs="Times New Roman"/>
        </w:rPr>
        <w:t>.</w:t>
      </w:r>
    </w:p>
    <w:p w14:paraId="32E71B68" w14:textId="77777777" w:rsidR="00E1760D" w:rsidRPr="007B2905" w:rsidRDefault="00E1760D" w:rsidP="007B2905">
      <w:pPr>
        <w:spacing w:line="360" w:lineRule="auto"/>
        <w:rPr>
          <w:rFonts w:ascii="Times New Roman" w:hAnsi="Times New Roman" w:cs="Times New Roman"/>
        </w:rPr>
      </w:pPr>
    </w:p>
    <w:p w14:paraId="1D48C775" w14:textId="0ADF4858" w:rsidR="00BC56D3" w:rsidRPr="007B2905" w:rsidRDefault="00BC56D3" w:rsidP="007B2905">
      <w:pPr>
        <w:spacing w:line="360" w:lineRule="auto"/>
        <w:rPr>
          <w:rFonts w:ascii="Times New Roman" w:hAnsi="Times New Roman" w:cs="Times New Roman"/>
        </w:rPr>
      </w:pPr>
      <w:r w:rsidRPr="007B2905">
        <w:rPr>
          <w:rFonts w:ascii="Times New Roman" w:hAnsi="Times New Roman" w:cs="Times New Roman"/>
        </w:rPr>
        <w:t>Despite the clear advantages of a multi-agency approach, there are several challenges that can limit its effectiveness in practice. One of the most significant barriers is communication and information sharing between organisations.</w:t>
      </w:r>
      <w:r w:rsidRPr="007B2905">
        <w:rPr>
          <w:rFonts w:ascii="Times New Roman" w:eastAsia="Times New Roman" w:hAnsi="Times New Roman" w:cs="Times New Roman"/>
          <w:kern w:val="0"/>
          <w:lang w:eastAsia="en-GB"/>
          <w14:ligatures w14:val="none"/>
        </w:rPr>
        <w:t xml:space="preserve"> </w:t>
      </w:r>
      <w:r w:rsidRPr="007B2905">
        <w:rPr>
          <w:rFonts w:ascii="Times New Roman" w:hAnsi="Times New Roman" w:cs="Times New Roman"/>
        </w:rPr>
        <w:t xml:space="preserve">Different agencies frequently use different systems, procedures, and professional language, resulting in misunderstandings or delays in sharing critical information. Poor communication in safeguarding situations can have serious </w:t>
      </w:r>
      <w:r w:rsidRPr="007B2905">
        <w:rPr>
          <w:rFonts w:ascii="Times New Roman" w:hAnsi="Times New Roman" w:cs="Times New Roman"/>
        </w:rPr>
        <w:lastRenderedPageBreak/>
        <w:t>consequences, as critical information may not be passed on in a timely manner. Although Working Together to Safeguard Children 2023 emphasises the importance of effective information sharing, concerns about confidentiality, data protection, and professional boundaries can still impede collaboration</w:t>
      </w:r>
      <w:r w:rsidRPr="007B2905">
        <w:rPr>
          <w:rFonts w:ascii="Times New Roman" w:hAnsi="Times New Roman" w:cs="Times New Roman"/>
        </w:rPr>
        <w:t xml:space="preserve"> </w:t>
      </w:r>
      <w:r w:rsidRPr="007B2905">
        <w:rPr>
          <w:rFonts w:ascii="Times New Roman" w:hAnsi="Times New Roman" w:cs="Times New Roman"/>
        </w:rPr>
        <w:t>(Department for Education, 2025)</w:t>
      </w:r>
      <w:r w:rsidRPr="007B2905">
        <w:rPr>
          <w:rFonts w:ascii="Times New Roman" w:hAnsi="Times New Roman" w:cs="Times New Roman"/>
        </w:rPr>
        <w:t xml:space="preserve">. </w:t>
      </w:r>
      <w:r w:rsidRPr="007B2905">
        <w:rPr>
          <w:rFonts w:ascii="Times New Roman" w:hAnsi="Times New Roman" w:cs="Times New Roman"/>
        </w:rPr>
        <w:t>As a result, practitioners may be uncertain about what information can legally be shared, leading to either over-cautiousness or inappropriate disclosur</w:t>
      </w:r>
      <w:r w:rsidRPr="007B2905">
        <w:rPr>
          <w:rFonts w:ascii="Times New Roman" w:hAnsi="Times New Roman" w:cs="Times New Roman"/>
        </w:rPr>
        <w:t>e.</w:t>
      </w:r>
    </w:p>
    <w:p w14:paraId="17C7C68B" w14:textId="4E705C54" w:rsidR="00BC56D3" w:rsidRPr="007B2905" w:rsidRDefault="00BC56D3" w:rsidP="007B2905">
      <w:pPr>
        <w:spacing w:line="360" w:lineRule="auto"/>
        <w:rPr>
          <w:rFonts w:ascii="Times New Roman" w:hAnsi="Times New Roman" w:cs="Times New Roman"/>
        </w:rPr>
      </w:pPr>
      <w:r w:rsidRPr="007B2905">
        <w:rPr>
          <w:rFonts w:ascii="Times New Roman" w:hAnsi="Times New Roman" w:cs="Times New Roman"/>
        </w:rPr>
        <w:t>Another major challenge is differences in organisational culture and professional priorities. Each agency operates within its own framework of values, goals, and expectations, which may not always align with those of other organisations. For example, health services may prioritise patient care and confidentiality, while police services focus on public protection and legal enforcement. These differing priorities can lead to conflict or tension within multi-agency teams, making it difficult to reach shared decisions. Research from the Department of Health and Social Care highlights that organisational differences and lack of shared understanding can act as barriers to effective partnership workin</w:t>
      </w:r>
      <w:r w:rsidRPr="007B2905">
        <w:rPr>
          <w:rFonts w:ascii="Times New Roman" w:hAnsi="Times New Roman" w:cs="Times New Roman"/>
        </w:rPr>
        <w:t>g</w:t>
      </w:r>
      <w:r w:rsidR="00E1760D" w:rsidRPr="007B2905">
        <w:rPr>
          <w:rFonts w:ascii="Times New Roman" w:hAnsi="Times New Roman" w:cs="Times New Roman"/>
        </w:rPr>
        <w:t xml:space="preserve"> (</w:t>
      </w:r>
      <w:r w:rsidR="00E1760D" w:rsidRPr="007B2905">
        <w:rPr>
          <w:rFonts w:ascii="Times New Roman" w:hAnsi="Times New Roman" w:cs="Times New Roman"/>
        </w:rPr>
        <w:t>Health, 2025)</w:t>
      </w:r>
      <w:r w:rsidR="00E1760D" w:rsidRPr="007B2905">
        <w:rPr>
          <w:rFonts w:ascii="Times New Roman" w:hAnsi="Times New Roman" w:cs="Times New Roman"/>
        </w:rPr>
        <w:t xml:space="preserve">. </w:t>
      </w:r>
      <w:r w:rsidR="00E1760D" w:rsidRPr="007B2905">
        <w:rPr>
          <w:rFonts w:ascii="Times New Roman" w:hAnsi="Times New Roman" w:cs="Times New Roman"/>
        </w:rPr>
        <w:t>Without clear leadership and mutual respect, collaboration may become fragmented, reducing the overall effectiveness of the approach</w:t>
      </w:r>
      <w:r w:rsidR="00E1760D" w:rsidRPr="007B2905">
        <w:rPr>
          <w:rFonts w:ascii="Times New Roman" w:hAnsi="Times New Roman" w:cs="Times New Roman"/>
        </w:rPr>
        <w:t>.</w:t>
      </w:r>
    </w:p>
    <w:p w14:paraId="5C819190" w14:textId="07094D18" w:rsidR="00E1760D" w:rsidRPr="007B2905" w:rsidRDefault="00E1760D" w:rsidP="007B2905">
      <w:pPr>
        <w:spacing w:line="360" w:lineRule="auto"/>
        <w:rPr>
          <w:rFonts w:ascii="Times New Roman" w:hAnsi="Times New Roman" w:cs="Times New Roman"/>
        </w:rPr>
      </w:pPr>
      <w:r w:rsidRPr="007B2905">
        <w:rPr>
          <w:rFonts w:ascii="Times New Roman" w:hAnsi="Times New Roman" w:cs="Times New Roman"/>
        </w:rPr>
        <w:t>Resource constraints pose a significant challenge to multi-agency collaboration. Many public services face financial constraints, staff shortages, and increased demand, which can limit their ability to fully engage in collaborative work. Attending multi-agency meetings, sharing information, and coordinating interventions all require time and resources, which are not always available</w:t>
      </w:r>
      <w:r w:rsidRPr="007B2905">
        <w:rPr>
          <w:rFonts w:ascii="Times New Roman" w:hAnsi="Times New Roman" w:cs="Times New Roman"/>
        </w:rPr>
        <w:t xml:space="preserve">. </w:t>
      </w:r>
      <w:r w:rsidRPr="007B2905">
        <w:rPr>
          <w:rFonts w:ascii="Times New Roman" w:hAnsi="Times New Roman" w:cs="Times New Roman"/>
        </w:rPr>
        <w:t>This can result in inconsistent participation from agencies, reducing the overall effectiveness of the partnership. The National Institute for Health and Care Excellence notes that while integrated working can improve outcomes, it also requires adequate investment in infrastructure, training, and staffing to be successful</w:t>
      </w:r>
      <w:r w:rsidRPr="007B2905">
        <w:rPr>
          <w:rFonts w:ascii="Times New Roman" w:hAnsi="Times New Roman" w:cs="Times New Roman"/>
        </w:rPr>
        <w:t xml:space="preserve"> </w:t>
      </w:r>
      <w:r w:rsidRPr="007B2905">
        <w:rPr>
          <w:rFonts w:ascii="Times New Roman" w:hAnsi="Times New Roman" w:cs="Times New Roman"/>
        </w:rPr>
        <w:t>(Nice.org.uk, 2016)</w:t>
      </w:r>
      <w:r w:rsidRPr="007B2905">
        <w:rPr>
          <w:rFonts w:ascii="Times New Roman" w:hAnsi="Times New Roman" w:cs="Times New Roman"/>
        </w:rPr>
        <w:t xml:space="preserve">. </w:t>
      </w:r>
      <w:r w:rsidRPr="007B2905">
        <w:rPr>
          <w:rFonts w:ascii="Times New Roman" w:hAnsi="Times New Roman" w:cs="Times New Roman"/>
        </w:rPr>
        <w:t>Without adequate resources, multi-agency initiatives may struggle to achieve their intended outcomes</w:t>
      </w:r>
      <w:r w:rsidRPr="007B2905">
        <w:rPr>
          <w:rFonts w:ascii="Times New Roman" w:hAnsi="Times New Roman" w:cs="Times New Roman"/>
        </w:rPr>
        <w:t>.</w:t>
      </w:r>
    </w:p>
    <w:p w14:paraId="4320E0D0" w14:textId="15CE1371" w:rsidR="00AC03C6" w:rsidRPr="007B2905" w:rsidRDefault="00AC03C6" w:rsidP="007B2905">
      <w:pPr>
        <w:spacing w:line="360" w:lineRule="auto"/>
        <w:rPr>
          <w:rFonts w:ascii="Times New Roman" w:hAnsi="Times New Roman" w:cs="Times New Roman"/>
        </w:rPr>
      </w:pPr>
      <w:r w:rsidRPr="007B2905">
        <w:rPr>
          <w:rFonts w:ascii="Times New Roman" w:hAnsi="Times New Roman" w:cs="Times New Roman"/>
        </w:rPr>
        <w:t>Another issue is the possibility of unclear roles and responsibilities among multi-agency teams. When multiple professionals are involved in a case, it can be difficult to determine who is responsible for specific tasks or decisions. This lack of clarity can lead to duplication of effort or, worse, gaps in service delivery. In safeguarding situations, this can result in delays in intervention or failure to take appropriate action. The Care Act of 2014 attempts to address this by defining clear duties for cooperation and accountabilit</w:t>
      </w:r>
      <w:r w:rsidRPr="007B2905">
        <w:rPr>
          <w:rFonts w:ascii="Times New Roman" w:hAnsi="Times New Roman" w:cs="Times New Roman"/>
        </w:rPr>
        <w:t>y (</w:t>
      </w:r>
      <w:r w:rsidRPr="007B2905">
        <w:rPr>
          <w:rFonts w:ascii="Times New Roman" w:hAnsi="Times New Roman" w:cs="Times New Roman"/>
        </w:rPr>
        <w:t xml:space="preserve">Legislation.gov.uk. </w:t>
      </w:r>
      <w:r w:rsidRPr="007B2905">
        <w:rPr>
          <w:rFonts w:ascii="Times New Roman" w:hAnsi="Times New Roman" w:cs="Times New Roman"/>
        </w:rPr>
        <w:lastRenderedPageBreak/>
        <w:t>2015)</w:t>
      </w:r>
      <w:r w:rsidRPr="007B2905">
        <w:rPr>
          <w:rFonts w:ascii="Times New Roman" w:hAnsi="Times New Roman" w:cs="Times New Roman"/>
        </w:rPr>
        <w:t xml:space="preserve">, </w:t>
      </w:r>
      <w:r w:rsidRPr="007B2905">
        <w:rPr>
          <w:rFonts w:ascii="Times New Roman" w:hAnsi="Times New Roman" w:cs="Times New Roman"/>
        </w:rPr>
        <w:t>but in practice, role ambiguity can still occur, particularly in complex cases involving multiple agencies</w:t>
      </w:r>
      <w:r w:rsidRPr="007B2905">
        <w:rPr>
          <w:rFonts w:ascii="Times New Roman" w:hAnsi="Times New Roman" w:cs="Times New Roman"/>
        </w:rPr>
        <w:t>.</w:t>
      </w:r>
    </w:p>
    <w:p w14:paraId="25AEDD63" w14:textId="71A86B7F" w:rsidR="00BC56D3" w:rsidRPr="007B2905" w:rsidRDefault="00AC03C6" w:rsidP="007B2905">
      <w:pPr>
        <w:spacing w:line="360" w:lineRule="auto"/>
        <w:rPr>
          <w:rFonts w:ascii="Times New Roman" w:hAnsi="Times New Roman" w:cs="Times New Roman"/>
        </w:rPr>
      </w:pPr>
      <w:r w:rsidRPr="007B2905">
        <w:rPr>
          <w:rFonts w:ascii="Times New Roman" w:hAnsi="Times New Roman" w:cs="Times New Roman"/>
        </w:rPr>
        <w:t>Finally, power imbalances and hierarchical structures can pose additional challenges in multi-agency collaboration. Some organisations or professionals may have more power or influence, which can influence decision-making processes. For example, statutory agencies such as social services or the police may dominate discussions, whereas voluntary organisations may believe their contributions are undervalued. This can limit the diversity of viewpoints and reduce the efficacy of collaborative problem solving. The Domestic Abuse Act 2021 emphasises the need for coordinated and inclusive approaches to service delivery, but equal participation across agencies remains a practical challenge</w:t>
      </w:r>
      <w:r w:rsidRPr="007B2905">
        <w:rPr>
          <w:rFonts w:ascii="Times New Roman" w:hAnsi="Times New Roman" w:cs="Times New Roman"/>
        </w:rPr>
        <w:t xml:space="preserve"> (</w:t>
      </w:r>
      <w:r w:rsidRPr="007B2905">
        <w:rPr>
          <w:rFonts w:ascii="Times New Roman" w:hAnsi="Times New Roman" w:cs="Times New Roman"/>
        </w:rPr>
        <w:t>Legislation.gov.uk. 2021). Addressing these power dynamics requires strong leadership, clear communication, and a commitment to partnership principle</w:t>
      </w:r>
      <w:r w:rsidRPr="007B2905">
        <w:rPr>
          <w:rFonts w:ascii="Times New Roman" w:hAnsi="Times New Roman" w:cs="Times New Roman"/>
        </w:rPr>
        <w:t>s</w:t>
      </w:r>
      <w:r w:rsidRPr="007B2905">
        <w:rPr>
          <w:rFonts w:ascii="Times New Roman" w:hAnsi="Times New Roman" w:cs="Times New Roman"/>
        </w:rPr>
        <w:t>.</w:t>
      </w:r>
    </w:p>
    <w:p w14:paraId="43A59FDE" w14:textId="77777777" w:rsidR="007B2905" w:rsidRPr="007B2905" w:rsidRDefault="007B2905" w:rsidP="007B2905">
      <w:pPr>
        <w:spacing w:line="360" w:lineRule="auto"/>
        <w:rPr>
          <w:rFonts w:ascii="Times New Roman" w:hAnsi="Times New Roman" w:cs="Times New Roman"/>
        </w:rPr>
      </w:pPr>
      <w:r w:rsidRPr="007B2905">
        <w:rPr>
          <w:rFonts w:ascii="Times New Roman" w:hAnsi="Times New Roman" w:cs="Times New Roman"/>
        </w:rPr>
        <w:t xml:space="preserve">In conclusion, the multi-agency approach plays a vital role in promoting the welfare and safeguarding of children and young people in Wales. As explored throughout this essay, the complexity of children’s needs requires a coordinated response from a range of professionals and organisations. By working collaboratively, agencies </w:t>
      </w:r>
      <w:proofErr w:type="gramStart"/>
      <w:r w:rsidRPr="007B2905">
        <w:rPr>
          <w:rFonts w:ascii="Times New Roman" w:hAnsi="Times New Roman" w:cs="Times New Roman"/>
        </w:rPr>
        <w:t>are able to</w:t>
      </w:r>
      <w:proofErr w:type="gramEnd"/>
      <w:r w:rsidRPr="007B2905">
        <w:rPr>
          <w:rFonts w:ascii="Times New Roman" w:hAnsi="Times New Roman" w:cs="Times New Roman"/>
        </w:rPr>
        <w:t xml:space="preserve"> share information, pool resources, and develop a more comprehensive understanding of risk and need, which ultimately leads to more effective and timely interventions. Legislative frameworks and policies further reinforce this approach, ensuring that collaboration is not only encouraged but required in practice.</w:t>
      </w:r>
    </w:p>
    <w:p w14:paraId="43F2E6CF" w14:textId="77777777" w:rsidR="007B2905" w:rsidRPr="007B2905" w:rsidRDefault="007B2905" w:rsidP="007B2905">
      <w:pPr>
        <w:spacing w:line="360" w:lineRule="auto"/>
        <w:rPr>
          <w:rFonts w:ascii="Times New Roman" w:hAnsi="Times New Roman" w:cs="Times New Roman"/>
        </w:rPr>
      </w:pPr>
      <w:r w:rsidRPr="007B2905">
        <w:rPr>
          <w:rFonts w:ascii="Times New Roman" w:hAnsi="Times New Roman" w:cs="Times New Roman"/>
        </w:rPr>
        <w:t>The discussion has also highlighted that multi-agency working is supported by key theoretical perspectives, which emphasise the importance of interconnected systems and shared knowledge in understanding and responding to individual needs. At the same time, the benefits of this approach, such as improved safeguarding, holistic care, and more efficient use of resources, demonstrate its value in achieving positive outcomes for children and families.</w:t>
      </w:r>
    </w:p>
    <w:p w14:paraId="588D60E6" w14:textId="147D9D3B" w:rsidR="007B2905" w:rsidRPr="007B2905" w:rsidRDefault="007B2905" w:rsidP="007B2905">
      <w:pPr>
        <w:spacing w:line="360" w:lineRule="auto"/>
        <w:rPr>
          <w:rFonts w:ascii="Times New Roman" w:hAnsi="Times New Roman" w:cs="Times New Roman"/>
        </w:rPr>
      </w:pPr>
      <w:r w:rsidRPr="007B2905">
        <w:rPr>
          <w:rFonts w:ascii="Times New Roman" w:hAnsi="Times New Roman" w:cs="Times New Roman"/>
        </w:rPr>
        <w:t>However, it is equally important to recognise the challenges associated with multi-agency working, including communication barriers, differing organisational priorities, and resource limitations. These issues can impact the effectiveness of collaboration if not addressed appropriately. Overall, while the multi-agency approach is not without its difficulties, it remains an essential and effective framework for safeguarding practice, provided that strong communication, clear roles, and ongoing cooperation are maintain</w:t>
      </w:r>
      <w:r w:rsidRPr="007B2905">
        <w:rPr>
          <w:rFonts w:ascii="Times New Roman" w:hAnsi="Times New Roman" w:cs="Times New Roman"/>
        </w:rPr>
        <w:t>ed.</w:t>
      </w:r>
    </w:p>
    <w:p w14:paraId="42CB3F41" w14:textId="77777777" w:rsidR="007B2905" w:rsidRPr="007B2905" w:rsidRDefault="007B2905" w:rsidP="007B2905">
      <w:pPr>
        <w:rPr>
          <w:vanish/>
        </w:rPr>
      </w:pPr>
      <w:r w:rsidRPr="007B2905">
        <w:rPr>
          <w:vanish/>
        </w:rPr>
        <w:t>Top of Form</w:t>
      </w:r>
    </w:p>
    <w:p w14:paraId="4F136BF2" w14:textId="77777777" w:rsidR="007B2905" w:rsidRPr="007B2905" w:rsidRDefault="007B2905" w:rsidP="007B2905">
      <w:pPr>
        <w:rPr>
          <w:vanish/>
        </w:rPr>
      </w:pPr>
      <w:r w:rsidRPr="007B2905">
        <w:rPr>
          <w:vanish/>
        </w:rPr>
        <w:t>Bottom of Form</w:t>
      </w:r>
    </w:p>
    <w:p w14:paraId="2CDBDBAA" w14:textId="77777777" w:rsidR="007B2905" w:rsidRDefault="007B2905" w:rsidP="0007018A"/>
    <w:p w14:paraId="0C1526A4" w14:textId="71C85117" w:rsidR="00935926" w:rsidRPr="007B2905" w:rsidRDefault="00935926" w:rsidP="0007018A">
      <w:pPr>
        <w:rPr>
          <w:b/>
          <w:bCs/>
          <w:u w:val="single"/>
        </w:rPr>
      </w:pPr>
      <w:r w:rsidRPr="007B2905">
        <w:rPr>
          <w:b/>
          <w:bCs/>
          <w:u w:val="single"/>
        </w:rPr>
        <w:lastRenderedPageBreak/>
        <w:t>Reference list</w:t>
      </w:r>
    </w:p>
    <w:p w14:paraId="5A0BAAC5" w14:textId="77777777" w:rsidR="007B2905" w:rsidRDefault="007B2905" w:rsidP="007B2905">
      <w:r w:rsidRPr="00DE1EFE">
        <w:t>Bronfenbrenner, U. (1977). Toward an experimental ecology of human development. </w:t>
      </w:r>
      <w:r w:rsidRPr="00DE1EFE">
        <w:rPr>
          <w:i/>
          <w:iCs/>
        </w:rPr>
        <w:t>American Psychologist</w:t>
      </w:r>
      <w:r w:rsidRPr="00DE1EFE">
        <w:t xml:space="preserve">, [online] 32(7), pp.513–531. </w:t>
      </w:r>
      <w:proofErr w:type="spellStart"/>
      <w:r w:rsidRPr="00DE1EFE">
        <w:t>doi</w:t>
      </w:r>
      <w:proofErr w:type="spellEnd"/>
      <w:r w:rsidRPr="00DE1EFE">
        <w:t>:</w:t>
      </w:r>
      <w:r>
        <w:t xml:space="preserve"> </w:t>
      </w:r>
      <w:hyperlink r:id="rId5" w:history="1">
        <w:r w:rsidRPr="00214505">
          <w:rPr>
            <w:rStyle w:val="Hyperlink"/>
          </w:rPr>
          <w:t>https://doi.org/10.1037/0003-066x.32.7.513</w:t>
        </w:r>
      </w:hyperlink>
      <w:r w:rsidRPr="00DE1EFE">
        <w:t>.</w:t>
      </w:r>
    </w:p>
    <w:p w14:paraId="0CA33CAF" w14:textId="77777777" w:rsidR="007B2905" w:rsidRDefault="007B2905" w:rsidP="007B2905">
      <w:r w:rsidRPr="00935926">
        <w:t>Department for Education (2025). </w:t>
      </w:r>
      <w:r w:rsidRPr="00935926">
        <w:rPr>
          <w:i/>
          <w:iCs/>
        </w:rPr>
        <w:t>Working Together to Safeguard Children</w:t>
      </w:r>
      <w:r w:rsidRPr="00935926">
        <w:t xml:space="preserve">. [online] GOV.UK. Available at: </w:t>
      </w:r>
      <w:hyperlink r:id="rId6" w:history="1">
        <w:r w:rsidRPr="00214505">
          <w:rPr>
            <w:rStyle w:val="Hyperlink"/>
          </w:rPr>
          <w:t>https://www.gov.uk/government/publications/working-together-to-safeguard-children--2</w:t>
        </w:r>
      </w:hyperlink>
      <w:r w:rsidRPr="00935926">
        <w:t>.</w:t>
      </w:r>
    </w:p>
    <w:p w14:paraId="6D5BB560" w14:textId="77777777" w:rsidR="007B2905" w:rsidRDefault="007B2905" w:rsidP="007B2905">
      <w:r w:rsidRPr="00E1760D">
        <w:t>Health (2025). </w:t>
      </w:r>
      <w:r w:rsidRPr="00E1760D">
        <w:rPr>
          <w:i/>
          <w:iCs/>
        </w:rPr>
        <w:t>Adult social care priorities for local authorities</w:t>
      </w:r>
      <w:r w:rsidRPr="00E1760D">
        <w:t xml:space="preserve">. [online] GOV.UK. Available at: </w:t>
      </w:r>
      <w:hyperlink r:id="rId7" w:history="1">
        <w:r w:rsidRPr="00214505">
          <w:rPr>
            <w:rStyle w:val="Hyperlink"/>
          </w:rPr>
          <w:t>https://www.gov.uk/government/publications/adult-social-care-priorities-for-local-authorities</w:t>
        </w:r>
      </w:hyperlink>
      <w:r w:rsidRPr="00E1760D">
        <w:t>.</w:t>
      </w:r>
    </w:p>
    <w:p w14:paraId="724A1FBB" w14:textId="77777777" w:rsidR="007B2905" w:rsidRDefault="007B2905" w:rsidP="007B2905">
      <w:r w:rsidRPr="00984A49">
        <w:t>Legislation.gov.uk. (2015). </w:t>
      </w:r>
      <w:r w:rsidRPr="00984A49">
        <w:rPr>
          <w:i/>
          <w:iCs/>
        </w:rPr>
        <w:t>Care Act 2014</w:t>
      </w:r>
      <w:r w:rsidRPr="00984A49">
        <w:t xml:space="preserve">. [online] Available at: </w:t>
      </w:r>
      <w:hyperlink r:id="rId8" w:history="1">
        <w:r w:rsidRPr="00214505">
          <w:rPr>
            <w:rStyle w:val="Hyperlink"/>
          </w:rPr>
          <w:t>https://www.legislation.gov.uk/ukpga/2014/23/contents</w:t>
        </w:r>
      </w:hyperlink>
      <w:r w:rsidRPr="00984A49">
        <w:t>?.</w:t>
      </w:r>
    </w:p>
    <w:p w14:paraId="20B02C84" w14:textId="77777777" w:rsidR="007B2905" w:rsidRDefault="007B2905" w:rsidP="007B2905">
      <w:r w:rsidRPr="002764F6">
        <w:t>Legislation.gov.uk. (2021). </w:t>
      </w:r>
      <w:r w:rsidRPr="002764F6">
        <w:rPr>
          <w:i/>
          <w:iCs/>
        </w:rPr>
        <w:t>Domestic Abuse Act 2021</w:t>
      </w:r>
      <w:r w:rsidRPr="002764F6">
        <w:t xml:space="preserve">. [online] Available at: </w:t>
      </w:r>
      <w:hyperlink r:id="rId9" w:history="1">
        <w:r w:rsidRPr="00214505">
          <w:rPr>
            <w:rStyle w:val="Hyperlink"/>
          </w:rPr>
          <w:t>https://www.legislation.gov.uk/ukpga/2021/17/contents</w:t>
        </w:r>
      </w:hyperlink>
      <w:r w:rsidRPr="002764F6">
        <w:t>?.</w:t>
      </w:r>
    </w:p>
    <w:p w14:paraId="21A886DE" w14:textId="77777777" w:rsidR="007B2905" w:rsidRDefault="007B2905" w:rsidP="007B2905">
      <w:r w:rsidRPr="00935926">
        <w:t>Legislation.gov.uk. (2022). </w:t>
      </w:r>
      <w:r w:rsidRPr="00935926">
        <w:rPr>
          <w:i/>
          <w:iCs/>
        </w:rPr>
        <w:t>Criminal Justice Act 2003</w:t>
      </w:r>
      <w:r w:rsidRPr="00935926">
        <w:t xml:space="preserve">. [online] Available at: </w:t>
      </w:r>
      <w:hyperlink r:id="rId10" w:history="1">
        <w:r w:rsidRPr="00214505">
          <w:rPr>
            <w:rStyle w:val="Hyperlink"/>
          </w:rPr>
          <w:t>https://www.legislation.gov.uk/ukpga/2003/44/contents</w:t>
        </w:r>
      </w:hyperlink>
      <w:r w:rsidRPr="00935926">
        <w:t xml:space="preserve">? </w:t>
      </w:r>
    </w:p>
    <w:p w14:paraId="594AADFE" w14:textId="77777777" w:rsidR="007B2905" w:rsidRDefault="007B2905" w:rsidP="007B2905">
      <w:r w:rsidRPr="00E1091F">
        <w:t>Nice.org.uk. (2016). </w:t>
      </w:r>
      <w:r w:rsidRPr="00E1091F">
        <w:rPr>
          <w:i/>
          <w:iCs/>
        </w:rPr>
        <w:t>Overview | Multimorbidity: clinical assessment and management | Guidance | NICE</w:t>
      </w:r>
      <w:r w:rsidRPr="00E1091F">
        <w:t xml:space="preserve">. [online] Available at: </w:t>
      </w:r>
      <w:hyperlink r:id="rId11" w:history="1">
        <w:r w:rsidRPr="00214505">
          <w:rPr>
            <w:rStyle w:val="Hyperlink"/>
          </w:rPr>
          <w:t>https://www.nice.org.uk/guidance/ng56</w:t>
        </w:r>
      </w:hyperlink>
      <w:r w:rsidRPr="00E1091F">
        <w:t>?.</w:t>
      </w:r>
    </w:p>
    <w:p w14:paraId="2101BDB8" w14:textId="77777777" w:rsidR="007B2905" w:rsidRDefault="007B2905" w:rsidP="007B2905">
      <w:r w:rsidRPr="006924D8">
        <w:t xml:space="preserve">Working Together to Safeguard Children Statutory framework: legislation relevant to safeguarding and promoting the welfare of children. (2026). Available at: </w:t>
      </w:r>
      <w:hyperlink r:id="rId12" w:history="1">
        <w:r w:rsidRPr="00214505">
          <w:rPr>
            <w:rStyle w:val="Hyperlink"/>
          </w:rPr>
          <w:t>https://assets.publishing.service.gov.uk/media/69b92ff0f6acd3f43e961211/Working_together_to_safeguard_children_statutory_framework.pdf</w:t>
        </w:r>
      </w:hyperlink>
      <w:r w:rsidRPr="006924D8">
        <w:t>.</w:t>
      </w:r>
    </w:p>
    <w:p w14:paraId="352DB3D9" w14:textId="77777777" w:rsidR="00E1760D" w:rsidRPr="00E1760D" w:rsidRDefault="00E1760D" w:rsidP="00E1760D"/>
    <w:p w14:paraId="323013FB" w14:textId="77777777" w:rsidR="00E1760D" w:rsidRPr="00E1760D" w:rsidRDefault="00E1760D" w:rsidP="00E1760D">
      <w:r w:rsidRPr="00E1760D">
        <w:t>‌</w:t>
      </w:r>
    </w:p>
    <w:p w14:paraId="1F9B1B48" w14:textId="77777777" w:rsidR="00E1760D" w:rsidRDefault="00E1760D" w:rsidP="00E1091F"/>
    <w:p w14:paraId="711E1ADB" w14:textId="77777777" w:rsidR="00E1091F" w:rsidRPr="00E1091F" w:rsidRDefault="00E1091F" w:rsidP="00E1091F"/>
    <w:p w14:paraId="7B99F138" w14:textId="77777777" w:rsidR="00E1091F" w:rsidRPr="00E1091F" w:rsidRDefault="00E1091F" w:rsidP="00E1091F">
      <w:r w:rsidRPr="00E1091F">
        <w:t>‌</w:t>
      </w:r>
    </w:p>
    <w:p w14:paraId="6B54F9F1" w14:textId="77777777" w:rsidR="00E1091F" w:rsidRDefault="00E1091F" w:rsidP="006924D8"/>
    <w:p w14:paraId="4E8D927A" w14:textId="77777777" w:rsidR="006924D8" w:rsidRPr="006924D8" w:rsidRDefault="006924D8" w:rsidP="006924D8"/>
    <w:p w14:paraId="70B11BBF" w14:textId="77777777" w:rsidR="006924D8" w:rsidRPr="006924D8" w:rsidRDefault="006924D8" w:rsidP="006924D8">
      <w:r w:rsidRPr="006924D8">
        <w:t>‌</w:t>
      </w:r>
    </w:p>
    <w:p w14:paraId="632EBA0E" w14:textId="77777777" w:rsidR="006924D8" w:rsidRDefault="006924D8" w:rsidP="00DE1EFE"/>
    <w:p w14:paraId="05A63361" w14:textId="77777777" w:rsidR="00DE1EFE" w:rsidRDefault="00DE1EFE" w:rsidP="00DE1EFE"/>
    <w:p w14:paraId="148DA943" w14:textId="77777777" w:rsidR="00DE1EFE" w:rsidRPr="00DE1EFE" w:rsidRDefault="00DE1EFE" w:rsidP="00DE1EFE"/>
    <w:p w14:paraId="32165186" w14:textId="77777777" w:rsidR="00DE1EFE" w:rsidRPr="00DE1EFE" w:rsidRDefault="00DE1EFE" w:rsidP="00DE1EFE">
      <w:r w:rsidRPr="00DE1EFE">
        <w:t>‌</w:t>
      </w:r>
    </w:p>
    <w:p w14:paraId="18A92207" w14:textId="77777777" w:rsidR="00DE1EFE" w:rsidRDefault="00DE1EFE" w:rsidP="00984A49"/>
    <w:p w14:paraId="029029D9" w14:textId="77777777" w:rsidR="00984A49" w:rsidRPr="00984A49" w:rsidRDefault="00984A49" w:rsidP="00984A49"/>
    <w:p w14:paraId="4835B39C" w14:textId="77777777" w:rsidR="00984A49" w:rsidRPr="00984A49" w:rsidRDefault="00984A49" w:rsidP="00984A49">
      <w:r w:rsidRPr="00984A49">
        <w:t>‌</w:t>
      </w:r>
    </w:p>
    <w:p w14:paraId="6CA626C1" w14:textId="77777777" w:rsidR="00984A49" w:rsidRDefault="00984A49" w:rsidP="002764F6"/>
    <w:p w14:paraId="4E633DBC" w14:textId="77777777" w:rsidR="002764F6" w:rsidRPr="002764F6" w:rsidRDefault="002764F6" w:rsidP="002764F6"/>
    <w:p w14:paraId="1AF15BCF" w14:textId="77777777" w:rsidR="002764F6" w:rsidRPr="002764F6" w:rsidRDefault="002764F6" w:rsidP="002764F6">
      <w:r w:rsidRPr="002764F6">
        <w:t>‌</w:t>
      </w:r>
    </w:p>
    <w:p w14:paraId="49D94B8D" w14:textId="77777777" w:rsidR="002764F6" w:rsidRDefault="002764F6" w:rsidP="00935926"/>
    <w:p w14:paraId="6A9F4EDE" w14:textId="77777777" w:rsidR="00935926" w:rsidRPr="00935926" w:rsidRDefault="00935926" w:rsidP="00935926"/>
    <w:p w14:paraId="7D3BB77D" w14:textId="77777777" w:rsidR="00935926" w:rsidRPr="00935926" w:rsidRDefault="00935926" w:rsidP="00935926">
      <w:r w:rsidRPr="00935926">
        <w:t>‌</w:t>
      </w:r>
    </w:p>
    <w:p w14:paraId="0FE3C83A" w14:textId="77777777" w:rsidR="00935926" w:rsidRDefault="00935926" w:rsidP="00935926"/>
    <w:p w14:paraId="14553745" w14:textId="77777777" w:rsidR="00935926" w:rsidRPr="00935926" w:rsidRDefault="00935926" w:rsidP="00935926"/>
    <w:p w14:paraId="684C9190" w14:textId="77777777" w:rsidR="00935926" w:rsidRPr="00935926" w:rsidRDefault="00935926" w:rsidP="00935926">
      <w:r w:rsidRPr="00935926">
        <w:t>‌</w:t>
      </w:r>
    </w:p>
    <w:p w14:paraId="1F57B750" w14:textId="77777777" w:rsidR="00935926" w:rsidRDefault="00935926" w:rsidP="0007018A"/>
    <w:p w14:paraId="5100014B" w14:textId="77777777" w:rsidR="0007018A" w:rsidRDefault="0007018A" w:rsidP="0007018A"/>
    <w:sectPr w:rsidR="000701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6114D"/>
    <w:multiLevelType w:val="hybridMultilevel"/>
    <w:tmpl w:val="A3FA385C"/>
    <w:lvl w:ilvl="0" w:tplc="74A08DC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8D3E79"/>
    <w:multiLevelType w:val="hybridMultilevel"/>
    <w:tmpl w:val="F5127A1C"/>
    <w:lvl w:ilvl="0" w:tplc="20966A04">
      <w:start w:val="1"/>
      <w:numFmt w:val="bullet"/>
      <w:lvlText w:val="•"/>
      <w:lvlJc w:val="left"/>
      <w:pPr>
        <w:tabs>
          <w:tab w:val="num" w:pos="720"/>
        </w:tabs>
        <w:ind w:left="720" w:hanging="360"/>
      </w:pPr>
      <w:rPr>
        <w:rFonts w:ascii="Arial" w:hAnsi="Arial" w:hint="default"/>
      </w:rPr>
    </w:lvl>
    <w:lvl w:ilvl="1" w:tplc="BD6EC82C" w:tentative="1">
      <w:start w:val="1"/>
      <w:numFmt w:val="bullet"/>
      <w:lvlText w:val="•"/>
      <w:lvlJc w:val="left"/>
      <w:pPr>
        <w:tabs>
          <w:tab w:val="num" w:pos="1440"/>
        </w:tabs>
        <w:ind w:left="1440" w:hanging="360"/>
      </w:pPr>
      <w:rPr>
        <w:rFonts w:ascii="Arial" w:hAnsi="Arial" w:hint="default"/>
      </w:rPr>
    </w:lvl>
    <w:lvl w:ilvl="2" w:tplc="DECCD834" w:tentative="1">
      <w:start w:val="1"/>
      <w:numFmt w:val="bullet"/>
      <w:lvlText w:val="•"/>
      <w:lvlJc w:val="left"/>
      <w:pPr>
        <w:tabs>
          <w:tab w:val="num" w:pos="2160"/>
        </w:tabs>
        <w:ind w:left="2160" w:hanging="360"/>
      </w:pPr>
      <w:rPr>
        <w:rFonts w:ascii="Arial" w:hAnsi="Arial" w:hint="default"/>
      </w:rPr>
    </w:lvl>
    <w:lvl w:ilvl="3" w:tplc="D610ABB6" w:tentative="1">
      <w:start w:val="1"/>
      <w:numFmt w:val="bullet"/>
      <w:lvlText w:val="•"/>
      <w:lvlJc w:val="left"/>
      <w:pPr>
        <w:tabs>
          <w:tab w:val="num" w:pos="2880"/>
        </w:tabs>
        <w:ind w:left="2880" w:hanging="360"/>
      </w:pPr>
      <w:rPr>
        <w:rFonts w:ascii="Arial" w:hAnsi="Arial" w:hint="default"/>
      </w:rPr>
    </w:lvl>
    <w:lvl w:ilvl="4" w:tplc="E73A30B6" w:tentative="1">
      <w:start w:val="1"/>
      <w:numFmt w:val="bullet"/>
      <w:lvlText w:val="•"/>
      <w:lvlJc w:val="left"/>
      <w:pPr>
        <w:tabs>
          <w:tab w:val="num" w:pos="3600"/>
        </w:tabs>
        <w:ind w:left="3600" w:hanging="360"/>
      </w:pPr>
      <w:rPr>
        <w:rFonts w:ascii="Arial" w:hAnsi="Arial" w:hint="default"/>
      </w:rPr>
    </w:lvl>
    <w:lvl w:ilvl="5" w:tplc="0186CD5A" w:tentative="1">
      <w:start w:val="1"/>
      <w:numFmt w:val="bullet"/>
      <w:lvlText w:val="•"/>
      <w:lvlJc w:val="left"/>
      <w:pPr>
        <w:tabs>
          <w:tab w:val="num" w:pos="4320"/>
        </w:tabs>
        <w:ind w:left="4320" w:hanging="360"/>
      </w:pPr>
      <w:rPr>
        <w:rFonts w:ascii="Arial" w:hAnsi="Arial" w:hint="default"/>
      </w:rPr>
    </w:lvl>
    <w:lvl w:ilvl="6" w:tplc="9D3699D8" w:tentative="1">
      <w:start w:val="1"/>
      <w:numFmt w:val="bullet"/>
      <w:lvlText w:val="•"/>
      <w:lvlJc w:val="left"/>
      <w:pPr>
        <w:tabs>
          <w:tab w:val="num" w:pos="5040"/>
        </w:tabs>
        <w:ind w:left="5040" w:hanging="360"/>
      </w:pPr>
      <w:rPr>
        <w:rFonts w:ascii="Arial" w:hAnsi="Arial" w:hint="default"/>
      </w:rPr>
    </w:lvl>
    <w:lvl w:ilvl="7" w:tplc="7FC4EBDC" w:tentative="1">
      <w:start w:val="1"/>
      <w:numFmt w:val="bullet"/>
      <w:lvlText w:val="•"/>
      <w:lvlJc w:val="left"/>
      <w:pPr>
        <w:tabs>
          <w:tab w:val="num" w:pos="5760"/>
        </w:tabs>
        <w:ind w:left="5760" w:hanging="360"/>
      </w:pPr>
      <w:rPr>
        <w:rFonts w:ascii="Arial" w:hAnsi="Arial" w:hint="default"/>
      </w:rPr>
    </w:lvl>
    <w:lvl w:ilvl="8" w:tplc="D3BA3D7E" w:tentative="1">
      <w:start w:val="1"/>
      <w:numFmt w:val="bullet"/>
      <w:lvlText w:val="•"/>
      <w:lvlJc w:val="left"/>
      <w:pPr>
        <w:tabs>
          <w:tab w:val="num" w:pos="6480"/>
        </w:tabs>
        <w:ind w:left="6480" w:hanging="360"/>
      </w:pPr>
      <w:rPr>
        <w:rFonts w:ascii="Arial" w:hAnsi="Arial" w:hint="default"/>
      </w:rPr>
    </w:lvl>
  </w:abstractNum>
  <w:num w:numId="1" w16cid:durableId="919364828">
    <w:abstractNumId w:val="1"/>
  </w:num>
  <w:num w:numId="2" w16cid:durableId="549809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07C"/>
    <w:rsid w:val="0007018A"/>
    <w:rsid w:val="002764F6"/>
    <w:rsid w:val="00584302"/>
    <w:rsid w:val="006924D8"/>
    <w:rsid w:val="0076207C"/>
    <w:rsid w:val="007B2905"/>
    <w:rsid w:val="00935926"/>
    <w:rsid w:val="00984A49"/>
    <w:rsid w:val="009E0876"/>
    <w:rsid w:val="00AC03C6"/>
    <w:rsid w:val="00AF209D"/>
    <w:rsid w:val="00BC56D3"/>
    <w:rsid w:val="00DE1EFE"/>
    <w:rsid w:val="00E1091F"/>
    <w:rsid w:val="00E17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58655"/>
  <w15:chartTrackingRefBased/>
  <w15:docId w15:val="{9997DC7C-3967-4A3A-90E7-D791332AF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20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20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20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20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20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20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20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20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20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0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20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20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20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20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20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20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20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207C"/>
    <w:rPr>
      <w:rFonts w:eastAsiaTheme="majorEastAsia" w:cstheme="majorBidi"/>
      <w:color w:val="272727" w:themeColor="text1" w:themeTint="D8"/>
    </w:rPr>
  </w:style>
  <w:style w:type="paragraph" w:styleId="Title">
    <w:name w:val="Title"/>
    <w:basedOn w:val="Normal"/>
    <w:next w:val="Normal"/>
    <w:link w:val="TitleChar"/>
    <w:uiPriority w:val="10"/>
    <w:qFormat/>
    <w:rsid w:val="007620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20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20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20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207C"/>
    <w:pPr>
      <w:spacing w:before="160"/>
      <w:jc w:val="center"/>
    </w:pPr>
    <w:rPr>
      <w:i/>
      <w:iCs/>
      <w:color w:val="404040" w:themeColor="text1" w:themeTint="BF"/>
    </w:rPr>
  </w:style>
  <w:style w:type="character" w:customStyle="1" w:styleId="QuoteChar">
    <w:name w:val="Quote Char"/>
    <w:basedOn w:val="DefaultParagraphFont"/>
    <w:link w:val="Quote"/>
    <w:uiPriority w:val="29"/>
    <w:rsid w:val="0076207C"/>
    <w:rPr>
      <w:i/>
      <w:iCs/>
      <w:color w:val="404040" w:themeColor="text1" w:themeTint="BF"/>
    </w:rPr>
  </w:style>
  <w:style w:type="paragraph" w:styleId="ListParagraph">
    <w:name w:val="List Paragraph"/>
    <w:basedOn w:val="Normal"/>
    <w:uiPriority w:val="34"/>
    <w:qFormat/>
    <w:rsid w:val="0076207C"/>
    <w:pPr>
      <w:ind w:left="720"/>
      <w:contextualSpacing/>
    </w:pPr>
  </w:style>
  <w:style w:type="character" w:styleId="IntenseEmphasis">
    <w:name w:val="Intense Emphasis"/>
    <w:basedOn w:val="DefaultParagraphFont"/>
    <w:uiPriority w:val="21"/>
    <w:qFormat/>
    <w:rsid w:val="0076207C"/>
    <w:rPr>
      <w:i/>
      <w:iCs/>
      <w:color w:val="0F4761" w:themeColor="accent1" w:themeShade="BF"/>
    </w:rPr>
  </w:style>
  <w:style w:type="paragraph" w:styleId="IntenseQuote">
    <w:name w:val="Intense Quote"/>
    <w:basedOn w:val="Normal"/>
    <w:next w:val="Normal"/>
    <w:link w:val="IntenseQuoteChar"/>
    <w:uiPriority w:val="30"/>
    <w:qFormat/>
    <w:rsid w:val="007620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207C"/>
    <w:rPr>
      <w:i/>
      <w:iCs/>
      <w:color w:val="0F4761" w:themeColor="accent1" w:themeShade="BF"/>
    </w:rPr>
  </w:style>
  <w:style w:type="character" w:styleId="IntenseReference">
    <w:name w:val="Intense Reference"/>
    <w:basedOn w:val="DefaultParagraphFont"/>
    <w:uiPriority w:val="32"/>
    <w:qFormat/>
    <w:rsid w:val="0076207C"/>
    <w:rPr>
      <w:b/>
      <w:bCs/>
      <w:smallCaps/>
      <w:color w:val="0F4761" w:themeColor="accent1" w:themeShade="BF"/>
      <w:spacing w:val="5"/>
    </w:rPr>
  </w:style>
  <w:style w:type="character" w:styleId="Hyperlink">
    <w:name w:val="Hyperlink"/>
    <w:basedOn w:val="DefaultParagraphFont"/>
    <w:uiPriority w:val="99"/>
    <w:unhideWhenUsed/>
    <w:rsid w:val="0076207C"/>
    <w:rPr>
      <w:color w:val="467886" w:themeColor="hyperlink"/>
      <w:u w:val="single"/>
    </w:rPr>
  </w:style>
  <w:style w:type="character" w:styleId="UnresolvedMention">
    <w:name w:val="Unresolved Mention"/>
    <w:basedOn w:val="DefaultParagraphFont"/>
    <w:uiPriority w:val="99"/>
    <w:semiHidden/>
    <w:unhideWhenUsed/>
    <w:rsid w:val="0076207C"/>
    <w:rPr>
      <w:color w:val="605E5C"/>
      <w:shd w:val="clear" w:color="auto" w:fill="E1DFDD"/>
    </w:rPr>
  </w:style>
  <w:style w:type="paragraph" w:styleId="NormalWeb">
    <w:name w:val="Normal (Web)"/>
    <w:basedOn w:val="Normal"/>
    <w:uiPriority w:val="99"/>
    <w:semiHidden/>
    <w:unhideWhenUsed/>
    <w:rsid w:val="00AC03C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adult-social-care-priorities-for-local-authorities" TargetMode="External"/><Relationship Id="rId12" Type="http://schemas.openxmlformats.org/officeDocument/2006/relationships/hyperlink" Target="https://assets.publishing.service.gov.uk/media/69b92ff0f6acd3f43e961211/Working_together_to_safeguard_children_statutory_framework.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working-together-to-safeguard-children--2" TargetMode="External"/><Relationship Id="rId11" Type="http://schemas.openxmlformats.org/officeDocument/2006/relationships/hyperlink" Target="https://www.nice.org.uk/guidance/ng56" TargetMode="External"/><Relationship Id="rId5" Type="http://schemas.openxmlformats.org/officeDocument/2006/relationships/hyperlink" Target="https://doi.org/10.1037/0003-066x.32.7.513" TargetMode="External"/><Relationship Id="rId10" Type="http://schemas.openxmlformats.org/officeDocument/2006/relationships/hyperlink" Target="https://www.legislation.gov.uk/ukpga/2003/44/contents" TargetMode="External"/><Relationship Id="rId4" Type="http://schemas.openxmlformats.org/officeDocument/2006/relationships/webSettings" Target="webSettings.xml"/><Relationship Id="rId9" Type="http://schemas.openxmlformats.org/officeDocument/2006/relationships/hyperlink" Target="https://www.legislation.gov.uk/ukpga/2021/17/cont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2671</Words>
  <Characters>15227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Brogan Cole (2317370)</dc:creator>
  <cp:keywords/>
  <dc:description/>
  <cp:lastModifiedBy>Brogan Cole (2317370)</cp:lastModifiedBy>
  <cp:revision>2</cp:revision>
  <dcterms:created xsi:type="dcterms:W3CDTF">2026-05-12T10:22:00Z</dcterms:created>
  <dcterms:modified xsi:type="dcterms:W3CDTF">2026-05-12T10:22:00Z</dcterms:modified>
</cp:coreProperties>
</file>