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CC646" w14:textId="7C31C2EB" w:rsidR="001E3A83" w:rsidRPr="00AA048B" w:rsidRDefault="00EB240D" w:rsidP="00AA048B">
      <w:pPr>
        <w:rPr>
          <w:rFonts w:cs="Times New Roman"/>
        </w:rPr>
      </w:pPr>
      <w:r w:rsidRPr="00AA048B">
        <w:rPr>
          <w:rFonts w:cs="Times New Roman"/>
          <w:noProof/>
        </w:rPr>
        <w:drawing>
          <wp:inline distT="0" distB="0" distL="0" distR="0" wp14:anchorId="24178E3A" wp14:editId="02E3E76C">
            <wp:extent cx="1813560" cy="723900"/>
            <wp:effectExtent l="0" t="0" r="0" b="0"/>
            <wp:docPr id="1513657845"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3560" cy="723900"/>
                    </a:xfrm>
                    <a:prstGeom prst="rect">
                      <a:avLst/>
                    </a:prstGeom>
                    <a:noFill/>
                    <a:ln>
                      <a:noFill/>
                    </a:ln>
                  </pic:spPr>
                </pic:pic>
              </a:graphicData>
            </a:graphic>
          </wp:inline>
        </w:drawing>
      </w:r>
    </w:p>
    <w:p w14:paraId="1EFCF599" w14:textId="20A1190E" w:rsidR="00EB240D" w:rsidRPr="00AA048B" w:rsidRDefault="00EB240D" w:rsidP="00AA048B">
      <w:pPr>
        <w:jc w:val="center"/>
        <w:rPr>
          <w:rFonts w:cs="Times New Roman"/>
          <w:b/>
          <w:bCs/>
          <w:sz w:val="36"/>
          <w:szCs w:val="36"/>
        </w:rPr>
      </w:pPr>
      <w:r w:rsidRPr="00AA048B">
        <w:rPr>
          <w:rFonts w:cs="Times New Roman"/>
          <w:b/>
          <w:bCs/>
          <w:sz w:val="36"/>
          <w:szCs w:val="36"/>
        </w:rPr>
        <w:t>Programme: Master of Business Administration</w:t>
      </w:r>
    </w:p>
    <w:p w14:paraId="6C08AF4D" w14:textId="18D41821" w:rsidR="00EB240D" w:rsidRPr="00AA048B" w:rsidRDefault="00EB240D" w:rsidP="00AA048B">
      <w:pPr>
        <w:jc w:val="center"/>
        <w:rPr>
          <w:rFonts w:cs="Times New Roman"/>
          <w:b/>
          <w:bCs/>
          <w:sz w:val="36"/>
          <w:szCs w:val="36"/>
        </w:rPr>
      </w:pPr>
      <w:r w:rsidRPr="00AA048B">
        <w:rPr>
          <w:rFonts w:cs="Times New Roman"/>
          <w:b/>
          <w:bCs/>
          <w:sz w:val="36"/>
          <w:szCs w:val="36"/>
        </w:rPr>
        <w:t>Module: International Business Concept</w:t>
      </w:r>
      <w:r w:rsidR="000A3886">
        <w:rPr>
          <w:rFonts w:cs="Times New Roman"/>
          <w:b/>
          <w:bCs/>
          <w:sz w:val="36"/>
          <w:szCs w:val="36"/>
        </w:rPr>
        <w:t>s</w:t>
      </w:r>
    </w:p>
    <w:p w14:paraId="5E29CE98" w14:textId="0AF32F77" w:rsidR="00EB240D" w:rsidRPr="00AA048B" w:rsidRDefault="00EB240D" w:rsidP="00AA048B">
      <w:pPr>
        <w:jc w:val="center"/>
        <w:rPr>
          <w:rFonts w:cs="Times New Roman"/>
          <w:b/>
          <w:bCs/>
          <w:sz w:val="36"/>
          <w:szCs w:val="36"/>
        </w:rPr>
      </w:pPr>
      <w:r w:rsidRPr="00AA048B">
        <w:rPr>
          <w:rFonts w:cs="Times New Roman"/>
          <w:b/>
          <w:bCs/>
          <w:sz w:val="36"/>
          <w:szCs w:val="36"/>
        </w:rPr>
        <w:t>Module Code: LCMB7034</w:t>
      </w:r>
    </w:p>
    <w:p w14:paraId="31575451" w14:textId="43316B02" w:rsidR="00EB240D" w:rsidRDefault="00EB240D" w:rsidP="00AA048B">
      <w:pPr>
        <w:spacing w:line="360" w:lineRule="auto"/>
        <w:jc w:val="center"/>
        <w:rPr>
          <w:rFonts w:cs="Times New Roman"/>
          <w:b/>
          <w:bCs/>
          <w:sz w:val="36"/>
          <w:szCs w:val="36"/>
        </w:rPr>
      </w:pPr>
      <w:r w:rsidRPr="00AA048B">
        <w:rPr>
          <w:rFonts w:cs="Times New Roman"/>
          <w:b/>
          <w:bCs/>
          <w:sz w:val="36"/>
          <w:szCs w:val="36"/>
        </w:rPr>
        <w:t xml:space="preserve">Lecturer:  </w:t>
      </w:r>
      <w:proofErr w:type="spellStart"/>
      <w:r w:rsidRPr="00AA048B">
        <w:rPr>
          <w:rFonts w:cs="Times New Roman"/>
          <w:b/>
          <w:bCs/>
          <w:sz w:val="36"/>
          <w:szCs w:val="36"/>
        </w:rPr>
        <w:t>Mansoob</w:t>
      </w:r>
      <w:proofErr w:type="spellEnd"/>
      <w:r w:rsidRPr="00AA048B">
        <w:rPr>
          <w:rFonts w:cs="Times New Roman"/>
          <w:b/>
          <w:bCs/>
          <w:sz w:val="36"/>
          <w:szCs w:val="36"/>
        </w:rPr>
        <w:t xml:space="preserve"> Murshed (Birmingham)</w:t>
      </w:r>
    </w:p>
    <w:p w14:paraId="2AC996FF" w14:textId="0B78F060" w:rsidR="00AA048B" w:rsidRPr="00AA048B" w:rsidRDefault="00AA048B" w:rsidP="00AA048B">
      <w:pPr>
        <w:spacing w:line="360" w:lineRule="auto"/>
        <w:jc w:val="center"/>
        <w:rPr>
          <w:rFonts w:cs="Times New Roman"/>
          <w:b/>
          <w:bCs/>
          <w:sz w:val="36"/>
          <w:szCs w:val="36"/>
        </w:rPr>
      </w:pPr>
      <w:r>
        <w:rPr>
          <w:rFonts w:cs="Times New Roman"/>
          <w:b/>
          <w:bCs/>
          <w:sz w:val="36"/>
          <w:szCs w:val="36"/>
        </w:rPr>
        <w:t xml:space="preserve">Selected company: Netflix </w:t>
      </w:r>
    </w:p>
    <w:p w14:paraId="4FB836E0" w14:textId="56B0A380" w:rsidR="00EB240D" w:rsidRPr="00AA048B" w:rsidRDefault="00EB240D" w:rsidP="00AA048B">
      <w:pPr>
        <w:jc w:val="center"/>
        <w:rPr>
          <w:rFonts w:cs="Times New Roman"/>
          <w:b/>
          <w:bCs/>
          <w:sz w:val="36"/>
          <w:szCs w:val="36"/>
        </w:rPr>
      </w:pPr>
      <w:r w:rsidRPr="00AA048B">
        <w:rPr>
          <w:rFonts w:cs="Times New Roman"/>
          <w:b/>
          <w:bCs/>
          <w:sz w:val="36"/>
          <w:szCs w:val="36"/>
        </w:rPr>
        <w:t>Assignment Title: Report</w:t>
      </w:r>
    </w:p>
    <w:p w14:paraId="1FDA245C" w14:textId="1F00EC04" w:rsidR="00EB240D" w:rsidRPr="009F4818" w:rsidRDefault="00EB240D" w:rsidP="00AA048B">
      <w:pPr>
        <w:jc w:val="center"/>
        <w:rPr>
          <w:rFonts w:cs="Times New Roman"/>
          <w:b/>
          <w:bCs/>
          <w:sz w:val="36"/>
          <w:szCs w:val="36"/>
          <w:lang w:val="nl-NL"/>
        </w:rPr>
      </w:pPr>
      <w:r w:rsidRPr="009F4818">
        <w:rPr>
          <w:rFonts w:cs="Times New Roman"/>
          <w:b/>
          <w:bCs/>
          <w:sz w:val="36"/>
          <w:szCs w:val="36"/>
          <w:lang w:val="nl-NL"/>
        </w:rPr>
        <w:t>Student Name:</w:t>
      </w:r>
      <w:r w:rsidR="009F4818" w:rsidRPr="009F4818">
        <w:rPr>
          <w:rFonts w:cs="Times New Roman"/>
          <w:b/>
          <w:bCs/>
          <w:sz w:val="36"/>
          <w:szCs w:val="36"/>
          <w:lang w:val="nl-NL"/>
        </w:rPr>
        <w:t xml:space="preserve"> </w:t>
      </w:r>
      <w:proofErr w:type="spellStart"/>
      <w:r w:rsidR="009F4818" w:rsidRPr="009F4818">
        <w:rPr>
          <w:rFonts w:cs="Times New Roman"/>
          <w:b/>
          <w:bCs/>
          <w:sz w:val="36"/>
          <w:szCs w:val="36"/>
          <w:lang w:val="nl-NL"/>
        </w:rPr>
        <w:t>Faijanali</w:t>
      </w:r>
      <w:proofErr w:type="spellEnd"/>
      <w:r w:rsidR="009F4818" w:rsidRPr="009F4818">
        <w:rPr>
          <w:rFonts w:cs="Times New Roman"/>
          <w:b/>
          <w:bCs/>
          <w:sz w:val="36"/>
          <w:szCs w:val="36"/>
          <w:lang w:val="nl-NL"/>
        </w:rPr>
        <w:t xml:space="preserve"> </w:t>
      </w:r>
      <w:proofErr w:type="spellStart"/>
      <w:r w:rsidR="009F4818" w:rsidRPr="009F4818">
        <w:rPr>
          <w:rFonts w:cs="Times New Roman"/>
          <w:b/>
          <w:bCs/>
          <w:sz w:val="36"/>
          <w:szCs w:val="36"/>
          <w:lang w:val="nl-NL"/>
        </w:rPr>
        <w:t>Irfan</w:t>
      </w:r>
      <w:proofErr w:type="spellEnd"/>
      <w:r w:rsidR="009F4818" w:rsidRPr="009F4818">
        <w:rPr>
          <w:rFonts w:cs="Times New Roman"/>
          <w:b/>
          <w:bCs/>
          <w:sz w:val="36"/>
          <w:szCs w:val="36"/>
          <w:lang w:val="nl-NL"/>
        </w:rPr>
        <w:t xml:space="preserve"> Sa</w:t>
      </w:r>
      <w:r w:rsidR="009F4818">
        <w:rPr>
          <w:rFonts w:cs="Times New Roman"/>
          <w:b/>
          <w:bCs/>
          <w:sz w:val="36"/>
          <w:szCs w:val="36"/>
          <w:lang w:val="nl-NL"/>
        </w:rPr>
        <w:t>iyed</w:t>
      </w:r>
    </w:p>
    <w:p w14:paraId="09FAD7C5" w14:textId="31558675" w:rsidR="00EB240D" w:rsidRPr="009F4818" w:rsidRDefault="00EB240D" w:rsidP="00AA048B">
      <w:pPr>
        <w:jc w:val="center"/>
        <w:rPr>
          <w:rFonts w:cs="Times New Roman"/>
          <w:b/>
          <w:bCs/>
          <w:sz w:val="36"/>
          <w:szCs w:val="36"/>
          <w:lang w:val="nl-NL"/>
        </w:rPr>
      </w:pPr>
      <w:r w:rsidRPr="009F4818">
        <w:rPr>
          <w:rFonts w:cs="Times New Roman"/>
          <w:b/>
          <w:bCs/>
          <w:sz w:val="36"/>
          <w:szCs w:val="36"/>
          <w:lang w:val="nl-NL"/>
        </w:rPr>
        <w:t>Student ID:</w:t>
      </w:r>
      <w:r w:rsidR="009F4818">
        <w:rPr>
          <w:rFonts w:cs="Times New Roman"/>
          <w:b/>
          <w:bCs/>
          <w:sz w:val="36"/>
          <w:szCs w:val="36"/>
          <w:lang w:val="nl-NL"/>
        </w:rPr>
        <w:t xml:space="preserve"> 2525946</w:t>
      </w:r>
    </w:p>
    <w:p w14:paraId="43D6164D" w14:textId="77777777" w:rsidR="00EB240D" w:rsidRPr="009F4818" w:rsidRDefault="00EB240D" w:rsidP="00AA048B">
      <w:pPr>
        <w:rPr>
          <w:rFonts w:cs="Times New Roman"/>
          <w:lang w:val="nl-NL"/>
        </w:rPr>
      </w:pPr>
      <w:r w:rsidRPr="009F4818">
        <w:rPr>
          <w:rFonts w:cs="Times New Roman"/>
          <w:lang w:val="nl-NL"/>
        </w:rPr>
        <w:br w:type="page"/>
      </w:r>
    </w:p>
    <w:sdt>
      <w:sdtPr>
        <w:rPr>
          <w:rFonts w:eastAsiaTheme="minorHAnsi" w:cstheme="minorBidi"/>
          <w:b w:val="0"/>
          <w:kern w:val="2"/>
          <w:sz w:val="24"/>
          <w:szCs w:val="24"/>
          <w:lang w:val="en-IN"/>
          <w14:ligatures w14:val="standardContextual"/>
        </w:rPr>
        <w:id w:val="209473299"/>
        <w:docPartObj>
          <w:docPartGallery w:val="Table of Contents"/>
          <w:docPartUnique/>
        </w:docPartObj>
      </w:sdtPr>
      <w:sdtEndPr>
        <w:rPr>
          <w:bCs/>
          <w:noProof/>
        </w:rPr>
      </w:sdtEndPr>
      <w:sdtContent>
        <w:p w14:paraId="5E979875" w14:textId="7B7302C7" w:rsidR="00AA048B" w:rsidRDefault="00AA048B">
          <w:pPr>
            <w:pStyle w:val="TOCHeading"/>
          </w:pPr>
          <w:r>
            <w:t>Table of Contents</w:t>
          </w:r>
        </w:p>
        <w:p w14:paraId="1A1E89E1" w14:textId="3B526B81" w:rsidR="00852EBC" w:rsidRDefault="00AA048B">
          <w:pPr>
            <w:pStyle w:val="TOC1"/>
            <w:tabs>
              <w:tab w:val="right" w:leader="dot" w:pos="9016"/>
            </w:tabs>
            <w:rPr>
              <w:rFonts w:asciiTheme="minorHAnsi" w:eastAsiaTheme="minorEastAsia" w:hAnsiTheme="minorHAnsi"/>
              <w:noProof/>
              <w:lang w:eastAsia="en-IN"/>
            </w:rPr>
          </w:pPr>
          <w:r>
            <w:fldChar w:fldCharType="begin"/>
          </w:r>
          <w:r>
            <w:instrText xml:space="preserve"> TOC \o "1-3" \h \z \u </w:instrText>
          </w:r>
          <w:r>
            <w:fldChar w:fldCharType="separate"/>
          </w:r>
          <w:hyperlink w:anchor="_Toc236250835" w:history="1">
            <w:r w:rsidR="00852EBC" w:rsidRPr="00C8594B">
              <w:rPr>
                <w:rStyle w:val="Hyperlink"/>
                <w:noProof/>
              </w:rPr>
              <w:t>Section 1</w:t>
            </w:r>
            <w:r w:rsidR="00852EBC">
              <w:rPr>
                <w:noProof/>
                <w:webHidden/>
              </w:rPr>
              <w:tab/>
            </w:r>
            <w:r w:rsidR="00852EBC">
              <w:rPr>
                <w:noProof/>
                <w:webHidden/>
              </w:rPr>
              <w:fldChar w:fldCharType="begin"/>
            </w:r>
            <w:r w:rsidR="00852EBC">
              <w:rPr>
                <w:noProof/>
                <w:webHidden/>
              </w:rPr>
              <w:instrText xml:space="preserve"> PAGEREF _Toc236250835 \h </w:instrText>
            </w:r>
            <w:r w:rsidR="00852EBC">
              <w:rPr>
                <w:noProof/>
                <w:webHidden/>
              </w:rPr>
            </w:r>
            <w:r w:rsidR="00852EBC">
              <w:rPr>
                <w:noProof/>
                <w:webHidden/>
              </w:rPr>
              <w:fldChar w:fldCharType="separate"/>
            </w:r>
            <w:r w:rsidR="00852EBC">
              <w:rPr>
                <w:noProof/>
                <w:webHidden/>
              </w:rPr>
              <w:t>3</w:t>
            </w:r>
            <w:r w:rsidR="00852EBC">
              <w:rPr>
                <w:noProof/>
                <w:webHidden/>
              </w:rPr>
              <w:fldChar w:fldCharType="end"/>
            </w:r>
          </w:hyperlink>
        </w:p>
        <w:p w14:paraId="209C3A1B" w14:textId="7B455EE3" w:rsidR="00852EBC" w:rsidRDefault="00852EBC">
          <w:pPr>
            <w:pStyle w:val="TOC2"/>
            <w:tabs>
              <w:tab w:val="right" w:leader="dot" w:pos="9016"/>
            </w:tabs>
            <w:rPr>
              <w:rFonts w:asciiTheme="minorHAnsi" w:eastAsiaTheme="minorEastAsia" w:hAnsiTheme="minorHAnsi"/>
              <w:noProof/>
              <w:lang w:eastAsia="en-IN"/>
            </w:rPr>
          </w:pPr>
          <w:hyperlink w:anchor="_Toc236250836" w:history="1">
            <w:r w:rsidRPr="00C8594B">
              <w:rPr>
                <w:rStyle w:val="Hyperlink"/>
                <w:noProof/>
              </w:rPr>
              <w:t>Organisational Classification and Global Strategy</w:t>
            </w:r>
            <w:r>
              <w:rPr>
                <w:noProof/>
                <w:webHidden/>
              </w:rPr>
              <w:tab/>
            </w:r>
            <w:r>
              <w:rPr>
                <w:noProof/>
                <w:webHidden/>
              </w:rPr>
              <w:fldChar w:fldCharType="begin"/>
            </w:r>
            <w:r>
              <w:rPr>
                <w:noProof/>
                <w:webHidden/>
              </w:rPr>
              <w:instrText xml:space="preserve"> PAGEREF _Toc236250836 \h </w:instrText>
            </w:r>
            <w:r>
              <w:rPr>
                <w:noProof/>
                <w:webHidden/>
              </w:rPr>
            </w:r>
            <w:r>
              <w:rPr>
                <w:noProof/>
                <w:webHidden/>
              </w:rPr>
              <w:fldChar w:fldCharType="separate"/>
            </w:r>
            <w:r>
              <w:rPr>
                <w:noProof/>
                <w:webHidden/>
              </w:rPr>
              <w:t>3</w:t>
            </w:r>
            <w:r>
              <w:rPr>
                <w:noProof/>
                <w:webHidden/>
              </w:rPr>
              <w:fldChar w:fldCharType="end"/>
            </w:r>
          </w:hyperlink>
        </w:p>
        <w:p w14:paraId="246DEE95" w14:textId="14DB5476" w:rsidR="00852EBC" w:rsidRDefault="00852EBC">
          <w:pPr>
            <w:pStyle w:val="TOC3"/>
            <w:tabs>
              <w:tab w:val="right" w:leader="dot" w:pos="9016"/>
            </w:tabs>
            <w:rPr>
              <w:rFonts w:asciiTheme="minorHAnsi" w:eastAsiaTheme="minorEastAsia" w:hAnsiTheme="minorHAnsi"/>
              <w:noProof/>
              <w:lang w:eastAsia="en-IN"/>
            </w:rPr>
          </w:pPr>
          <w:hyperlink w:anchor="_Toc236250837" w:history="1">
            <w:r w:rsidRPr="00C8594B">
              <w:rPr>
                <w:rStyle w:val="Hyperlink"/>
                <w:noProof/>
              </w:rPr>
              <w:t>Strategic Categorisation</w:t>
            </w:r>
            <w:r>
              <w:rPr>
                <w:noProof/>
                <w:webHidden/>
              </w:rPr>
              <w:tab/>
            </w:r>
            <w:r>
              <w:rPr>
                <w:noProof/>
                <w:webHidden/>
              </w:rPr>
              <w:fldChar w:fldCharType="begin"/>
            </w:r>
            <w:r>
              <w:rPr>
                <w:noProof/>
                <w:webHidden/>
              </w:rPr>
              <w:instrText xml:space="preserve"> PAGEREF _Toc236250837 \h </w:instrText>
            </w:r>
            <w:r>
              <w:rPr>
                <w:noProof/>
                <w:webHidden/>
              </w:rPr>
            </w:r>
            <w:r>
              <w:rPr>
                <w:noProof/>
                <w:webHidden/>
              </w:rPr>
              <w:fldChar w:fldCharType="separate"/>
            </w:r>
            <w:r>
              <w:rPr>
                <w:noProof/>
                <w:webHidden/>
              </w:rPr>
              <w:t>3</w:t>
            </w:r>
            <w:r>
              <w:rPr>
                <w:noProof/>
                <w:webHidden/>
              </w:rPr>
              <w:fldChar w:fldCharType="end"/>
            </w:r>
          </w:hyperlink>
        </w:p>
        <w:p w14:paraId="28669CA0" w14:textId="724A1FBB" w:rsidR="00852EBC" w:rsidRDefault="00852EBC">
          <w:pPr>
            <w:pStyle w:val="TOC3"/>
            <w:tabs>
              <w:tab w:val="right" w:leader="dot" w:pos="9016"/>
            </w:tabs>
            <w:rPr>
              <w:rFonts w:asciiTheme="minorHAnsi" w:eastAsiaTheme="minorEastAsia" w:hAnsiTheme="minorHAnsi"/>
              <w:noProof/>
              <w:lang w:eastAsia="en-IN"/>
            </w:rPr>
          </w:pPr>
          <w:hyperlink w:anchor="_Toc236250838" w:history="1">
            <w:r w:rsidRPr="00C8594B">
              <w:rPr>
                <w:rStyle w:val="Hyperlink"/>
                <w:noProof/>
              </w:rPr>
              <w:t>Global Configuration</w:t>
            </w:r>
            <w:r>
              <w:rPr>
                <w:noProof/>
                <w:webHidden/>
              </w:rPr>
              <w:tab/>
            </w:r>
            <w:r>
              <w:rPr>
                <w:noProof/>
                <w:webHidden/>
              </w:rPr>
              <w:fldChar w:fldCharType="begin"/>
            </w:r>
            <w:r>
              <w:rPr>
                <w:noProof/>
                <w:webHidden/>
              </w:rPr>
              <w:instrText xml:space="preserve"> PAGEREF _Toc236250838 \h </w:instrText>
            </w:r>
            <w:r>
              <w:rPr>
                <w:noProof/>
                <w:webHidden/>
              </w:rPr>
            </w:r>
            <w:r>
              <w:rPr>
                <w:noProof/>
                <w:webHidden/>
              </w:rPr>
              <w:fldChar w:fldCharType="separate"/>
            </w:r>
            <w:r>
              <w:rPr>
                <w:noProof/>
                <w:webHidden/>
              </w:rPr>
              <w:t>4</w:t>
            </w:r>
            <w:r>
              <w:rPr>
                <w:noProof/>
                <w:webHidden/>
              </w:rPr>
              <w:fldChar w:fldCharType="end"/>
            </w:r>
          </w:hyperlink>
        </w:p>
        <w:p w14:paraId="03937F72" w14:textId="24A80443" w:rsidR="00852EBC" w:rsidRDefault="00852EBC">
          <w:pPr>
            <w:pStyle w:val="TOC2"/>
            <w:tabs>
              <w:tab w:val="right" w:leader="dot" w:pos="9016"/>
            </w:tabs>
            <w:rPr>
              <w:rFonts w:asciiTheme="minorHAnsi" w:eastAsiaTheme="minorEastAsia" w:hAnsiTheme="minorHAnsi"/>
              <w:noProof/>
              <w:lang w:eastAsia="en-IN"/>
            </w:rPr>
          </w:pPr>
          <w:hyperlink w:anchor="_Toc236250839" w:history="1">
            <w:r w:rsidRPr="00C8594B">
              <w:rPr>
                <w:rStyle w:val="Hyperlink"/>
                <w:noProof/>
              </w:rPr>
              <w:t>Macro-Environmental Appraisal and Market Attractiveness</w:t>
            </w:r>
            <w:r>
              <w:rPr>
                <w:noProof/>
                <w:webHidden/>
              </w:rPr>
              <w:tab/>
            </w:r>
            <w:r>
              <w:rPr>
                <w:noProof/>
                <w:webHidden/>
              </w:rPr>
              <w:fldChar w:fldCharType="begin"/>
            </w:r>
            <w:r>
              <w:rPr>
                <w:noProof/>
                <w:webHidden/>
              </w:rPr>
              <w:instrText xml:space="preserve"> PAGEREF _Toc236250839 \h </w:instrText>
            </w:r>
            <w:r>
              <w:rPr>
                <w:noProof/>
                <w:webHidden/>
              </w:rPr>
            </w:r>
            <w:r>
              <w:rPr>
                <w:noProof/>
                <w:webHidden/>
              </w:rPr>
              <w:fldChar w:fldCharType="separate"/>
            </w:r>
            <w:r>
              <w:rPr>
                <w:noProof/>
                <w:webHidden/>
              </w:rPr>
              <w:t>4</w:t>
            </w:r>
            <w:r>
              <w:rPr>
                <w:noProof/>
                <w:webHidden/>
              </w:rPr>
              <w:fldChar w:fldCharType="end"/>
            </w:r>
          </w:hyperlink>
        </w:p>
        <w:p w14:paraId="4C8CD94F" w14:textId="2352F9F8" w:rsidR="00852EBC" w:rsidRDefault="00852EBC">
          <w:pPr>
            <w:pStyle w:val="TOC3"/>
            <w:tabs>
              <w:tab w:val="right" w:leader="dot" w:pos="9016"/>
            </w:tabs>
            <w:rPr>
              <w:rFonts w:asciiTheme="minorHAnsi" w:eastAsiaTheme="minorEastAsia" w:hAnsiTheme="minorHAnsi"/>
              <w:noProof/>
              <w:lang w:eastAsia="en-IN"/>
            </w:rPr>
          </w:pPr>
          <w:hyperlink w:anchor="_Toc236250840" w:history="1">
            <w:r w:rsidRPr="00C8594B">
              <w:rPr>
                <w:rStyle w:val="Hyperlink"/>
                <w:noProof/>
              </w:rPr>
              <w:t>Host Country Macro Environmental Appraisal (PEST Analysis)</w:t>
            </w:r>
            <w:r>
              <w:rPr>
                <w:noProof/>
                <w:webHidden/>
              </w:rPr>
              <w:tab/>
            </w:r>
            <w:r>
              <w:rPr>
                <w:noProof/>
                <w:webHidden/>
              </w:rPr>
              <w:fldChar w:fldCharType="begin"/>
            </w:r>
            <w:r>
              <w:rPr>
                <w:noProof/>
                <w:webHidden/>
              </w:rPr>
              <w:instrText xml:space="preserve"> PAGEREF _Toc236250840 \h </w:instrText>
            </w:r>
            <w:r>
              <w:rPr>
                <w:noProof/>
                <w:webHidden/>
              </w:rPr>
            </w:r>
            <w:r>
              <w:rPr>
                <w:noProof/>
                <w:webHidden/>
              </w:rPr>
              <w:fldChar w:fldCharType="separate"/>
            </w:r>
            <w:r>
              <w:rPr>
                <w:noProof/>
                <w:webHidden/>
              </w:rPr>
              <w:t>4</w:t>
            </w:r>
            <w:r>
              <w:rPr>
                <w:noProof/>
                <w:webHidden/>
              </w:rPr>
              <w:fldChar w:fldCharType="end"/>
            </w:r>
          </w:hyperlink>
        </w:p>
        <w:p w14:paraId="52797B92" w14:textId="291F502B" w:rsidR="00852EBC" w:rsidRDefault="00852EBC">
          <w:pPr>
            <w:pStyle w:val="TOC3"/>
            <w:tabs>
              <w:tab w:val="right" w:leader="dot" w:pos="9016"/>
            </w:tabs>
            <w:rPr>
              <w:rFonts w:asciiTheme="minorHAnsi" w:eastAsiaTheme="minorEastAsia" w:hAnsiTheme="minorHAnsi"/>
              <w:noProof/>
              <w:lang w:eastAsia="en-IN"/>
            </w:rPr>
          </w:pPr>
          <w:hyperlink w:anchor="_Toc236250841" w:history="1">
            <w:r w:rsidRPr="00C8594B">
              <w:rPr>
                <w:rStyle w:val="Hyperlink"/>
                <w:noProof/>
              </w:rPr>
              <w:t>Market Entry Evaluation: Dunning’s Eclectic Paradigm (OLI Framework)</w:t>
            </w:r>
            <w:r>
              <w:rPr>
                <w:noProof/>
                <w:webHidden/>
              </w:rPr>
              <w:tab/>
            </w:r>
            <w:r>
              <w:rPr>
                <w:noProof/>
                <w:webHidden/>
              </w:rPr>
              <w:fldChar w:fldCharType="begin"/>
            </w:r>
            <w:r>
              <w:rPr>
                <w:noProof/>
                <w:webHidden/>
              </w:rPr>
              <w:instrText xml:space="preserve"> PAGEREF _Toc236250841 \h </w:instrText>
            </w:r>
            <w:r>
              <w:rPr>
                <w:noProof/>
                <w:webHidden/>
              </w:rPr>
            </w:r>
            <w:r>
              <w:rPr>
                <w:noProof/>
                <w:webHidden/>
              </w:rPr>
              <w:fldChar w:fldCharType="separate"/>
            </w:r>
            <w:r>
              <w:rPr>
                <w:noProof/>
                <w:webHidden/>
              </w:rPr>
              <w:t>7</w:t>
            </w:r>
            <w:r>
              <w:rPr>
                <w:noProof/>
                <w:webHidden/>
              </w:rPr>
              <w:fldChar w:fldCharType="end"/>
            </w:r>
          </w:hyperlink>
        </w:p>
        <w:p w14:paraId="19868202" w14:textId="636D4C1E" w:rsidR="00852EBC" w:rsidRDefault="00852EBC">
          <w:pPr>
            <w:pStyle w:val="TOC3"/>
            <w:tabs>
              <w:tab w:val="right" w:leader="dot" w:pos="9016"/>
            </w:tabs>
            <w:rPr>
              <w:rFonts w:asciiTheme="minorHAnsi" w:eastAsiaTheme="minorEastAsia" w:hAnsiTheme="minorHAnsi"/>
              <w:noProof/>
              <w:lang w:eastAsia="en-IN"/>
            </w:rPr>
          </w:pPr>
          <w:hyperlink w:anchor="_Toc236250842" w:history="1">
            <w:r w:rsidRPr="00C8594B">
              <w:rPr>
                <w:rStyle w:val="Hyperlink"/>
                <w:noProof/>
              </w:rPr>
              <w:t>Synthesis of Market Attractiveness</w:t>
            </w:r>
            <w:r>
              <w:rPr>
                <w:noProof/>
                <w:webHidden/>
              </w:rPr>
              <w:tab/>
            </w:r>
            <w:r>
              <w:rPr>
                <w:noProof/>
                <w:webHidden/>
              </w:rPr>
              <w:fldChar w:fldCharType="begin"/>
            </w:r>
            <w:r>
              <w:rPr>
                <w:noProof/>
                <w:webHidden/>
              </w:rPr>
              <w:instrText xml:space="preserve"> PAGEREF _Toc236250842 \h </w:instrText>
            </w:r>
            <w:r>
              <w:rPr>
                <w:noProof/>
                <w:webHidden/>
              </w:rPr>
            </w:r>
            <w:r>
              <w:rPr>
                <w:noProof/>
                <w:webHidden/>
              </w:rPr>
              <w:fldChar w:fldCharType="separate"/>
            </w:r>
            <w:r>
              <w:rPr>
                <w:noProof/>
                <w:webHidden/>
              </w:rPr>
              <w:t>9</w:t>
            </w:r>
            <w:r>
              <w:rPr>
                <w:noProof/>
                <w:webHidden/>
              </w:rPr>
              <w:fldChar w:fldCharType="end"/>
            </w:r>
          </w:hyperlink>
        </w:p>
        <w:p w14:paraId="583644C4" w14:textId="7DA2F817" w:rsidR="00852EBC" w:rsidRDefault="00852EBC">
          <w:pPr>
            <w:pStyle w:val="TOC3"/>
            <w:tabs>
              <w:tab w:val="right" w:leader="dot" w:pos="9016"/>
            </w:tabs>
            <w:rPr>
              <w:rFonts w:asciiTheme="minorHAnsi" w:eastAsiaTheme="minorEastAsia" w:hAnsiTheme="minorHAnsi"/>
              <w:noProof/>
              <w:lang w:eastAsia="en-IN"/>
            </w:rPr>
          </w:pPr>
          <w:hyperlink w:anchor="_Toc236250843" w:history="1">
            <w:r w:rsidRPr="00C8594B">
              <w:rPr>
                <w:rStyle w:val="Hyperlink"/>
                <w:noProof/>
              </w:rPr>
              <w:t>The Strategic Illusion of Platform Scalability</w:t>
            </w:r>
            <w:r>
              <w:rPr>
                <w:noProof/>
                <w:webHidden/>
              </w:rPr>
              <w:tab/>
            </w:r>
            <w:r>
              <w:rPr>
                <w:noProof/>
                <w:webHidden/>
              </w:rPr>
              <w:fldChar w:fldCharType="begin"/>
            </w:r>
            <w:r>
              <w:rPr>
                <w:noProof/>
                <w:webHidden/>
              </w:rPr>
              <w:instrText xml:space="preserve"> PAGEREF _Toc236250843 \h </w:instrText>
            </w:r>
            <w:r>
              <w:rPr>
                <w:noProof/>
                <w:webHidden/>
              </w:rPr>
            </w:r>
            <w:r>
              <w:rPr>
                <w:noProof/>
                <w:webHidden/>
              </w:rPr>
              <w:fldChar w:fldCharType="separate"/>
            </w:r>
            <w:r>
              <w:rPr>
                <w:noProof/>
                <w:webHidden/>
              </w:rPr>
              <w:t>10</w:t>
            </w:r>
            <w:r>
              <w:rPr>
                <w:noProof/>
                <w:webHidden/>
              </w:rPr>
              <w:fldChar w:fldCharType="end"/>
            </w:r>
          </w:hyperlink>
        </w:p>
        <w:p w14:paraId="34F8FC54" w14:textId="5EA166DE" w:rsidR="00852EBC" w:rsidRDefault="00852EBC">
          <w:pPr>
            <w:pStyle w:val="TOC2"/>
            <w:tabs>
              <w:tab w:val="right" w:leader="dot" w:pos="9016"/>
            </w:tabs>
            <w:rPr>
              <w:rFonts w:asciiTheme="minorHAnsi" w:eastAsiaTheme="minorEastAsia" w:hAnsiTheme="minorHAnsi"/>
              <w:noProof/>
              <w:lang w:eastAsia="en-IN"/>
            </w:rPr>
          </w:pPr>
          <w:hyperlink w:anchor="_Toc236250844" w:history="1">
            <w:r w:rsidRPr="00C8594B">
              <w:rPr>
                <w:rStyle w:val="Hyperlink"/>
                <w:noProof/>
              </w:rPr>
              <w:t>Entry Mode Strategy and Strategic Synthesis</w:t>
            </w:r>
            <w:r>
              <w:rPr>
                <w:noProof/>
                <w:webHidden/>
              </w:rPr>
              <w:tab/>
            </w:r>
            <w:r>
              <w:rPr>
                <w:noProof/>
                <w:webHidden/>
              </w:rPr>
              <w:fldChar w:fldCharType="begin"/>
            </w:r>
            <w:r>
              <w:rPr>
                <w:noProof/>
                <w:webHidden/>
              </w:rPr>
              <w:instrText xml:space="preserve"> PAGEREF _Toc236250844 \h </w:instrText>
            </w:r>
            <w:r>
              <w:rPr>
                <w:noProof/>
                <w:webHidden/>
              </w:rPr>
            </w:r>
            <w:r>
              <w:rPr>
                <w:noProof/>
                <w:webHidden/>
              </w:rPr>
              <w:fldChar w:fldCharType="separate"/>
            </w:r>
            <w:r>
              <w:rPr>
                <w:noProof/>
                <w:webHidden/>
              </w:rPr>
              <w:t>11</w:t>
            </w:r>
            <w:r>
              <w:rPr>
                <w:noProof/>
                <w:webHidden/>
              </w:rPr>
              <w:fldChar w:fldCharType="end"/>
            </w:r>
          </w:hyperlink>
        </w:p>
        <w:p w14:paraId="4EF4F649" w14:textId="650D6A0B" w:rsidR="00852EBC" w:rsidRDefault="00852EBC">
          <w:pPr>
            <w:pStyle w:val="TOC3"/>
            <w:tabs>
              <w:tab w:val="right" w:leader="dot" w:pos="9016"/>
            </w:tabs>
            <w:rPr>
              <w:rFonts w:asciiTheme="minorHAnsi" w:eastAsiaTheme="minorEastAsia" w:hAnsiTheme="minorHAnsi"/>
              <w:noProof/>
              <w:lang w:eastAsia="en-IN"/>
            </w:rPr>
          </w:pPr>
          <w:hyperlink w:anchor="_Toc236250845" w:history="1">
            <w:r w:rsidRPr="00C8594B">
              <w:rPr>
                <w:rStyle w:val="Hyperlink"/>
                <w:noProof/>
              </w:rPr>
              <w:t>Historical Pattern Recognition And Global Rollout Framework</w:t>
            </w:r>
            <w:r>
              <w:rPr>
                <w:noProof/>
                <w:webHidden/>
              </w:rPr>
              <w:tab/>
            </w:r>
            <w:r>
              <w:rPr>
                <w:noProof/>
                <w:webHidden/>
              </w:rPr>
              <w:fldChar w:fldCharType="begin"/>
            </w:r>
            <w:r>
              <w:rPr>
                <w:noProof/>
                <w:webHidden/>
              </w:rPr>
              <w:instrText xml:space="preserve"> PAGEREF _Toc236250845 \h </w:instrText>
            </w:r>
            <w:r>
              <w:rPr>
                <w:noProof/>
                <w:webHidden/>
              </w:rPr>
            </w:r>
            <w:r>
              <w:rPr>
                <w:noProof/>
                <w:webHidden/>
              </w:rPr>
              <w:fldChar w:fldCharType="separate"/>
            </w:r>
            <w:r>
              <w:rPr>
                <w:noProof/>
                <w:webHidden/>
              </w:rPr>
              <w:t>11</w:t>
            </w:r>
            <w:r>
              <w:rPr>
                <w:noProof/>
                <w:webHidden/>
              </w:rPr>
              <w:fldChar w:fldCharType="end"/>
            </w:r>
          </w:hyperlink>
        </w:p>
        <w:p w14:paraId="26992B35" w14:textId="6C4BB272" w:rsidR="00852EBC" w:rsidRDefault="00852EBC">
          <w:pPr>
            <w:pStyle w:val="TOC3"/>
            <w:tabs>
              <w:tab w:val="right" w:leader="dot" w:pos="9016"/>
            </w:tabs>
            <w:rPr>
              <w:rFonts w:asciiTheme="minorHAnsi" w:eastAsiaTheme="minorEastAsia" w:hAnsiTheme="minorHAnsi"/>
              <w:noProof/>
              <w:lang w:eastAsia="en-IN"/>
            </w:rPr>
          </w:pPr>
          <w:hyperlink w:anchor="_Toc236250846" w:history="1">
            <w:r w:rsidRPr="00C8594B">
              <w:rPr>
                <w:rStyle w:val="Hyperlink"/>
                <w:noProof/>
              </w:rPr>
              <w:t>Strategic Fit And Jurisdiction For The Host Country</w:t>
            </w:r>
            <w:r>
              <w:rPr>
                <w:noProof/>
                <w:webHidden/>
              </w:rPr>
              <w:tab/>
            </w:r>
            <w:r>
              <w:rPr>
                <w:noProof/>
                <w:webHidden/>
              </w:rPr>
              <w:fldChar w:fldCharType="begin"/>
            </w:r>
            <w:r>
              <w:rPr>
                <w:noProof/>
                <w:webHidden/>
              </w:rPr>
              <w:instrText xml:space="preserve"> PAGEREF _Toc236250846 \h </w:instrText>
            </w:r>
            <w:r>
              <w:rPr>
                <w:noProof/>
                <w:webHidden/>
              </w:rPr>
            </w:r>
            <w:r>
              <w:rPr>
                <w:noProof/>
                <w:webHidden/>
              </w:rPr>
              <w:fldChar w:fldCharType="separate"/>
            </w:r>
            <w:r>
              <w:rPr>
                <w:noProof/>
                <w:webHidden/>
              </w:rPr>
              <w:t>12</w:t>
            </w:r>
            <w:r>
              <w:rPr>
                <w:noProof/>
                <w:webHidden/>
              </w:rPr>
              <w:fldChar w:fldCharType="end"/>
            </w:r>
          </w:hyperlink>
        </w:p>
        <w:p w14:paraId="5D1B5E2E" w14:textId="20824AC1" w:rsidR="00852EBC" w:rsidRDefault="00852EBC">
          <w:pPr>
            <w:pStyle w:val="TOC1"/>
            <w:tabs>
              <w:tab w:val="right" w:leader="dot" w:pos="9016"/>
            </w:tabs>
            <w:rPr>
              <w:rFonts w:asciiTheme="minorHAnsi" w:eastAsiaTheme="minorEastAsia" w:hAnsiTheme="minorHAnsi"/>
              <w:noProof/>
              <w:lang w:eastAsia="en-IN"/>
            </w:rPr>
          </w:pPr>
          <w:hyperlink w:anchor="_Toc236250847" w:history="1">
            <w:r w:rsidRPr="00C8594B">
              <w:rPr>
                <w:rStyle w:val="Hyperlink"/>
                <w:noProof/>
              </w:rPr>
              <w:t>Section 2: Reflective Account</w:t>
            </w:r>
            <w:r>
              <w:rPr>
                <w:noProof/>
                <w:webHidden/>
              </w:rPr>
              <w:tab/>
            </w:r>
            <w:r>
              <w:rPr>
                <w:noProof/>
                <w:webHidden/>
              </w:rPr>
              <w:fldChar w:fldCharType="begin"/>
            </w:r>
            <w:r>
              <w:rPr>
                <w:noProof/>
                <w:webHidden/>
              </w:rPr>
              <w:instrText xml:space="preserve"> PAGEREF _Toc236250847 \h </w:instrText>
            </w:r>
            <w:r>
              <w:rPr>
                <w:noProof/>
                <w:webHidden/>
              </w:rPr>
            </w:r>
            <w:r>
              <w:rPr>
                <w:noProof/>
                <w:webHidden/>
              </w:rPr>
              <w:fldChar w:fldCharType="separate"/>
            </w:r>
            <w:r>
              <w:rPr>
                <w:noProof/>
                <w:webHidden/>
              </w:rPr>
              <w:t>16</w:t>
            </w:r>
            <w:r>
              <w:rPr>
                <w:noProof/>
                <w:webHidden/>
              </w:rPr>
              <w:fldChar w:fldCharType="end"/>
            </w:r>
          </w:hyperlink>
        </w:p>
        <w:p w14:paraId="7DF8E0F3" w14:textId="18F773E9" w:rsidR="00852EBC" w:rsidRDefault="00852EBC">
          <w:pPr>
            <w:pStyle w:val="TOC2"/>
            <w:tabs>
              <w:tab w:val="right" w:leader="dot" w:pos="9016"/>
            </w:tabs>
            <w:rPr>
              <w:rFonts w:asciiTheme="minorHAnsi" w:eastAsiaTheme="minorEastAsia" w:hAnsiTheme="minorHAnsi"/>
              <w:noProof/>
              <w:lang w:eastAsia="en-IN"/>
            </w:rPr>
          </w:pPr>
          <w:hyperlink w:anchor="_Toc236250848" w:history="1">
            <w:r w:rsidRPr="00C8594B">
              <w:rPr>
                <w:rStyle w:val="Hyperlink"/>
                <w:noProof/>
              </w:rPr>
              <w:t>Introduction</w:t>
            </w:r>
            <w:r>
              <w:rPr>
                <w:noProof/>
                <w:webHidden/>
              </w:rPr>
              <w:tab/>
            </w:r>
            <w:r>
              <w:rPr>
                <w:noProof/>
                <w:webHidden/>
              </w:rPr>
              <w:fldChar w:fldCharType="begin"/>
            </w:r>
            <w:r>
              <w:rPr>
                <w:noProof/>
                <w:webHidden/>
              </w:rPr>
              <w:instrText xml:space="preserve"> PAGEREF _Toc236250848 \h </w:instrText>
            </w:r>
            <w:r>
              <w:rPr>
                <w:noProof/>
                <w:webHidden/>
              </w:rPr>
            </w:r>
            <w:r>
              <w:rPr>
                <w:noProof/>
                <w:webHidden/>
              </w:rPr>
              <w:fldChar w:fldCharType="separate"/>
            </w:r>
            <w:r>
              <w:rPr>
                <w:noProof/>
                <w:webHidden/>
              </w:rPr>
              <w:t>16</w:t>
            </w:r>
            <w:r>
              <w:rPr>
                <w:noProof/>
                <w:webHidden/>
              </w:rPr>
              <w:fldChar w:fldCharType="end"/>
            </w:r>
          </w:hyperlink>
        </w:p>
        <w:p w14:paraId="4FDACD1A" w14:textId="26B12907" w:rsidR="00852EBC" w:rsidRDefault="00852EBC">
          <w:pPr>
            <w:pStyle w:val="TOC2"/>
            <w:tabs>
              <w:tab w:val="right" w:leader="dot" w:pos="9016"/>
            </w:tabs>
            <w:rPr>
              <w:rFonts w:asciiTheme="minorHAnsi" w:eastAsiaTheme="minorEastAsia" w:hAnsiTheme="minorHAnsi"/>
              <w:noProof/>
              <w:lang w:eastAsia="en-IN"/>
            </w:rPr>
          </w:pPr>
          <w:hyperlink w:anchor="_Toc236250849" w:history="1">
            <w:r w:rsidRPr="00C8594B">
              <w:rPr>
                <w:rStyle w:val="Hyperlink"/>
                <w:noProof/>
              </w:rPr>
              <w:t>Description</w:t>
            </w:r>
            <w:r>
              <w:rPr>
                <w:noProof/>
                <w:webHidden/>
              </w:rPr>
              <w:tab/>
            </w:r>
            <w:r>
              <w:rPr>
                <w:noProof/>
                <w:webHidden/>
              </w:rPr>
              <w:fldChar w:fldCharType="begin"/>
            </w:r>
            <w:r>
              <w:rPr>
                <w:noProof/>
                <w:webHidden/>
              </w:rPr>
              <w:instrText xml:space="preserve"> PAGEREF _Toc236250849 \h </w:instrText>
            </w:r>
            <w:r>
              <w:rPr>
                <w:noProof/>
                <w:webHidden/>
              </w:rPr>
            </w:r>
            <w:r>
              <w:rPr>
                <w:noProof/>
                <w:webHidden/>
              </w:rPr>
              <w:fldChar w:fldCharType="separate"/>
            </w:r>
            <w:r>
              <w:rPr>
                <w:noProof/>
                <w:webHidden/>
              </w:rPr>
              <w:t>16</w:t>
            </w:r>
            <w:r>
              <w:rPr>
                <w:noProof/>
                <w:webHidden/>
              </w:rPr>
              <w:fldChar w:fldCharType="end"/>
            </w:r>
          </w:hyperlink>
        </w:p>
        <w:p w14:paraId="17FB3DFB" w14:textId="3EB94DAB" w:rsidR="00852EBC" w:rsidRDefault="00852EBC">
          <w:pPr>
            <w:pStyle w:val="TOC2"/>
            <w:tabs>
              <w:tab w:val="right" w:leader="dot" w:pos="9016"/>
            </w:tabs>
            <w:rPr>
              <w:rFonts w:asciiTheme="minorHAnsi" w:eastAsiaTheme="minorEastAsia" w:hAnsiTheme="minorHAnsi"/>
              <w:noProof/>
              <w:lang w:eastAsia="en-IN"/>
            </w:rPr>
          </w:pPr>
          <w:hyperlink w:anchor="_Toc236250850" w:history="1">
            <w:r w:rsidRPr="00C8594B">
              <w:rPr>
                <w:rStyle w:val="Hyperlink"/>
                <w:noProof/>
              </w:rPr>
              <w:t>Feelings</w:t>
            </w:r>
            <w:r>
              <w:rPr>
                <w:noProof/>
                <w:webHidden/>
              </w:rPr>
              <w:tab/>
            </w:r>
            <w:r>
              <w:rPr>
                <w:noProof/>
                <w:webHidden/>
              </w:rPr>
              <w:fldChar w:fldCharType="begin"/>
            </w:r>
            <w:r>
              <w:rPr>
                <w:noProof/>
                <w:webHidden/>
              </w:rPr>
              <w:instrText xml:space="preserve"> PAGEREF _Toc236250850 \h </w:instrText>
            </w:r>
            <w:r>
              <w:rPr>
                <w:noProof/>
                <w:webHidden/>
              </w:rPr>
            </w:r>
            <w:r>
              <w:rPr>
                <w:noProof/>
                <w:webHidden/>
              </w:rPr>
              <w:fldChar w:fldCharType="separate"/>
            </w:r>
            <w:r>
              <w:rPr>
                <w:noProof/>
                <w:webHidden/>
              </w:rPr>
              <w:t>16</w:t>
            </w:r>
            <w:r>
              <w:rPr>
                <w:noProof/>
                <w:webHidden/>
              </w:rPr>
              <w:fldChar w:fldCharType="end"/>
            </w:r>
          </w:hyperlink>
        </w:p>
        <w:p w14:paraId="1C85905D" w14:textId="2CB7AD37" w:rsidR="00852EBC" w:rsidRDefault="00852EBC">
          <w:pPr>
            <w:pStyle w:val="TOC2"/>
            <w:tabs>
              <w:tab w:val="right" w:leader="dot" w:pos="9016"/>
            </w:tabs>
            <w:rPr>
              <w:rFonts w:asciiTheme="minorHAnsi" w:eastAsiaTheme="minorEastAsia" w:hAnsiTheme="minorHAnsi"/>
              <w:noProof/>
              <w:lang w:eastAsia="en-IN"/>
            </w:rPr>
          </w:pPr>
          <w:hyperlink w:anchor="_Toc236250851" w:history="1">
            <w:r w:rsidRPr="00C8594B">
              <w:rPr>
                <w:rStyle w:val="Hyperlink"/>
                <w:noProof/>
              </w:rPr>
              <w:t>Evaluation</w:t>
            </w:r>
            <w:r>
              <w:rPr>
                <w:noProof/>
                <w:webHidden/>
              </w:rPr>
              <w:tab/>
            </w:r>
            <w:r>
              <w:rPr>
                <w:noProof/>
                <w:webHidden/>
              </w:rPr>
              <w:fldChar w:fldCharType="begin"/>
            </w:r>
            <w:r>
              <w:rPr>
                <w:noProof/>
                <w:webHidden/>
              </w:rPr>
              <w:instrText xml:space="preserve"> PAGEREF _Toc236250851 \h </w:instrText>
            </w:r>
            <w:r>
              <w:rPr>
                <w:noProof/>
                <w:webHidden/>
              </w:rPr>
            </w:r>
            <w:r>
              <w:rPr>
                <w:noProof/>
                <w:webHidden/>
              </w:rPr>
              <w:fldChar w:fldCharType="separate"/>
            </w:r>
            <w:r>
              <w:rPr>
                <w:noProof/>
                <w:webHidden/>
              </w:rPr>
              <w:t>17</w:t>
            </w:r>
            <w:r>
              <w:rPr>
                <w:noProof/>
                <w:webHidden/>
              </w:rPr>
              <w:fldChar w:fldCharType="end"/>
            </w:r>
          </w:hyperlink>
        </w:p>
        <w:p w14:paraId="4B0012E1" w14:textId="5BB9CAC6" w:rsidR="00852EBC" w:rsidRDefault="00852EBC">
          <w:pPr>
            <w:pStyle w:val="TOC2"/>
            <w:tabs>
              <w:tab w:val="right" w:leader="dot" w:pos="9016"/>
            </w:tabs>
            <w:rPr>
              <w:rFonts w:asciiTheme="minorHAnsi" w:eastAsiaTheme="minorEastAsia" w:hAnsiTheme="minorHAnsi"/>
              <w:noProof/>
              <w:lang w:eastAsia="en-IN"/>
            </w:rPr>
          </w:pPr>
          <w:hyperlink w:anchor="_Toc236250852" w:history="1">
            <w:r w:rsidRPr="00C8594B">
              <w:rPr>
                <w:rStyle w:val="Hyperlink"/>
                <w:noProof/>
              </w:rPr>
              <w:t>Analysis</w:t>
            </w:r>
            <w:r>
              <w:rPr>
                <w:noProof/>
                <w:webHidden/>
              </w:rPr>
              <w:tab/>
            </w:r>
            <w:r>
              <w:rPr>
                <w:noProof/>
                <w:webHidden/>
              </w:rPr>
              <w:fldChar w:fldCharType="begin"/>
            </w:r>
            <w:r>
              <w:rPr>
                <w:noProof/>
                <w:webHidden/>
              </w:rPr>
              <w:instrText xml:space="preserve"> PAGEREF _Toc236250852 \h </w:instrText>
            </w:r>
            <w:r>
              <w:rPr>
                <w:noProof/>
                <w:webHidden/>
              </w:rPr>
            </w:r>
            <w:r>
              <w:rPr>
                <w:noProof/>
                <w:webHidden/>
              </w:rPr>
              <w:fldChar w:fldCharType="separate"/>
            </w:r>
            <w:r>
              <w:rPr>
                <w:noProof/>
                <w:webHidden/>
              </w:rPr>
              <w:t>17</w:t>
            </w:r>
            <w:r>
              <w:rPr>
                <w:noProof/>
                <w:webHidden/>
              </w:rPr>
              <w:fldChar w:fldCharType="end"/>
            </w:r>
          </w:hyperlink>
        </w:p>
        <w:p w14:paraId="5CE12C6F" w14:textId="2E174558" w:rsidR="00852EBC" w:rsidRDefault="00852EBC">
          <w:pPr>
            <w:pStyle w:val="TOC2"/>
            <w:tabs>
              <w:tab w:val="right" w:leader="dot" w:pos="9016"/>
            </w:tabs>
            <w:rPr>
              <w:rFonts w:asciiTheme="minorHAnsi" w:eastAsiaTheme="minorEastAsia" w:hAnsiTheme="minorHAnsi"/>
              <w:noProof/>
              <w:lang w:eastAsia="en-IN"/>
            </w:rPr>
          </w:pPr>
          <w:hyperlink w:anchor="_Toc236250853" w:history="1">
            <w:r w:rsidRPr="00C8594B">
              <w:rPr>
                <w:rStyle w:val="Hyperlink"/>
                <w:noProof/>
              </w:rPr>
              <w:t>Conclusion</w:t>
            </w:r>
            <w:r>
              <w:rPr>
                <w:noProof/>
                <w:webHidden/>
              </w:rPr>
              <w:tab/>
            </w:r>
            <w:r>
              <w:rPr>
                <w:noProof/>
                <w:webHidden/>
              </w:rPr>
              <w:fldChar w:fldCharType="begin"/>
            </w:r>
            <w:r>
              <w:rPr>
                <w:noProof/>
                <w:webHidden/>
              </w:rPr>
              <w:instrText xml:space="preserve"> PAGEREF _Toc236250853 \h </w:instrText>
            </w:r>
            <w:r>
              <w:rPr>
                <w:noProof/>
                <w:webHidden/>
              </w:rPr>
            </w:r>
            <w:r>
              <w:rPr>
                <w:noProof/>
                <w:webHidden/>
              </w:rPr>
              <w:fldChar w:fldCharType="separate"/>
            </w:r>
            <w:r>
              <w:rPr>
                <w:noProof/>
                <w:webHidden/>
              </w:rPr>
              <w:t>17</w:t>
            </w:r>
            <w:r>
              <w:rPr>
                <w:noProof/>
                <w:webHidden/>
              </w:rPr>
              <w:fldChar w:fldCharType="end"/>
            </w:r>
          </w:hyperlink>
        </w:p>
        <w:p w14:paraId="45729157" w14:textId="27AF3116" w:rsidR="00852EBC" w:rsidRDefault="00852EBC">
          <w:pPr>
            <w:pStyle w:val="TOC2"/>
            <w:tabs>
              <w:tab w:val="right" w:leader="dot" w:pos="9016"/>
            </w:tabs>
            <w:rPr>
              <w:rFonts w:asciiTheme="minorHAnsi" w:eastAsiaTheme="minorEastAsia" w:hAnsiTheme="minorHAnsi"/>
              <w:noProof/>
              <w:lang w:eastAsia="en-IN"/>
            </w:rPr>
          </w:pPr>
          <w:hyperlink w:anchor="_Toc236250854" w:history="1">
            <w:r w:rsidRPr="00C8594B">
              <w:rPr>
                <w:rStyle w:val="Hyperlink"/>
                <w:noProof/>
              </w:rPr>
              <w:t>Action plan</w:t>
            </w:r>
            <w:r>
              <w:rPr>
                <w:noProof/>
                <w:webHidden/>
              </w:rPr>
              <w:tab/>
            </w:r>
            <w:r>
              <w:rPr>
                <w:noProof/>
                <w:webHidden/>
              </w:rPr>
              <w:fldChar w:fldCharType="begin"/>
            </w:r>
            <w:r>
              <w:rPr>
                <w:noProof/>
                <w:webHidden/>
              </w:rPr>
              <w:instrText xml:space="preserve"> PAGEREF _Toc236250854 \h </w:instrText>
            </w:r>
            <w:r>
              <w:rPr>
                <w:noProof/>
                <w:webHidden/>
              </w:rPr>
            </w:r>
            <w:r>
              <w:rPr>
                <w:noProof/>
                <w:webHidden/>
              </w:rPr>
              <w:fldChar w:fldCharType="separate"/>
            </w:r>
            <w:r>
              <w:rPr>
                <w:noProof/>
                <w:webHidden/>
              </w:rPr>
              <w:t>18</w:t>
            </w:r>
            <w:r>
              <w:rPr>
                <w:noProof/>
                <w:webHidden/>
              </w:rPr>
              <w:fldChar w:fldCharType="end"/>
            </w:r>
          </w:hyperlink>
        </w:p>
        <w:p w14:paraId="573E897A" w14:textId="5FC1FAE9" w:rsidR="00852EBC" w:rsidRDefault="00852EBC">
          <w:pPr>
            <w:pStyle w:val="TOC1"/>
            <w:tabs>
              <w:tab w:val="right" w:leader="dot" w:pos="9016"/>
            </w:tabs>
            <w:rPr>
              <w:rFonts w:asciiTheme="minorHAnsi" w:eastAsiaTheme="minorEastAsia" w:hAnsiTheme="minorHAnsi"/>
              <w:noProof/>
              <w:lang w:eastAsia="en-IN"/>
            </w:rPr>
          </w:pPr>
          <w:hyperlink w:anchor="_Toc236250855" w:history="1">
            <w:r w:rsidRPr="00C8594B">
              <w:rPr>
                <w:rStyle w:val="Hyperlink"/>
                <w:noProof/>
              </w:rPr>
              <w:t>References</w:t>
            </w:r>
            <w:r>
              <w:rPr>
                <w:noProof/>
                <w:webHidden/>
              </w:rPr>
              <w:tab/>
            </w:r>
            <w:r>
              <w:rPr>
                <w:noProof/>
                <w:webHidden/>
              </w:rPr>
              <w:fldChar w:fldCharType="begin"/>
            </w:r>
            <w:r>
              <w:rPr>
                <w:noProof/>
                <w:webHidden/>
              </w:rPr>
              <w:instrText xml:space="preserve"> PAGEREF _Toc236250855 \h </w:instrText>
            </w:r>
            <w:r>
              <w:rPr>
                <w:noProof/>
                <w:webHidden/>
              </w:rPr>
            </w:r>
            <w:r>
              <w:rPr>
                <w:noProof/>
                <w:webHidden/>
              </w:rPr>
              <w:fldChar w:fldCharType="separate"/>
            </w:r>
            <w:r>
              <w:rPr>
                <w:noProof/>
                <w:webHidden/>
              </w:rPr>
              <w:t>19</w:t>
            </w:r>
            <w:r>
              <w:rPr>
                <w:noProof/>
                <w:webHidden/>
              </w:rPr>
              <w:fldChar w:fldCharType="end"/>
            </w:r>
          </w:hyperlink>
        </w:p>
        <w:p w14:paraId="78C0A5CE" w14:textId="152CE31E" w:rsidR="00AA048B" w:rsidRDefault="00AA048B">
          <w:r>
            <w:rPr>
              <w:b/>
              <w:bCs/>
              <w:noProof/>
            </w:rPr>
            <w:fldChar w:fldCharType="end"/>
          </w:r>
        </w:p>
      </w:sdtContent>
    </w:sdt>
    <w:p w14:paraId="478F53E8" w14:textId="77777777" w:rsidR="00EB240D" w:rsidRPr="00AA048B" w:rsidRDefault="00EB240D" w:rsidP="00AA048B">
      <w:pPr>
        <w:rPr>
          <w:rFonts w:cs="Times New Roman"/>
        </w:rPr>
      </w:pPr>
      <w:r w:rsidRPr="00AA048B">
        <w:rPr>
          <w:rFonts w:cs="Times New Roman"/>
        </w:rPr>
        <w:br w:type="page"/>
      </w:r>
    </w:p>
    <w:p w14:paraId="14E07A43" w14:textId="02BF063B" w:rsidR="00AA048B" w:rsidRDefault="00AA048B" w:rsidP="00AA048B">
      <w:pPr>
        <w:pStyle w:val="Heading1"/>
      </w:pPr>
      <w:bookmarkStart w:id="0" w:name="_Toc236250835"/>
      <w:r>
        <w:lastRenderedPageBreak/>
        <w:t>Section 1</w:t>
      </w:r>
      <w:bookmarkEnd w:id="0"/>
    </w:p>
    <w:p w14:paraId="43195147" w14:textId="5F5F84CB" w:rsidR="00EB240D" w:rsidRPr="00AA048B" w:rsidRDefault="00EB240D" w:rsidP="00AA048B">
      <w:pPr>
        <w:pStyle w:val="Heading2"/>
      </w:pPr>
      <w:bookmarkStart w:id="1" w:name="_Toc236250836"/>
      <w:r w:rsidRPr="00AA048B">
        <w:t>Organisational Classification and Global Strategy</w:t>
      </w:r>
      <w:bookmarkEnd w:id="1"/>
      <w:r w:rsidRPr="00AA048B">
        <w:t xml:space="preserve"> </w:t>
      </w:r>
    </w:p>
    <w:p w14:paraId="22300E61" w14:textId="71F8B4B4" w:rsidR="00EB240D" w:rsidRPr="00AA048B" w:rsidRDefault="00EB240D" w:rsidP="00AA048B">
      <w:pPr>
        <w:pStyle w:val="Heading3"/>
      </w:pPr>
      <w:bookmarkStart w:id="2" w:name="_Toc236250837"/>
      <w:r w:rsidRPr="00AA048B">
        <w:t>Strategic Categorisation</w:t>
      </w:r>
      <w:bookmarkEnd w:id="2"/>
      <w:r w:rsidRPr="00AA048B">
        <w:t xml:space="preserve"> </w:t>
      </w:r>
    </w:p>
    <w:p w14:paraId="4B63F200" w14:textId="28FA83ED" w:rsidR="00E77A64" w:rsidRPr="00AA048B" w:rsidRDefault="00EB240D" w:rsidP="00AA048B">
      <w:pPr>
        <w:rPr>
          <w:rFonts w:cs="Times New Roman"/>
        </w:rPr>
      </w:pPr>
      <w:r w:rsidRPr="00AA048B">
        <w:rPr>
          <w:rFonts w:cs="Times New Roman"/>
        </w:rPr>
        <w:t xml:space="preserve">In order to finalise the international strategy choice for Netflix, Bartlett and Ghoshal’s (1989) classic structural strategic framework offers a strong analytical tool. This model features multinational corporations on the basis of 2 different strategic pressures: the pressure for local responsiveness and the pressure for global integration. While the traditional </w:t>
      </w:r>
      <w:r w:rsidR="00B63360" w:rsidRPr="00AA048B">
        <w:rPr>
          <w:rFonts w:cs="Times New Roman"/>
        </w:rPr>
        <w:t>over-the-top</w:t>
      </w:r>
      <w:r w:rsidRPr="00AA048B">
        <w:rPr>
          <w:rFonts w:cs="Times New Roman"/>
        </w:rPr>
        <w:t xml:space="preserve"> (OTT) media services have historically shifted towards a centralised ‘Global strategy’ by exporting the standardised content of America globally, contemporary operations of Netflix are effectively classified under </w:t>
      </w:r>
      <w:r w:rsidRPr="00AA048B">
        <w:rPr>
          <w:rFonts w:cs="Times New Roman"/>
          <w:b/>
          <w:bCs/>
          <w:i/>
          <w:iCs/>
        </w:rPr>
        <w:t>Transnational Strategy</w:t>
      </w:r>
      <w:r w:rsidRPr="00AA048B">
        <w:rPr>
          <w:rFonts w:cs="Times New Roman"/>
        </w:rPr>
        <w:t xml:space="preserve"> (Gómez and Muñoz </w:t>
      </w:r>
      <w:proofErr w:type="spellStart"/>
      <w:r w:rsidRPr="00AA048B">
        <w:rPr>
          <w:rFonts w:cs="Times New Roman"/>
        </w:rPr>
        <w:t>Larroa</w:t>
      </w:r>
      <w:proofErr w:type="spellEnd"/>
      <w:r w:rsidRPr="00AA048B">
        <w:rPr>
          <w:rFonts w:cs="Times New Roman"/>
        </w:rPr>
        <w:t>, 2023).</w:t>
      </w:r>
    </w:p>
    <w:p w14:paraId="3F19B3E6" w14:textId="77777777" w:rsidR="00E77A64" w:rsidRPr="00AA048B" w:rsidRDefault="00E77A64" w:rsidP="00AA048B">
      <w:pPr>
        <w:keepNext/>
        <w:jc w:val="center"/>
        <w:rPr>
          <w:rFonts w:cs="Times New Roman"/>
        </w:rPr>
      </w:pPr>
      <w:r w:rsidRPr="00AA048B">
        <w:rPr>
          <w:rFonts w:cs="Times New Roman"/>
          <w:noProof/>
        </w:rPr>
        <w:drawing>
          <wp:inline distT="0" distB="0" distL="0" distR="0" wp14:anchorId="7B3DC12D" wp14:editId="477788B4">
            <wp:extent cx="2972058" cy="2651990"/>
            <wp:effectExtent l="152400" t="152400" r="361950" b="358140"/>
            <wp:docPr id="74314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14618" name=""/>
                    <pic:cNvPicPr/>
                  </pic:nvPicPr>
                  <pic:blipFill>
                    <a:blip r:embed="rId9"/>
                    <a:stretch>
                      <a:fillRect/>
                    </a:stretch>
                  </pic:blipFill>
                  <pic:spPr>
                    <a:xfrm>
                      <a:off x="0" y="0"/>
                      <a:ext cx="2972058" cy="2651990"/>
                    </a:xfrm>
                    <a:prstGeom prst="rect">
                      <a:avLst/>
                    </a:prstGeom>
                    <a:ln>
                      <a:noFill/>
                    </a:ln>
                    <a:effectLst>
                      <a:outerShdw blurRad="292100" dist="139700" dir="2700000" algn="tl" rotWithShape="0">
                        <a:srgbClr val="333333">
                          <a:alpha val="65000"/>
                        </a:srgbClr>
                      </a:outerShdw>
                    </a:effectLst>
                  </pic:spPr>
                </pic:pic>
              </a:graphicData>
            </a:graphic>
          </wp:inline>
        </w:drawing>
      </w:r>
    </w:p>
    <w:p w14:paraId="58174775" w14:textId="64B347D0" w:rsidR="00E77A64" w:rsidRPr="00AA048B" w:rsidRDefault="00E77A64" w:rsidP="00AA048B">
      <w:pPr>
        <w:pStyle w:val="Caption"/>
        <w:jc w:val="center"/>
        <w:rPr>
          <w:rFonts w:cs="Times New Roman"/>
          <w:szCs w:val="24"/>
        </w:rPr>
      </w:pPr>
      <w:r w:rsidRPr="00AA048B">
        <w:rPr>
          <w:rFonts w:cs="Times New Roman"/>
          <w:szCs w:val="24"/>
        </w:rPr>
        <w:t xml:space="preserve">Figure </w:t>
      </w:r>
      <w:r w:rsidRPr="00AA048B">
        <w:rPr>
          <w:rFonts w:cs="Times New Roman"/>
          <w:szCs w:val="24"/>
        </w:rPr>
        <w:fldChar w:fldCharType="begin"/>
      </w:r>
      <w:r w:rsidRPr="00AA048B">
        <w:rPr>
          <w:rFonts w:cs="Times New Roman"/>
          <w:szCs w:val="24"/>
        </w:rPr>
        <w:instrText xml:space="preserve"> SEQ Figure \* ARABIC </w:instrText>
      </w:r>
      <w:r w:rsidRPr="00AA048B">
        <w:rPr>
          <w:rFonts w:cs="Times New Roman"/>
          <w:szCs w:val="24"/>
        </w:rPr>
        <w:fldChar w:fldCharType="separate"/>
      </w:r>
      <w:r w:rsidR="00885479">
        <w:rPr>
          <w:rFonts w:cs="Times New Roman"/>
          <w:noProof/>
          <w:szCs w:val="24"/>
        </w:rPr>
        <w:t>1</w:t>
      </w:r>
      <w:r w:rsidRPr="00AA048B">
        <w:rPr>
          <w:rFonts w:cs="Times New Roman"/>
          <w:szCs w:val="24"/>
        </w:rPr>
        <w:fldChar w:fldCharType="end"/>
      </w:r>
      <w:r w:rsidRPr="00AA048B">
        <w:rPr>
          <w:rFonts w:cs="Times New Roman"/>
          <w:szCs w:val="24"/>
        </w:rPr>
        <w:t>: Strategic categorisation</w:t>
      </w:r>
    </w:p>
    <w:p w14:paraId="73D483A6" w14:textId="047E5A8D" w:rsidR="00E77A64" w:rsidRPr="00AA048B" w:rsidRDefault="00E77A64" w:rsidP="00AA048B">
      <w:pPr>
        <w:jc w:val="center"/>
        <w:rPr>
          <w:rFonts w:cs="Times New Roman"/>
        </w:rPr>
      </w:pPr>
      <w:r w:rsidRPr="00AA048B">
        <w:rPr>
          <w:rFonts w:cs="Times New Roman"/>
        </w:rPr>
        <w:t>(Source: Author, 2026)</w:t>
      </w:r>
    </w:p>
    <w:p w14:paraId="2EB320AA" w14:textId="64E39232" w:rsidR="00E77A64" w:rsidRPr="00AA048B" w:rsidRDefault="00E77A64" w:rsidP="00AA048B">
      <w:pPr>
        <w:rPr>
          <w:rFonts w:cs="Times New Roman"/>
        </w:rPr>
      </w:pPr>
      <w:r w:rsidRPr="00AA048B">
        <w:rPr>
          <w:rFonts w:cs="Times New Roman"/>
        </w:rPr>
        <w:t xml:space="preserve">A transnational strategy </w:t>
      </w:r>
      <w:r w:rsidR="003D2CA8">
        <w:rPr>
          <w:rFonts w:cs="Times New Roman"/>
        </w:rPr>
        <w:t>requires</w:t>
      </w:r>
      <w:r w:rsidRPr="00AA048B">
        <w:rPr>
          <w:rFonts w:cs="Times New Roman"/>
        </w:rPr>
        <w:t xml:space="preserve"> the organisation to simultaneously obtain a high global efficacy using the incorporation while maintaining intense local responsiveness in the individual markets. Balance is maintained by Netflix in these competing forces in </w:t>
      </w:r>
      <w:r w:rsidR="00B63360" w:rsidRPr="00AA048B">
        <w:rPr>
          <w:rFonts w:cs="Times New Roman"/>
        </w:rPr>
        <w:t>a</w:t>
      </w:r>
      <w:r w:rsidRPr="00AA048B">
        <w:rPr>
          <w:rFonts w:cs="Times New Roman"/>
        </w:rPr>
        <w:t xml:space="preserve"> seamless manner. On the one hand, the global integration is led by the standardised digital ecosystem</w:t>
      </w:r>
      <w:r w:rsidR="00B63360" w:rsidRPr="00AA048B">
        <w:rPr>
          <w:rFonts w:cs="Times New Roman"/>
        </w:rPr>
        <w:t>,</w:t>
      </w:r>
      <w:r w:rsidRPr="00AA048B">
        <w:rPr>
          <w:rFonts w:cs="Times New Roman"/>
        </w:rPr>
        <w:t xml:space="preserve"> which is highly centralised. The platform uses </w:t>
      </w:r>
      <w:r w:rsidR="00B63360" w:rsidRPr="00AA048B">
        <w:rPr>
          <w:rFonts w:cs="Times New Roman"/>
        </w:rPr>
        <w:t>a</w:t>
      </w:r>
      <w:r w:rsidRPr="00AA048B">
        <w:rPr>
          <w:rFonts w:cs="Times New Roman"/>
        </w:rPr>
        <w:t xml:space="preserve"> single, globally scalable cloud infrastructure that is powered by Amazon Web Services (AWS) and its proprietary Open Connect content delivery network (CDN) architecture to stream data in about 190 nations. </w:t>
      </w:r>
    </w:p>
    <w:p w14:paraId="0B03A845" w14:textId="2642E203" w:rsidR="00C36A26" w:rsidRPr="00AA048B" w:rsidRDefault="00C36A26" w:rsidP="00AA048B">
      <w:pPr>
        <w:rPr>
          <w:rFonts w:cs="Times New Roman"/>
        </w:rPr>
      </w:pPr>
      <w:r w:rsidRPr="00AA048B">
        <w:rPr>
          <w:rFonts w:cs="Times New Roman"/>
        </w:rPr>
        <w:t>On the other hand, its local responsiveness is exceptionally high, executed using a concept which is called ‘</w:t>
      </w:r>
      <w:proofErr w:type="spellStart"/>
      <w:r w:rsidRPr="00AA048B">
        <w:rPr>
          <w:rFonts w:cs="Times New Roman"/>
        </w:rPr>
        <w:t>glocalisation</w:t>
      </w:r>
      <w:proofErr w:type="spellEnd"/>
      <w:r w:rsidRPr="00AA048B">
        <w:rPr>
          <w:rFonts w:cs="Times New Roman"/>
        </w:rPr>
        <w:t xml:space="preserve">’. Rather than wholly depending on US-centric exports, Netflix makes heavy investments </w:t>
      </w:r>
      <w:r w:rsidR="00907D32" w:rsidRPr="00AA048B">
        <w:rPr>
          <w:rFonts w:cs="Times New Roman"/>
        </w:rPr>
        <w:t xml:space="preserve">in local-language original commissions (like </w:t>
      </w:r>
      <w:r w:rsidR="00907D32" w:rsidRPr="00AA048B">
        <w:rPr>
          <w:rFonts w:cs="Times New Roman"/>
          <w:i/>
          <w:iCs/>
        </w:rPr>
        <w:t xml:space="preserve">La Casa de Papel </w:t>
      </w:r>
      <w:r w:rsidR="00907D32" w:rsidRPr="00AA048B">
        <w:rPr>
          <w:rFonts w:cs="Times New Roman"/>
        </w:rPr>
        <w:t xml:space="preserve">in Spain or </w:t>
      </w:r>
      <w:r w:rsidR="00907D32" w:rsidRPr="00AA048B">
        <w:rPr>
          <w:rFonts w:cs="Times New Roman"/>
          <w:i/>
          <w:iCs/>
        </w:rPr>
        <w:t xml:space="preserve">Squid Game </w:t>
      </w:r>
      <w:r w:rsidR="00907D32" w:rsidRPr="00AA048B">
        <w:rPr>
          <w:rFonts w:cs="Times New Roman"/>
        </w:rPr>
        <w:t>in South Korea. It also uses adaptive, market-specific pricing models to accommodate contrasting regional purchasing powers (</w:t>
      </w:r>
      <w:proofErr w:type="spellStart"/>
      <w:r w:rsidR="00907D32" w:rsidRPr="00AA048B">
        <w:rPr>
          <w:rFonts w:cs="Times New Roman"/>
        </w:rPr>
        <w:t>Umbrex</w:t>
      </w:r>
      <w:proofErr w:type="spellEnd"/>
      <w:r w:rsidR="00907D32" w:rsidRPr="00AA048B">
        <w:rPr>
          <w:rFonts w:cs="Times New Roman"/>
        </w:rPr>
        <w:t xml:space="preserve">, 2024; </w:t>
      </w:r>
      <w:proofErr w:type="spellStart"/>
      <w:r w:rsidR="00907D32" w:rsidRPr="00AA048B">
        <w:rPr>
          <w:rFonts w:cs="Times New Roman"/>
        </w:rPr>
        <w:t>ByteBridge</w:t>
      </w:r>
      <w:proofErr w:type="spellEnd"/>
      <w:r w:rsidR="00907D32" w:rsidRPr="00AA048B">
        <w:rPr>
          <w:rFonts w:cs="Times New Roman"/>
        </w:rPr>
        <w:t xml:space="preserve">, 2025). This </w:t>
      </w:r>
      <w:r w:rsidR="00907D32" w:rsidRPr="00AA048B">
        <w:rPr>
          <w:rFonts w:cs="Times New Roman"/>
        </w:rPr>
        <w:lastRenderedPageBreak/>
        <w:t xml:space="preserve">high-integration, high-responsiveness operational blueprint firmly establishes Netflix as the modern, asset-light transnational digital </w:t>
      </w:r>
      <w:r w:rsidR="00B63360" w:rsidRPr="00AA048B">
        <w:rPr>
          <w:rFonts w:cs="Times New Roman"/>
        </w:rPr>
        <w:t>competitor</w:t>
      </w:r>
      <w:r w:rsidR="00907D32" w:rsidRPr="00AA048B">
        <w:rPr>
          <w:rFonts w:cs="Times New Roman"/>
        </w:rPr>
        <w:t xml:space="preserve">. </w:t>
      </w:r>
    </w:p>
    <w:p w14:paraId="36208547" w14:textId="6D27037C" w:rsidR="00907D32" w:rsidRPr="00AA048B" w:rsidRDefault="00907D32" w:rsidP="00AA048B">
      <w:pPr>
        <w:pStyle w:val="Heading3"/>
      </w:pPr>
      <w:bookmarkStart w:id="3" w:name="_Toc236250838"/>
      <w:r w:rsidRPr="00AA048B">
        <w:t>Global Configuration</w:t>
      </w:r>
      <w:bookmarkEnd w:id="3"/>
      <w:r w:rsidRPr="00AA048B">
        <w:t xml:space="preserve"> </w:t>
      </w:r>
    </w:p>
    <w:p w14:paraId="1A0C2DC7" w14:textId="05675D2C" w:rsidR="004A49BE" w:rsidRPr="00AA048B" w:rsidRDefault="00907D32" w:rsidP="00AA048B">
      <w:pPr>
        <w:rPr>
          <w:rFonts w:cs="Times New Roman"/>
        </w:rPr>
      </w:pPr>
      <w:r w:rsidRPr="00AA048B">
        <w:rPr>
          <w:rFonts w:cs="Times New Roman"/>
        </w:rPr>
        <w:t xml:space="preserve">The current global configuration and geographic footprint of Netflix are strategically designed to improve the both cross-border and cost-effective value creation. Unlike traditional multinational enterprises that </w:t>
      </w:r>
      <w:r w:rsidR="00B63360" w:rsidRPr="00AA048B">
        <w:rPr>
          <w:rFonts w:cs="Times New Roman"/>
        </w:rPr>
        <w:t>develop</w:t>
      </w:r>
      <w:r w:rsidRPr="00AA048B">
        <w:rPr>
          <w:rFonts w:cs="Times New Roman"/>
        </w:rPr>
        <w:t xml:space="preserve"> tangible physical factories, the configuration of </w:t>
      </w:r>
      <w:r w:rsidR="003D2CA8">
        <w:rPr>
          <w:rFonts w:cs="Times New Roman"/>
        </w:rPr>
        <w:t xml:space="preserve">the </w:t>
      </w:r>
      <w:r w:rsidRPr="00AA048B">
        <w:rPr>
          <w:rFonts w:cs="Times New Roman"/>
        </w:rPr>
        <w:t xml:space="preserve">digital platform centres on the geographic </w:t>
      </w:r>
      <w:r w:rsidR="00B63360" w:rsidRPr="00AA048B">
        <w:rPr>
          <w:rFonts w:cs="Times New Roman"/>
        </w:rPr>
        <w:t>dispersion</w:t>
      </w:r>
      <w:r w:rsidRPr="00AA048B">
        <w:rPr>
          <w:rFonts w:cs="Times New Roman"/>
        </w:rPr>
        <w:t xml:space="preserve"> of its data pipelines, intellectual property</w:t>
      </w:r>
      <w:r w:rsidR="004A49BE" w:rsidRPr="00AA048B">
        <w:rPr>
          <w:rFonts w:cs="Times New Roman"/>
        </w:rPr>
        <w:t xml:space="preserve"> and localised production networks (</w:t>
      </w:r>
      <w:r w:rsidR="00251BE5" w:rsidRPr="00AA048B">
        <w:rPr>
          <w:rFonts w:cs="Times New Roman"/>
        </w:rPr>
        <w:t>Becker-</w:t>
      </w:r>
      <w:proofErr w:type="spellStart"/>
      <w:r w:rsidR="00251BE5" w:rsidRPr="00AA048B">
        <w:rPr>
          <w:rFonts w:cs="Times New Roman"/>
        </w:rPr>
        <w:t>Ritterspach</w:t>
      </w:r>
      <w:proofErr w:type="spellEnd"/>
      <w:r w:rsidR="00251BE5" w:rsidRPr="00AA048B">
        <w:rPr>
          <w:rFonts w:cs="Times New Roman"/>
        </w:rPr>
        <w:t>, 2025</w:t>
      </w:r>
      <w:r w:rsidR="004A49BE" w:rsidRPr="00AA048B">
        <w:rPr>
          <w:rFonts w:cs="Times New Roman"/>
        </w:rPr>
        <w:t xml:space="preserve">). The creative hubs of Netflix </w:t>
      </w:r>
      <w:r w:rsidR="00B63360" w:rsidRPr="00AA048B">
        <w:rPr>
          <w:rFonts w:cs="Times New Roman"/>
        </w:rPr>
        <w:t>have</w:t>
      </w:r>
      <w:r w:rsidR="004A49BE" w:rsidRPr="00AA048B">
        <w:rPr>
          <w:rFonts w:cs="Times New Roman"/>
        </w:rPr>
        <w:t xml:space="preserve"> been decentralised across key global zones, maintaining the regional headquarters in Singapore, Amsterdam, Mexico </w:t>
      </w:r>
      <w:r w:rsidR="00B63360" w:rsidRPr="00AA048B">
        <w:rPr>
          <w:rFonts w:cs="Times New Roman"/>
        </w:rPr>
        <w:t>City,</w:t>
      </w:r>
      <w:r w:rsidR="004A49BE" w:rsidRPr="00AA048B">
        <w:rPr>
          <w:rFonts w:cs="Times New Roman"/>
        </w:rPr>
        <w:t xml:space="preserve"> and Tokyo to coordinate the localised talent acquisition and fulfil the mandatory regulatory requirements of the regions (Gómez and Muñoz </w:t>
      </w:r>
      <w:proofErr w:type="spellStart"/>
      <w:r w:rsidR="004A49BE" w:rsidRPr="00AA048B">
        <w:rPr>
          <w:rFonts w:cs="Times New Roman"/>
        </w:rPr>
        <w:t>Larroa</w:t>
      </w:r>
      <w:proofErr w:type="spellEnd"/>
      <w:r w:rsidR="004A49BE" w:rsidRPr="00AA048B">
        <w:rPr>
          <w:rFonts w:cs="Times New Roman"/>
        </w:rPr>
        <w:t xml:space="preserve">, 2023). </w:t>
      </w:r>
    </w:p>
    <w:p w14:paraId="6928201F" w14:textId="379EBC54" w:rsidR="004A49BE" w:rsidRPr="00AA048B" w:rsidRDefault="004A49BE" w:rsidP="00AA048B">
      <w:pPr>
        <w:rPr>
          <w:rFonts w:cs="Times New Roman"/>
        </w:rPr>
      </w:pPr>
      <w:r w:rsidRPr="00AA048B">
        <w:rPr>
          <w:rFonts w:cs="Times New Roman"/>
        </w:rPr>
        <w:t xml:space="preserve">This global configuration yields a sustainable rivalry benefit using the two chief mechanisms: </w:t>
      </w:r>
    </w:p>
    <w:p w14:paraId="597A0B55" w14:textId="2019F512" w:rsidR="004A49BE" w:rsidRPr="00AA048B" w:rsidRDefault="004A49BE" w:rsidP="00AA048B">
      <w:pPr>
        <w:pStyle w:val="ListParagraph"/>
        <w:numPr>
          <w:ilvl w:val="0"/>
          <w:numId w:val="3"/>
        </w:numPr>
        <w:rPr>
          <w:rFonts w:cs="Times New Roman"/>
        </w:rPr>
      </w:pPr>
      <w:r w:rsidRPr="00AA048B">
        <w:rPr>
          <w:rFonts w:cs="Times New Roman"/>
        </w:rPr>
        <w:t xml:space="preserve">Global demand aggregation: Netflix uses its huge global audience, exceeding about 270 million paid memberships, to aggregate micro-segmented demand on </w:t>
      </w:r>
      <w:r w:rsidR="00B63360" w:rsidRPr="00AA048B">
        <w:rPr>
          <w:rFonts w:cs="Times New Roman"/>
        </w:rPr>
        <w:t>a</w:t>
      </w:r>
      <w:r w:rsidRPr="00AA048B">
        <w:rPr>
          <w:rFonts w:cs="Times New Roman"/>
        </w:rPr>
        <w:t xml:space="preserve"> single platform (</w:t>
      </w:r>
      <w:proofErr w:type="spellStart"/>
      <w:r w:rsidRPr="00AA048B">
        <w:rPr>
          <w:rFonts w:cs="Times New Roman"/>
        </w:rPr>
        <w:t>Umbrex</w:t>
      </w:r>
      <w:proofErr w:type="spellEnd"/>
      <w:r w:rsidRPr="00AA048B">
        <w:rPr>
          <w:rFonts w:cs="Times New Roman"/>
        </w:rPr>
        <w:t xml:space="preserve">, 2024). A niche local production </w:t>
      </w:r>
      <w:r w:rsidR="00FC5F46" w:rsidRPr="00AA048B">
        <w:rPr>
          <w:rFonts w:cs="Times New Roman"/>
        </w:rPr>
        <w:t xml:space="preserve">commissioned in the emerging market can quickly become </w:t>
      </w:r>
      <w:r w:rsidR="00B63360" w:rsidRPr="00AA048B">
        <w:rPr>
          <w:rFonts w:cs="Times New Roman"/>
        </w:rPr>
        <w:t>a</w:t>
      </w:r>
      <w:r w:rsidR="00FC5F46" w:rsidRPr="00AA048B">
        <w:rPr>
          <w:rFonts w:cs="Times New Roman"/>
        </w:rPr>
        <w:t xml:space="preserve"> global commercial hit. This drastically</w:t>
      </w:r>
      <w:r w:rsidR="00235029" w:rsidRPr="00AA048B">
        <w:rPr>
          <w:rFonts w:cs="Times New Roman"/>
        </w:rPr>
        <w:t xml:space="preserve"> decreases the economic risk of content financing. </w:t>
      </w:r>
    </w:p>
    <w:p w14:paraId="7946E11D" w14:textId="64D795EC" w:rsidR="00235029" w:rsidRPr="00AA048B" w:rsidRDefault="00235029" w:rsidP="00AA048B">
      <w:pPr>
        <w:pStyle w:val="ListParagraph"/>
        <w:numPr>
          <w:ilvl w:val="0"/>
          <w:numId w:val="3"/>
        </w:numPr>
        <w:rPr>
          <w:rFonts w:cs="Times New Roman"/>
        </w:rPr>
      </w:pPr>
      <w:r w:rsidRPr="00AA048B">
        <w:rPr>
          <w:rFonts w:cs="Times New Roman"/>
        </w:rPr>
        <w:t xml:space="preserve">Data-driven feedback loops: The competitive rivalry of the company is further sustained by the advanced, centralised infrastructure of machine learning. The platform tracks macro-level international viewing habits, click-through metrics in real time and content retention rates. This structural alignment helps the company </w:t>
      </w:r>
      <w:r w:rsidR="00095EA2" w:rsidRPr="00AA048B">
        <w:rPr>
          <w:rFonts w:cs="Times New Roman"/>
        </w:rPr>
        <w:t xml:space="preserve">to optimise its content spending by forecasting precisely which localised narrative of culture will attain the highest global engagement. This successfully moves geographical diversity into corporate value creation. </w:t>
      </w:r>
    </w:p>
    <w:p w14:paraId="22F12233" w14:textId="32980561" w:rsidR="00095EA2" w:rsidRPr="00AA048B" w:rsidRDefault="00095EA2" w:rsidP="00AA048B">
      <w:pPr>
        <w:pStyle w:val="Heading2"/>
      </w:pPr>
      <w:bookmarkStart w:id="4" w:name="_Toc236250839"/>
      <w:r w:rsidRPr="00AA048B">
        <w:t>Macro-Environmental Appraisal and Market Attractiveness</w:t>
      </w:r>
      <w:bookmarkEnd w:id="4"/>
      <w:r w:rsidRPr="00AA048B">
        <w:t xml:space="preserve"> </w:t>
      </w:r>
    </w:p>
    <w:p w14:paraId="2ABE7680" w14:textId="6362B59B" w:rsidR="00095EA2" w:rsidRPr="00AA048B" w:rsidRDefault="00774654" w:rsidP="00AA048B">
      <w:pPr>
        <w:rPr>
          <w:rFonts w:cs="Times New Roman"/>
          <w:bCs/>
        </w:rPr>
      </w:pPr>
      <w:r w:rsidRPr="00AA048B">
        <w:rPr>
          <w:rFonts w:cs="Times New Roman"/>
          <w:bCs/>
        </w:rPr>
        <w:t xml:space="preserve">The evaluation of the market entry in the international market for the digital transnational corporation needs the critical synthesis of the macro-environmental factors and institutional circumstances. In the case of Netflix, entering the mainland </w:t>
      </w:r>
      <w:r w:rsidRPr="00AA048B">
        <w:rPr>
          <w:rFonts w:cs="Times New Roman"/>
          <w:b/>
          <w:i/>
          <w:iCs/>
        </w:rPr>
        <w:t>China</w:t>
      </w:r>
      <w:r w:rsidRPr="00AA048B">
        <w:rPr>
          <w:rFonts w:cs="Times New Roman"/>
          <w:bCs/>
        </w:rPr>
        <w:t xml:space="preserve"> market presents the ultimate strategic paradox. China has the largest digital consumer base in the world, yet it maintains an insular and highly regulated digital ecosystem which is protected by robust institutional boundaries</w:t>
      </w:r>
      <w:r w:rsidR="00251BE5" w:rsidRPr="00AA048B">
        <w:rPr>
          <w:rFonts w:cs="Times New Roman"/>
          <w:bCs/>
        </w:rPr>
        <w:t>,</w:t>
      </w:r>
      <w:r w:rsidRPr="00AA048B">
        <w:rPr>
          <w:rFonts w:cs="Times New Roman"/>
          <w:bCs/>
        </w:rPr>
        <w:t xml:space="preserve"> including laws and regulations. This section offers a critical and rigorous appraisal of the macro environment of China through the </w:t>
      </w:r>
      <w:r w:rsidR="00B63360" w:rsidRPr="00AA048B">
        <w:rPr>
          <w:rFonts w:cs="Times New Roman"/>
          <w:bCs/>
        </w:rPr>
        <w:t>industry-specific</w:t>
      </w:r>
      <w:r w:rsidR="00021769" w:rsidRPr="00AA048B">
        <w:rPr>
          <w:rFonts w:cs="Times New Roman"/>
          <w:bCs/>
        </w:rPr>
        <w:t xml:space="preserve"> PEST (political, economic, social and technological) framework. It will then synthesise these results into the Eclectic paradigm of John Dunning (OLI framework) to assess the true strategic attractiveness of the market. </w:t>
      </w:r>
    </w:p>
    <w:p w14:paraId="381241A8" w14:textId="176A25EA" w:rsidR="00021769" w:rsidRPr="00AA048B" w:rsidRDefault="00021769" w:rsidP="00AA048B">
      <w:pPr>
        <w:pStyle w:val="Heading3"/>
      </w:pPr>
      <w:bookmarkStart w:id="5" w:name="_Toc236250840"/>
      <w:r w:rsidRPr="00AA048B">
        <w:t xml:space="preserve">Host </w:t>
      </w:r>
      <w:r w:rsidR="00AA048B" w:rsidRPr="00AA048B">
        <w:t>Country Macro Environmental Appraisal (</w:t>
      </w:r>
      <w:r w:rsidRPr="00AA048B">
        <w:t>PEST Analysis</w:t>
      </w:r>
      <w:r w:rsidR="00AA048B" w:rsidRPr="00AA048B">
        <w:t>)</w:t>
      </w:r>
      <w:bookmarkEnd w:id="5"/>
      <w:r w:rsidR="00AA048B" w:rsidRPr="00AA048B">
        <w:t xml:space="preserve"> </w:t>
      </w:r>
    </w:p>
    <w:p w14:paraId="0ECFE4FB" w14:textId="0250576A" w:rsidR="00021769" w:rsidRPr="00AA048B" w:rsidRDefault="00B63360" w:rsidP="00AA048B">
      <w:pPr>
        <w:rPr>
          <w:rFonts w:cs="Times New Roman"/>
          <w:b/>
          <w:i/>
          <w:iCs/>
        </w:rPr>
      </w:pPr>
      <w:r w:rsidRPr="00AA048B">
        <w:rPr>
          <w:rFonts w:cs="Times New Roman"/>
          <w:b/>
          <w:i/>
          <w:iCs/>
        </w:rPr>
        <w:t>Political</w:t>
      </w:r>
      <w:r w:rsidR="00021769" w:rsidRPr="00AA048B">
        <w:rPr>
          <w:rFonts w:cs="Times New Roman"/>
          <w:b/>
          <w:i/>
          <w:iCs/>
        </w:rPr>
        <w:t xml:space="preserve"> environment and institutional censorship</w:t>
      </w:r>
    </w:p>
    <w:p w14:paraId="35FCDD99" w14:textId="403FE7F9" w:rsidR="00021769" w:rsidRPr="00AA048B" w:rsidRDefault="00B63360" w:rsidP="00AA048B">
      <w:pPr>
        <w:rPr>
          <w:rFonts w:cs="Times New Roman"/>
          <w:bCs/>
        </w:rPr>
      </w:pPr>
      <w:r w:rsidRPr="00AA048B">
        <w:rPr>
          <w:rFonts w:cs="Times New Roman"/>
          <w:bCs/>
        </w:rPr>
        <w:t>The</w:t>
      </w:r>
      <w:r w:rsidR="00021769" w:rsidRPr="00AA048B">
        <w:rPr>
          <w:rFonts w:cs="Times New Roman"/>
          <w:bCs/>
        </w:rPr>
        <w:t xml:space="preserve"> political matrix of </w:t>
      </w:r>
      <w:r w:rsidRPr="00AA048B">
        <w:rPr>
          <w:rFonts w:cs="Times New Roman"/>
          <w:bCs/>
        </w:rPr>
        <w:t xml:space="preserve">the </w:t>
      </w:r>
      <w:r w:rsidR="00021769" w:rsidRPr="00AA048B">
        <w:rPr>
          <w:rFonts w:cs="Times New Roman"/>
          <w:bCs/>
        </w:rPr>
        <w:t xml:space="preserve">People’s Republic of China (PRC) is featured by the government following </w:t>
      </w:r>
      <w:r w:rsidRPr="00AA048B">
        <w:rPr>
          <w:rFonts w:cs="Times New Roman"/>
          <w:bCs/>
        </w:rPr>
        <w:t xml:space="preserve">an </w:t>
      </w:r>
      <w:r w:rsidR="00021769" w:rsidRPr="00AA048B">
        <w:rPr>
          <w:rFonts w:cs="Times New Roman"/>
          <w:bCs/>
        </w:rPr>
        <w:t xml:space="preserve">authoritative model in which the state exercises absolute hegemony over the </w:t>
      </w:r>
      <w:r w:rsidR="00021769" w:rsidRPr="00AA048B">
        <w:rPr>
          <w:rFonts w:cs="Times New Roman"/>
          <w:bCs/>
        </w:rPr>
        <w:lastRenderedPageBreak/>
        <w:t xml:space="preserve">digital infrastructure, ideological dissemination and media distribution. Unlike </w:t>
      </w:r>
      <w:r w:rsidRPr="00AA048B">
        <w:rPr>
          <w:rFonts w:cs="Times New Roman"/>
          <w:bCs/>
        </w:rPr>
        <w:t>Western</w:t>
      </w:r>
      <w:r w:rsidR="00021769" w:rsidRPr="00AA048B">
        <w:rPr>
          <w:rFonts w:cs="Times New Roman"/>
          <w:bCs/>
        </w:rPr>
        <w:t xml:space="preserve"> liberal democracies in which media consumption is totally governed by </w:t>
      </w:r>
      <w:r w:rsidRPr="00AA048B">
        <w:rPr>
          <w:rFonts w:cs="Times New Roman"/>
          <w:bCs/>
        </w:rPr>
        <w:t>self-regulation</w:t>
      </w:r>
      <w:r w:rsidR="00021769" w:rsidRPr="00AA048B">
        <w:rPr>
          <w:rFonts w:cs="Times New Roman"/>
          <w:bCs/>
        </w:rPr>
        <w:t xml:space="preserve"> and market mechanisms, the Chinese state views entertainment and media as </w:t>
      </w:r>
      <w:r w:rsidRPr="00AA048B">
        <w:rPr>
          <w:rFonts w:cs="Times New Roman"/>
          <w:bCs/>
        </w:rPr>
        <w:t>instruments</w:t>
      </w:r>
      <w:r w:rsidR="00021769" w:rsidRPr="00AA048B">
        <w:rPr>
          <w:rFonts w:cs="Times New Roman"/>
          <w:bCs/>
        </w:rPr>
        <w:t xml:space="preserve"> of national security, ideological control and cultural sovereignty (Zhao and Sun, 2023). The major regulatory organs, particularly the Cyberspace Administration of China (CAC) and the National Radio and Television Administration (NRTA), enforce the uncompromising regime of censorship. Any foreign platform presenting content </w:t>
      </w:r>
      <w:r w:rsidRPr="00AA048B">
        <w:rPr>
          <w:rFonts w:cs="Times New Roman"/>
          <w:bCs/>
        </w:rPr>
        <w:t>that</w:t>
      </w:r>
      <w:r w:rsidR="00021769" w:rsidRPr="00AA048B">
        <w:rPr>
          <w:rFonts w:cs="Times New Roman"/>
          <w:bCs/>
        </w:rPr>
        <w:t xml:space="preserve"> seeks to enter the Chinese market must navigate a political environment that demands absolute compliance with the socialist fundamental values. This </w:t>
      </w:r>
      <w:r w:rsidRPr="00AA048B">
        <w:rPr>
          <w:rFonts w:cs="Times New Roman"/>
          <w:bCs/>
        </w:rPr>
        <w:t>requires</w:t>
      </w:r>
      <w:r w:rsidR="00021769" w:rsidRPr="00AA048B">
        <w:rPr>
          <w:rFonts w:cs="Times New Roman"/>
          <w:bCs/>
        </w:rPr>
        <w:t xml:space="preserve"> the removal of narratives including sensitive historical reinterpretations, political dissent or social behaviour deemed </w:t>
      </w:r>
      <w:r w:rsidRPr="00AA048B">
        <w:rPr>
          <w:rFonts w:cs="Times New Roman"/>
          <w:bCs/>
        </w:rPr>
        <w:t>incompatible</w:t>
      </w:r>
      <w:r w:rsidR="00021769" w:rsidRPr="00AA048B">
        <w:rPr>
          <w:rFonts w:cs="Times New Roman"/>
          <w:bCs/>
        </w:rPr>
        <w:t xml:space="preserve"> with the ideology of </w:t>
      </w:r>
      <w:r w:rsidRPr="00AA048B">
        <w:rPr>
          <w:rFonts w:cs="Times New Roman"/>
          <w:bCs/>
        </w:rPr>
        <w:t>the</w:t>
      </w:r>
      <w:r w:rsidR="00021769" w:rsidRPr="00AA048B">
        <w:rPr>
          <w:rFonts w:cs="Times New Roman"/>
          <w:bCs/>
        </w:rPr>
        <w:t xml:space="preserve"> state (</w:t>
      </w:r>
      <w:r w:rsidR="00831D7E" w:rsidRPr="00AA048B">
        <w:rPr>
          <w:rFonts w:cs="Times New Roman"/>
        </w:rPr>
        <w:t>Hoffman, 2025</w:t>
      </w:r>
      <w:r w:rsidR="00021769" w:rsidRPr="00AA048B">
        <w:rPr>
          <w:rFonts w:cs="Times New Roman"/>
          <w:bCs/>
        </w:rPr>
        <w:t xml:space="preserve">). </w:t>
      </w:r>
    </w:p>
    <w:p w14:paraId="458FFBFA" w14:textId="4375380B" w:rsidR="00021769" w:rsidRPr="00AA048B" w:rsidRDefault="00021769" w:rsidP="00AA048B">
      <w:pPr>
        <w:rPr>
          <w:rFonts w:cs="Times New Roman"/>
          <w:bCs/>
        </w:rPr>
      </w:pPr>
      <w:r w:rsidRPr="00AA048B">
        <w:rPr>
          <w:rFonts w:cs="Times New Roman"/>
          <w:bCs/>
        </w:rPr>
        <w:t xml:space="preserve">For </w:t>
      </w:r>
      <w:r w:rsidR="00B63360" w:rsidRPr="00AA048B">
        <w:rPr>
          <w:rFonts w:cs="Times New Roman"/>
          <w:bCs/>
        </w:rPr>
        <w:t>a</w:t>
      </w:r>
      <w:r w:rsidRPr="00AA048B">
        <w:rPr>
          <w:rFonts w:cs="Times New Roman"/>
          <w:bCs/>
        </w:rPr>
        <w:t xml:space="preserve"> transnational </w:t>
      </w:r>
      <w:r w:rsidR="00B63360" w:rsidRPr="00AA048B">
        <w:rPr>
          <w:rFonts w:cs="Times New Roman"/>
          <w:bCs/>
        </w:rPr>
        <w:t>organisation</w:t>
      </w:r>
      <w:r w:rsidRPr="00AA048B">
        <w:rPr>
          <w:rFonts w:cs="Times New Roman"/>
          <w:bCs/>
        </w:rPr>
        <w:t xml:space="preserve"> like Netflix, whose fundamental value proposition is based on instant global </w:t>
      </w:r>
      <w:r w:rsidR="00B63360" w:rsidRPr="00AA048B">
        <w:rPr>
          <w:rFonts w:cs="Times New Roman"/>
          <w:bCs/>
        </w:rPr>
        <w:t>synchronisation</w:t>
      </w:r>
      <w:r w:rsidRPr="00AA048B">
        <w:rPr>
          <w:rFonts w:cs="Times New Roman"/>
          <w:bCs/>
        </w:rPr>
        <w:t xml:space="preserve"> of its liability and creative freedom, this political reality leads to profound dissonance in </w:t>
      </w:r>
      <w:r w:rsidR="00B63360" w:rsidRPr="00AA048B">
        <w:rPr>
          <w:rFonts w:cs="Times New Roman"/>
          <w:bCs/>
        </w:rPr>
        <w:t>its</w:t>
      </w:r>
      <w:r w:rsidRPr="00AA048B">
        <w:rPr>
          <w:rFonts w:cs="Times New Roman"/>
          <w:bCs/>
        </w:rPr>
        <w:t xml:space="preserve"> operations. Foreign media </w:t>
      </w:r>
      <w:r w:rsidR="00B63360" w:rsidRPr="00AA048B">
        <w:rPr>
          <w:rFonts w:cs="Times New Roman"/>
          <w:bCs/>
        </w:rPr>
        <w:t>organisations</w:t>
      </w:r>
      <w:r w:rsidRPr="00AA048B">
        <w:rPr>
          <w:rFonts w:cs="Times New Roman"/>
          <w:bCs/>
        </w:rPr>
        <w:t xml:space="preserve"> are politically barred from operating </w:t>
      </w:r>
      <w:r w:rsidR="00B63360" w:rsidRPr="00AA048B">
        <w:rPr>
          <w:rFonts w:cs="Times New Roman"/>
          <w:bCs/>
        </w:rPr>
        <w:t>direct-to-consumer</w:t>
      </w:r>
      <w:r w:rsidRPr="00AA048B">
        <w:rPr>
          <w:rFonts w:cs="Times New Roman"/>
          <w:bCs/>
        </w:rPr>
        <w:t xml:space="preserve"> streaming services under the current state laws and regulations. Moreover</w:t>
      </w:r>
      <w:r w:rsidR="00B63360" w:rsidRPr="00AA048B">
        <w:rPr>
          <w:rFonts w:cs="Times New Roman"/>
          <w:bCs/>
        </w:rPr>
        <w:t>,</w:t>
      </w:r>
      <w:r w:rsidRPr="00AA048B">
        <w:rPr>
          <w:rFonts w:cs="Times New Roman"/>
          <w:bCs/>
        </w:rPr>
        <w:t xml:space="preserve"> the robust geopolitical friction between Beijing and Washington also leads to </w:t>
      </w:r>
      <w:r w:rsidR="00B63360" w:rsidRPr="00AA048B">
        <w:rPr>
          <w:rFonts w:cs="Times New Roman"/>
          <w:bCs/>
        </w:rPr>
        <w:t>a</w:t>
      </w:r>
      <w:r w:rsidRPr="00AA048B">
        <w:rPr>
          <w:rFonts w:cs="Times New Roman"/>
          <w:bCs/>
        </w:rPr>
        <w:t xml:space="preserve"> layer of sovereign risk. The regulatory systems can be weaponised as asymmetric </w:t>
      </w:r>
      <w:r w:rsidR="00B63360" w:rsidRPr="00AA048B">
        <w:rPr>
          <w:rFonts w:cs="Times New Roman"/>
          <w:bCs/>
        </w:rPr>
        <w:t>retaliation</w:t>
      </w:r>
      <w:r w:rsidRPr="00AA048B">
        <w:rPr>
          <w:rFonts w:cs="Times New Roman"/>
          <w:bCs/>
        </w:rPr>
        <w:t xml:space="preserve"> against the technology firms of America (</w:t>
      </w:r>
      <w:r w:rsidR="003B38D6" w:rsidRPr="00AA048B">
        <w:rPr>
          <w:rFonts w:cs="Times New Roman"/>
          <w:bCs/>
        </w:rPr>
        <w:t xml:space="preserve">Wen </w:t>
      </w:r>
      <w:r w:rsidR="003B38D6" w:rsidRPr="00AA048B">
        <w:rPr>
          <w:rFonts w:cs="Times New Roman"/>
          <w:bCs/>
          <w:i/>
          <w:iCs/>
        </w:rPr>
        <w:t xml:space="preserve">et al., </w:t>
      </w:r>
      <w:r w:rsidR="003B38D6" w:rsidRPr="00AA048B">
        <w:rPr>
          <w:rFonts w:cs="Times New Roman"/>
          <w:bCs/>
        </w:rPr>
        <w:t>2024</w:t>
      </w:r>
      <w:r w:rsidRPr="00AA048B">
        <w:rPr>
          <w:rFonts w:cs="Times New Roman"/>
          <w:bCs/>
        </w:rPr>
        <w:t>). Consequently, the political environment is highly restrictive</w:t>
      </w:r>
      <w:r w:rsidR="00B63360" w:rsidRPr="00AA048B">
        <w:rPr>
          <w:rFonts w:cs="Times New Roman"/>
          <w:bCs/>
        </w:rPr>
        <w:t>,</w:t>
      </w:r>
      <w:r w:rsidRPr="00AA048B">
        <w:rPr>
          <w:rFonts w:cs="Times New Roman"/>
          <w:bCs/>
        </w:rPr>
        <w:t xml:space="preserve"> which creates structural barriers </w:t>
      </w:r>
      <w:r w:rsidR="00B63360" w:rsidRPr="00AA048B">
        <w:rPr>
          <w:rFonts w:cs="Times New Roman"/>
          <w:bCs/>
        </w:rPr>
        <w:t>that</w:t>
      </w:r>
      <w:r w:rsidRPr="00AA048B">
        <w:rPr>
          <w:rFonts w:cs="Times New Roman"/>
          <w:bCs/>
        </w:rPr>
        <w:t xml:space="preserve"> cannot be avoided through </w:t>
      </w:r>
      <w:r w:rsidR="00B63360" w:rsidRPr="00AA048B">
        <w:rPr>
          <w:rFonts w:cs="Times New Roman"/>
          <w:bCs/>
        </w:rPr>
        <w:t>major</w:t>
      </w:r>
      <w:r w:rsidRPr="00AA048B">
        <w:rPr>
          <w:rFonts w:cs="Times New Roman"/>
          <w:bCs/>
        </w:rPr>
        <w:t xml:space="preserve"> capital expenditure or localised corporate diplomacy. </w:t>
      </w:r>
    </w:p>
    <w:p w14:paraId="34D0775E" w14:textId="2577133F" w:rsidR="00021769" w:rsidRPr="00AA048B" w:rsidRDefault="00021769" w:rsidP="00AA048B">
      <w:pPr>
        <w:rPr>
          <w:rFonts w:cs="Times New Roman"/>
          <w:b/>
          <w:i/>
          <w:iCs/>
        </w:rPr>
      </w:pPr>
      <w:r w:rsidRPr="00AA048B">
        <w:rPr>
          <w:rFonts w:cs="Times New Roman"/>
          <w:b/>
          <w:i/>
          <w:iCs/>
        </w:rPr>
        <w:t>Economic environment and competitor oligopoly</w:t>
      </w:r>
    </w:p>
    <w:p w14:paraId="6B256A7C" w14:textId="427F6053" w:rsidR="00021769" w:rsidRPr="00AA048B" w:rsidRDefault="00021769" w:rsidP="00AA048B">
      <w:pPr>
        <w:rPr>
          <w:rFonts w:cs="Times New Roman"/>
        </w:rPr>
      </w:pPr>
      <w:r w:rsidRPr="00AA048B">
        <w:rPr>
          <w:rFonts w:cs="Times New Roman"/>
        </w:rPr>
        <w:t xml:space="preserve">From the purely macroeconomic viewpoint, the digital entertainment landscape of China is found to be remarkably lucrative. The country boasts one billion Internet users, led by the urban middle class with extended discretionary </w:t>
      </w:r>
      <w:r w:rsidR="00B63360" w:rsidRPr="00AA048B">
        <w:rPr>
          <w:rFonts w:cs="Times New Roman"/>
        </w:rPr>
        <w:t>income</w:t>
      </w:r>
      <w:r w:rsidRPr="00AA048B">
        <w:rPr>
          <w:rFonts w:cs="Times New Roman"/>
        </w:rPr>
        <w:t xml:space="preserve"> and an established willingness to pay for premium digital subscriptions ( </w:t>
      </w:r>
      <w:r w:rsidR="00C90A97" w:rsidRPr="00AA048B">
        <w:rPr>
          <w:rFonts w:cs="Times New Roman"/>
        </w:rPr>
        <w:t>Zhang, 2026</w:t>
      </w:r>
      <w:r w:rsidRPr="00AA048B">
        <w:rPr>
          <w:rFonts w:cs="Times New Roman"/>
        </w:rPr>
        <w:t xml:space="preserve">). The structural maturation of the macroeconomic environment of China has </w:t>
      </w:r>
      <w:r w:rsidR="00B63360" w:rsidRPr="00AA048B">
        <w:rPr>
          <w:rFonts w:cs="Times New Roman"/>
        </w:rPr>
        <w:t>witnessed</w:t>
      </w:r>
      <w:r w:rsidRPr="00AA048B">
        <w:rPr>
          <w:rFonts w:cs="Times New Roman"/>
        </w:rPr>
        <w:t xml:space="preserve"> a decisive transition from the </w:t>
      </w:r>
      <w:r w:rsidR="00B63360" w:rsidRPr="00AA048B">
        <w:rPr>
          <w:rFonts w:cs="Times New Roman"/>
        </w:rPr>
        <w:t>manufacturing-centric</w:t>
      </w:r>
      <w:r w:rsidRPr="00AA048B">
        <w:rPr>
          <w:rFonts w:cs="Times New Roman"/>
        </w:rPr>
        <w:t xml:space="preserve"> model to the </w:t>
      </w:r>
      <w:r w:rsidR="00B63360" w:rsidRPr="00AA048B">
        <w:rPr>
          <w:rFonts w:cs="Times New Roman"/>
        </w:rPr>
        <w:t>consumption-driven</w:t>
      </w:r>
      <w:r w:rsidRPr="00AA048B">
        <w:rPr>
          <w:rFonts w:cs="Times New Roman"/>
        </w:rPr>
        <w:t xml:space="preserve"> and highly technological service economy. This </w:t>
      </w:r>
      <w:r w:rsidR="00B63360" w:rsidRPr="00AA048B">
        <w:rPr>
          <w:rFonts w:cs="Times New Roman"/>
        </w:rPr>
        <w:t>aligns</w:t>
      </w:r>
      <w:r w:rsidRPr="00AA048B">
        <w:rPr>
          <w:rFonts w:cs="Times New Roman"/>
        </w:rPr>
        <w:t xml:space="preserve"> with the </w:t>
      </w:r>
      <w:r w:rsidR="00B63360" w:rsidRPr="00AA048B">
        <w:rPr>
          <w:rFonts w:cs="Times New Roman"/>
        </w:rPr>
        <w:t>long-term</w:t>
      </w:r>
      <w:r w:rsidRPr="00AA048B">
        <w:rPr>
          <w:rFonts w:cs="Times New Roman"/>
        </w:rPr>
        <w:t xml:space="preserve"> trajectories of growth needed by the digital multinational enterprises. Meanwhile, the critical economic appraisal </w:t>
      </w:r>
      <w:r w:rsidR="00B63360" w:rsidRPr="00AA048B">
        <w:rPr>
          <w:rFonts w:cs="Times New Roman"/>
        </w:rPr>
        <w:t>suggests</w:t>
      </w:r>
      <w:r w:rsidRPr="00AA048B">
        <w:rPr>
          <w:rFonts w:cs="Times New Roman"/>
        </w:rPr>
        <w:t xml:space="preserve"> that this market is not an open frontier, but it is </w:t>
      </w:r>
      <w:r w:rsidR="00B63360" w:rsidRPr="00AA048B">
        <w:rPr>
          <w:rFonts w:cs="Times New Roman"/>
        </w:rPr>
        <w:t xml:space="preserve">a </w:t>
      </w:r>
      <w:r w:rsidRPr="00AA048B">
        <w:rPr>
          <w:rFonts w:cs="Times New Roman"/>
        </w:rPr>
        <w:t xml:space="preserve">highly saturated, mature oligopoly which is dominated by entrenched domestic leaders. The digital entertainment sector is firmly locked down by the ‘BAT’ streaming platforms: </w:t>
      </w:r>
    </w:p>
    <w:p w14:paraId="3385979D" w14:textId="77777777" w:rsidR="00021769" w:rsidRPr="00AA048B" w:rsidRDefault="00021769" w:rsidP="00AA048B">
      <w:pPr>
        <w:pStyle w:val="ListParagraph"/>
        <w:numPr>
          <w:ilvl w:val="0"/>
          <w:numId w:val="4"/>
        </w:numPr>
        <w:rPr>
          <w:rFonts w:cs="Times New Roman"/>
        </w:rPr>
      </w:pPr>
      <w:r w:rsidRPr="00AA048B">
        <w:rPr>
          <w:rFonts w:cs="Times New Roman"/>
        </w:rPr>
        <w:t>iQIYI (backed by Baidu)</w:t>
      </w:r>
    </w:p>
    <w:p w14:paraId="6811DF71" w14:textId="77777777" w:rsidR="00021769" w:rsidRPr="00AA048B" w:rsidRDefault="00021769" w:rsidP="00AA048B">
      <w:pPr>
        <w:pStyle w:val="ListParagraph"/>
        <w:numPr>
          <w:ilvl w:val="0"/>
          <w:numId w:val="4"/>
        </w:numPr>
        <w:rPr>
          <w:rFonts w:cs="Times New Roman"/>
        </w:rPr>
      </w:pPr>
      <w:r w:rsidRPr="00AA048B">
        <w:rPr>
          <w:rFonts w:cs="Times New Roman"/>
        </w:rPr>
        <w:t>Tencent Video (Tencent)</w:t>
      </w:r>
    </w:p>
    <w:p w14:paraId="66133FAD" w14:textId="77777777" w:rsidR="00021769" w:rsidRPr="00AA048B" w:rsidRDefault="00021769" w:rsidP="00AA048B">
      <w:pPr>
        <w:pStyle w:val="ListParagraph"/>
        <w:numPr>
          <w:ilvl w:val="0"/>
          <w:numId w:val="4"/>
        </w:numPr>
        <w:rPr>
          <w:rFonts w:cs="Times New Roman"/>
        </w:rPr>
      </w:pPr>
      <w:r w:rsidRPr="00AA048B">
        <w:rPr>
          <w:rFonts w:cs="Times New Roman"/>
        </w:rPr>
        <w:t xml:space="preserve">Youku (Alibaba) </w:t>
      </w:r>
    </w:p>
    <w:p w14:paraId="06EC678E" w14:textId="77D7EC42" w:rsidR="00021769" w:rsidRPr="00AA048B" w:rsidRDefault="00021769" w:rsidP="00AA048B">
      <w:pPr>
        <w:rPr>
          <w:rFonts w:cs="Times New Roman"/>
        </w:rPr>
      </w:pPr>
      <w:r w:rsidRPr="00AA048B">
        <w:rPr>
          <w:rFonts w:cs="Times New Roman"/>
        </w:rPr>
        <w:t xml:space="preserve">These domestic platforms have spent more than a decade </w:t>
      </w:r>
      <w:r w:rsidR="00B63360" w:rsidRPr="00AA048B">
        <w:rPr>
          <w:rFonts w:cs="Times New Roman"/>
        </w:rPr>
        <w:t>optimising</w:t>
      </w:r>
      <w:r w:rsidRPr="00AA048B">
        <w:rPr>
          <w:rFonts w:cs="Times New Roman"/>
        </w:rPr>
        <w:t xml:space="preserve"> their </w:t>
      </w:r>
      <w:r w:rsidR="00B63360" w:rsidRPr="00AA048B">
        <w:rPr>
          <w:rFonts w:cs="Times New Roman"/>
        </w:rPr>
        <w:t>monetisation</w:t>
      </w:r>
      <w:r w:rsidRPr="00AA048B">
        <w:rPr>
          <w:rFonts w:cs="Times New Roman"/>
        </w:rPr>
        <w:t xml:space="preserve"> frameworks. </w:t>
      </w:r>
      <w:r w:rsidR="00B63360" w:rsidRPr="00AA048B">
        <w:rPr>
          <w:rFonts w:cs="Times New Roman"/>
        </w:rPr>
        <w:t>Hyper-integrated</w:t>
      </w:r>
      <w:r w:rsidRPr="00AA048B">
        <w:rPr>
          <w:rFonts w:cs="Times New Roman"/>
        </w:rPr>
        <w:t xml:space="preserve"> freemium structures are used by these platforms</w:t>
      </w:r>
      <w:r w:rsidR="00B63360" w:rsidRPr="00AA048B">
        <w:rPr>
          <w:rFonts w:cs="Times New Roman"/>
        </w:rPr>
        <w:t>,</w:t>
      </w:r>
      <w:r w:rsidRPr="00AA048B">
        <w:rPr>
          <w:rFonts w:cs="Times New Roman"/>
        </w:rPr>
        <w:t xml:space="preserve"> including gamified user retention mechanisms and tight integrations with local digital wallets like Alipay and WeChat (Zhao and Sun, 2023). </w:t>
      </w:r>
    </w:p>
    <w:p w14:paraId="1017D224" w14:textId="0CFE85AD" w:rsidR="00021769" w:rsidRPr="00AA048B" w:rsidRDefault="00021769" w:rsidP="00AA048B">
      <w:pPr>
        <w:rPr>
          <w:rFonts w:cs="Times New Roman"/>
        </w:rPr>
      </w:pPr>
      <w:r w:rsidRPr="00AA048B">
        <w:rPr>
          <w:rFonts w:cs="Times New Roman"/>
        </w:rPr>
        <w:t xml:space="preserve">These domestic rivals enjoy greater economies of scale and have secured deep content pipelines by </w:t>
      </w:r>
      <w:r w:rsidR="00251BE5" w:rsidRPr="00AA048B">
        <w:rPr>
          <w:rFonts w:cs="Times New Roman"/>
        </w:rPr>
        <w:t>signing</w:t>
      </w:r>
      <w:r w:rsidRPr="00AA048B">
        <w:rPr>
          <w:rFonts w:cs="Times New Roman"/>
        </w:rPr>
        <w:t xml:space="preserve"> </w:t>
      </w:r>
      <w:r w:rsidR="00251BE5" w:rsidRPr="00AA048B">
        <w:rPr>
          <w:rFonts w:cs="Times New Roman"/>
        </w:rPr>
        <w:t>multi-year</w:t>
      </w:r>
      <w:r w:rsidRPr="00AA048B">
        <w:rPr>
          <w:rFonts w:cs="Times New Roman"/>
        </w:rPr>
        <w:t xml:space="preserve"> exclusive contracts with the regional production houses across Asia. </w:t>
      </w:r>
      <w:r w:rsidRPr="00AA048B">
        <w:rPr>
          <w:rFonts w:cs="Times New Roman"/>
        </w:rPr>
        <w:lastRenderedPageBreak/>
        <w:t>Moreover</w:t>
      </w:r>
      <w:r w:rsidR="00B63360" w:rsidRPr="00AA048B">
        <w:rPr>
          <w:rFonts w:cs="Times New Roman"/>
        </w:rPr>
        <w:t>,</w:t>
      </w:r>
      <w:r w:rsidRPr="00AA048B">
        <w:rPr>
          <w:rFonts w:cs="Times New Roman"/>
        </w:rPr>
        <w:t xml:space="preserve"> they also take </w:t>
      </w:r>
      <w:r w:rsidR="00B63360" w:rsidRPr="00AA048B">
        <w:rPr>
          <w:rFonts w:cs="Times New Roman"/>
        </w:rPr>
        <w:t>advantage of</w:t>
      </w:r>
      <w:r w:rsidRPr="00AA048B">
        <w:rPr>
          <w:rFonts w:cs="Times New Roman"/>
        </w:rPr>
        <w:t xml:space="preserve"> the </w:t>
      </w:r>
      <w:r w:rsidR="00B63360" w:rsidRPr="00AA048B">
        <w:rPr>
          <w:rFonts w:cs="Times New Roman"/>
        </w:rPr>
        <w:t>low-cost</w:t>
      </w:r>
      <w:r w:rsidRPr="00AA048B">
        <w:rPr>
          <w:rFonts w:cs="Times New Roman"/>
        </w:rPr>
        <w:t xml:space="preserve"> structures for the acquisition of localised content. For Netflix, entering this market would affect the aggressive price wars against the domestic competitors </w:t>
      </w:r>
      <w:r w:rsidR="00B63360" w:rsidRPr="00AA048B">
        <w:rPr>
          <w:rFonts w:cs="Times New Roman"/>
        </w:rPr>
        <w:t>subsidised</w:t>
      </w:r>
      <w:r w:rsidRPr="00AA048B">
        <w:rPr>
          <w:rFonts w:cs="Times New Roman"/>
        </w:rPr>
        <w:t xml:space="preserve"> by the large parent conglomerates. This competitive rivalry can depress the average revenue per membership (ARM) of Netflix while driving the content acquisition cost up to unsustainable levels (Kim</w:t>
      </w:r>
      <w:r w:rsidR="003B38D6" w:rsidRPr="00AA048B">
        <w:rPr>
          <w:rFonts w:cs="Times New Roman"/>
        </w:rPr>
        <w:t>, 2025</w:t>
      </w:r>
      <w:r w:rsidRPr="00AA048B">
        <w:rPr>
          <w:rFonts w:cs="Times New Roman"/>
        </w:rPr>
        <w:t xml:space="preserve">). Thus, while the </w:t>
      </w:r>
      <w:r w:rsidR="00B63360" w:rsidRPr="00AA048B">
        <w:rPr>
          <w:rFonts w:cs="Times New Roman"/>
        </w:rPr>
        <w:t>micro-level</w:t>
      </w:r>
      <w:r w:rsidRPr="00AA048B">
        <w:rPr>
          <w:rFonts w:cs="Times New Roman"/>
        </w:rPr>
        <w:t xml:space="preserve"> consumer potential is highly attractive, the structural economies of the industry represent </w:t>
      </w:r>
      <w:r w:rsidR="003D2CA8">
        <w:rPr>
          <w:rFonts w:cs="Times New Roman"/>
        </w:rPr>
        <w:t>a</w:t>
      </w:r>
      <w:r w:rsidRPr="00AA048B">
        <w:rPr>
          <w:rFonts w:cs="Times New Roman"/>
        </w:rPr>
        <w:t xml:space="preserve"> market </w:t>
      </w:r>
      <w:r w:rsidR="003D2CA8">
        <w:rPr>
          <w:rFonts w:cs="Times New Roman"/>
        </w:rPr>
        <w:t>characterised</w:t>
      </w:r>
      <w:r w:rsidRPr="00AA048B">
        <w:rPr>
          <w:rFonts w:cs="Times New Roman"/>
        </w:rPr>
        <w:t xml:space="preserve"> by increased competition on low margin capacity for foreign entrants. </w:t>
      </w:r>
    </w:p>
    <w:p w14:paraId="5F0C43CA" w14:textId="77777777" w:rsidR="005476C0" w:rsidRPr="00AA048B" w:rsidRDefault="00021769" w:rsidP="00AA048B">
      <w:pPr>
        <w:rPr>
          <w:rFonts w:cs="Times New Roman"/>
          <w:b/>
          <w:bCs/>
          <w:i/>
          <w:iCs/>
        </w:rPr>
      </w:pPr>
      <w:r w:rsidRPr="00AA048B">
        <w:rPr>
          <w:rFonts w:cs="Times New Roman"/>
          <w:b/>
          <w:bCs/>
          <w:i/>
          <w:iCs/>
        </w:rPr>
        <w:t>Legal and regulatory environment</w:t>
      </w:r>
    </w:p>
    <w:p w14:paraId="1AD225C8" w14:textId="2BE90404" w:rsidR="000A11D5" w:rsidRPr="00AA048B" w:rsidRDefault="000A11D5" w:rsidP="00AA048B">
      <w:pPr>
        <w:rPr>
          <w:rFonts w:cs="Times New Roman"/>
        </w:rPr>
      </w:pPr>
      <w:r w:rsidRPr="00AA048B">
        <w:rPr>
          <w:rFonts w:cs="Times New Roman"/>
        </w:rPr>
        <w:t xml:space="preserve">The legal architecture governing the telecommunications, media and technology (TMT) industry of China </w:t>
      </w:r>
      <w:r w:rsidR="00B63360" w:rsidRPr="00AA048B">
        <w:rPr>
          <w:rFonts w:cs="Times New Roman"/>
        </w:rPr>
        <w:t>is</w:t>
      </w:r>
      <w:r w:rsidRPr="00AA048B">
        <w:rPr>
          <w:rFonts w:cs="Times New Roman"/>
        </w:rPr>
        <w:t xml:space="preserve"> highly restrictive and critical for foreign direct </w:t>
      </w:r>
      <w:r w:rsidR="00B63360" w:rsidRPr="00AA048B">
        <w:rPr>
          <w:rFonts w:cs="Times New Roman"/>
        </w:rPr>
        <w:t>investment</w:t>
      </w:r>
      <w:r w:rsidRPr="00AA048B">
        <w:rPr>
          <w:rFonts w:cs="Times New Roman"/>
        </w:rPr>
        <w:t xml:space="preserve"> (FDI). Under the Special Administrative Measures of China for foreign investment access (commonly known as the negative list), foreign ownership in Internet </w:t>
      </w:r>
      <w:r w:rsidR="00AA048B" w:rsidRPr="00AA048B">
        <w:rPr>
          <w:rFonts w:cs="Times New Roman"/>
        </w:rPr>
        <w:t>audiovisual</w:t>
      </w:r>
      <w:r w:rsidRPr="00AA048B">
        <w:rPr>
          <w:rFonts w:cs="Times New Roman"/>
        </w:rPr>
        <w:t xml:space="preserve"> program services, </w:t>
      </w:r>
      <w:r w:rsidR="00AA048B" w:rsidRPr="00AA048B">
        <w:rPr>
          <w:rFonts w:cs="Times New Roman"/>
        </w:rPr>
        <w:t>value-added</w:t>
      </w:r>
      <w:r w:rsidRPr="00AA048B">
        <w:rPr>
          <w:rFonts w:cs="Times New Roman"/>
        </w:rPr>
        <w:t xml:space="preserve"> telecommunication services and cloud computing services is completely prohibited</w:t>
      </w:r>
      <w:r w:rsidR="00AA048B" w:rsidRPr="00AA048B">
        <w:rPr>
          <w:rFonts w:cs="Times New Roman"/>
        </w:rPr>
        <w:t>. A</w:t>
      </w:r>
      <w:r w:rsidRPr="00AA048B">
        <w:rPr>
          <w:rFonts w:cs="Times New Roman"/>
        </w:rPr>
        <w:t xml:space="preserve"> foreign </w:t>
      </w:r>
      <w:r w:rsidR="00AA048B" w:rsidRPr="00AA048B">
        <w:rPr>
          <w:rFonts w:cs="Times New Roman"/>
        </w:rPr>
        <w:t>organisation</w:t>
      </w:r>
      <w:r w:rsidRPr="00AA048B">
        <w:rPr>
          <w:rFonts w:cs="Times New Roman"/>
        </w:rPr>
        <w:t xml:space="preserve"> cannot legally obtain the necessary license for online transmission of audiovisual programs or the Internet content provider (ICP) licenses which are necessary to host the proprietary streaming application on the domestic servers. Apart from the entry barriers, the regulatory frameworks </w:t>
      </w:r>
      <w:r w:rsidR="00B63360" w:rsidRPr="00AA048B">
        <w:rPr>
          <w:rFonts w:cs="Times New Roman"/>
        </w:rPr>
        <w:t>that</w:t>
      </w:r>
      <w:r w:rsidRPr="00AA048B">
        <w:rPr>
          <w:rFonts w:cs="Times New Roman"/>
        </w:rPr>
        <w:t xml:space="preserve"> govern data sovereignty </w:t>
      </w:r>
      <w:r w:rsidR="00B63360" w:rsidRPr="00AA048B">
        <w:rPr>
          <w:rFonts w:cs="Times New Roman"/>
        </w:rPr>
        <w:t>have</w:t>
      </w:r>
      <w:r w:rsidRPr="00AA048B">
        <w:rPr>
          <w:rFonts w:cs="Times New Roman"/>
        </w:rPr>
        <w:t xml:space="preserve"> stiffened </w:t>
      </w:r>
      <w:r w:rsidR="00B63360" w:rsidRPr="00AA048B">
        <w:rPr>
          <w:rFonts w:cs="Times New Roman"/>
        </w:rPr>
        <w:t>significantly</w:t>
      </w:r>
      <w:r w:rsidRPr="00AA048B">
        <w:rPr>
          <w:rFonts w:cs="Times New Roman"/>
        </w:rPr>
        <w:t xml:space="preserve"> through the triad of extensive </w:t>
      </w:r>
      <w:r w:rsidR="00251BE5" w:rsidRPr="00AA048B">
        <w:rPr>
          <w:rFonts w:cs="Times New Roman"/>
        </w:rPr>
        <w:t>legislation</w:t>
      </w:r>
      <w:r w:rsidRPr="00AA048B">
        <w:rPr>
          <w:rFonts w:cs="Times New Roman"/>
        </w:rPr>
        <w:t>.</w:t>
      </w:r>
    </w:p>
    <w:p w14:paraId="118C8728" w14:textId="77777777" w:rsidR="000A11D5" w:rsidRPr="00AA048B" w:rsidRDefault="000A11D5" w:rsidP="00AA048B">
      <w:pPr>
        <w:keepNext/>
        <w:jc w:val="center"/>
        <w:rPr>
          <w:rFonts w:cs="Times New Roman"/>
        </w:rPr>
      </w:pPr>
      <w:r w:rsidRPr="00AA048B">
        <w:rPr>
          <w:rFonts w:cs="Times New Roman"/>
          <w:noProof/>
        </w:rPr>
        <w:drawing>
          <wp:inline distT="0" distB="0" distL="0" distR="0" wp14:anchorId="0A14AA99" wp14:editId="50C8BF5D">
            <wp:extent cx="5486400" cy="1905000"/>
            <wp:effectExtent l="0" t="0" r="38100" b="0"/>
            <wp:docPr id="209370844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729C207" w14:textId="07CC5931" w:rsidR="000A11D5" w:rsidRPr="00AA048B" w:rsidRDefault="000A11D5" w:rsidP="00AA048B">
      <w:pPr>
        <w:pStyle w:val="Caption"/>
        <w:jc w:val="center"/>
        <w:rPr>
          <w:rFonts w:cs="Times New Roman"/>
          <w:szCs w:val="24"/>
        </w:rPr>
      </w:pPr>
      <w:r w:rsidRPr="00AA048B">
        <w:rPr>
          <w:rFonts w:cs="Times New Roman"/>
          <w:szCs w:val="24"/>
        </w:rPr>
        <w:t xml:space="preserve">Figure </w:t>
      </w:r>
      <w:r w:rsidRPr="00AA048B">
        <w:rPr>
          <w:rFonts w:cs="Times New Roman"/>
          <w:szCs w:val="24"/>
        </w:rPr>
        <w:fldChar w:fldCharType="begin"/>
      </w:r>
      <w:r w:rsidRPr="00AA048B">
        <w:rPr>
          <w:rFonts w:cs="Times New Roman"/>
          <w:szCs w:val="24"/>
        </w:rPr>
        <w:instrText xml:space="preserve"> SEQ Figure \* ARABIC </w:instrText>
      </w:r>
      <w:r w:rsidRPr="00AA048B">
        <w:rPr>
          <w:rFonts w:cs="Times New Roman"/>
          <w:szCs w:val="24"/>
        </w:rPr>
        <w:fldChar w:fldCharType="separate"/>
      </w:r>
      <w:r w:rsidR="00885479">
        <w:rPr>
          <w:rFonts w:cs="Times New Roman"/>
          <w:noProof/>
          <w:szCs w:val="24"/>
        </w:rPr>
        <w:t>2</w:t>
      </w:r>
      <w:r w:rsidRPr="00AA048B">
        <w:rPr>
          <w:rFonts w:cs="Times New Roman"/>
          <w:szCs w:val="24"/>
        </w:rPr>
        <w:fldChar w:fldCharType="end"/>
      </w:r>
      <w:r w:rsidRPr="00AA048B">
        <w:rPr>
          <w:rFonts w:cs="Times New Roman"/>
          <w:szCs w:val="24"/>
        </w:rPr>
        <w:t>: Legal and regulatory environment</w:t>
      </w:r>
    </w:p>
    <w:p w14:paraId="3F7CFB03" w14:textId="3B4479E4" w:rsidR="000A11D5" w:rsidRPr="00AA048B" w:rsidRDefault="000A11D5" w:rsidP="00AA048B">
      <w:pPr>
        <w:jc w:val="center"/>
        <w:rPr>
          <w:rFonts w:cs="Times New Roman"/>
        </w:rPr>
      </w:pPr>
      <w:r w:rsidRPr="00AA048B">
        <w:rPr>
          <w:rFonts w:cs="Times New Roman"/>
        </w:rPr>
        <w:t>(Source: Author, 2026)</w:t>
      </w:r>
    </w:p>
    <w:p w14:paraId="28FFCCFB" w14:textId="6973F6C1" w:rsidR="000A11D5" w:rsidRPr="00AA048B" w:rsidRDefault="000A11D5" w:rsidP="00AA048B">
      <w:pPr>
        <w:rPr>
          <w:rFonts w:cs="Times New Roman"/>
        </w:rPr>
      </w:pPr>
      <w:r w:rsidRPr="00AA048B">
        <w:rPr>
          <w:rFonts w:cs="Times New Roman"/>
        </w:rPr>
        <w:t xml:space="preserve">These statutory frameworks have mandated critical cross-border data localisation. Any user information </w:t>
      </w:r>
      <w:r w:rsidR="00B63360" w:rsidRPr="00AA048B">
        <w:rPr>
          <w:rFonts w:cs="Times New Roman"/>
        </w:rPr>
        <w:t>that</w:t>
      </w:r>
      <w:r w:rsidRPr="00AA048B">
        <w:rPr>
          <w:rFonts w:cs="Times New Roman"/>
        </w:rPr>
        <w:t xml:space="preserve"> is generated within the borders of mainland China </w:t>
      </w:r>
      <w:r w:rsidR="00B63360" w:rsidRPr="00AA048B">
        <w:rPr>
          <w:rFonts w:cs="Times New Roman"/>
        </w:rPr>
        <w:t>is</w:t>
      </w:r>
      <w:r w:rsidRPr="00AA048B">
        <w:rPr>
          <w:rFonts w:cs="Times New Roman"/>
        </w:rPr>
        <w:t xml:space="preserve"> required to be stored on domestic servers </w:t>
      </w:r>
      <w:r w:rsidR="00AA048B" w:rsidRPr="00AA048B">
        <w:rPr>
          <w:rFonts w:cs="Times New Roman"/>
        </w:rPr>
        <w:t>that are physically</w:t>
      </w:r>
      <w:r w:rsidRPr="00AA048B">
        <w:rPr>
          <w:rFonts w:cs="Times New Roman"/>
        </w:rPr>
        <w:t xml:space="preserve"> located in the PRC (</w:t>
      </w:r>
      <w:r w:rsidR="00C90A97" w:rsidRPr="00AA048B">
        <w:rPr>
          <w:rFonts w:cs="Times New Roman"/>
        </w:rPr>
        <w:t xml:space="preserve">Belli </w:t>
      </w:r>
      <w:r w:rsidR="00C90A97" w:rsidRPr="00AA048B">
        <w:rPr>
          <w:rFonts w:cs="Times New Roman"/>
          <w:i/>
          <w:iCs/>
        </w:rPr>
        <w:t xml:space="preserve">et al., </w:t>
      </w:r>
      <w:r w:rsidR="00C90A97" w:rsidRPr="00AA048B">
        <w:rPr>
          <w:rFonts w:cs="Times New Roman"/>
        </w:rPr>
        <w:t>2024</w:t>
      </w:r>
      <w:r w:rsidRPr="00AA048B">
        <w:rPr>
          <w:rFonts w:cs="Times New Roman"/>
        </w:rPr>
        <w:t xml:space="preserve">). In the case of Netflix, most competitive </w:t>
      </w:r>
      <w:r w:rsidR="00B63360" w:rsidRPr="00AA048B">
        <w:rPr>
          <w:rFonts w:cs="Times New Roman"/>
        </w:rPr>
        <w:t>benefits rely</w:t>
      </w:r>
      <w:r w:rsidRPr="00AA048B">
        <w:rPr>
          <w:rFonts w:cs="Times New Roman"/>
        </w:rPr>
        <w:t xml:space="preserve"> on streaming user data back on the centralised cloud infrastructure in the US to optimise and manage the forecasting recommendation algorithms</w:t>
      </w:r>
      <w:r w:rsidR="00B63360" w:rsidRPr="00AA048B">
        <w:rPr>
          <w:rFonts w:cs="Times New Roman"/>
        </w:rPr>
        <w:t>;</w:t>
      </w:r>
      <w:r w:rsidRPr="00AA048B">
        <w:rPr>
          <w:rFonts w:cs="Times New Roman"/>
        </w:rPr>
        <w:t xml:space="preserve"> compliance with the DSL and PIPL would need a complete, expensive decoupling of its IT infrastructure. This exposure to the critical regulatory </w:t>
      </w:r>
      <w:r w:rsidR="00B63360" w:rsidRPr="00AA048B">
        <w:rPr>
          <w:rFonts w:cs="Times New Roman"/>
        </w:rPr>
        <w:t>fines</w:t>
      </w:r>
      <w:r w:rsidRPr="00AA048B">
        <w:rPr>
          <w:rFonts w:cs="Times New Roman"/>
        </w:rPr>
        <w:t xml:space="preserve"> and operational suspension risks </w:t>
      </w:r>
      <w:r w:rsidR="00B63360" w:rsidRPr="00AA048B">
        <w:rPr>
          <w:rFonts w:cs="Times New Roman"/>
        </w:rPr>
        <w:t>makes</w:t>
      </w:r>
      <w:r w:rsidRPr="00AA048B">
        <w:rPr>
          <w:rFonts w:cs="Times New Roman"/>
        </w:rPr>
        <w:t xml:space="preserve"> the legal </w:t>
      </w:r>
      <w:r w:rsidR="00B63360" w:rsidRPr="00AA048B">
        <w:rPr>
          <w:rFonts w:cs="Times New Roman"/>
        </w:rPr>
        <w:t xml:space="preserve">environment </w:t>
      </w:r>
      <w:r w:rsidRPr="00AA048B">
        <w:rPr>
          <w:rFonts w:cs="Times New Roman"/>
        </w:rPr>
        <w:t xml:space="preserve">extensively challenging for Netflix to enter the market. </w:t>
      </w:r>
    </w:p>
    <w:p w14:paraId="30E75ADA" w14:textId="32D9D6D3" w:rsidR="000A11D5" w:rsidRPr="00AA048B" w:rsidRDefault="000A11D5" w:rsidP="00AA048B">
      <w:pPr>
        <w:rPr>
          <w:rFonts w:cs="Times New Roman"/>
          <w:b/>
          <w:bCs/>
          <w:i/>
          <w:iCs/>
        </w:rPr>
      </w:pPr>
      <w:r w:rsidRPr="00AA048B">
        <w:rPr>
          <w:rFonts w:cs="Times New Roman"/>
          <w:b/>
          <w:bCs/>
          <w:i/>
          <w:iCs/>
        </w:rPr>
        <w:t xml:space="preserve">Cultural environment and challenges of </w:t>
      </w:r>
      <w:proofErr w:type="spellStart"/>
      <w:r w:rsidRPr="00AA048B">
        <w:rPr>
          <w:rFonts w:cs="Times New Roman"/>
          <w:b/>
          <w:bCs/>
          <w:i/>
          <w:iCs/>
        </w:rPr>
        <w:t>Glocalisation</w:t>
      </w:r>
      <w:proofErr w:type="spellEnd"/>
      <w:r w:rsidRPr="00AA048B">
        <w:rPr>
          <w:rFonts w:cs="Times New Roman"/>
          <w:b/>
          <w:bCs/>
          <w:i/>
          <w:iCs/>
        </w:rPr>
        <w:t xml:space="preserve"> </w:t>
      </w:r>
    </w:p>
    <w:p w14:paraId="7A417DEE" w14:textId="55406E07" w:rsidR="000A11D5" w:rsidRPr="00AA048B" w:rsidRDefault="000A11D5" w:rsidP="00AA048B">
      <w:pPr>
        <w:rPr>
          <w:rFonts w:cs="Times New Roman"/>
        </w:rPr>
      </w:pPr>
      <w:r w:rsidRPr="00AA048B">
        <w:rPr>
          <w:rFonts w:cs="Times New Roman"/>
        </w:rPr>
        <w:lastRenderedPageBreak/>
        <w:t xml:space="preserve">While the digital infrastructure spans borders very easily, the cultural patterns of consumption remain deeply tied </w:t>
      </w:r>
      <w:r w:rsidR="003D2CA8">
        <w:rPr>
          <w:rFonts w:cs="Times New Roman"/>
        </w:rPr>
        <w:t>to</w:t>
      </w:r>
      <w:r w:rsidRPr="00AA048B">
        <w:rPr>
          <w:rFonts w:cs="Times New Roman"/>
        </w:rPr>
        <w:t xml:space="preserve"> geography. The consumers in China possessed highly nuanced linguistic, </w:t>
      </w:r>
      <w:r w:rsidR="00B63360" w:rsidRPr="00AA048B">
        <w:rPr>
          <w:rFonts w:cs="Times New Roman"/>
        </w:rPr>
        <w:t>aesthetic,</w:t>
      </w:r>
      <w:r w:rsidRPr="00AA048B">
        <w:rPr>
          <w:rFonts w:cs="Times New Roman"/>
        </w:rPr>
        <w:t xml:space="preserve"> and narrative preferences that diverge critically from the </w:t>
      </w:r>
      <w:r w:rsidR="00B63360" w:rsidRPr="00AA048B">
        <w:rPr>
          <w:rFonts w:cs="Times New Roman"/>
        </w:rPr>
        <w:t>Western</w:t>
      </w:r>
      <w:r w:rsidRPr="00AA048B">
        <w:rPr>
          <w:rFonts w:cs="Times New Roman"/>
        </w:rPr>
        <w:t xml:space="preserve"> audience. The empirical </w:t>
      </w:r>
      <w:r w:rsidR="00B63360" w:rsidRPr="00AA048B">
        <w:rPr>
          <w:rFonts w:cs="Times New Roman"/>
        </w:rPr>
        <w:t>evidence</w:t>
      </w:r>
      <w:r w:rsidRPr="00AA048B">
        <w:rPr>
          <w:rFonts w:cs="Times New Roman"/>
        </w:rPr>
        <w:t xml:space="preserve"> in international media management </w:t>
      </w:r>
      <w:r w:rsidR="00B63360" w:rsidRPr="00AA048B">
        <w:rPr>
          <w:rFonts w:cs="Times New Roman"/>
        </w:rPr>
        <w:t>suggests</w:t>
      </w:r>
      <w:r w:rsidRPr="00AA048B">
        <w:rPr>
          <w:rFonts w:cs="Times New Roman"/>
        </w:rPr>
        <w:t xml:space="preserve"> that apart from the global popularity of Hollywood storytelling, the </w:t>
      </w:r>
      <w:r w:rsidR="00B63360" w:rsidRPr="00AA048B">
        <w:rPr>
          <w:rFonts w:cs="Times New Roman"/>
        </w:rPr>
        <w:t xml:space="preserve">Chinese </w:t>
      </w:r>
      <w:r w:rsidRPr="00AA048B">
        <w:rPr>
          <w:rFonts w:cs="Times New Roman"/>
        </w:rPr>
        <w:t xml:space="preserve">audience of China is still </w:t>
      </w:r>
      <w:r w:rsidR="00B63360" w:rsidRPr="00AA048B">
        <w:rPr>
          <w:rFonts w:cs="Times New Roman"/>
        </w:rPr>
        <w:t>represents</w:t>
      </w:r>
      <w:r w:rsidRPr="00AA048B">
        <w:rPr>
          <w:rFonts w:cs="Times New Roman"/>
        </w:rPr>
        <w:t xml:space="preserve"> a strong preference for domestic cultural narratives. They are likely to prefer and </w:t>
      </w:r>
      <w:r w:rsidR="00B63360" w:rsidRPr="00AA048B">
        <w:rPr>
          <w:rFonts w:cs="Times New Roman"/>
        </w:rPr>
        <w:t>favour</w:t>
      </w:r>
      <w:r w:rsidRPr="00AA048B">
        <w:rPr>
          <w:rFonts w:cs="Times New Roman"/>
        </w:rPr>
        <w:t xml:space="preserve"> the genres that are rooted in local folklore, historical fiction, localised social dynamics and contemporary urban romance (</w:t>
      </w:r>
      <w:r w:rsidR="00C90A97" w:rsidRPr="00AA048B">
        <w:rPr>
          <w:rFonts w:cs="Times New Roman"/>
        </w:rPr>
        <w:t>Zhang, 2026</w:t>
      </w:r>
      <w:r w:rsidRPr="00AA048B">
        <w:rPr>
          <w:rFonts w:cs="Times New Roman"/>
        </w:rPr>
        <w:t xml:space="preserve">). This cultural distance poses a critical challenge for the standard </w:t>
      </w:r>
      <w:r w:rsidR="00B63360" w:rsidRPr="00AA048B">
        <w:rPr>
          <w:rFonts w:cs="Times New Roman"/>
        </w:rPr>
        <w:t>globalisation</w:t>
      </w:r>
      <w:r w:rsidRPr="00AA048B">
        <w:rPr>
          <w:rFonts w:cs="Times New Roman"/>
        </w:rPr>
        <w:t xml:space="preserve"> model of Netflix. </w:t>
      </w:r>
      <w:r w:rsidR="00B63360" w:rsidRPr="00AA048B">
        <w:rPr>
          <w:rFonts w:cs="Times New Roman"/>
        </w:rPr>
        <w:t>While</w:t>
      </w:r>
      <w:r w:rsidRPr="00AA048B">
        <w:rPr>
          <w:rFonts w:cs="Times New Roman"/>
        </w:rPr>
        <w:t xml:space="preserve"> the company has successfully achieved ‘</w:t>
      </w:r>
      <w:proofErr w:type="spellStart"/>
      <w:r w:rsidRPr="00AA048B">
        <w:rPr>
          <w:rFonts w:cs="Times New Roman"/>
        </w:rPr>
        <w:t>glocalisation</w:t>
      </w:r>
      <w:proofErr w:type="spellEnd"/>
      <w:r w:rsidRPr="00AA048B">
        <w:rPr>
          <w:rFonts w:cs="Times New Roman"/>
        </w:rPr>
        <w:t xml:space="preserve">’ in areas like Latin America and Western Europe, </w:t>
      </w:r>
      <w:r w:rsidR="00B63360" w:rsidRPr="00AA048B">
        <w:rPr>
          <w:rFonts w:cs="Times New Roman"/>
        </w:rPr>
        <w:t>its</w:t>
      </w:r>
      <w:r w:rsidRPr="00AA048B">
        <w:rPr>
          <w:rFonts w:cs="Times New Roman"/>
        </w:rPr>
        <w:t xml:space="preserve"> understanding of the cultural nuances of China </w:t>
      </w:r>
      <w:r w:rsidR="00B63360" w:rsidRPr="00AA048B">
        <w:rPr>
          <w:rFonts w:cs="Times New Roman"/>
        </w:rPr>
        <w:t>has</w:t>
      </w:r>
      <w:r w:rsidRPr="00AA048B">
        <w:rPr>
          <w:rFonts w:cs="Times New Roman"/>
        </w:rPr>
        <w:t xml:space="preserve"> remained limited by its lack of operational separation and physical proximity. </w:t>
      </w:r>
    </w:p>
    <w:p w14:paraId="1D8405D0" w14:textId="6287894A" w:rsidR="00A20F4D" w:rsidRPr="00AA048B" w:rsidRDefault="00A20F4D" w:rsidP="00AA048B">
      <w:pPr>
        <w:rPr>
          <w:rFonts w:cs="Times New Roman"/>
        </w:rPr>
      </w:pPr>
      <w:r w:rsidRPr="00AA048B">
        <w:rPr>
          <w:rFonts w:cs="Times New Roman"/>
        </w:rPr>
        <w:t xml:space="preserve">To achieve sufficient cultural responsiveness in China, Netflix would </w:t>
      </w:r>
      <w:r w:rsidR="00B63360" w:rsidRPr="00AA048B">
        <w:rPr>
          <w:rFonts w:cs="Times New Roman"/>
        </w:rPr>
        <w:t>need</w:t>
      </w:r>
      <w:r w:rsidRPr="00AA048B">
        <w:rPr>
          <w:rFonts w:cs="Times New Roman"/>
        </w:rPr>
        <w:t xml:space="preserve"> to </w:t>
      </w:r>
      <w:r w:rsidR="00B63360" w:rsidRPr="00AA048B">
        <w:rPr>
          <w:rFonts w:cs="Times New Roman"/>
        </w:rPr>
        <w:t>co-produce</w:t>
      </w:r>
      <w:r w:rsidRPr="00AA048B">
        <w:rPr>
          <w:rFonts w:cs="Times New Roman"/>
        </w:rPr>
        <w:t xml:space="preserve"> the content with the domestic studios. This content would need to satisfy the local the local taste of the viewers while also remaining compliant with the strict ideological boundaries of the state. This creates a critical creative </w:t>
      </w:r>
      <w:r w:rsidR="00B63360" w:rsidRPr="00AA048B">
        <w:rPr>
          <w:rFonts w:cs="Times New Roman"/>
        </w:rPr>
        <w:t>trade-off:</w:t>
      </w:r>
      <w:r w:rsidRPr="00AA048B">
        <w:rPr>
          <w:rFonts w:cs="Times New Roman"/>
        </w:rPr>
        <w:t xml:space="preserve"> content tailored to survive the state censorship of China generally fails to resonate with the global audience, which can undermine the core model of </w:t>
      </w:r>
      <w:r w:rsidR="00B63360" w:rsidRPr="00AA048B">
        <w:rPr>
          <w:rFonts w:cs="Times New Roman"/>
        </w:rPr>
        <w:t>cross-border</w:t>
      </w:r>
      <w:r w:rsidRPr="00AA048B">
        <w:rPr>
          <w:rFonts w:cs="Times New Roman"/>
        </w:rPr>
        <w:t xml:space="preserve"> content exploitation of Netflix (Cunningham and Scarlata, 202</w:t>
      </w:r>
      <w:r w:rsidR="003B38D6" w:rsidRPr="00AA048B">
        <w:rPr>
          <w:rFonts w:cs="Times New Roman"/>
        </w:rPr>
        <w:t>0</w:t>
      </w:r>
      <w:r w:rsidRPr="00AA048B">
        <w:rPr>
          <w:rFonts w:cs="Times New Roman"/>
        </w:rPr>
        <w:t xml:space="preserve">). </w:t>
      </w:r>
    </w:p>
    <w:p w14:paraId="4A8DC1EC" w14:textId="55F7573C" w:rsidR="00A20F4D" w:rsidRPr="00AA048B" w:rsidRDefault="00A20F4D" w:rsidP="00AA048B">
      <w:pPr>
        <w:pStyle w:val="Heading3"/>
      </w:pPr>
      <w:bookmarkStart w:id="6" w:name="_Toc236250841"/>
      <w:r w:rsidRPr="00AA048B">
        <w:t>Market Entry Evaluation: Dunning’s Eclectic Paradigm (OLI Framework)</w:t>
      </w:r>
      <w:bookmarkEnd w:id="6"/>
      <w:r w:rsidRPr="00AA048B">
        <w:t xml:space="preserve"> </w:t>
      </w:r>
    </w:p>
    <w:p w14:paraId="18FBCFF0" w14:textId="6F95E522" w:rsidR="00A20F4D" w:rsidRPr="00AA048B" w:rsidRDefault="00CE572E" w:rsidP="00AA048B">
      <w:pPr>
        <w:rPr>
          <w:rFonts w:cs="Times New Roman"/>
        </w:rPr>
      </w:pPr>
      <w:r w:rsidRPr="00AA048B">
        <w:rPr>
          <w:rFonts w:cs="Times New Roman"/>
        </w:rPr>
        <w:t xml:space="preserve">To synthesise these macro environmental factors into the definitive strategic assessment, John Dunning’s Eclectic Paradigm (OLI framework) is applied. This framework represents whether the enterprise </w:t>
      </w:r>
      <w:r w:rsidR="00B63360" w:rsidRPr="00AA048B">
        <w:rPr>
          <w:rFonts w:cs="Times New Roman"/>
        </w:rPr>
        <w:t>needs</w:t>
      </w:r>
      <w:r w:rsidRPr="00AA048B">
        <w:rPr>
          <w:rFonts w:cs="Times New Roman"/>
        </w:rPr>
        <w:t xml:space="preserve"> to pursue foreign expansion by evaluating if it possesses sufficient Ownership. Location and Internationalisation benefits to overcome the inherent liabilities of foreignness. </w:t>
      </w:r>
    </w:p>
    <w:p w14:paraId="783947AE" w14:textId="77777777" w:rsidR="00CE48CA" w:rsidRPr="00AA048B" w:rsidRDefault="00CE48CA" w:rsidP="00AA048B">
      <w:pPr>
        <w:keepNext/>
        <w:jc w:val="center"/>
        <w:rPr>
          <w:rFonts w:cs="Times New Roman"/>
        </w:rPr>
      </w:pPr>
      <w:r w:rsidRPr="00AA048B">
        <w:rPr>
          <w:rFonts w:cs="Times New Roman"/>
          <w:noProof/>
        </w:rPr>
        <w:drawing>
          <wp:inline distT="0" distB="0" distL="0" distR="0" wp14:anchorId="7A4E1094" wp14:editId="32DA0F7C">
            <wp:extent cx="5486400" cy="3200400"/>
            <wp:effectExtent l="38100" t="0" r="38100" b="0"/>
            <wp:docPr id="1862446596"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0010B47D" w14:textId="248D78B2" w:rsidR="00CE572E" w:rsidRPr="00AA048B" w:rsidRDefault="00CE48CA" w:rsidP="00AA048B">
      <w:pPr>
        <w:pStyle w:val="Caption"/>
        <w:jc w:val="center"/>
        <w:rPr>
          <w:rFonts w:cs="Times New Roman"/>
          <w:szCs w:val="24"/>
        </w:rPr>
      </w:pPr>
      <w:r w:rsidRPr="00AA048B">
        <w:rPr>
          <w:rFonts w:cs="Times New Roman"/>
          <w:szCs w:val="24"/>
        </w:rPr>
        <w:t xml:space="preserve">Figure </w:t>
      </w:r>
      <w:r w:rsidRPr="00AA048B">
        <w:rPr>
          <w:rFonts w:cs="Times New Roman"/>
          <w:szCs w:val="24"/>
        </w:rPr>
        <w:fldChar w:fldCharType="begin"/>
      </w:r>
      <w:r w:rsidRPr="00AA048B">
        <w:rPr>
          <w:rFonts w:cs="Times New Roman"/>
          <w:szCs w:val="24"/>
        </w:rPr>
        <w:instrText xml:space="preserve"> SEQ Figure \* ARABIC </w:instrText>
      </w:r>
      <w:r w:rsidRPr="00AA048B">
        <w:rPr>
          <w:rFonts w:cs="Times New Roman"/>
          <w:szCs w:val="24"/>
        </w:rPr>
        <w:fldChar w:fldCharType="separate"/>
      </w:r>
      <w:r w:rsidR="00885479">
        <w:rPr>
          <w:rFonts w:cs="Times New Roman"/>
          <w:noProof/>
          <w:szCs w:val="24"/>
        </w:rPr>
        <w:t>3</w:t>
      </w:r>
      <w:r w:rsidRPr="00AA048B">
        <w:rPr>
          <w:rFonts w:cs="Times New Roman"/>
          <w:szCs w:val="24"/>
        </w:rPr>
        <w:fldChar w:fldCharType="end"/>
      </w:r>
      <w:r w:rsidRPr="00AA048B">
        <w:rPr>
          <w:rFonts w:cs="Times New Roman"/>
          <w:szCs w:val="24"/>
        </w:rPr>
        <w:t>: Dunning's Eclectic Paradigm</w:t>
      </w:r>
    </w:p>
    <w:p w14:paraId="7BF6EBC0" w14:textId="7290CD6D" w:rsidR="00CE48CA" w:rsidRPr="00AA048B" w:rsidRDefault="00CE48CA" w:rsidP="00AA048B">
      <w:pPr>
        <w:jc w:val="center"/>
        <w:rPr>
          <w:rFonts w:cs="Times New Roman"/>
        </w:rPr>
      </w:pPr>
      <w:r w:rsidRPr="00AA048B">
        <w:rPr>
          <w:rFonts w:cs="Times New Roman"/>
        </w:rPr>
        <w:t>(Source: Author, 2026)</w:t>
      </w:r>
    </w:p>
    <w:p w14:paraId="5B79D52F" w14:textId="103747E2" w:rsidR="00CE48CA" w:rsidRPr="00AA048B" w:rsidRDefault="00CE48CA" w:rsidP="00AA048B">
      <w:pPr>
        <w:rPr>
          <w:rFonts w:cs="Times New Roman"/>
          <w:b/>
          <w:bCs/>
          <w:i/>
          <w:iCs/>
        </w:rPr>
      </w:pPr>
      <w:r w:rsidRPr="00AA048B">
        <w:rPr>
          <w:rFonts w:cs="Times New Roman"/>
          <w:b/>
          <w:bCs/>
          <w:i/>
          <w:iCs/>
        </w:rPr>
        <w:lastRenderedPageBreak/>
        <w:t>Ownership advantages</w:t>
      </w:r>
    </w:p>
    <w:p w14:paraId="67FB1038" w14:textId="77627E11" w:rsidR="00CE48CA" w:rsidRPr="00AA048B" w:rsidRDefault="00B63360" w:rsidP="00AA048B">
      <w:pPr>
        <w:rPr>
          <w:rFonts w:cs="Times New Roman"/>
        </w:rPr>
      </w:pPr>
      <w:r w:rsidRPr="00AA048B">
        <w:rPr>
          <w:rFonts w:cs="Times New Roman"/>
        </w:rPr>
        <w:t>Ownership</w:t>
      </w:r>
      <w:r w:rsidR="00CE48CA" w:rsidRPr="00AA048B">
        <w:rPr>
          <w:rFonts w:cs="Times New Roman"/>
        </w:rPr>
        <w:t xml:space="preserve"> advantages </w:t>
      </w:r>
      <w:r w:rsidRPr="00AA048B">
        <w:rPr>
          <w:rFonts w:cs="Times New Roman"/>
        </w:rPr>
        <w:t>refer</w:t>
      </w:r>
      <w:r w:rsidR="00CE48CA" w:rsidRPr="00AA048B">
        <w:rPr>
          <w:rFonts w:cs="Times New Roman"/>
        </w:rPr>
        <w:t xml:space="preserve"> to the </w:t>
      </w:r>
      <w:r w:rsidRPr="00AA048B">
        <w:rPr>
          <w:rFonts w:cs="Times New Roman"/>
        </w:rPr>
        <w:t>firm-specific</w:t>
      </w:r>
      <w:r w:rsidR="00CE48CA" w:rsidRPr="00AA048B">
        <w:rPr>
          <w:rFonts w:cs="Times New Roman"/>
        </w:rPr>
        <w:t xml:space="preserve"> intangible and tangible assets that provide </w:t>
      </w:r>
      <w:r w:rsidRPr="00AA048B">
        <w:rPr>
          <w:rFonts w:cs="Times New Roman"/>
        </w:rPr>
        <w:t xml:space="preserve">a </w:t>
      </w:r>
      <w:r w:rsidR="00CE48CA" w:rsidRPr="00AA048B">
        <w:rPr>
          <w:rFonts w:cs="Times New Roman"/>
        </w:rPr>
        <w:t xml:space="preserve">different competitive edge over the domestic </w:t>
      </w:r>
      <w:r w:rsidRPr="00AA048B">
        <w:rPr>
          <w:rFonts w:cs="Times New Roman"/>
        </w:rPr>
        <w:t>organisations</w:t>
      </w:r>
      <w:r w:rsidR="00CE48CA" w:rsidRPr="00AA048B">
        <w:rPr>
          <w:rFonts w:cs="Times New Roman"/>
        </w:rPr>
        <w:t xml:space="preserve"> within the host country. Netflix possesses </w:t>
      </w:r>
      <w:r w:rsidRPr="00AA048B">
        <w:rPr>
          <w:rFonts w:cs="Times New Roman"/>
        </w:rPr>
        <w:t>world-class</w:t>
      </w:r>
      <w:r w:rsidR="00CE48CA" w:rsidRPr="00AA048B">
        <w:rPr>
          <w:rFonts w:cs="Times New Roman"/>
        </w:rPr>
        <w:t xml:space="preserve">, clear ownership </w:t>
      </w:r>
      <w:r w:rsidRPr="00AA048B">
        <w:rPr>
          <w:rFonts w:cs="Times New Roman"/>
        </w:rPr>
        <w:t>advantages</w:t>
      </w:r>
      <w:r w:rsidR="00CE48CA" w:rsidRPr="00AA048B">
        <w:rPr>
          <w:rFonts w:cs="Times New Roman"/>
        </w:rPr>
        <w:t xml:space="preserve">, which can be </w:t>
      </w:r>
      <w:r w:rsidR="003D2CA8">
        <w:rPr>
          <w:rFonts w:cs="Times New Roman"/>
        </w:rPr>
        <w:t>broken down</w:t>
      </w:r>
      <w:r w:rsidR="00CE48CA" w:rsidRPr="00AA048B">
        <w:rPr>
          <w:rFonts w:cs="Times New Roman"/>
        </w:rPr>
        <w:t xml:space="preserve"> into 3 different pillars:</w:t>
      </w:r>
    </w:p>
    <w:p w14:paraId="119A7B08" w14:textId="094C583D" w:rsidR="00CE48CA" w:rsidRPr="00AA048B" w:rsidRDefault="00AA048B" w:rsidP="00AA048B">
      <w:pPr>
        <w:pStyle w:val="ListParagraph"/>
        <w:numPr>
          <w:ilvl w:val="0"/>
          <w:numId w:val="11"/>
        </w:numPr>
        <w:rPr>
          <w:rFonts w:cs="Times New Roman"/>
        </w:rPr>
      </w:pPr>
      <w:r>
        <w:rPr>
          <w:rFonts w:cs="Times New Roman"/>
        </w:rPr>
        <w:t>D</w:t>
      </w:r>
      <w:r w:rsidR="00B63360" w:rsidRPr="00AA048B">
        <w:rPr>
          <w:rFonts w:cs="Times New Roman"/>
        </w:rPr>
        <w:t>ata-driven</w:t>
      </w:r>
      <w:r w:rsidR="00CE48CA" w:rsidRPr="00AA048B">
        <w:rPr>
          <w:rFonts w:cs="Times New Roman"/>
        </w:rPr>
        <w:t xml:space="preserve"> intellectual capital: The proprietary machine learning algorithms and </w:t>
      </w:r>
      <w:r w:rsidR="00B63360" w:rsidRPr="00AA048B">
        <w:rPr>
          <w:rFonts w:cs="Times New Roman"/>
        </w:rPr>
        <w:t>hyper-advanced</w:t>
      </w:r>
      <w:r w:rsidR="00CE48CA" w:rsidRPr="00AA048B">
        <w:rPr>
          <w:rFonts w:cs="Times New Roman"/>
        </w:rPr>
        <w:t xml:space="preserve"> suggestion engines of Netflix constitute an invaluable asset. By processing billions of hours of viewing data, these algorithms develop highly detailed user profiles, grouping global consumers into clusters </w:t>
      </w:r>
      <w:r w:rsidR="00B63360" w:rsidRPr="00AA048B">
        <w:rPr>
          <w:rFonts w:cs="Times New Roman"/>
        </w:rPr>
        <w:t>based on</w:t>
      </w:r>
      <w:r w:rsidR="00CE48CA" w:rsidRPr="00AA048B">
        <w:rPr>
          <w:rFonts w:cs="Times New Roman"/>
        </w:rPr>
        <w:t xml:space="preserve"> their preferences. This productive capacity </w:t>
      </w:r>
      <w:r w:rsidR="00B63360" w:rsidRPr="00AA048B">
        <w:rPr>
          <w:rFonts w:cs="Times New Roman"/>
        </w:rPr>
        <w:t>optimises</w:t>
      </w:r>
      <w:r w:rsidR="00CE48CA" w:rsidRPr="00AA048B">
        <w:rPr>
          <w:rFonts w:cs="Times New Roman"/>
        </w:rPr>
        <w:t xml:space="preserve"> customer retention and </w:t>
      </w:r>
      <w:r w:rsidR="00B63360" w:rsidRPr="00AA048B">
        <w:rPr>
          <w:rFonts w:cs="Times New Roman"/>
        </w:rPr>
        <w:t>directs</w:t>
      </w:r>
      <w:r w:rsidR="00CE48CA" w:rsidRPr="00AA048B">
        <w:rPr>
          <w:rFonts w:cs="Times New Roman"/>
        </w:rPr>
        <w:t xml:space="preserve"> content investment decisions with high precision (</w:t>
      </w:r>
      <w:proofErr w:type="spellStart"/>
      <w:r w:rsidR="00CE48CA" w:rsidRPr="00AA048B">
        <w:rPr>
          <w:rFonts w:cs="Times New Roman"/>
        </w:rPr>
        <w:t>Umbrex</w:t>
      </w:r>
      <w:proofErr w:type="spellEnd"/>
      <w:r w:rsidR="00CE48CA" w:rsidRPr="00AA048B">
        <w:rPr>
          <w:rFonts w:cs="Times New Roman"/>
        </w:rPr>
        <w:t xml:space="preserve">, 2024). </w:t>
      </w:r>
    </w:p>
    <w:p w14:paraId="65296971" w14:textId="277655DB" w:rsidR="00CE48CA" w:rsidRPr="00AA048B" w:rsidRDefault="00CE48CA" w:rsidP="00AA048B">
      <w:pPr>
        <w:pStyle w:val="ListParagraph"/>
        <w:numPr>
          <w:ilvl w:val="0"/>
          <w:numId w:val="11"/>
        </w:numPr>
        <w:rPr>
          <w:rFonts w:cs="Times New Roman"/>
        </w:rPr>
      </w:pPr>
      <w:r w:rsidRPr="00AA048B">
        <w:rPr>
          <w:rFonts w:cs="Times New Roman"/>
        </w:rPr>
        <w:t xml:space="preserve">Proprietary technical architecture: The major ownership benefit of Netflix lies in its streaming infrastructure. The platform uses </w:t>
      </w:r>
      <w:r w:rsidR="00B63360" w:rsidRPr="00AA048B">
        <w:rPr>
          <w:rFonts w:cs="Times New Roman"/>
        </w:rPr>
        <w:t>a custom-built</w:t>
      </w:r>
      <w:r w:rsidRPr="00AA048B">
        <w:rPr>
          <w:rFonts w:cs="Times New Roman"/>
        </w:rPr>
        <w:t xml:space="preserve"> Open Connect content delivery network (CDN), alongside sophisticated adaptive bitrate streaming technologies. This architecture helps the company to deliver </w:t>
      </w:r>
      <w:r w:rsidR="00B63360" w:rsidRPr="00AA048B">
        <w:rPr>
          <w:rFonts w:cs="Times New Roman"/>
        </w:rPr>
        <w:t>high-definition</w:t>
      </w:r>
      <w:r w:rsidRPr="00AA048B">
        <w:rPr>
          <w:rFonts w:cs="Times New Roman"/>
        </w:rPr>
        <w:t xml:space="preserve"> video feeds under different network conditions with </w:t>
      </w:r>
      <w:r w:rsidR="00B63360" w:rsidRPr="00AA048B">
        <w:rPr>
          <w:rFonts w:cs="Times New Roman"/>
        </w:rPr>
        <w:t>near-zero</w:t>
      </w:r>
      <w:r w:rsidRPr="00AA048B">
        <w:rPr>
          <w:rFonts w:cs="Times New Roman"/>
        </w:rPr>
        <w:t xml:space="preserve"> latency. </w:t>
      </w:r>
    </w:p>
    <w:p w14:paraId="1C86D222" w14:textId="1E22E45A" w:rsidR="00CE48CA" w:rsidRPr="00AA048B" w:rsidRDefault="00CE48CA" w:rsidP="00AA048B">
      <w:pPr>
        <w:pStyle w:val="ListParagraph"/>
        <w:numPr>
          <w:ilvl w:val="0"/>
          <w:numId w:val="11"/>
        </w:numPr>
        <w:rPr>
          <w:rFonts w:cs="Times New Roman"/>
        </w:rPr>
      </w:pPr>
      <w:r w:rsidRPr="00AA048B">
        <w:rPr>
          <w:rFonts w:cs="Times New Roman"/>
        </w:rPr>
        <w:t xml:space="preserve">Global intellectual property portfolio: the </w:t>
      </w:r>
      <w:r w:rsidR="00B63360" w:rsidRPr="00AA048B">
        <w:rPr>
          <w:rFonts w:cs="Times New Roman"/>
        </w:rPr>
        <w:t>organisation</w:t>
      </w:r>
      <w:r w:rsidRPr="00AA048B">
        <w:rPr>
          <w:rFonts w:cs="Times New Roman"/>
        </w:rPr>
        <w:t xml:space="preserve"> possesses </w:t>
      </w:r>
      <w:r w:rsidR="00B63360" w:rsidRPr="00AA048B">
        <w:rPr>
          <w:rFonts w:cs="Times New Roman"/>
        </w:rPr>
        <w:t xml:space="preserve">a </w:t>
      </w:r>
      <w:r w:rsidRPr="00AA048B">
        <w:rPr>
          <w:rFonts w:cs="Times New Roman"/>
        </w:rPr>
        <w:t xml:space="preserve">huge, highly recognised library of proprietary intellectual property (like The Crown, Stranger Things and Squid Game). This global portfolio gives </w:t>
      </w:r>
      <w:r w:rsidR="00B63360" w:rsidRPr="00AA048B">
        <w:rPr>
          <w:rFonts w:cs="Times New Roman"/>
        </w:rPr>
        <w:t>Netflix immediate brand leverage</w:t>
      </w:r>
      <w:r w:rsidRPr="00AA048B">
        <w:rPr>
          <w:rFonts w:cs="Times New Roman"/>
        </w:rPr>
        <w:t xml:space="preserve"> that domestic Chinese platforms cannot copy. Meanwhile</w:t>
      </w:r>
      <w:r w:rsidR="00B63360" w:rsidRPr="00AA048B">
        <w:rPr>
          <w:rFonts w:cs="Times New Roman"/>
        </w:rPr>
        <w:t>,</w:t>
      </w:r>
      <w:r w:rsidRPr="00AA048B">
        <w:rPr>
          <w:rFonts w:cs="Times New Roman"/>
        </w:rPr>
        <w:t xml:space="preserve"> when applied to the market of China, these ownership advantages face issues and can suffer significant strategic erosion. The unique value of </w:t>
      </w:r>
      <w:r w:rsidR="00251BE5" w:rsidRPr="00AA048B">
        <w:rPr>
          <w:rFonts w:cs="Times New Roman"/>
        </w:rPr>
        <w:t>Netflix's</w:t>
      </w:r>
      <w:r w:rsidRPr="00AA048B">
        <w:rPr>
          <w:rFonts w:cs="Times New Roman"/>
        </w:rPr>
        <w:t xml:space="preserve"> recommendation engine is diluted as it lacks historical data on mainland Chinese viewing habits. Moreover</w:t>
      </w:r>
      <w:r w:rsidR="00B63360" w:rsidRPr="00AA048B">
        <w:rPr>
          <w:rFonts w:cs="Times New Roman"/>
        </w:rPr>
        <w:t>,</w:t>
      </w:r>
      <w:r w:rsidRPr="00AA048B">
        <w:rPr>
          <w:rFonts w:cs="Times New Roman"/>
        </w:rPr>
        <w:t xml:space="preserve"> domestic tech </w:t>
      </w:r>
      <w:r w:rsidR="00B63360" w:rsidRPr="00AA048B">
        <w:rPr>
          <w:rFonts w:cs="Times New Roman"/>
        </w:rPr>
        <w:t>organisations</w:t>
      </w:r>
      <w:r w:rsidRPr="00AA048B">
        <w:rPr>
          <w:rFonts w:cs="Times New Roman"/>
        </w:rPr>
        <w:t xml:space="preserve"> like Baidu and Tencent possess equally sophisticated algorithmic infrastructure and AI. These local systems are deeply incorporated into the digital landscape of China and are highly </w:t>
      </w:r>
      <w:r w:rsidR="00B63360" w:rsidRPr="00AA048B">
        <w:rPr>
          <w:rFonts w:cs="Times New Roman"/>
        </w:rPr>
        <w:t>optimised</w:t>
      </w:r>
      <w:r w:rsidRPr="00AA048B">
        <w:rPr>
          <w:rFonts w:cs="Times New Roman"/>
        </w:rPr>
        <w:t xml:space="preserve"> for the native language and </w:t>
      </w:r>
      <w:r w:rsidR="00B63360" w:rsidRPr="00AA048B">
        <w:rPr>
          <w:rFonts w:cs="Times New Roman"/>
        </w:rPr>
        <w:t>according to user</w:t>
      </w:r>
      <w:r w:rsidRPr="00AA048B">
        <w:rPr>
          <w:rFonts w:cs="Times New Roman"/>
        </w:rPr>
        <w:t xml:space="preserve"> behaviour of the users (Zhao and Sun, 2023).  Consequently, while the ownership benefits of Netflix are globally formidable, their competitive value is compromised within the Chinese institutional environment. </w:t>
      </w:r>
    </w:p>
    <w:p w14:paraId="5722F475" w14:textId="77777777" w:rsidR="00CE48CA" w:rsidRPr="00AA048B" w:rsidRDefault="00CE48CA" w:rsidP="00AA048B">
      <w:pPr>
        <w:rPr>
          <w:rFonts w:cs="Times New Roman"/>
          <w:b/>
          <w:bCs/>
          <w:i/>
          <w:iCs/>
        </w:rPr>
      </w:pPr>
      <w:r w:rsidRPr="00AA048B">
        <w:rPr>
          <w:rFonts w:cs="Times New Roman"/>
          <w:b/>
          <w:bCs/>
          <w:i/>
          <w:iCs/>
        </w:rPr>
        <w:t>Location advantages</w:t>
      </w:r>
    </w:p>
    <w:p w14:paraId="15D1FB1B" w14:textId="392A162F" w:rsidR="002A5991" w:rsidRPr="00AA048B" w:rsidRDefault="002A5991" w:rsidP="00AA048B">
      <w:pPr>
        <w:rPr>
          <w:rFonts w:cs="Times New Roman"/>
        </w:rPr>
      </w:pPr>
      <w:r w:rsidRPr="00AA048B">
        <w:rPr>
          <w:rFonts w:cs="Times New Roman"/>
        </w:rPr>
        <w:t xml:space="preserve">Location advantages include the </w:t>
      </w:r>
      <w:r w:rsidR="00B63360" w:rsidRPr="00AA048B">
        <w:rPr>
          <w:rFonts w:cs="Times New Roman"/>
        </w:rPr>
        <w:t>market-specific</w:t>
      </w:r>
      <w:r w:rsidRPr="00AA048B">
        <w:rPr>
          <w:rFonts w:cs="Times New Roman"/>
        </w:rPr>
        <w:t xml:space="preserve"> social, economic, infrastructural and regulatory advantages that make the host country attractive for direct foreign investment. There are several compelling location benefits provided by China. </w:t>
      </w:r>
    </w:p>
    <w:p w14:paraId="42C80F4A" w14:textId="40194F47" w:rsidR="002A5991" w:rsidRPr="00AA048B" w:rsidRDefault="002A5991" w:rsidP="00AA048B">
      <w:pPr>
        <w:pStyle w:val="ListParagraph"/>
        <w:numPr>
          <w:ilvl w:val="0"/>
          <w:numId w:val="12"/>
        </w:numPr>
        <w:rPr>
          <w:rFonts w:cs="Times New Roman"/>
        </w:rPr>
      </w:pPr>
      <w:r w:rsidRPr="00AA048B">
        <w:rPr>
          <w:rFonts w:cs="Times New Roman"/>
        </w:rPr>
        <w:t xml:space="preserve">Massive addressable market demand: The sheer demographic scale of </w:t>
      </w:r>
      <w:r w:rsidR="00B63360" w:rsidRPr="00AA048B">
        <w:rPr>
          <w:rFonts w:cs="Times New Roman"/>
        </w:rPr>
        <w:t xml:space="preserve">China's </w:t>
      </w:r>
      <w:r w:rsidRPr="00AA048B">
        <w:rPr>
          <w:rFonts w:cs="Times New Roman"/>
        </w:rPr>
        <w:t xml:space="preserve">digital consumer base presents unprecedented </w:t>
      </w:r>
      <w:r w:rsidR="00B63360" w:rsidRPr="00AA048B">
        <w:rPr>
          <w:rFonts w:cs="Times New Roman"/>
        </w:rPr>
        <w:t>monetisation</w:t>
      </w:r>
      <w:r w:rsidRPr="00AA048B">
        <w:rPr>
          <w:rFonts w:cs="Times New Roman"/>
        </w:rPr>
        <w:t xml:space="preserve"> capacity. The expanding middle class offers </w:t>
      </w:r>
      <w:r w:rsidR="00B63360" w:rsidRPr="00AA048B">
        <w:rPr>
          <w:rFonts w:cs="Times New Roman"/>
        </w:rPr>
        <w:t xml:space="preserve">a </w:t>
      </w:r>
      <w:r w:rsidRPr="00AA048B">
        <w:rPr>
          <w:rFonts w:cs="Times New Roman"/>
        </w:rPr>
        <w:t xml:space="preserve">wide audience for </w:t>
      </w:r>
      <w:r w:rsidR="00B63360" w:rsidRPr="00AA048B">
        <w:rPr>
          <w:rFonts w:cs="Times New Roman"/>
        </w:rPr>
        <w:t>subscription-based</w:t>
      </w:r>
      <w:r w:rsidRPr="00AA048B">
        <w:rPr>
          <w:rFonts w:cs="Times New Roman"/>
        </w:rPr>
        <w:t>, premium entertainment (</w:t>
      </w:r>
      <w:r w:rsidR="00C90A97" w:rsidRPr="00AA048B">
        <w:rPr>
          <w:rFonts w:cs="Times New Roman"/>
        </w:rPr>
        <w:t>Zhang, 2026</w:t>
      </w:r>
      <w:r w:rsidRPr="00AA048B">
        <w:rPr>
          <w:rFonts w:cs="Times New Roman"/>
        </w:rPr>
        <w:t xml:space="preserve">). </w:t>
      </w:r>
    </w:p>
    <w:p w14:paraId="19963418" w14:textId="056AC01C" w:rsidR="002A5991" w:rsidRPr="00AA048B" w:rsidRDefault="002A5991" w:rsidP="00AA048B">
      <w:pPr>
        <w:pStyle w:val="ListParagraph"/>
        <w:numPr>
          <w:ilvl w:val="0"/>
          <w:numId w:val="12"/>
        </w:numPr>
        <w:rPr>
          <w:rFonts w:cs="Times New Roman"/>
        </w:rPr>
      </w:pPr>
      <w:r w:rsidRPr="00AA048B">
        <w:rPr>
          <w:rFonts w:cs="Times New Roman"/>
        </w:rPr>
        <w:t xml:space="preserve">Unrivalled infrastructure scale: China claims the most expensive and advanced 5G mobile telecommunication infrastructure globally. This </w:t>
      </w:r>
      <w:r w:rsidR="00B63360" w:rsidRPr="00AA048B">
        <w:rPr>
          <w:rFonts w:cs="Times New Roman"/>
        </w:rPr>
        <w:t>high-speed</w:t>
      </w:r>
      <w:r w:rsidRPr="00AA048B">
        <w:rPr>
          <w:rFonts w:cs="Times New Roman"/>
        </w:rPr>
        <w:t xml:space="preserve"> network layout offers the ideal environment for </w:t>
      </w:r>
      <w:r w:rsidR="00B63360" w:rsidRPr="00AA048B">
        <w:rPr>
          <w:rFonts w:cs="Times New Roman"/>
        </w:rPr>
        <w:t>data-heavy</w:t>
      </w:r>
      <w:r w:rsidRPr="00AA048B">
        <w:rPr>
          <w:rFonts w:cs="Times New Roman"/>
        </w:rPr>
        <w:t xml:space="preserve"> OTT platforms, which removes the technical bottlenecks to adoption </w:t>
      </w:r>
      <w:r w:rsidR="00B63360" w:rsidRPr="00AA048B">
        <w:rPr>
          <w:rFonts w:cs="Times New Roman"/>
        </w:rPr>
        <w:t>by</w:t>
      </w:r>
      <w:r w:rsidRPr="00AA048B">
        <w:rPr>
          <w:rFonts w:cs="Times New Roman"/>
        </w:rPr>
        <w:t xml:space="preserve"> consumers (</w:t>
      </w:r>
      <w:r w:rsidR="00C90A97" w:rsidRPr="00AA048B">
        <w:rPr>
          <w:rFonts w:cs="Times New Roman"/>
        </w:rPr>
        <w:t xml:space="preserve">Belli </w:t>
      </w:r>
      <w:r w:rsidR="00C90A97" w:rsidRPr="00AA048B">
        <w:rPr>
          <w:rFonts w:cs="Times New Roman"/>
          <w:i/>
          <w:iCs/>
        </w:rPr>
        <w:t xml:space="preserve">et al., </w:t>
      </w:r>
      <w:r w:rsidR="00C90A97" w:rsidRPr="00AA048B">
        <w:rPr>
          <w:rFonts w:cs="Times New Roman"/>
        </w:rPr>
        <w:t>2024</w:t>
      </w:r>
      <w:r w:rsidRPr="00AA048B">
        <w:rPr>
          <w:rFonts w:cs="Times New Roman"/>
        </w:rPr>
        <w:t xml:space="preserve">). </w:t>
      </w:r>
    </w:p>
    <w:p w14:paraId="1BBAC755" w14:textId="5D5E1B8A" w:rsidR="00CE48CA" w:rsidRPr="00AA048B" w:rsidRDefault="002A5991" w:rsidP="00AA048B">
      <w:pPr>
        <w:pStyle w:val="ListParagraph"/>
        <w:numPr>
          <w:ilvl w:val="0"/>
          <w:numId w:val="12"/>
        </w:numPr>
        <w:rPr>
          <w:rFonts w:cs="Times New Roman"/>
        </w:rPr>
      </w:pPr>
      <w:r w:rsidRPr="00AA048B">
        <w:rPr>
          <w:rFonts w:cs="Times New Roman"/>
        </w:rPr>
        <w:lastRenderedPageBreak/>
        <w:t xml:space="preserve">Robust regional production ecosystems: a highly developed production facility has been featured by China, which specialises </w:t>
      </w:r>
      <w:r w:rsidR="00B63360" w:rsidRPr="00AA048B">
        <w:rPr>
          <w:rFonts w:cs="Times New Roman"/>
        </w:rPr>
        <w:t xml:space="preserve">in </w:t>
      </w:r>
      <w:r w:rsidRPr="00AA048B">
        <w:rPr>
          <w:rFonts w:cs="Times New Roman"/>
        </w:rPr>
        <w:t xml:space="preserve">digital effect studios and an extensive pool of creative talent. This local ecosystem can assist in </w:t>
      </w:r>
      <w:r w:rsidR="00B63360" w:rsidRPr="00AA048B">
        <w:rPr>
          <w:rFonts w:cs="Times New Roman"/>
        </w:rPr>
        <w:t>high-volume</w:t>
      </w:r>
      <w:r w:rsidRPr="00AA048B">
        <w:rPr>
          <w:rFonts w:cs="Times New Roman"/>
        </w:rPr>
        <w:t xml:space="preserve"> content generation at </w:t>
      </w:r>
      <w:r w:rsidR="00B63360" w:rsidRPr="00AA048B">
        <w:rPr>
          <w:rFonts w:cs="Times New Roman"/>
        </w:rPr>
        <w:t>a</w:t>
      </w:r>
      <w:r w:rsidRPr="00AA048B">
        <w:rPr>
          <w:rFonts w:cs="Times New Roman"/>
        </w:rPr>
        <w:t xml:space="preserve"> competitive cost. </w:t>
      </w:r>
    </w:p>
    <w:p w14:paraId="7ACC39FE" w14:textId="02F411E9" w:rsidR="002A5991" w:rsidRPr="00AA048B" w:rsidRDefault="002A5991" w:rsidP="00AA048B">
      <w:pPr>
        <w:rPr>
          <w:rFonts w:cs="Times New Roman"/>
        </w:rPr>
      </w:pPr>
      <w:r w:rsidRPr="00AA048B">
        <w:rPr>
          <w:rFonts w:cs="Times New Roman"/>
        </w:rPr>
        <w:t xml:space="preserve">Apart from these strong infrastructural and demographic factors, the institutional location liabilities of China heavily outweigh its assets. Dunning’s framework highlights that the local benefits must be accessible to the </w:t>
      </w:r>
      <w:r w:rsidR="00B63360" w:rsidRPr="00AA048B">
        <w:rPr>
          <w:rFonts w:cs="Times New Roman"/>
        </w:rPr>
        <w:t>organisation</w:t>
      </w:r>
      <w:r w:rsidRPr="00AA048B">
        <w:rPr>
          <w:rFonts w:cs="Times New Roman"/>
        </w:rPr>
        <w:t xml:space="preserve">. As </w:t>
      </w:r>
      <w:r w:rsidR="00B63360" w:rsidRPr="00AA048B">
        <w:rPr>
          <w:rFonts w:cs="Times New Roman"/>
        </w:rPr>
        <w:t xml:space="preserve">the </w:t>
      </w:r>
      <w:r w:rsidRPr="00AA048B">
        <w:rPr>
          <w:rFonts w:cs="Times New Roman"/>
        </w:rPr>
        <w:t xml:space="preserve">Chinese state enforces the strict foreign ownership ban in the media sector and mandates critical data </w:t>
      </w:r>
      <w:r w:rsidR="00B63360" w:rsidRPr="00AA048B">
        <w:rPr>
          <w:rFonts w:cs="Times New Roman"/>
        </w:rPr>
        <w:t>localisation</w:t>
      </w:r>
      <w:r w:rsidRPr="00AA048B">
        <w:rPr>
          <w:rFonts w:cs="Times New Roman"/>
        </w:rPr>
        <w:t xml:space="preserve">, this environment functions as </w:t>
      </w:r>
      <w:r w:rsidR="00B63360" w:rsidRPr="00AA048B">
        <w:rPr>
          <w:rFonts w:cs="Times New Roman"/>
        </w:rPr>
        <w:t xml:space="preserve">a </w:t>
      </w:r>
      <w:r w:rsidRPr="00AA048B">
        <w:rPr>
          <w:rFonts w:cs="Times New Roman"/>
        </w:rPr>
        <w:t xml:space="preserve">structural barrier. Censorship compliance costs, regulatory risks and potential penalties under the Data Security </w:t>
      </w:r>
      <w:r w:rsidR="00B63360" w:rsidRPr="00AA048B">
        <w:rPr>
          <w:rFonts w:cs="Times New Roman"/>
        </w:rPr>
        <w:t>Law</w:t>
      </w:r>
      <w:r w:rsidRPr="00AA048B">
        <w:rPr>
          <w:rFonts w:cs="Times New Roman"/>
        </w:rPr>
        <w:t xml:space="preserve"> turn these apparent location benefits into major institutional liabilities (</w:t>
      </w:r>
      <w:r w:rsidR="003B38D6" w:rsidRPr="00AA048B">
        <w:rPr>
          <w:rFonts w:cs="Times New Roman"/>
          <w:bCs/>
        </w:rPr>
        <w:t xml:space="preserve">Wen </w:t>
      </w:r>
      <w:r w:rsidR="003B38D6" w:rsidRPr="00AA048B">
        <w:rPr>
          <w:rFonts w:cs="Times New Roman"/>
          <w:bCs/>
          <w:i/>
          <w:iCs/>
        </w:rPr>
        <w:t xml:space="preserve">et al., </w:t>
      </w:r>
      <w:r w:rsidR="003B38D6" w:rsidRPr="00AA048B">
        <w:rPr>
          <w:rFonts w:cs="Times New Roman"/>
          <w:bCs/>
        </w:rPr>
        <w:t>2024</w:t>
      </w:r>
      <w:r w:rsidRPr="00AA048B">
        <w:rPr>
          <w:rFonts w:cs="Times New Roman"/>
        </w:rPr>
        <w:t xml:space="preserve">). </w:t>
      </w:r>
    </w:p>
    <w:p w14:paraId="1751F6F6" w14:textId="4C266A7A" w:rsidR="002A5991" w:rsidRPr="00AA048B" w:rsidRDefault="002A5991" w:rsidP="00AA048B">
      <w:pPr>
        <w:rPr>
          <w:rFonts w:cs="Times New Roman"/>
          <w:b/>
          <w:bCs/>
          <w:i/>
          <w:iCs/>
        </w:rPr>
      </w:pPr>
      <w:r w:rsidRPr="00AA048B">
        <w:rPr>
          <w:rFonts w:cs="Times New Roman"/>
          <w:b/>
          <w:bCs/>
          <w:i/>
          <w:iCs/>
        </w:rPr>
        <w:t>Internalization advantages</w:t>
      </w:r>
    </w:p>
    <w:p w14:paraId="502A3274" w14:textId="667B506F" w:rsidR="002A5991" w:rsidRPr="00AA048B" w:rsidRDefault="00B63360" w:rsidP="00AA048B">
      <w:pPr>
        <w:rPr>
          <w:rFonts w:cs="Times New Roman"/>
        </w:rPr>
      </w:pPr>
      <w:r w:rsidRPr="00AA048B">
        <w:rPr>
          <w:rFonts w:cs="Times New Roman"/>
        </w:rPr>
        <w:t>Internalisation</w:t>
      </w:r>
      <w:r w:rsidR="009D0123" w:rsidRPr="00AA048B">
        <w:rPr>
          <w:rFonts w:cs="Times New Roman"/>
        </w:rPr>
        <w:t xml:space="preserve"> benefits represent whether the </w:t>
      </w:r>
      <w:r w:rsidRPr="00AA048B">
        <w:rPr>
          <w:rFonts w:cs="Times New Roman"/>
        </w:rPr>
        <w:t>organisation</w:t>
      </w:r>
      <w:r w:rsidR="009D0123" w:rsidRPr="00AA048B">
        <w:rPr>
          <w:rFonts w:cs="Times New Roman"/>
        </w:rPr>
        <w:t xml:space="preserve"> needs to exploit its ownership benefits itself using direct control (FDI), or license </w:t>
      </w:r>
      <w:r w:rsidRPr="00AA048B">
        <w:rPr>
          <w:rFonts w:cs="Times New Roman"/>
        </w:rPr>
        <w:t>them</w:t>
      </w:r>
      <w:r w:rsidR="009D0123" w:rsidRPr="00AA048B">
        <w:rPr>
          <w:rFonts w:cs="Times New Roman"/>
        </w:rPr>
        <w:t xml:space="preserve"> to external 3rd parties. A high degree of </w:t>
      </w:r>
      <w:r w:rsidRPr="00AA048B">
        <w:rPr>
          <w:rFonts w:cs="Times New Roman"/>
        </w:rPr>
        <w:t>internalisation</w:t>
      </w:r>
      <w:r w:rsidR="009D0123" w:rsidRPr="00AA048B">
        <w:rPr>
          <w:rFonts w:cs="Times New Roman"/>
        </w:rPr>
        <w:t xml:space="preserve"> has historically been </w:t>
      </w:r>
      <w:r w:rsidRPr="00AA048B">
        <w:rPr>
          <w:rFonts w:cs="Times New Roman"/>
        </w:rPr>
        <w:t>favoured</w:t>
      </w:r>
      <w:r w:rsidR="009D0123" w:rsidRPr="00AA048B">
        <w:rPr>
          <w:rFonts w:cs="Times New Roman"/>
        </w:rPr>
        <w:t xml:space="preserve"> by Netflix. The company avoids licensing its platform architecture or brand name to the 3rd party operators and </w:t>
      </w:r>
      <w:r w:rsidRPr="00AA048B">
        <w:rPr>
          <w:rFonts w:cs="Times New Roman"/>
        </w:rPr>
        <w:t>prefers</w:t>
      </w:r>
      <w:r w:rsidR="009D0123" w:rsidRPr="00AA048B">
        <w:rPr>
          <w:rFonts w:cs="Times New Roman"/>
        </w:rPr>
        <w:t xml:space="preserve"> to enter the markets through wholly owned configurations so that it can maintain absolute control over the user experience, data collection pipelines and pricing strategies (</w:t>
      </w:r>
      <w:r w:rsidR="00710BB5" w:rsidRPr="00AA048B">
        <w:rPr>
          <w:rFonts w:cs="Times New Roman"/>
        </w:rPr>
        <w:t xml:space="preserve">Gómez and Muñoz </w:t>
      </w:r>
      <w:proofErr w:type="spellStart"/>
      <w:r w:rsidR="00710BB5" w:rsidRPr="00AA048B">
        <w:rPr>
          <w:rFonts w:cs="Times New Roman"/>
        </w:rPr>
        <w:t>Larroa</w:t>
      </w:r>
      <w:proofErr w:type="spellEnd"/>
      <w:r w:rsidR="00710BB5" w:rsidRPr="00AA048B">
        <w:rPr>
          <w:rFonts w:cs="Times New Roman"/>
        </w:rPr>
        <w:t>, 2023)</w:t>
      </w:r>
      <w:r w:rsidR="009D0123" w:rsidRPr="00AA048B">
        <w:rPr>
          <w:rFonts w:cs="Times New Roman"/>
        </w:rPr>
        <w:t xml:space="preserve">. In the context of </w:t>
      </w:r>
      <w:r w:rsidRPr="00AA048B">
        <w:rPr>
          <w:rFonts w:cs="Times New Roman"/>
        </w:rPr>
        <w:t xml:space="preserve">the </w:t>
      </w:r>
      <w:r w:rsidR="009D0123" w:rsidRPr="00AA048B">
        <w:rPr>
          <w:rFonts w:cs="Times New Roman"/>
        </w:rPr>
        <w:t xml:space="preserve">Chinese market, the pressure to internalise leads to </w:t>
      </w:r>
      <w:r w:rsidRPr="00AA048B">
        <w:rPr>
          <w:rFonts w:cs="Times New Roman"/>
        </w:rPr>
        <w:t>a</w:t>
      </w:r>
      <w:r w:rsidR="009D0123" w:rsidRPr="00AA048B">
        <w:rPr>
          <w:rFonts w:cs="Times New Roman"/>
        </w:rPr>
        <w:t xml:space="preserve"> critical strategic bottleneck. To preserve the </w:t>
      </w:r>
      <w:r w:rsidRPr="00AA048B">
        <w:rPr>
          <w:rFonts w:cs="Times New Roman"/>
        </w:rPr>
        <w:t>internationalisation</w:t>
      </w:r>
      <w:r w:rsidR="009D0123" w:rsidRPr="00AA048B">
        <w:rPr>
          <w:rFonts w:cs="Times New Roman"/>
        </w:rPr>
        <w:t xml:space="preserve"> benefits, Netflix would </w:t>
      </w:r>
      <w:r w:rsidRPr="00AA048B">
        <w:rPr>
          <w:rFonts w:cs="Times New Roman"/>
        </w:rPr>
        <w:t>need</w:t>
      </w:r>
      <w:r w:rsidR="009D0123" w:rsidRPr="00AA048B">
        <w:rPr>
          <w:rFonts w:cs="Times New Roman"/>
        </w:rPr>
        <w:t xml:space="preserve"> to establish an independent, wholly controlled platform within China. Meanwhile</w:t>
      </w:r>
      <w:r w:rsidRPr="00AA048B">
        <w:rPr>
          <w:rFonts w:cs="Times New Roman"/>
        </w:rPr>
        <w:t>,</w:t>
      </w:r>
      <w:r w:rsidR="009D0123" w:rsidRPr="00AA048B">
        <w:rPr>
          <w:rFonts w:cs="Times New Roman"/>
        </w:rPr>
        <w:t xml:space="preserve"> as represented by the PEST analysis, there are various local regulations in China </w:t>
      </w:r>
      <w:r w:rsidR="003D2CA8">
        <w:rPr>
          <w:rFonts w:cs="Times New Roman"/>
        </w:rPr>
        <w:t>that</w:t>
      </w:r>
      <w:r w:rsidR="009D0123" w:rsidRPr="00AA048B">
        <w:rPr>
          <w:rFonts w:cs="Times New Roman"/>
        </w:rPr>
        <w:t xml:space="preserve"> can make this legal layout impossible for Netflix. This forces </w:t>
      </w:r>
      <w:r w:rsidR="003D2CA8">
        <w:rPr>
          <w:rFonts w:cs="Times New Roman"/>
        </w:rPr>
        <w:t>a</w:t>
      </w:r>
      <w:r w:rsidR="009D0123" w:rsidRPr="00AA048B">
        <w:rPr>
          <w:rFonts w:cs="Times New Roman"/>
        </w:rPr>
        <w:t xml:space="preserve"> major compromise. In the case </w:t>
      </w:r>
      <w:r w:rsidRPr="00AA048B">
        <w:rPr>
          <w:rFonts w:cs="Times New Roman"/>
        </w:rPr>
        <w:t>that</w:t>
      </w:r>
      <w:r w:rsidR="009D0123" w:rsidRPr="00AA048B">
        <w:rPr>
          <w:rFonts w:cs="Times New Roman"/>
        </w:rPr>
        <w:t xml:space="preserve"> Netflix insists on </w:t>
      </w:r>
      <w:r w:rsidRPr="00AA048B">
        <w:rPr>
          <w:rFonts w:cs="Times New Roman"/>
        </w:rPr>
        <w:t>structural</w:t>
      </w:r>
      <w:r w:rsidR="009D0123" w:rsidRPr="00AA048B">
        <w:rPr>
          <w:rFonts w:cs="Times New Roman"/>
        </w:rPr>
        <w:t xml:space="preserve"> </w:t>
      </w:r>
      <w:r w:rsidRPr="00AA048B">
        <w:rPr>
          <w:rFonts w:cs="Times New Roman"/>
        </w:rPr>
        <w:t>internalisation</w:t>
      </w:r>
      <w:r w:rsidR="009D0123" w:rsidRPr="00AA048B">
        <w:rPr>
          <w:rFonts w:cs="Times New Roman"/>
        </w:rPr>
        <w:t>, it is completely barred from entering the Chinese market. However</w:t>
      </w:r>
      <w:r w:rsidRPr="00AA048B">
        <w:rPr>
          <w:rFonts w:cs="Times New Roman"/>
        </w:rPr>
        <w:t>,</w:t>
      </w:r>
      <w:r w:rsidR="009D0123" w:rsidRPr="00AA048B">
        <w:rPr>
          <w:rFonts w:cs="Times New Roman"/>
        </w:rPr>
        <w:t xml:space="preserve"> if it tries to enter through the low equity or </w:t>
      </w:r>
      <w:r w:rsidRPr="00AA048B">
        <w:rPr>
          <w:rFonts w:cs="Times New Roman"/>
        </w:rPr>
        <w:t>non-equity</w:t>
      </w:r>
      <w:r w:rsidR="009D0123" w:rsidRPr="00AA048B">
        <w:rPr>
          <w:rFonts w:cs="Times New Roman"/>
        </w:rPr>
        <w:t xml:space="preserve"> modes (like licensing its content library to </w:t>
      </w:r>
      <w:r w:rsidRPr="00AA048B">
        <w:rPr>
          <w:rFonts w:cs="Times New Roman"/>
        </w:rPr>
        <w:t>a</w:t>
      </w:r>
      <w:r w:rsidR="009D0123" w:rsidRPr="00AA048B">
        <w:rPr>
          <w:rFonts w:cs="Times New Roman"/>
        </w:rPr>
        <w:t xml:space="preserve"> local platform like iQIYI), it surrenders its </w:t>
      </w:r>
      <w:r w:rsidRPr="00AA048B">
        <w:rPr>
          <w:rFonts w:cs="Times New Roman"/>
        </w:rPr>
        <w:t>internalisation</w:t>
      </w:r>
      <w:r w:rsidR="009D0123" w:rsidRPr="00AA048B">
        <w:rPr>
          <w:rFonts w:cs="Times New Roman"/>
        </w:rPr>
        <w:t xml:space="preserve"> advantages. This </w:t>
      </w:r>
      <w:r w:rsidRPr="00AA048B">
        <w:rPr>
          <w:rFonts w:cs="Times New Roman"/>
        </w:rPr>
        <w:t>exposes</w:t>
      </w:r>
      <w:r w:rsidR="009D0123" w:rsidRPr="00AA048B">
        <w:rPr>
          <w:rFonts w:cs="Times New Roman"/>
        </w:rPr>
        <w:t xml:space="preserve"> its intellectual property to piracy, </w:t>
      </w:r>
      <w:r w:rsidRPr="00AA048B">
        <w:rPr>
          <w:rFonts w:cs="Times New Roman"/>
        </w:rPr>
        <w:t>loses</w:t>
      </w:r>
      <w:r w:rsidR="009D0123" w:rsidRPr="00AA048B">
        <w:rPr>
          <w:rFonts w:cs="Times New Roman"/>
        </w:rPr>
        <w:t xml:space="preserve"> direct control over the user data and relationship management and dilutes its brand equity</w:t>
      </w:r>
      <w:r w:rsidR="00C90A97" w:rsidRPr="00AA048B">
        <w:rPr>
          <w:rFonts w:cs="Times New Roman"/>
        </w:rPr>
        <w:t>.</w:t>
      </w:r>
    </w:p>
    <w:p w14:paraId="27D3102E" w14:textId="4F53EBC6" w:rsidR="009D0123" w:rsidRPr="00AA048B" w:rsidRDefault="009D0123" w:rsidP="00AA048B">
      <w:pPr>
        <w:pStyle w:val="Heading3"/>
      </w:pPr>
      <w:bookmarkStart w:id="7" w:name="_Toc236250842"/>
      <w:r w:rsidRPr="00AA048B">
        <w:t>Synthesis of Market Attractiveness</w:t>
      </w:r>
      <w:bookmarkEnd w:id="7"/>
      <w:r w:rsidRPr="00AA048B">
        <w:t xml:space="preserve"> </w:t>
      </w:r>
    </w:p>
    <w:p w14:paraId="1068728D" w14:textId="2F01AFFF" w:rsidR="009D0123" w:rsidRPr="00AA048B" w:rsidRDefault="00710BB5" w:rsidP="00AA048B">
      <w:pPr>
        <w:rPr>
          <w:rFonts w:cs="Times New Roman"/>
        </w:rPr>
      </w:pPr>
      <w:r w:rsidRPr="00AA048B">
        <w:rPr>
          <w:rFonts w:cs="Times New Roman"/>
        </w:rPr>
        <w:t xml:space="preserve">The evaluation through the macro environmental factors Eclectic Paradigm, </w:t>
      </w:r>
      <w:r w:rsidR="00B63360" w:rsidRPr="00AA048B">
        <w:rPr>
          <w:rFonts w:cs="Times New Roman"/>
        </w:rPr>
        <w:t>it</w:t>
      </w:r>
      <w:r w:rsidRPr="00AA048B">
        <w:rPr>
          <w:rFonts w:cs="Times New Roman"/>
        </w:rPr>
        <w:t xml:space="preserve"> is found that mainland China is currently an unattractive market for direct foreign expansion by Netflix. </w:t>
      </w:r>
    </w:p>
    <w:p w14:paraId="19E1292F" w14:textId="28C45C21" w:rsidR="00710BB5" w:rsidRPr="00AA048B" w:rsidRDefault="00710BB5" w:rsidP="00AA048B">
      <w:pPr>
        <w:rPr>
          <w:rFonts w:cs="Times New Roman"/>
        </w:rPr>
      </w:pPr>
      <w:r w:rsidRPr="00AA048B">
        <w:rPr>
          <w:rFonts w:cs="Times New Roman"/>
        </w:rPr>
        <w:t xml:space="preserve">The major </w:t>
      </w:r>
      <w:r w:rsidR="00B63360" w:rsidRPr="00AA048B">
        <w:rPr>
          <w:rFonts w:cs="Times New Roman"/>
        </w:rPr>
        <w:t>issue</w:t>
      </w:r>
      <w:r w:rsidRPr="00AA048B">
        <w:rPr>
          <w:rFonts w:cs="Times New Roman"/>
        </w:rPr>
        <w:t xml:space="preserve"> that can be faced is the institutional distance. While China presents highly advanced digital infrastructure and impressive economic capacity, its regulatory and political environmental barriers are simply too critical to overcome by Netflix. The </w:t>
      </w:r>
      <w:r w:rsidR="00B63360" w:rsidRPr="00AA048B">
        <w:rPr>
          <w:rFonts w:cs="Times New Roman"/>
        </w:rPr>
        <w:t>strict</w:t>
      </w:r>
      <w:r w:rsidRPr="00AA048B">
        <w:rPr>
          <w:rFonts w:cs="Times New Roman"/>
        </w:rPr>
        <w:t xml:space="preserve"> ban on foreign ownership prevents Netflix from establishing its wholly owned subsidiary, while the data </w:t>
      </w:r>
      <w:r w:rsidR="00B63360" w:rsidRPr="00AA048B">
        <w:rPr>
          <w:rFonts w:cs="Times New Roman"/>
        </w:rPr>
        <w:t>localisation</w:t>
      </w:r>
      <w:r w:rsidRPr="00AA048B">
        <w:rPr>
          <w:rFonts w:cs="Times New Roman"/>
        </w:rPr>
        <w:t xml:space="preserve"> laws also </w:t>
      </w:r>
      <w:r w:rsidR="00B63360" w:rsidRPr="00AA048B">
        <w:rPr>
          <w:rFonts w:cs="Times New Roman"/>
        </w:rPr>
        <w:t>undermine</w:t>
      </w:r>
      <w:r w:rsidRPr="00AA048B">
        <w:rPr>
          <w:rFonts w:cs="Times New Roman"/>
        </w:rPr>
        <w:t xml:space="preserve"> its </w:t>
      </w:r>
      <w:r w:rsidR="00B63360" w:rsidRPr="00AA048B">
        <w:rPr>
          <w:rFonts w:cs="Times New Roman"/>
        </w:rPr>
        <w:t>centralised</w:t>
      </w:r>
      <w:r w:rsidRPr="00AA048B">
        <w:rPr>
          <w:rFonts w:cs="Times New Roman"/>
        </w:rPr>
        <w:t xml:space="preserve"> cloud infrastructure. Moreover</w:t>
      </w:r>
      <w:r w:rsidR="00B63360" w:rsidRPr="00AA048B">
        <w:rPr>
          <w:rFonts w:cs="Times New Roman"/>
        </w:rPr>
        <w:t>,</w:t>
      </w:r>
      <w:r w:rsidRPr="00AA048B">
        <w:rPr>
          <w:rFonts w:cs="Times New Roman"/>
        </w:rPr>
        <w:t xml:space="preserve"> the extensive </w:t>
      </w:r>
      <w:r w:rsidR="00B63360" w:rsidRPr="00AA048B">
        <w:rPr>
          <w:rFonts w:cs="Times New Roman"/>
        </w:rPr>
        <w:t>modifications</w:t>
      </w:r>
      <w:r w:rsidRPr="00AA048B">
        <w:rPr>
          <w:rFonts w:cs="Times New Roman"/>
        </w:rPr>
        <w:t xml:space="preserve"> needed to pass the state censorship in China would affect </w:t>
      </w:r>
      <w:r w:rsidR="00B63360" w:rsidRPr="00AA048B">
        <w:rPr>
          <w:rFonts w:cs="Times New Roman"/>
        </w:rPr>
        <w:t>Netflix's</w:t>
      </w:r>
      <w:r w:rsidRPr="00AA048B">
        <w:rPr>
          <w:rFonts w:cs="Times New Roman"/>
        </w:rPr>
        <w:t xml:space="preserve"> content </w:t>
      </w:r>
      <w:r w:rsidR="00B63360" w:rsidRPr="00AA048B">
        <w:rPr>
          <w:rFonts w:cs="Times New Roman"/>
        </w:rPr>
        <w:t>catalogue</w:t>
      </w:r>
      <w:r w:rsidRPr="00AA048B">
        <w:rPr>
          <w:rFonts w:cs="Times New Roman"/>
        </w:rPr>
        <w:t xml:space="preserve"> extensively</w:t>
      </w:r>
      <w:r w:rsidR="00B63360" w:rsidRPr="00AA048B">
        <w:rPr>
          <w:rFonts w:cs="Times New Roman"/>
        </w:rPr>
        <w:t>,</w:t>
      </w:r>
      <w:r w:rsidRPr="00AA048B">
        <w:rPr>
          <w:rFonts w:cs="Times New Roman"/>
        </w:rPr>
        <w:t xml:space="preserve"> </w:t>
      </w:r>
      <w:r w:rsidR="00B63360" w:rsidRPr="00AA048B">
        <w:rPr>
          <w:rFonts w:cs="Times New Roman"/>
        </w:rPr>
        <w:t>compromising</w:t>
      </w:r>
      <w:r w:rsidRPr="00AA048B">
        <w:rPr>
          <w:rFonts w:cs="Times New Roman"/>
        </w:rPr>
        <w:t xml:space="preserve"> its global brand value. With domestic oligopolies like Alibaba, Baidu and Tencent firmly entrenched, Netflix experiences </w:t>
      </w:r>
      <w:r w:rsidR="00B63360" w:rsidRPr="00AA048B">
        <w:rPr>
          <w:rFonts w:cs="Times New Roman"/>
        </w:rPr>
        <w:t>a</w:t>
      </w:r>
      <w:r w:rsidRPr="00AA048B">
        <w:rPr>
          <w:rFonts w:cs="Times New Roman"/>
        </w:rPr>
        <w:t xml:space="preserve"> market share in which </w:t>
      </w:r>
      <w:r w:rsidRPr="00AA048B">
        <w:rPr>
          <w:rFonts w:cs="Times New Roman"/>
        </w:rPr>
        <w:lastRenderedPageBreak/>
        <w:t xml:space="preserve">potential revenues are highly restricted, </w:t>
      </w:r>
      <w:r w:rsidR="00B63360" w:rsidRPr="00AA048B">
        <w:rPr>
          <w:rFonts w:cs="Times New Roman"/>
        </w:rPr>
        <w:t>while</w:t>
      </w:r>
      <w:r w:rsidRPr="00AA048B">
        <w:rPr>
          <w:rFonts w:cs="Times New Roman"/>
        </w:rPr>
        <w:t xml:space="preserve"> operational risks and capital requirements remain exceptionally high. </w:t>
      </w:r>
    </w:p>
    <w:p w14:paraId="402F78AE" w14:textId="19731BE3" w:rsidR="00710BB5" w:rsidRPr="00AA048B" w:rsidRDefault="00710BB5" w:rsidP="00AA048B">
      <w:pPr>
        <w:pStyle w:val="Heading3"/>
      </w:pPr>
      <w:bookmarkStart w:id="8" w:name="_Toc236250843"/>
      <w:r w:rsidRPr="00AA048B">
        <w:t>The Strategic Illusion of Platform Scalability</w:t>
      </w:r>
      <w:bookmarkEnd w:id="8"/>
      <w:r w:rsidRPr="00AA048B">
        <w:t xml:space="preserve"> </w:t>
      </w:r>
    </w:p>
    <w:p w14:paraId="233A9501" w14:textId="4BA661AA" w:rsidR="00710BB5" w:rsidRPr="00AA048B" w:rsidRDefault="00710BB5" w:rsidP="00AA048B">
      <w:pPr>
        <w:rPr>
          <w:rFonts w:cs="Times New Roman"/>
        </w:rPr>
      </w:pPr>
      <w:r w:rsidRPr="00AA048B">
        <w:rPr>
          <w:rFonts w:cs="Times New Roman"/>
        </w:rPr>
        <w:t xml:space="preserve">The ultimate structural barrier to entry is represented by the contrast between digital multinational enterprises (MNEs) and traditional enterprises. </w:t>
      </w:r>
      <w:r w:rsidR="003D2CA8">
        <w:rPr>
          <w:rFonts w:cs="Times New Roman"/>
        </w:rPr>
        <w:t>Traditional</w:t>
      </w:r>
      <w:r w:rsidRPr="00AA048B">
        <w:rPr>
          <w:rFonts w:cs="Times New Roman"/>
        </w:rPr>
        <w:t xml:space="preserve"> MNEs expand incrementally through physical capital. </w:t>
      </w:r>
      <w:r w:rsidR="00B63360" w:rsidRPr="00AA048B">
        <w:rPr>
          <w:rFonts w:cs="Times New Roman"/>
        </w:rPr>
        <w:t>Platform-based</w:t>
      </w:r>
      <w:r w:rsidRPr="00AA048B">
        <w:rPr>
          <w:rFonts w:cs="Times New Roman"/>
        </w:rPr>
        <w:t xml:space="preserve"> firms depend on the </w:t>
      </w:r>
      <w:r w:rsidR="00B63360" w:rsidRPr="00AA048B">
        <w:rPr>
          <w:rFonts w:cs="Times New Roman"/>
        </w:rPr>
        <w:t>asset-light</w:t>
      </w:r>
      <w:r w:rsidRPr="00AA048B">
        <w:rPr>
          <w:rFonts w:cs="Times New Roman"/>
        </w:rPr>
        <w:t xml:space="preserve"> model</w:t>
      </w:r>
      <w:r w:rsidR="00B63360" w:rsidRPr="00AA048B">
        <w:rPr>
          <w:rFonts w:cs="Times New Roman"/>
        </w:rPr>
        <w:t>,</w:t>
      </w:r>
      <w:r w:rsidRPr="00AA048B">
        <w:rPr>
          <w:rFonts w:cs="Times New Roman"/>
        </w:rPr>
        <w:t xml:space="preserve"> which is designed for quick, </w:t>
      </w:r>
      <w:r w:rsidR="00B63360" w:rsidRPr="00AA048B">
        <w:rPr>
          <w:rFonts w:cs="Times New Roman"/>
        </w:rPr>
        <w:t>friction-free</w:t>
      </w:r>
      <w:r w:rsidRPr="00AA048B">
        <w:rPr>
          <w:rFonts w:cs="Times New Roman"/>
        </w:rPr>
        <w:t xml:space="preserve"> global integration (Becker-</w:t>
      </w:r>
      <w:proofErr w:type="spellStart"/>
      <w:r w:rsidRPr="00AA048B">
        <w:rPr>
          <w:rFonts w:cs="Times New Roman"/>
        </w:rPr>
        <w:t>Ritterspach</w:t>
      </w:r>
      <w:proofErr w:type="spellEnd"/>
      <w:r w:rsidRPr="00AA048B">
        <w:rPr>
          <w:rFonts w:cs="Times New Roman"/>
        </w:rPr>
        <w:t xml:space="preserve">, 2024; Li </w:t>
      </w:r>
      <w:r w:rsidRPr="00AA048B">
        <w:rPr>
          <w:rFonts w:cs="Times New Roman"/>
          <w:i/>
          <w:iCs/>
        </w:rPr>
        <w:t xml:space="preserve">et al., </w:t>
      </w:r>
      <w:r w:rsidRPr="00AA048B">
        <w:rPr>
          <w:rFonts w:cs="Times New Roman"/>
        </w:rPr>
        <w:t xml:space="preserve">2025). This feature of </w:t>
      </w:r>
      <w:r w:rsidR="00B63360" w:rsidRPr="00AA048B">
        <w:rPr>
          <w:rFonts w:cs="Times New Roman"/>
        </w:rPr>
        <w:t xml:space="preserve">the </w:t>
      </w:r>
      <w:r w:rsidRPr="00AA048B">
        <w:rPr>
          <w:rFonts w:cs="Times New Roman"/>
        </w:rPr>
        <w:t xml:space="preserve">platform economy develops what international business scholars call ‘illusion of seamless stability scalability’. </w:t>
      </w:r>
    </w:p>
    <w:p w14:paraId="28D5D3C3" w14:textId="0E159680" w:rsidR="00710BB5" w:rsidRPr="00AA048B" w:rsidRDefault="00710BB5" w:rsidP="00AA048B">
      <w:pPr>
        <w:rPr>
          <w:rFonts w:cs="Times New Roman"/>
        </w:rPr>
      </w:pPr>
      <w:r w:rsidRPr="00AA048B">
        <w:rPr>
          <w:rFonts w:cs="Times New Roman"/>
        </w:rPr>
        <w:t xml:space="preserve">While Netflix successfully manages the wider digital footprint across 190 countries by operating its library as </w:t>
      </w:r>
      <w:r w:rsidR="00B63360" w:rsidRPr="00AA048B">
        <w:rPr>
          <w:rFonts w:cs="Times New Roman"/>
        </w:rPr>
        <w:t>an</w:t>
      </w:r>
      <w:r w:rsidRPr="00AA048B">
        <w:rPr>
          <w:rFonts w:cs="Times New Roman"/>
        </w:rPr>
        <w:t xml:space="preserve"> adaptive series of localised national </w:t>
      </w:r>
      <w:r w:rsidR="00B63360" w:rsidRPr="00AA048B">
        <w:rPr>
          <w:rFonts w:cs="Times New Roman"/>
        </w:rPr>
        <w:t>services</w:t>
      </w:r>
      <w:r w:rsidRPr="00AA048B">
        <w:rPr>
          <w:rFonts w:cs="Times New Roman"/>
        </w:rPr>
        <w:t xml:space="preserve"> linked through the unified tech fundamental (</w:t>
      </w:r>
      <w:proofErr w:type="spellStart"/>
      <w:r w:rsidRPr="00AA048B">
        <w:rPr>
          <w:rFonts w:cs="Times New Roman"/>
        </w:rPr>
        <w:t>Chalaby</w:t>
      </w:r>
      <w:proofErr w:type="spellEnd"/>
      <w:r w:rsidRPr="00AA048B">
        <w:rPr>
          <w:rFonts w:cs="Times New Roman"/>
        </w:rPr>
        <w:t xml:space="preserve">, 2024), this operational template completely collapses when it hits the regulatory wall of China. The institutional landscape of host </w:t>
      </w:r>
      <w:r w:rsidR="00B63360" w:rsidRPr="00AA048B">
        <w:rPr>
          <w:rFonts w:cs="Times New Roman"/>
        </w:rPr>
        <w:t>markets</w:t>
      </w:r>
      <w:r w:rsidRPr="00AA048B">
        <w:rPr>
          <w:rFonts w:cs="Times New Roman"/>
        </w:rPr>
        <w:t xml:space="preserve"> forces an absolute disconnect between the technological potential of </w:t>
      </w:r>
      <w:r w:rsidR="00B63360" w:rsidRPr="00AA048B">
        <w:rPr>
          <w:rFonts w:cs="Times New Roman"/>
        </w:rPr>
        <w:t xml:space="preserve">the </w:t>
      </w:r>
      <w:r w:rsidRPr="00AA048B">
        <w:rPr>
          <w:rFonts w:cs="Times New Roman"/>
        </w:rPr>
        <w:t>platform and its actual market access (</w:t>
      </w:r>
      <w:r w:rsidR="00831D7E" w:rsidRPr="00AA048B">
        <w:rPr>
          <w:rFonts w:cs="Times New Roman"/>
        </w:rPr>
        <w:t>Cunningham and Craig, 2016</w:t>
      </w:r>
      <w:r w:rsidRPr="00AA048B">
        <w:rPr>
          <w:rFonts w:cs="Times New Roman"/>
        </w:rPr>
        <w:t xml:space="preserve">). As foreign video streaming portals are highly critically prohibited from setting up proprietary distribution networks under the local </w:t>
      </w:r>
      <w:r w:rsidR="00B63360" w:rsidRPr="00AA048B">
        <w:rPr>
          <w:rFonts w:cs="Times New Roman"/>
        </w:rPr>
        <w:t>value-added</w:t>
      </w:r>
      <w:r w:rsidRPr="00AA048B">
        <w:rPr>
          <w:rFonts w:cs="Times New Roman"/>
        </w:rPr>
        <w:t xml:space="preserve"> telecommunication policies, Netflix cannot exploit its international ownership benefits directly (Wang and Lobato, 2019). Trying to bypass these laws by reverting to a pure content licensing model with domestic </w:t>
      </w:r>
      <w:r w:rsidR="00B63360" w:rsidRPr="00AA048B">
        <w:rPr>
          <w:rFonts w:cs="Times New Roman"/>
        </w:rPr>
        <w:t>organisations</w:t>
      </w:r>
      <w:r w:rsidRPr="00AA048B">
        <w:rPr>
          <w:rFonts w:cs="Times New Roman"/>
        </w:rPr>
        <w:t xml:space="preserve"> like iQIYI degrades Netflix from </w:t>
      </w:r>
      <w:r w:rsidR="00B63360" w:rsidRPr="00AA048B">
        <w:rPr>
          <w:rFonts w:cs="Times New Roman"/>
        </w:rPr>
        <w:t>an</w:t>
      </w:r>
      <w:r w:rsidRPr="00AA048B">
        <w:rPr>
          <w:rFonts w:cs="Times New Roman"/>
        </w:rPr>
        <w:t xml:space="preserve"> innovative digital platform to a </w:t>
      </w:r>
      <w:r w:rsidR="00B63360" w:rsidRPr="00AA048B">
        <w:rPr>
          <w:rFonts w:cs="Times New Roman"/>
        </w:rPr>
        <w:t>non-equity</w:t>
      </w:r>
      <w:r w:rsidRPr="00AA048B">
        <w:rPr>
          <w:rFonts w:cs="Times New Roman"/>
        </w:rPr>
        <w:t xml:space="preserve">, vulnerable content supplier. This moves all the market power to the domestic Internet companies who control the user relationship, interface and local data </w:t>
      </w:r>
      <w:proofErr w:type="spellStart"/>
      <w:r w:rsidR="00B63360" w:rsidRPr="00AA048B">
        <w:rPr>
          <w:rFonts w:cs="Times New Roman"/>
        </w:rPr>
        <w:t>monetisations</w:t>
      </w:r>
      <w:proofErr w:type="spellEnd"/>
      <w:r w:rsidRPr="00AA048B">
        <w:rPr>
          <w:rFonts w:cs="Times New Roman"/>
        </w:rPr>
        <w:t xml:space="preserve"> (Wang and Lobato, 2019; Zeng, 2024). Ultimately, the macro environmental factors of China </w:t>
      </w:r>
      <w:r w:rsidR="00B63360" w:rsidRPr="00AA048B">
        <w:rPr>
          <w:rFonts w:cs="Times New Roman"/>
        </w:rPr>
        <w:t>neutralise</w:t>
      </w:r>
      <w:r w:rsidRPr="00AA048B">
        <w:rPr>
          <w:rFonts w:cs="Times New Roman"/>
        </w:rPr>
        <w:t xml:space="preserve"> the exact platform architecture that underpins the global competitive rivalry of Netflix. </w:t>
      </w:r>
    </w:p>
    <w:p w14:paraId="44830AF1" w14:textId="77777777" w:rsidR="00AA048B" w:rsidRDefault="00AA048B">
      <w:pPr>
        <w:jc w:val="left"/>
        <w:rPr>
          <w:rFonts w:eastAsiaTheme="majorEastAsia" w:cstheme="majorBidi"/>
          <w:b/>
          <w:kern w:val="0"/>
          <w:szCs w:val="32"/>
          <w:lang w:val="en-US"/>
          <w14:ligatures w14:val="none"/>
        </w:rPr>
      </w:pPr>
      <w:r>
        <w:br w:type="page"/>
      </w:r>
    </w:p>
    <w:p w14:paraId="5CDEE873" w14:textId="7EF97ED1" w:rsidR="00C862AF" w:rsidRPr="00AA048B" w:rsidRDefault="00C862AF" w:rsidP="00AA048B">
      <w:pPr>
        <w:pStyle w:val="Heading2"/>
      </w:pPr>
      <w:bookmarkStart w:id="9" w:name="_Toc236250844"/>
      <w:r w:rsidRPr="00AA048B">
        <w:lastRenderedPageBreak/>
        <w:t>Entry Mode Strategy and Strategic Synthesis</w:t>
      </w:r>
      <w:bookmarkEnd w:id="9"/>
      <w:r w:rsidRPr="00AA048B">
        <w:t xml:space="preserve">  </w:t>
      </w:r>
    </w:p>
    <w:p w14:paraId="04649496" w14:textId="5DB67C32" w:rsidR="00C862AF" w:rsidRPr="00AA048B" w:rsidRDefault="001B40CE" w:rsidP="00AA048B">
      <w:pPr>
        <w:pStyle w:val="Heading3"/>
      </w:pPr>
      <w:bookmarkStart w:id="10" w:name="_Toc236250845"/>
      <w:r w:rsidRPr="00AA048B">
        <w:t xml:space="preserve">Historical </w:t>
      </w:r>
      <w:r w:rsidR="00AA048B" w:rsidRPr="00AA048B">
        <w:t>Pattern Recognition And Global Rollout Framework</w:t>
      </w:r>
      <w:bookmarkEnd w:id="10"/>
      <w:r w:rsidR="00AA048B" w:rsidRPr="00AA048B">
        <w:t xml:space="preserve"> </w:t>
      </w:r>
    </w:p>
    <w:p w14:paraId="7B44FD12" w14:textId="3B9F0DFD" w:rsidR="001B40CE" w:rsidRPr="00AA048B" w:rsidRDefault="001B40CE" w:rsidP="00AA048B">
      <w:pPr>
        <w:rPr>
          <w:rFonts w:cs="Times New Roman"/>
        </w:rPr>
      </w:pPr>
      <w:r w:rsidRPr="00AA048B">
        <w:rPr>
          <w:rFonts w:cs="Times New Roman"/>
        </w:rPr>
        <w:t xml:space="preserve">The internationalisation trajectory of Netflix offers a seminal case study in the rapid scaling of digital platform multinational enterprises (MNEs). Unlike the traditional physical organisations that expand incrementally through the classic Uppsala models of geographic creeping, Netflix has used a unique, accelerated framework for expansion. This process is featured by international business scholars as the three-phase </w:t>
      </w:r>
      <w:r w:rsidR="00B63360" w:rsidRPr="00AA048B">
        <w:rPr>
          <w:rFonts w:cs="Times New Roman"/>
        </w:rPr>
        <w:t>model</w:t>
      </w:r>
      <w:r w:rsidRPr="00AA048B">
        <w:rPr>
          <w:rFonts w:cs="Times New Roman"/>
        </w:rPr>
        <w:t xml:space="preserve"> used for global rollout (Li </w:t>
      </w:r>
      <w:r w:rsidRPr="00AA048B">
        <w:rPr>
          <w:rFonts w:cs="Times New Roman"/>
          <w:i/>
          <w:iCs/>
        </w:rPr>
        <w:t xml:space="preserve">et al., </w:t>
      </w:r>
      <w:r w:rsidRPr="00AA048B">
        <w:rPr>
          <w:rFonts w:cs="Times New Roman"/>
        </w:rPr>
        <w:t xml:space="preserve">2025). </w:t>
      </w:r>
    </w:p>
    <w:tbl>
      <w:tblPr>
        <w:tblStyle w:val="TableGrid"/>
        <w:tblW w:w="0" w:type="auto"/>
        <w:tblLook w:val="04A0" w:firstRow="1" w:lastRow="0" w:firstColumn="1" w:lastColumn="0" w:noHBand="0" w:noVBand="1"/>
      </w:tblPr>
      <w:tblGrid>
        <w:gridCol w:w="9016"/>
      </w:tblGrid>
      <w:tr w:rsidR="001B40CE" w:rsidRPr="00AA048B" w14:paraId="2CEA8BD1" w14:textId="77777777" w:rsidTr="001B40CE">
        <w:tc>
          <w:tcPr>
            <w:tcW w:w="9016" w:type="dxa"/>
          </w:tcPr>
          <w:p w14:paraId="4402725F" w14:textId="59FA68BC" w:rsidR="001B40CE" w:rsidRPr="00AA048B" w:rsidRDefault="001B40CE" w:rsidP="00AA048B">
            <w:pPr>
              <w:jc w:val="center"/>
              <w:rPr>
                <w:rFonts w:cs="Times New Roman"/>
                <w:b/>
                <w:bCs/>
                <w:i/>
                <w:iCs/>
              </w:rPr>
            </w:pPr>
            <w:r w:rsidRPr="00AA048B">
              <w:rPr>
                <w:rFonts w:cs="Times New Roman"/>
                <w:b/>
                <w:bCs/>
                <w:i/>
                <w:iCs/>
              </w:rPr>
              <w:t>Netflix’s three-stage expansion framework</w:t>
            </w:r>
          </w:p>
        </w:tc>
      </w:tr>
      <w:tr w:rsidR="001B40CE" w:rsidRPr="00AA048B" w14:paraId="1EF4ECAA" w14:textId="77777777" w:rsidTr="001B40CE">
        <w:tc>
          <w:tcPr>
            <w:tcW w:w="9016" w:type="dxa"/>
          </w:tcPr>
          <w:p w14:paraId="4EDD683E" w14:textId="4D94BFBA" w:rsidR="001B40CE" w:rsidRPr="00AA048B" w:rsidRDefault="006D40EA" w:rsidP="00AA048B">
            <w:pPr>
              <w:jc w:val="center"/>
              <w:rPr>
                <w:rFonts w:cs="Times New Roman"/>
                <w:b/>
                <w:bCs/>
                <w:i/>
                <w:iCs/>
              </w:rPr>
            </w:pPr>
            <w:r w:rsidRPr="00AA048B">
              <w:rPr>
                <w:rFonts w:cs="Times New Roman"/>
                <w:b/>
                <w:bCs/>
                <w:i/>
                <w:iCs/>
              </w:rPr>
              <w:t>↓</w:t>
            </w:r>
          </w:p>
        </w:tc>
      </w:tr>
      <w:tr w:rsidR="006D40EA" w:rsidRPr="00AA048B" w14:paraId="533D0374" w14:textId="77777777" w:rsidTr="001B40CE">
        <w:tc>
          <w:tcPr>
            <w:tcW w:w="9016" w:type="dxa"/>
          </w:tcPr>
          <w:p w14:paraId="65E66852" w14:textId="7690D7F3" w:rsidR="006D40EA" w:rsidRPr="00AA048B" w:rsidRDefault="006D40EA" w:rsidP="00AA048B">
            <w:pPr>
              <w:jc w:val="center"/>
              <w:rPr>
                <w:rFonts w:cs="Times New Roman"/>
                <w:b/>
                <w:bCs/>
                <w:i/>
                <w:iCs/>
              </w:rPr>
            </w:pPr>
            <w:r w:rsidRPr="00AA048B">
              <w:rPr>
                <w:rFonts w:cs="Times New Roman"/>
                <w:b/>
                <w:bCs/>
                <w:i/>
                <w:iCs/>
              </w:rPr>
              <w:t>Phase 1: Asymmetric Proximity (2010): Canada Entry</w:t>
            </w:r>
          </w:p>
        </w:tc>
      </w:tr>
      <w:tr w:rsidR="006D40EA" w:rsidRPr="00AA048B" w14:paraId="1A303207" w14:textId="77777777" w:rsidTr="001B40CE">
        <w:tc>
          <w:tcPr>
            <w:tcW w:w="9016" w:type="dxa"/>
          </w:tcPr>
          <w:p w14:paraId="261F4F41" w14:textId="2DB97572" w:rsidR="006D40EA" w:rsidRPr="00AA048B" w:rsidRDefault="006D40EA" w:rsidP="00AA048B">
            <w:pPr>
              <w:jc w:val="center"/>
              <w:rPr>
                <w:rFonts w:cs="Times New Roman"/>
                <w:b/>
                <w:bCs/>
                <w:i/>
                <w:iCs/>
              </w:rPr>
            </w:pPr>
            <w:r w:rsidRPr="00AA048B">
              <w:rPr>
                <w:rFonts w:cs="Times New Roman"/>
                <w:b/>
                <w:bCs/>
                <w:i/>
                <w:iCs/>
              </w:rPr>
              <w:t>Phase 2: Localised Deepening (2012-2015): Western Europe Hubs</w:t>
            </w:r>
          </w:p>
        </w:tc>
      </w:tr>
      <w:tr w:rsidR="006D40EA" w:rsidRPr="00AA048B" w14:paraId="0772CF1A" w14:textId="77777777" w:rsidTr="001B40CE">
        <w:tc>
          <w:tcPr>
            <w:tcW w:w="9016" w:type="dxa"/>
          </w:tcPr>
          <w:p w14:paraId="019D37D0" w14:textId="3EDB6D1B" w:rsidR="006D40EA" w:rsidRPr="00AA048B" w:rsidRDefault="006D40EA" w:rsidP="00AA048B">
            <w:pPr>
              <w:jc w:val="center"/>
              <w:rPr>
                <w:rFonts w:cs="Times New Roman"/>
                <w:b/>
                <w:bCs/>
                <w:i/>
                <w:iCs/>
              </w:rPr>
            </w:pPr>
            <w:r w:rsidRPr="00AA048B">
              <w:rPr>
                <w:rFonts w:cs="Times New Roman"/>
                <w:b/>
                <w:bCs/>
                <w:i/>
                <w:iCs/>
              </w:rPr>
              <w:t>Phase 3: The Global Switch-On (2016): 130 simultaneous markets</w:t>
            </w:r>
          </w:p>
        </w:tc>
      </w:tr>
      <w:tr w:rsidR="006D40EA" w:rsidRPr="00AA048B" w14:paraId="5B600F24" w14:textId="77777777" w:rsidTr="001B40CE">
        <w:tc>
          <w:tcPr>
            <w:tcW w:w="9016" w:type="dxa"/>
          </w:tcPr>
          <w:p w14:paraId="35AD7B4D" w14:textId="5E8C2181" w:rsidR="006D40EA" w:rsidRPr="00AA048B" w:rsidRDefault="006D40EA" w:rsidP="00AA048B">
            <w:pPr>
              <w:jc w:val="center"/>
              <w:rPr>
                <w:rFonts w:cs="Times New Roman"/>
                <w:b/>
                <w:bCs/>
                <w:i/>
                <w:iCs/>
              </w:rPr>
            </w:pPr>
            <w:r w:rsidRPr="00AA048B">
              <w:rPr>
                <w:rFonts w:cs="Times New Roman"/>
                <w:b/>
                <w:bCs/>
                <w:i/>
                <w:iCs/>
              </w:rPr>
              <w:t>↓</w:t>
            </w:r>
          </w:p>
        </w:tc>
      </w:tr>
      <w:tr w:rsidR="006D40EA" w:rsidRPr="00AA048B" w14:paraId="5BEC1F70" w14:textId="77777777" w:rsidTr="001B40CE">
        <w:tc>
          <w:tcPr>
            <w:tcW w:w="9016" w:type="dxa"/>
          </w:tcPr>
          <w:p w14:paraId="0CDB80E2" w14:textId="02F584B9" w:rsidR="006D40EA" w:rsidRPr="00AA048B" w:rsidRDefault="006D40EA" w:rsidP="00AA048B">
            <w:pPr>
              <w:jc w:val="center"/>
              <w:rPr>
                <w:rFonts w:cs="Times New Roman"/>
                <w:b/>
                <w:bCs/>
                <w:i/>
                <w:iCs/>
              </w:rPr>
            </w:pPr>
            <w:r w:rsidRPr="00AA048B">
              <w:rPr>
                <w:rFonts w:cs="Times New Roman"/>
                <w:b/>
                <w:bCs/>
                <w:i/>
                <w:iCs/>
              </w:rPr>
              <w:t>Dominant Entry Mode: Wholly Owned Subsidiary (WOS)</w:t>
            </w:r>
          </w:p>
        </w:tc>
      </w:tr>
    </w:tbl>
    <w:p w14:paraId="44863F1F" w14:textId="77777777" w:rsidR="00C862AF" w:rsidRPr="00AA048B" w:rsidRDefault="00C862AF" w:rsidP="00AA048B">
      <w:pPr>
        <w:rPr>
          <w:rFonts w:cs="Times New Roman"/>
        </w:rPr>
      </w:pPr>
    </w:p>
    <w:p w14:paraId="59497FDD" w14:textId="576BC15F" w:rsidR="00124EF1" w:rsidRPr="00AA048B" w:rsidRDefault="00124EF1" w:rsidP="00AA048B">
      <w:pPr>
        <w:pStyle w:val="ListParagraph"/>
        <w:numPr>
          <w:ilvl w:val="0"/>
          <w:numId w:val="7"/>
        </w:numPr>
        <w:rPr>
          <w:rFonts w:cs="Times New Roman"/>
        </w:rPr>
      </w:pPr>
      <w:r w:rsidRPr="00AA048B">
        <w:rPr>
          <w:rFonts w:cs="Times New Roman"/>
        </w:rPr>
        <w:t xml:space="preserve">Phase 1: asymmetry proximity (2010): Netflix launched its </w:t>
      </w:r>
      <w:r w:rsidR="00B63360" w:rsidRPr="00AA048B">
        <w:rPr>
          <w:rFonts w:cs="Times New Roman"/>
        </w:rPr>
        <w:t>initial</w:t>
      </w:r>
      <w:r w:rsidRPr="00AA048B">
        <w:rPr>
          <w:rFonts w:cs="Times New Roman"/>
        </w:rPr>
        <w:t xml:space="preserve"> overseas expansion into Canada. Days provided a localised testing ground </w:t>
      </w:r>
      <w:r w:rsidR="003D2CA8">
        <w:rPr>
          <w:rFonts w:cs="Times New Roman"/>
        </w:rPr>
        <w:t>featuring</w:t>
      </w:r>
      <w:r w:rsidRPr="00AA048B">
        <w:rPr>
          <w:rFonts w:cs="Times New Roman"/>
        </w:rPr>
        <w:t xml:space="preserve"> minimal linguistic, psychic and institutional distance. It </w:t>
      </w:r>
      <w:r w:rsidR="00B63360" w:rsidRPr="00AA048B">
        <w:rPr>
          <w:rFonts w:cs="Times New Roman"/>
        </w:rPr>
        <w:t>helped</w:t>
      </w:r>
      <w:r w:rsidRPr="00AA048B">
        <w:rPr>
          <w:rFonts w:cs="Times New Roman"/>
        </w:rPr>
        <w:t xml:space="preserve"> the company to </w:t>
      </w:r>
      <w:r w:rsidR="00B63360" w:rsidRPr="00AA048B">
        <w:rPr>
          <w:rFonts w:cs="Times New Roman"/>
        </w:rPr>
        <w:t>fine-tune</w:t>
      </w:r>
      <w:r w:rsidRPr="00AA048B">
        <w:rPr>
          <w:rFonts w:cs="Times New Roman"/>
        </w:rPr>
        <w:t xml:space="preserve"> its content streaming data pipelines without facing challenges in the critical foreign consumer variations. </w:t>
      </w:r>
    </w:p>
    <w:p w14:paraId="340DACAD" w14:textId="3A090089" w:rsidR="00124EF1" w:rsidRPr="00AA048B" w:rsidRDefault="00124EF1" w:rsidP="00AA048B">
      <w:pPr>
        <w:pStyle w:val="ListParagraph"/>
        <w:numPr>
          <w:ilvl w:val="0"/>
          <w:numId w:val="7"/>
        </w:numPr>
        <w:rPr>
          <w:rFonts w:cs="Times New Roman"/>
        </w:rPr>
      </w:pPr>
      <w:r w:rsidRPr="00AA048B">
        <w:rPr>
          <w:rFonts w:cs="Times New Roman"/>
        </w:rPr>
        <w:t xml:space="preserve">Phase 2: localised deepening (2012-2015): Netflix </w:t>
      </w:r>
      <w:r w:rsidR="00B63360" w:rsidRPr="00AA048B">
        <w:rPr>
          <w:rFonts w:cs="Times New Roman"/>
        </w:rPr>
        <w:t>expanded</w:t>
      </w:r>
      <w:r w:rsidRPr="00AA048B">
        <w:rPr>
          <w:rFonts w:cs="Times New Roman"/>
        </w:rPr>
        <w:t xml:space="preserve"> into the UK, Nordics, Ireland and broader Western Europe. During this period, </w:t>
      </w:r>
      <w:r w:rsidR="00B63360" w:rsidRPr="00AA048B">
        <w:rPr>
          <w:rFonts w:cs="Times New Roman"/>
        </w:rPr>
        <w:t>the</w:t>
      </w:r>
      <w:r w:rsidRPr="00AA048B">
        <w:rPr>
          <w:rFonts w:cs="Times New Roman"/>
        </w:rPr>
        <w:t xml:space="preserve"> company started establishing dedicated regional operational headquarters, investing in localised licensing agreements and localising its user interface to satisfy the mature market tastes and preferences. </w:t>
      </w:r>
    </w:p>
    <w:p w14:paraId="71F09397" w14:textId="1D287C30" w:rsidR="00124EF1" w:rsidRPr="00AA048B" w:rsidRDefault="00124EF1" w:rsidP="00AA048B">
      <w:pPr>
        <w:pStyle w:val="ListParagraph"/>
        <w:numPr>
          <w:ilvl w:val="0"/>
          <w:numId w:val="7"/>
        </w:numPr>
        <w:rPr>
          <w:rFonts w:cs="Times New Roman"/>
        </w:rPr>
      </w:pPr>
      <w:r w:rsidRPr="00AA048B">
        <w:rPr>
          <w:rFonts w:cs="Times New Roman"/>
        </w:rPr>
        <w:t xml:space="preserve">Phase 3: The global </w:t>
      </w:r>
      <w:r w:rsidR="00B63360" w:rsidRPr="00AA048B">
        <w:rPr>
          <w:rFonts w:cs="Times New Roman"/>
        </w:rPr>
        <w:t>switch-on</w:t>
      </w:r>
      <w:r w:rsidRPr="00AA048B">
        <w:rPr>
          <w:rFonts w:cs="Times New Roman"/>
        </w:rPr>
        <w:t xml:space="preserve"> (2016): In the historic move, Netflix launched its streaming service simultaneously across 130 new countries. This rapidly shifted it from </w:t>
      </w:r>
      <w:r w:rsidR="00B63360" w:rsidRPr="00AA048B">
        <w:rPr>
          <w:rFonts w:cs="Times New Roman"/>
        </w:rPr>
        <w:t>a</w:t>
      </w:r>
      <w:r w:rsidRPr="00AA048B">
        <w:rPr>
          <w:rFonts w:cs="Times New Roman"/>
        </w:rPr>
        <w:t xml:space="preserve"> regional player into the dominant global digital network</w:t>
      </w:r>
      <w:r w:rsidR="00B63360" w:rsidRPr="00AA048B">
        <w:rPr>
          <w:rFonts w:cs="Times New Roman"/>
        </w:rPr>
        <w:t>,</w:t>
      </w:r>
      <w:r w:rsidRPr="00AA048B">
        <w:rPr>
          <w:rFonts w:cs="Times New Roman"/>
        </w:rPr>
        <w:t xml:space="preserve"> </w:t>
      </w:r>
      <w:r w:rsidR="00B63360" w:rsidRPr="00AA048B">
        <w:rPr>
          <w:rFonts w:cs="Times New Roman"/>
        </w:rPr>
        <w:t>spanning</w:t>
      </w:r>
      <w:r w:rsidRPr="00AA048B">
        <w:rPr>
          <w:rFonts w:cs="Times New Roman"/>
        </w:rPr>
        <w:t xml:space="preserve"> more than 190 nations (</w:t>
      </w:r>
      <w:proofErr w:type="spellStart"/>
      <w:r w:rsidRPr="00AA048B">
        <w:rPr>
          <w:rFonts w:cs="Times New Roman"/>
        </w:rPr>
        <w:t>Chalaby</w:t>
      </w:r>
      <w:proofErr w:type="spellEnd"/>
      <w:r w:rsidRPr="00AA048B">
        <w:rPr>
          <w:rFonts w:cs="Times New Roman"/>
        </w:rPr>
        <w:t xml:space="preserve">, 2024). </w:t>
      </w:r>
    </w:p>
    <w:p w14:paraId="20EAA40A" w14:textId="2FAF385F" w:rsidR="00124EF1" w:rsidRPr="00AA048B" w:rsidRDefault="00124EF1" w:rsidP="00AA048B">
      <w:pPr>
        <w:rPr>
          <w:rFonts w:cs="Times New Roman"/>
        </w:rPr>
      </w:pPr>
      <w:r w:rsidRPr="00AA048B">
        <w:rPr>
          <w:rFonts w:cs="Times New Roman"/>
        </w:rPr>
        <w:t xml:space="preserve">Throughout this global expansion,  the dominant and unwavering entry mode of Netflix has been </w:t>
      </w:r>
      <w:r w:rsidR="00B63360" w:rsidRPr="00AA048B">
        <w:rPr>
          <w:rFonts w:cs="Times New Roman"/>
          <w:b/>
          <w:bCs/>
          <w:i/>
          <w:iCs/>
        </w:rPr>
        <w:t>a wholly owned subsidiary</w:t>
      </w:r>
      <w:r w:rsidRPr="00AA048B">
        <w:rPr>
          <w:rFonts w:cs="Times New Roman"/>
          <w:b/>
          <w:bCs/>
        </w:rPr>
        <w:t xml:space="preserve"> (WOS), </w:t>
      </w:r>
      <w:r w:rsidR="00B63360" w:rsidRPr="00AA048B">
        <w:rPr>
          <w:rFonts w:cs="Times New Roman"/>
        </w:rPr>
        <w:t>operating</w:t>
      </w:r>
      <w:r w:rsidRPr="00AA048B">
        <w:rPr>
          <w:rFonts w:cs="Times New Roman"/>
        </w:rPr>
        <w:t xml:space="preserve"> through </w:t>
      </w:r>
      <w:r w:rsidR="00B63360" w:rsidRPr="00AA048B">
        <w:rPr>
          <w:rFonts w:cs="Times New Roman"/>
        </w:rPr>
        <w:t xml:space="preserve">a </w:t>
      </w:r>
      <w:r w:rsidRPr="00AA048B">
        <w:rPr>
          <w:rFonts w:cs="Times New Roman"/>
        </w:rPr>
        <w:t xml:space="preserve">purely </w:t>
      </w:r>
      <w:r w:rsidR="00B63360" w:rsidRPr="00AA048B">
        <w:rPr>
          <w:rFonts w:cs="Times New Roman"/>
        </w:rPr>
        <w:t>direct-to-consumer</w:t>
      </w:r>
      <w:r w:rsidRPr="00AA048B">
        <w:rPr>
          <w:rFonts w:cs="Times New Roman"/>
        </w:rPr>
        <w:t xml:space="preserve"> digital portal. By managing the absolute equity control over its local operations, technological infrastructure and marketing budgets, Netflix successfully safeguarded its most significant </w:t>
      </w:r>
      <w:r w:rsidR="00B63360" w:rsidRPr="00AA048B">
        <w:rPr>
          <w:rFonts w:cs="Times New Roman"/>
        </w:rPr>
        <w:t>firm-specific</w:t>
      </w:r>
      <w:r w:rsidRPr="00AA048B">
        <w:rPr>
          <w:rFonts w:cs="Times New Roman"/>
        </w:rPr>
        <w:t xml:space="preserve"> asset</w:t>
      </w:r>
      <w:r w:rsidR="00B63360" w:rsidRPr="00AA048B">
        <w:rPr>
          <w:rFonts w:cs="Times New Roman"/>
        </w:rPr>
        <w:t>:</w:t>
      </w:r>
      <w:r w:rsidRPr="00AA048B">
        <w:rPr>
          <w:rFonts w:cs="Times New Roman"/>
        </w:rPr>
        <w:t xml:space="preserve"> its proprietary, </w:t>
      </w:r>
      <w:r w:rsidR="00B63360" w:rsidRPr="00AA048B">
        <w:rPr>
          <w:rFonts w:cs="Times New Roman"/>
        </w:rPr>
        <w:t>centralised</w:t>
      </w:r>
      <w:r w:rsidRPr="00AA048B">
        <w:rPr>
          <w:rFonts w:cs="Times New Roman"/>
        </w:rPr>
        <w:t xml:space="preserve"> big data analytics and algorithmic recommendation engines</w:t>
      </w:r>
      <w:r w:rsidR="00C90A97" w:rsidRPr="00AA048B">
        <w:rPr>
          <w:rFonts w:cs="Times New Roman"/>
        </w:rPr>
        <w:t>.</w:t>
      </w:r>
    </w:p>
    <w:p w14:paraId="5BAAA272" w14:textId="764B4805" w:rsidR="00460DF3" w:rsidRPr="00AA048B" w:rsidRDefault="00124EF1" w:rsidP="00AA048B">
      <w:pPr>
        <w:rPr>
          <w:rFonts w:cs="Times New Roman"/>
        </w:rPr>
      </w:pPr>
      <w:r w:rsidRPr="00AA048B">
        <w:rPr>
          <w:rFonts w:cs="Times New Roman"/>
        </w:rPr>
        <w:t xml:space="preserve">The platform has historically rejected joint ventures, franchising </w:t>
      </w:r>
      <w:r w:rsidR="00B63360" w:rsidRPr="00AA048B">
        <w:rPr>
          <w:rFonts w:cs="Times New Roman"/>
        </w:rPr>
        <w:t>or</w:t>
      </w:r>
      <w:r w:rsidRPr="00AA048B">
        <w:rPr>
          <w:rFonts w:cs="Times New Roman"/>
        </w:rPr>
        <w:t xml:space="preserve"> localised licensing consortia, and chose to internalise its transactions to protect its brand equity and avoid sharing its subscription margins. The singular exception to this pattern took place in 2017 within mainland China. Blocked by the regulatory environment, Netflix entered into </w:t>
      </w:r>
      <w:r w:rsidR="00B63360" w:rsidRPr="00AA048B">
        <w:rPr>
          <w:rFonts w:cs="Times New Roman"/>
        </w:rPr>
        <w:t>a</w:t>
      </w:r>
      <w:r w:rsidRPr="00AA048B">
        <w:rPr>
          <w:rFonts w:cs="Times New Roman"/>
        </w:rPr>
        <w:t xml:space="preserve"> brief, </w:t>
      </w:r>
      <w:r w:rsidR="00B63360" w:rsidRPr="00AA048B">
        <w:rPr>
          <w:rFonts w:cs="Times New Roman"/>
        </w:rPr>
        <w:t>non-equity</w:t>
      </w:r>
      <w:r w:rsidRPr="00AA048B">
        <w:rPr>
          <w:rFonts w:cs="Times New Roman"/>
        </w:rPr>
        <w:t xml:space="preserve"> content </w:t>
      </w:r>
      <w:r w:rsidR="00B63360" w:rsidRPr="00AA048B">
        <w:rPr>
          <w:rFonts w:cs="Times New Roman"/>
        </w:rPr>
        <w:t>licensing</w:t>
      </w:r>
      <w:r w:rsidRPr="00AA048B">
        <w:rPr>
          <w:rFonts w:cs="Times New Roman"/>
        </w:rPr>
        <w:t xml:space="preserve"> partnership with the domestic streaming subsidiary of Baidu, iQIYI. Meanwhile</w:t>
      </w:r>
      <w:r w:rsidR="00B63360" w:rsidRPr="00AA048B">
        <w:rPr>
          <w:rFonts w:cs="Times New Roman"/>
        </w:rPr>
        <w:t>, with</w:t>
      </w:r>
      <w:r w:rsidRPr="00AA048B">
        <w:rPr>
          <w:rFonts w:cs="Times New Roman"/>
        </w:rPr>
        <w:t xml:space="preserve"> strict state censorship timelines, lengthy content review queues, and the </w:t>
      </w:r>
      <w:r w:rsidR="00B63360" w:rsidRPr="00AA048B">
        <w:rPr>
          <w:rFonts w:cs="Times New Roman"/>
        </w:rPr>
        <w:lastRenderedPageBreak/>
        <w:t>inability</w:t>
      </w:r>
      <w:r w:rsidRPr="00AA048B">
        <w:rPr>
          <w:rFonts w:cs="Times New Roman"/>
        </w:rPr>
        <w:t xml:space="preserve"> to collect direct consumer interaction data, this proxy arrangement failed to achieve meaningful scale and was quietly dissolved within 2 years (Wang and Lobato, 2019). This historical precedent represents that when Netflix is traced from the internalised and wholly owned operational architecture, its primary benefits are severely diluted. </w:t>
      </w:r>
    </w:p>
    <w:p w14:paraId="1042B862" w14:textId="478D700B" w:rsidR="00B63360" w:rsidRPr="00AA048B" w:rsidRDefault="00B63360" w:rsidP="00AA048B">
      <w:pPr>
        <w:pStyle w:val="Heading3"/>
      </w:pPr>
      <w:bookmarkStart w:id="11" w:name="_Toc236250846"/>
      <w:r w:rsidRPr="00AA048B">
        <w:t xml:space="preserve">Strategic </w:t>
      </w:r>
      <w:r w:rsidR="00AA048B" w:rsidRPr="00AA048B">
        <w:t>Fit And Jurisdiction For The Host Country</w:t>
      </w:r>
      <w:bookmarkEnd w:id="11"/>
    </w:p>
    <w:p w14:paraId="4A8BB95E" w14:textId="6328C21C" w:rsidR="00B63360" w:rsidRPr="00AA048B" w:rsidRDefault="00AA048B" w:rsidP="00AA048B">
      <w:pPr>
        <w:rPr>
          <w:rFonts w:cs="Times New Roman"/>
          <w:b/>
          <w:bCs/>
          <w:i/>
          <w:iCs/>
        </w:rPr>
      </w:pPr>
      <w:r w:rsidRPr="00AA048B">
        <w:rPr>
          <w:rFonts w:cs="Times New Roman"/>
          <w:b/>
          <w:bCs/>
          <w:i/>
          <w:iCs/>
        </w:rPr>
        <w:t>T</w:t>
      </w:r>
      <w:r w:rsidR="00B63360" w:rsidRPr="00AA048B">
        <w:rPr>
          <w:rFonts w:cs="Times New Roman"/>
          <w:b/>
          <w:bCs/>
          <w:i/>
          <w:iCs/>
        </w:rPr>
        <w:t xml:space="preserve">he legal impossibility of Wholly Owned Platforms </w:t>
      </w:r>
    </w:p>
    <w:p w14:paraId="4EF9D192" w14:textId="677A9029" w:rsidR="006759EE" w:rsidRPr="00AA048B" w:rsidRDefault="00251BE5" w:rsidP="00AA048B">
      <w:pPr>
        <w:rPr>
          <w:rFonts w:cs="Times New Roman"/>
        </w:rPr>
      </w:pPr>
      <w:r w:rsidRPr="00AA048B">
        <w:rPr>
          <w:rFonts w:cs="Times New Roman"/>
        </w:rPr>
        <w:t>Managing</w:t>
      </w:r>
      <w:r w:rsidR="006759EE" w:rsidRPr="00AA048B">
        <w:rPr>
          <w:rFonts w:cs="Times New Roman"/>
        </w:rPr>
        <w:t xml:space="preserve"> the historical entry mode of </w:t>
      </w:r>
      <w:r w:rsidRPr="00AA048B">
        <w:rPr>
          <w:rFonts w:cs="Times New Roman"/>
        </w:rPr>
        <w:t>the wholly owned subsidiary</w:t>
      </w:r>
      <w:r w:rsidR="006759EE" w:rsidRPr="00AA048B">
        <w:rPr>
          <w:rFonts w:cs="Times New Roman"/>
        </w:rPr>
        <w:t xml:space="preserve"> model of Netflix inside mainland China is an operational and legal impossibility. Under the current special administrative measures for foreign investment access (China’s Negative List), foreign ownership in </w:t>
      </w:r>
      <w:r w:rsidRPr="00AA048B">
        <w:rPr>
          <w:rFonts w:cs="Times New Roman"/>
        </w:rPr>
        <w:t>value-added</w:t>
      </w:r>
      <w:r w:rsidR="006759EE" w:rsidRPr="00AA048B">
        <w:rPr>
          <w:rFonts w:cs="Times New Roman"/>
        </w:rPr>
        <w:t xml:space="preserve"> telecommunications services, cloud infrastructure distribution and Internet </w:t>
      </w:r>
      <w:r w:rsidRPr="00AA048B">
        <w:rPr>
          <w:rFonts w:cs="Times New Roman"/>
        </w:rPr>
        <w:t>audio-video</w:t>
      </w:r>
      <w:r w:rsidR="006759EE" w:rsidRPr="00AA048B">
        <w:rPr>
          <w:rFonts w:cs="Times New Roman"/>
        </w:rPr>
        <w:t xml:space="preserve"> networks is strictly prohibited (</w:t>
      </w:r>
      <w:r w:rsidR="00831D7E" w:rsidRPr="00AA048B">
        <w:rPr>
          <w:rFonts w:cs="Times New Roman"/>
        </w:rPr>
        <w:t>Hoffman, 2024</w:t>
      </w:r>
      <w:r w:rsidR="006759EE" w:rsidRPr="00AA048B">
        <w:rPr>
          <w:rFonts w:cs="Times New Roman"/>
        </w:rPr>
        <w:t>). A foreign company cannot legally secure an Online Audio-Visual Broadcasting License or Internet Content Provider (ICP) License from the National Radio and Television Administration (</w:t>
      </w:r>
      <w:r w:rsidR="003D2CA8">
        <w:rPr>
          <w:rFonts w:cs="Times New Roman"/>
        </w:rPr>
        <w:t>NRTA</w:t>
      </w:r>
      <w:r w:rsidR="006759EE" w:rsidRPr="00AA048B">
        <w:rPr>
          <w:rFonts w:cs="Times New Roman"/>
        </w:rPr>
        <w:t xml:space="preserve">). </w:t>
      </w:r>
    </w:p>
    <w:p w14:paraId="13BBB986" w14:textId="422E0A9B" w:rsidR="006759EE" w:rsidRPr="00AA048B" w:rsidRDefault="006759EE" w:rsidP="00AA048B">
      <w:pPr>
        <w:rPr>
          <w:rFonts w:cs="Times New Roman"/>
        </w:rPr>
      </w:pPr>
      <w:r w:rsidRPr="00AA048B">
        <w:rPr>
          <w:rFonts w:cs="Times New Roman"/>
        </w:rPr>
        <w:t>Moreover</w:t>
      </w:r>
      <w:r w:rsidR="00251BE5" w:rsidRPr="00AA048B">
        <w:rPr>
          <w:rFonts w:cs="Times New Roman"/>
        </w:rPr>
        <w:t>,</w:t>
      </w:r>
      <w:r w:rsidRPr="00AA048B">
        <w:rPr>
          <w:rFonts w:cs="Times New Roman"/>
        </w:rPr>
        <w:t xml:space="preserve"> the Data Security Law (DSL) and Personal Information Protection Law (PIPL) of China </w:t>
      </w:r>
      <w:r w:rsidR="00251BE5" w:rsidRPr="00AA048B">
        <w:rPr>
          <w:rFonts w:cs="Times New Roman"/>
        </w:rPr>
        <w:t>place</w:t>
      </w:r>
      <w:r w:rsidRPr="00AA048B">
        <w:rPr>
          <w:rFonts w:cs="Times New Roman"/>
        </w:rPr>
        <w:t xml:space="preserve"> severe regulatory pressure on </w:t>
      </w:r>
      <w:r w:rsidR="00251BE5" w:rsidRPr="00AA048B">
        <w:rPr>
          <w:rFonts w:cs="Times New Roman"/>
        </w:rPr>
        <w:t>cross-border</w:t>
      </w:r>
      <w:r w:rsidRPr="00AA048B">
        <w:rPr>
          <w:rFonts w:cs="Times New Roman"/>
        </w:rPr>
        <w:t xml:space="preserve"> data transmission, which makes it compulsory that all the user metadata generated inside the PRC be stored exclusively on domestic servers (</w:t>
      </w:r>
      <w:r w:rsidR="00C90A97" w:rsidRPr="00AA048B">
        <w:rPr>
          <w:rFonts w:cs="Times New Roman"/>
        </w:rPr>
        <w:t xml:space="preserve">Belli </w:t>
      </w:r>
      <w:r w:rsidR="00C90A97" w:rsidRPr="00AA048B">
        <w:rPr>
          <w:rFonts w:cs="Times New Roman"/>
          <w:i/>
          <w:iCs/>
        </w:rPr>
        <w:t xml:space="preserve">et al., </w:t>
      </w:r>
      <w:r w:rsidR="00C90A97" w:rsidRPr="00AA048B">
        <w:rPr>
          <w:rFonts w:cs="Times New Roman"/>
        </w:rPr>
        <w:t>2024</w:t>
      </w:r>
      <w:r w:rsidRPr="00AA048B">
        <w:rPr>
          <w:rFonts w:cs="Times New Roman"/>
        </w:rPr>
        <w:t xml:space="preserve">). For Netflix, whose fundamental global competitive rivalry depends on streaming user metrics back to its centralised Amazon Web Services (AWS) cloud infrastructure to run its predictive preference clustering loops, compliance with these regulations and laws would need a total decoupling of the proprietary tech core of Netflix. Any </w:t>
      </w:r>
      <w:r w:rsidR="00251BE5" w:rsidRPr="00AA048B">
        <w:rPr>
          <w:rFonts w:cs="Times New Roman"/>
        </w:rPr>
        <w:t>attempt</w:t>
      </w:r>
      <w:r w:rsidRPr="00AA048B">
        <w:rPr>
          <w:rFonts w:cs="Times New Roman"/>
        </w:rPr>
        <w:t xml:space="preserve"> to bypass these regulations through an unpermitted WOS would trigger immediate political retaliation, complete firewall blockage by the Cyberspace Administration of China (CAC) and massive financial penalties. </w:t>
      </w:r>
    </w:p>
    <w:p w14:paraId="108F1BF5" w14:textId="77777777" w:rsidR="006759EE" w:rsidRPr="00AA048B" w:rsidRDefault="006759EE" w:rsidP="00AA048B">
      <w:pPr>
        <w:rPr>
          <w:rFonts w:cs="Times New Roman"/>
          <w:b/>
          <w:bCs/>
          <w:i/>
          <w:iCs/>
        </w:rPr>
      </w:pPr>
      <w:r w:rsidRPr="00AA048B">
        <w:rPr>
          <w:rFonts w:cs="Times New Roman"/>
          <w:b/>
          <w:bCs/>
          <w:i/>
          <w:iCs/>
        </w:rPr>
        <w:t>Evaluating the alternative: Proposing a strategic equity-free alliance</w:t>
      </w:r>
    </w:p>
    <w:p w14:paraId="03E06231" w14:textId="2B6D4D0B" w:rsidR="00C54ABD" w:rsidRPr="00AA048B" w:rsidRDefault="006759EE" w:rsidP="00AA048B">
      <w:pPr>
        <w:rPr>
          <w:rFonts w:cs="Times New Roman"/>
        </w:rPr>
      </w:pPr>
      <w:r w:rsidRPr="00AA048B">
        <w:rPr>
          <w:rFonts w:cs="Times New Roman"/>
        </w:rPr>
        <w:t>As the direct accessibility of the platforms is structurally blocked by China, Netflix is required to adapt. It cannot afford to be totally absent from the market of more than one billion connected digital users</w:t>
      </w:r>
      <w:r w:rsidR="00251BE5" w:rsidRPr="00AA048B">
        <w:rPr>
          <w:rFonts w:cs="Times New Roman"/>
        </w:rPr>
        <w:t>,</w:t>
      </w:r>
      <w:r w:rsidRPr="00AA048B">
        <w:rPr>
          <w:rFonts w:cs="Times New Roman"/>
        </w:rPr>
        <w:t xml:space="preserve"> particularly as domestic Chinese entertainment </w:t>
      </w:r>
      <w:r w:rsidR="00251BE5" w:rsidRPr="00AA048B">
        <w:rPr>
          <w:rFonts w:cs="Times New Roman"/>
        </w:rPr>
        <w:t>platforms</w:t>
      </w:r>
      <w:r w:rsidRPr="00AA048B">
        <w:rPr>
          <w:rFonts w:cs="Times New Roman"/>
        </w:rPr>
        <w:t xml:space="preserve"> expand their impact across Southeast Asia. Hence, this report proposes an alternative entry mode: a highly ring-fenced </w:t>
      </w:r>
      <w:r w:rsidRPr="00AA048B">
        <w:rPr>
          <w:rFonts w:cs="Times New Roman"/>
          <w:b/>
          <w:bCs/>
          <w:i/>
          <w:iCs/>
        </w:rPr>
        <w:t>Strategic Equity Free Alliance</w:t>
      </w:r>
      <w:r w:rsidRPr="00AA048B">
        <w:rPr>
          <w:rFonts w:cs="Times New Roman"/>
        </w:rPr>
        <w:t xml:space="preserve"> </w:t>
      </w:r>
      <w:r w:rsidR="00251BE5" w:rsidRPr="00AA048B">
        <w:rPr>
          <w:rFonts w:cs="Times New Roman"/>
        </w:rPr>
        <w:t>on</w:t>
      </w:r>
      <w:r w:rsidRPr="00AA048B">
        <w:rPr>
          <w:rFonts w:cs="Times New Roman"/>
        </w:rPr>
        <w:t xml:space="preserve"> the basis of </w:t>
      </w:r>
      <w:r w:rsidR="00251BE5" w:rsidRPr="00AA048B">
        <w:rPr>
          <w:rFonts w:cs="Times New Roman"/>
        </w:rPr>
        <w:t>a dual-track</w:t>
      </w:r>
      <w:r w:rsidRPr="00AA048B">
        <w:rPr>
          <w:rFonts w:cs="Times New Roman"/>
        </w:rPr>
        <w:t xml:space="preserve"> content licensing pipeline and the external </w:t>
      </w:r>
      <w:r w:rsidR="00251BE5" w:rsidRPr="00AA048B">
        <w:rPr>
          <w:rFonts w:cs="Times New Roman"/>
        </w:rPr>
        <w:t>co-production</w:t>
      </w:r>
      <w:r w:rsidRPr="00AA048B">
        <w:rPr>
          <w:rFonts w:cs="Times New Roman"/>
        </w:rPr>
        <w:t xml:space="preserve"> framework. Under this arrangement, Netflix will not try to distribute its proprietary streaming application inside China, but it will operate as an offshore content incubator and </w:t>
      </w:r>
      <w:r w:rsidR="00251BE5" w:rsidRPr="00AA048B">
        <w:rPr>
          <w:rFonts w:cs="Times New Roman"/>
        </w:rPr>
        <w:t>specialised</w:t>
      </w:r>
      <w:r w:rsidRPr="00AA048B">
        <w:rPr>
          <w:rFonts w:cs="Times New Roman"/>
        </w:rPr>
        <w:t xml:space="preserve"> intellectual property partner for an entrenched domestic market champion, particularly iQIYI or Tencent Video. </w:t>
      </w:r>
    </w:p>
    <w:p w14:paraId="1E0573CC" w14:textId="0CAC3B47" w:rsidR="00C54ABD" w:rsidRPr="00AA048B" w:rsidRDefault="00C54ABD" w:rsidP="00AA048B">
      <w:pPr>
        <w:rPr>
          <w:rFonts w:cs="Times New Roman"/>
        </w:rPr>
      </w:pPr>
      <w:r w:rsidRPr="00AA048B">
        <w:rPr>
          <w:rFonts w:cs="Times New Roman"/>
        </w:rPr>
        <w:t xml:space="preserve">This strategic private </w:t>
      </w:r>
      <w:r w:rsidR="00251BE5" w:rsidRPr="00AA048B">
        <w:rPr>
          <w:rFonts w:cs="Times New Roman"/>
        </w:rPr>
        <w:t xml:space="preserve">balance </w:t>
      </w:r>
      <w:r w:rsidRPr="00AA048B">
        <w:rPr>
          <w:rFonts w:cs="Times New Roman"/>
        </w:rPr>
        <w:t xml:space="preserve">balances risk and control to navigate the challenging </w:t>
      </w:r>
      <w:r w:rsidR="00251BE5" w:rsidRPr="00AA048B">
        <w:rPr>
          <w:rFonts w:cs="Times New Roman"/>
        </w:rPr>
        <w:t>microenvironment</w:t>
      </w:r>
      <w:r w:rsidRPr="00AA048B">
        <w:rPr>
          <w:rFonts w:cs="Times New Roman"/>
        </w:rPr>
        <w:t xml:space="preserve"> of China </w:t>
      </w:r>
      <w:r w:rsidR="003D2CA8">
        <w:rPr>
          <w:rFonts w:cs="Times New Roman"/>
        </w:rPr>
        <w:t>across</w:t>
      </w:r>
      <w:r w:rsidRPr="00AA048B">
        <w:rPr>
          <w:rFonts w:cs="Times New Roman"/>
        </w:rPr>
        <w:t xml:space="preserve"> 3 dimensions: </w:t>
      </w:r>
    </w:p>
    <w:p w14:paraId="5A7A0F0A" w14:textId="2CAD7FCF" w:rsidR="00C54ABD" w:rsidRPr="00AA048B" w:rsidRDefault="00AA048B" w:rsidP="00AA048B">
      <w:pPr>
        <w:pStyle w:val="ListParagraph"/>
        <w:numPr>
          <w:ilvl w:val="0"/>
          <w:numId w:val="9"/>
        </w:numPr>
        <w:rPr>
          <w:rFonts w:cs="Times New Roman"/>
        </w:rPr>
      </w:pPr>
      <w:r>
        <w:rPr>
          <w:rFonts w:cs="Times New Roman"/>
        </w:rPr>
        <w:t>R</w:t>
      </w:r>
      <w:r w:rsidR="00C54ABD" w:rsidRPr="00AA048B">
        <w:rPr>
          <w:rFonts w:cs="Times New Roman"/>
        </w:rPr>
        <w:t>isk mitigation: A domestic partner acts as the institutional shield and absorbs the censorship liabilities with the NRTA</w:t>
      </w:r>
      <w:r w:rsidRPr="00AA048B">
        <w:rPr>
          <w:rFonts w:cs="Times New Roman"/>
        </w:rPr>
        <w:t xml:space="preserve">. </w:t>
      </w:r>
      <w:r w:rsidR="00C54ABD" w:rsidRPr="00AA048B">
        <w:rPr>
          <w:rFonts w:cs="Times New Roman"/>
        </w:rPr>
        <w:t xml:space="preserve">The local servers handle the strict data </w:t>
      </w:r>
      <w:r w:rsidR="00251BE5" w:rsidRPr="00AA048B">
        <w:rPr>
          <w:rFonts w:cs="Times New Roman"/>
        </w:rPr>
        <w:t>localisation</w:t>
      </w:r>
      <w:r w:rsidR="00C54ABD" w:rsidRPr="00AA048B">
        <w:rPr>
          <w:rFonts w:cs="Times New Roman"/>
        </w:rPr>
        <w:t xml:space="preserve">, which can protect the global crowd infrastructure of </w:t>
      </w:r>
      <w:r w:rsidR="00251BE5" w:rsidRPr="00AA048B">
        <w:rPr>
          <w:rFonts w:cs="Times New Roman"/>
        </w:rPr>
        <w:t xml:space="preserve">the </w:t>
      </w:r>
      <w:r w:rsidR="00C54ABD" w:rsidRPr="00AA048B">
        <w:rPr>
          <w:rFonts w:cs="Times New Roman"/>
        </w:rPr>
        <w:t xml:space="preserve">Netflix firm </w:t>
      </w:r>
      <w:r w:rsidR="00251BE5" w:rsidRPr="00AA048B">
        <w:rPr>
          <w:rFonts w:cs="Times New Roman"/>
        </w:rPr>
        <w:t>from</w:t>
      </w:r>
      <w:r w:rsidR="00C54ABD" w:rsidRPr="00AA048B">
        <w:rPr>
          <w:rFonts w:cs="Times New Roman"/>
        </w:rPr>
        <w:t xml:space="preserve"> enforcement through PIPL. </w:t>
      </w:r>
    </w:p>
    <w:p w14:paraId="3A2C07DA" w14:textId="32DABBA9" w:rsidR="00C54ABD" w:rsidRPr="00AA048B" w:rsidRDefault="00C54ABD" w:rsidP="00AA048B">
      <w:pPr>
        <w:pStyle w:val="ListParagraph"/>
        <w:numPr>
          <w:ilvl w:val="0"/>
          <w:numId w:val="9"/>
        </w:numPr>
        <w:rPr>
          <w:rFonts w:cs="Times New Roman"/>
        </w:rPr>
      </w:pPr>
      <w:r w:rsidRPr="00AA048B">
        <w:rPr>
          <w:rFonts w:cs="Times New Roman"/>
        </w:rPr>
        <w:lastRenderedPageBreak/>
        <w:t xml:space="preserve">Resource flexibility: An </w:t>
      </w:r>
      <w:r w:rsidR="00251BE5" w:rsidRPr="00AA048B">
        <w:rPr>
          <w:rFonts w:cs="Times New Roman"/>
        </w:rPr>
        <w:t>asset-light</w:t>
      </w:r>
      <w:r w:rsidRPr="00AA048B">
        <w:rPr>
          <w:rFonts w:cs="Times New Roman"/>
        </w:rPr>
        <w:t xml:space="preserve"> alliance can avoid the heavy capital investments </w:t>
      </w:r>
      <w:r w:rsidR="003D2CA8">
        <w:rPr>
          <w:rFonts w:cs="Times New Roman"/>
        </w:rPr>
        <w:t>in</w:t>
      </w:r>
      <w:r w:rsidRPr="00AA048B">
        <w:rPr>
          <w:rFonts w:cs="Times New Roman"/>
        </w:rPr>
        <w:t xml:space="preserve"> the local physical data hubs. Capital is fun purely into the content </w:t>
      </w:r>
      <w:r w:rsidR="00251BE5" w:rsidRPr="00AA048B">
        <w:rPr>
          <w:rFonts w:cs="Times New Roman"/>
        </w:rPr>
        <w:t>co-funding</w:t>
      </w:r>
      <w:r w:rsidRPr="00AA048B">
        <w:rPr>
          <w:rFonts w:cs="Times New Roman"/>
        </w:rPr>
        <w:t xml:space="preserve">, which can allow Netflix to exit easily </w:t>
      </w:r>
      <w:r w:rsidR="00251BE5" w:rsidRPr="00AA048B">
        <w:rPr>
          <w:rFonts w:cs="Times New Roman"/>
        </w:rPr>
        <w:t xml:space="preserve">if </w:t>
      </w:r>
      <w:r w:rsidRPr="00AA048B">
        <w:rPr>
          <w:rFonts w:cs="Times New Roman"/>
        </w:rPr>
        <w:t xml:space="preserve">there </w:t>
      </w:r>
      <w:r w:rsidR="00251BE5" w:rsidRPr="00AA048B">
        <w:rPr>
          <w:rFonts w:cs="Times New Roman"/>
        </w:rPr>
        <w:t>is</w:t>
      </w:r>
      <w:r w:rsidRPr="00AA048B">
        <w:rPr>
          <w:rFonts w:cs="Times New Roman"/>
        </w:rPr>
        <w:t xml:space="preserve"> any geopolitical tension. </w:t>
      </w:r>
    </w:p>
    <w:p w14:paraId="77BCC07F" w14:textId="393626C6" w:rsidR="00C54ABD" w:rsidRPr="00AA048B" w:rsidRDefault="00C54ABD" w:rsidP="00AA048B">
      <w:pPr>
        <w:pStyle w:val="ListParagraph"/>
        <w:numPr>
          <w:ilvl w:val="0"/>
          <w:numId w:val="9"/>
        </w:numPr>
        <w:rPr>
          <w:rFonts w:cs="Times New Roman"/>
        </w:rPr>
      </w:pPr>
      <w:r w:rsidRPr="00AA048B">
        <w:rPr>
          <w:rFonts w:cs="Times New Roman"/>
        </w:rPr>
        <w:t xml:space="preserve">Strategic fit: Netflix can surrender to domestic interface control but retain global rights for </w:t>
      </w:r>
      <w:r w:rsidR="00251BE5" w:rsidRPr="00AA048B">
        <w:rPr>
          <w:rFonts w:cs="Times New Roman"/>
        </w:rPr>
        <w:t>co-production</w:t>
      </w:r>
      <w:r w:rsidRPr="00AA048B">
        <w:rPr>
          <w:rFonts w:cs="Times New Roman"/>
        </w:rPr>
        <w:t xml:space="preserve"> of content outside China (Gómez and Muñoz </w:t>
      </w:r>
      <w:proofErr w:type="spellStart"/>
      <w:r w:rsidRPr="00AA048B">
        <w:rPr>
          <w:rFonts w:cs="Times New Roman"/>
        </w:rPr>
        <w:t>Larroa</w:t>
      </w:r>
      <w:proofErr w:type="spellEnd"/>
      <w:r w:rsidRPr="00AA048B">
        <w:rPr>
          <w:rFonts w:cs="Times New Roman"/>
        </w:rPr>
        <w:t xml:space="preserve">, 2023). This fuels its global streaming engine with premium Chinese narratives. </w:t>
      </w:r>
    </w:p>
    <w:p w14:paraId="62F1DDC0" w14:textId="77777777" w:rsidR="00BB45A9" w:rsidRDefault="00BB45A9">
      <w:pPr>
        <w:jc w:val="left"/>
        <w:rPr>
          <w:rFonts w:cs="Times New Roman"/>
          <w:b/>
          <w:bCs/>
          <w:i/>
          <w:iCs/>
        </w:rPr>
      </w:pPr>
      <w:r>
        <w:rPr>
          <w:rFonts w:cs="Times New Roman"/>
          <w:b/>
          <w:bCs/>
          <w:i/>
          <w:iCs/>
        </w:rPr>
        <w:br w:type="page"/>
      </w:r>
    </w:p>
    <w:p w14:paraId="5E6B646B" w14:textId="48FE683E" w:rsidR="00C54ABD" w:rsidRPr="00AA048B" w:rsidRDefault="00C54ABD" w:rsidP="00AA048B">
      <w:pPr>
        <w:rPr>
          <w:rFonts w:cs="Times New Roman"/>
          <w:b/>
          <w:bCs/>
          <w:i/>
          <w:iCs/>
        </w:rPr>
      </w:pPr>
      <w:r w:rsidRPr="00AA048B">
        <w:rPr>
          <w:rFonts w:cs="Times New Roman"/>
          <w:b/>
          <w:bCs/>
          <w:i/>
          <w:iCs/>
        </w:rPr>
        <w:lastRenderedPageBreak/>
        <w:t xml:space="preserve">Conclusion and </w:t>
      </w:r>
      <w:r w:rsidR="00AA048B">
        <w:rPr>
          <w:rFonts w:cs="Times New Roman"/>
          <w:b/>
          <w:bCs/>
          <w:i/>
          <w:iCs/>
        </w:rPr>
        <w:t>R</w:t>
      </w:r>
      <w:r w:rsidRPr="00AA048B">
        <w:rPr>
          <w:rFonts w:cs="Times New Roman"/>
          <w:b/>
          <w:bCs/>
          <w:i/>
          <w:iCs/>
        </w:rPr>
        <w:t xml:space="preserve">ecommendations </w:t>
      </w:r>
    </w:p>
    <w:p w14:paraId="0AAA100B" w14:textId="77777777" w:rsidR="002F56FB" w:rsidRPr="003D2CA8" w:rsidRDefault="002F56FB" w:rsidP="00666F25">
      <w:pPr>
        <w:rPr>
          <w:rFonts w:cs="Times New Roman"/>
          <w:b/>
          <w:bCs/>
          <w:i/>
          <w:iCs/>
          <w:highlight w:val="yellow"/>
        </w:rPr>
      </w:pPr>
      <w:r w:rsidRPr="003D2CA8">
        <w:rPr>
          <w:rFonts w:cs="Times New Roman"/>
          <w:b/>
          <w:bCs/>
          <w:i/>
          <w:iCs/>
          <w:highlight w:val="yellow"/>
        </w:rPr>
        <w:t xml:space="preserve">Synthesis of Strategic Findings </w:t>
      </w:r>
    </w:p>
    <w:p w14:paraId="6E64AC0A" w14:textId="7FD94CB8" w:rsidR="00666F25" w:rsidRPr="003D2CA8" w:rsidRDefault="00666F25" w:rsidP="00666F25">
      <w:pPr>
        <w:rPr>
          <w:rFonts w:cs="Times New Roman"/>
          <w:highlight w:val="yellow"/>
        </w:rPr>
      </w:pPr>
      <w:r w:rsidRPr="003D2CA8">
        <w:rPr>
          <w:rFonts w:cs="Times New Roman"/>
          <w:highlight w:val="yellow"/>
        </w:rPr>
        <w:t xml:space="preserve">The comprehensive evaluation of the potential </w:t>
      </w:r>
      <w:r w:rsidR="003D2CA8">
        <w:rPr>
          <w:rFonts w:cs="Times New Roman"/>
          <w:highlight w:val="yellow"/>
        </w:rPr>
        <w:t>for</w:t>
      </w:r>
      <w:r w:rsidRPr="003D2CA8">
        <w:rPr>
          <w:rFonts w:cs="Times New Roman"/>
          <w:highlight w:val="yellow"/>
        </w:rPr>
        <w:t xml:space="preserve"> Netflix expansion into mainland China presents the profound friction </w:t>
      </w:r>
      <w:r w:rsidR="003D2CA8">
        <w:rPr>
          <w:rFonts w:cs="Times New Roman"/>
          <w:highlight w:val="yellow"/>
        </w:rPr>
        <w:t>between</w:t>
      </w:r>
      <w:r w:rsidRPr="003D2CA8">
        <w:rPr>
          <w:rFonts w:cs="Times New Roman"/>
          <w:highlight w:val="yellow"/>
        </w:rPr>
        <w:t xml:space="preserve"> the digital </w:t>
      </w:r>
      <w:r w:rsidR="003D2CA8">
        <w:rPr>
          <w:rFonts w:cs="Times New Roman"/>
          <w:highlight w:val="yellow"/>
        </w:rPr>
        <w:t>platform's</w:t>
      </w:r>
      <w:r w:rsidRPr="003D2CA8">
        <w:rPr>
          <w:rFonts w:cs="Times New Roman"/>
          <w:highlight w:val="yellow"/>
        </w:rPr>
        <w:t xml:space="preserve"> scalability and critical host-country institutional environments. Through the application of Bartlett and Ghoshal’s (1989) structural typology, Netflix is featured as the modern transnational organisation, which successfully balances high global integration using its centralised AWS cloud infrastructure and Open Connect CDN architecture with localised responsiveness through the regional content commissions. Meanwhile, when evaluated against China using Dunning’s (1988) Eclectic (OLI) Paradigm and the </w:t>
      </w:r>
      <w:r w:rsidR="003D2CA8">
        <w:rPr>
          <w:rFonts w:cs="Times New Roman"/>
          <w:highlight w:val="yellow"/>
        </w:rPr>
        <w:t>industry-specific</w:t>
      </w:r>
      <w:r w:rsidRPr="003D2CA8">
        <w:rPr>
          <w:rFonts w:cs="Times New Roman"/>
          <w:highlight w:val="yellow"/>
        </w:rPr>
        <w:t xml:space="preserve"> PEST analysis, this transnational operational template suffers critical structural erosion. </w:t>
      </w:r>
    </w:p>
    <w:p w14:paraId="205D61F2" w14:textId="433C863A" w:rsidR="00666F25" w:rsidRPr="003D2CA8" w:rsidRDefault="00666F25" w:rsidP="00666F25">
      <w:pPr>
        <w:rPr>
          <w:rFonts w:cs="Times New Roman"/>
          <w:highlight w:val="yellow"/>
        </w:rPr>
      </w:pPr>
      <w:r w:rsidRPr="003D2CA8">
        <w:rPr>
          <w:rFonts w:cs="Times New Roman"/>
          <w:highlight w:val="yellow"/>
        </w:rPr>
        <w:t>While China shows compelling macroeconomic location (L) benefits</w:t>
      </w:r>
      <w:r w:rsidR="003D2CA8">
        <w:rPr>
          <w:rFonts w:cs="Times New Roman"/>
          <w:highlight w:val="yellow"/>
        </w:rPr>
        <w:t>,</w:t>
      </w:r>
      <w:r w:rsidRPr="003D2CA8">
        <w:rPr>
          <w:rFonts w:cs="Times New Roman"/>
          <w:highlight w:val="yellow"/>
        </w:rPr>
        <w:t xml:space="preserve"> including an urban audience of more than a billion internet users, </w:t>
      </w:r>
      <w:r w:rsidR="003D2CA8">
        <w:rPr>
          <w:rFonts w:cs="Times New Roman"/>
          <w:highlight w:val="yellow"/>
        </w:rPr>
        <w:t xml:space="preserve">an </w:t>
      </w:r>
      <w:r w:rsidRPr="003D2CA8">
        <w:rPr>
          <w:rFonts w:cs="Times New Roman"/>
          <w:highlight w:val="yellow"/>
        </w:rPr>
        <w:t>advanced digital production ecosystem and widespread 5G infrastructure</w:t>
      </w:r>
      <w:r w:rsidR="003D2CA8">
        <w:rPr>
          <w:rFonts w:cs="Times New Roman"/>
          <w:highlight w:val="yellow"/>
        </w:rPr>
        <w:t>,</w:t>
      </w:r>
      <w:r w:rsidRPr="003D2CA8">
        <w:rPr>
          <w:rFonts w:cs="Times New Roman"/>
          <w:highlight w:val="yellow"/>
        </w:rPr>
        <w:t xml:space="preserve"> these are heavily neutralised by critical legal, political and institutional liabilities. The People’s Republic of China’s (PRC) strict foreign ownership prohibitions on value-added telecommunications and online audio-visual transmission services under the Special Administrative Measures for Foreign Investment Access (Negative List) render the historical and preferred entry mode of Netflix, which is a Direct-to-Consumer (DTC) </w:t>
      </w:r>
      <w:r w:rsidRPr="003D2CA8">
        <w:rPr>
          <w:rFonts w:cs="Times New Roman"/>
          <w:i/>
          <w:iCs/>
          <w:highlight w:val="yellow"/>
        </w:rPr>
        <w:t>wholly owned subsidiary,</w:t>
      </w:r>
      <w:r w:rsidRPr="003D2CA8">
        <w:rPr>
          <w:rFonts w:cs="Times New Roman"/>
          <w:highlight w:val="yellow"/>
        </w:rPr>
        <w:t xml:space="preserve"> an operational and legal impossibility. Moreover, the triad of data sovereignty laws (particularly the Personal Information Protection Laws and Data Security Law) mandates strict localisation of data. Forcing the user data to remain on the domestic servers directly conflicts with the core ownership (O) advantages of Netflix</w:t>
      </w:r>
      <w:r w:rsidR="003D2CA8">
        <w:rPr>
          <w:rFonts w:cs="Times New Roman"/>
          <w:highlight w:val="yellow"/>
        </w:rPr>
        <w:t>,</w:t>
      </w:r>
      <w:r w:rsidRPr="003D2CA8">
        <w:rPr>
          <w:rFonts w:cs="Times New Roman"/>
          <w:highlight w:val="yellow"/>
        </w:rPr>
        <w:t xml:space="preserve"> i.e., its centralised and global algorithmic recommendation engine and machine-learning feedback loops. </w:t>
      </w:r>
    </w:p>
    <w:p w14:paraId="7BB39C8C" w14:textId="1AF38009" w:rsidR="00666F25" w:rsidRDefault="00666F25" w:rsidP="00666F25">
      <w:pPr>
        <w:rPr>
          <w:rFonts w:cs="Times New Roman"/>
          <w:highlight w:val="yellow"/>
        </w:rPr>
      </w:pPr>
      <w:r w:rsidRPr="003D2CA8">
        <w:rPr>
          <w:rFonts w:cs="Times New Roman"/>
          <w:highlight w:val="yellow"/>
        </w:rPr>
        <w:t xml:space="preserve">Consequently, the strategic illusion of the seamless digital platform scalability collapses when it is confronted by the institutional boundaries of China. Attempting the direct platform launch would expose Netflix to immediate firewall blocking by the Cyberspace Administration of China (CAC), irreplaceable geopolitical and brand equity risks and catastrophic regulatory fines. </w:t>
      </w:r>
    </w:p>
    <w:p w14:paraId="7E246DA3" w14:textId="4A6CAE79" w:rsidR="00BB45A9" w:rsidRPr="003D2CA8" w:rsidRDefault="00BB45A9" w:rsidP="00666F25">
      <w:pPr>
        <w:rPr>
          <w:rFonts w:cs="Times New Roman"/>
          <w:highlight w:val="yellow"/>
        </w:rPr>
      </w:pPr>
      <w:r>
        <w:rPr>
          <w:rFonts w:cs="Times New Roman"/>
          <w:highlight w:val="yellow"/>
        </w:rPr>
        <w:t xml:space="preserve">Ultimately, Netflix needs to pivot from the platform-centric market entry strategy to an asset-light, indirect commercial model if it wishes to monetise the Chinese market without compromising its global architecture. Instead of pursuing an equity-based direct-to-consumer presence, the optimal strategic posture of the firm lies in non-equity content licensing arrangements and co-production ventures with the established domestic incumbents such as Tencent Video, iQIYI, or Alibaba’s Youku. By acting as the B2B content supplier instead of the consumer-facing platform operator, Netflix can capture value from the vast audience base of China and its creative talent pool while insulating its core intellectual property, global brand reputation, and algorithmic infrastructure from the host-country regulatory friction and geopolitical volatility. </w:t>
      </w:r>
    </w:p>
    <w:p w14:paraId="785D3F04" w14:textId="77777777" w:rsidR="00BB45A9" w:rsidRDefault="00BB45A9">
      <w:pPr>
        <w:jc w:val="left"/>
        <w:rPr>
          <w:rFonts w:cs="Times New Roman"/>
          <w:b/>
          <w:bCs/>
          <w:i/>
          <w:iCs/>
          <w:highlight w:val="yellow"/>
        </w:rPr>
      </w:pPr>
      <w:r>
        <w:rPr>
          <w:rFonts w:cs="Times New Roman"/>
          <w:b/>
          <w:bCs/>
          <w:i/>
          <w:iCs/>
          <w:highlight w:val="yellow"/>
        </w:rPr>
        <w:br w:type="page"/>
      </w:r>
    </w:p>
    <w:p w14:paraId="0A598DD1" w14:textId="79316E31" w:rsidR="002F56FB" w:rsidRPr="003D2CA8" w:rsidRDefault="002F56FB" w:rsidP="00666F25">
      <w:pPr>
        <w:rPr>
          <w:rFonts w:cs="Times New Roman"/>
          <w:b/>
          <w:bCs/>
          <w:i/>
          <w:iCs/>
          <w:highlight w:val="yellow"/>
        </w:rPr>
      </w:pPr>
      <w:r w:rsidRPr="003D2CA8">
        <w:rPr>
          <w:rFonts w:cs="Times New Roman"/>
          <w:b/>
          <w:bCs/>
          <w:i/>
          <w:iCs/>
          <w:highlight w:val="yellow"/>
        </w:rPr>
        <w:lastRenderedPageBreak/>
        <w:t xml:space="preserve">Actionable Strategic Recommendations </w:t>
      </w:r>
    </w:p>
    <w:p w14:paraId="5535B994" w14:textId="6FED69A0" w:rsidR="002F56FB" w:rsidRPr="003D2CA8" w:rsidRDefault="00885479" w:rsidP="00666F25">
      <w:pPr>
        <w:rPr>
          <w:rFonts w:cs="Times New Roman"/>
          <w:highlight w:val="yellow"/>
        </w:rPr>
      </w:pPr>
      <w:r w:rsidRPr="003D2CA8">
        <w:rPr>
          <w:rFonts w:cs="Times New Roman"/>
          <w:highlight w:val="yellow"/>
        </w:rPr>
        <w:t xml:space="preserve">To resolve this strategic paradox, Netflix is required to abandon the traditional equity-based entry models and execute the ring-fenced, non-equity strategic alliance. The following phased suggestions present the optimal strategic trajectory: </w:t>
      </w:r>
    </w:p>
    <w:p w14:paraId="7265B8B6" w14:textId="423F4EAA" w:rsidR="00885479" w:rsidRPr="003D2CA8" w:rsidRDefault="00885479" w:rsidP="00885479">
      <w:pPr>
        <w:pStyle w:val="ListParagraph"/>
        <w:numPr>
          <w:ilvl w:val="0"/>
          <w:numId w:val="14"/>
        </w:numPr>
        <w:rPr>
          <w:rFonts w:cs="Times New Roman"/>
          <w:b/>
          <w:bCs/>
          <w:i/>
          <w:iCs/>
          <w:highlight w:val="yellow"/>
        </w:rPr>
      </w:pPr>
      <w:r w:rsidRPr="003D2CA8">
        <w:rPr>
          <w:rFonts w:cs="Times New Roman"/>
          <w:b/>
          <w:bCs/>
          <w:i/>
          <w:iCs/>
          <w:highlight w:val="yellow"/>
        </w:rPr>
        <w:t xml:space="preserve">Form a strategic non-equity alliance with domestic market leaders: </w:t>
      </w:r>
    </w:p>
    <w:p w14:paraId="57B4BB1D" w14:textId="1B57BA06" w:rsidR="00885479" w:rsidRPr="003D2CA8" w:rsidRDefault="00885479" w:rsidP="00885479">
      <w:pPr>
        <w:rPr>
          <w:rFonts w:cs="Times New Roman"/>
          <w:highlight w:val="yellow"/>
        </w:rPr>
      </w:pPr>
      <w:r w:rsidRPr="003D2CA8">
        <w:rPr>
          <w:rFonts w:cs="Times New Roman"/>
          <w:highlight w:val="yellow"/>
        </w:rPr>
        <w:t xml:space="preserve">Instead of competing directly against the entrenched domestic oligopolies, Netflix needs to establish a dual-track content licensing and co-production alliance with the established domestic champion, such as </w:t>
      </w:r>
      <w:r w:rsidRPr="003D2CA8">
        <w:rPr>
          <w:rFonts w:cs="Times New Roman"/>
          <w:i/>
          <w:iCs/>
          <w:highlight w:val="yellow"/>
        </w:rPr>
        <w:t xml:space="preserve">Tencent Video </w:t>
      </w:r>
      <w:r w:rsidRPr="003D2CA8">
        <w:rPr>
          <w:rFonts w:cs="Times New Roman"/>
          <w:highlight w:val="yellow"/>
        </w:rPr>
        <w:t xml:space="preserve">or </w:t>
      </w:r>
      <w:r w:rsidRPr="003D2CA8">
        <w:rPr>
          <w:rFonts w:cs="Times New Roman"/>
          <w:i/>
          <w:iCs/>
          <w:highlight w:val="yellow"/>
        </w:rPr>
        <w:t>iQIYI</w:t>
      </w:r>
      <w:r w:rsidRPr="003D2CA8">
        <w:rPr>
          <w:rFonts w:cs="Times New Roman"/>
          <w:highlight w:val="yellow"/>
        </w:rPr>
        <w:t xml:space="preserve">. Under this non-equity structure: </w:t>
      </w:r>
    </w:p>
    <w:p w14:paraId="760DFD0E" w14:textId="78E80CB3" w:rsidR="00885479" w:rsidRPr="003D2CA8" w:rsidRDefault="00885479" w:rsidP="00A10D81">
      <w:pPr>
        <w:pStyle w:val="ListParagraph"/>
        <w:numPr>
          <w:ilvl w:val="0"/>
          <w:numId w:val="15"/>
        </w:numPr>
        <w:rPr>
          <w:rFonts w:cs="Times New Roman"/>
          <w:highlight w:val="yellow"/>
        </w:rPr>
      </w:pPr>
      <w:r w:rsidRPr="003D2CA8">
        <w:rPr>
          <w:rFonts w:cs="Times New Roman"/>
          <w:highlight w:val="yellow"/>
        </w:rPr>
        <w:t xml:space="preserve">Netflix operates as the offshore content incubator and intellectual property partner, circumventing direct exposure </w:t>
      </w:r>
      <w:r w:rsidR="003D2CA8">
        <w:rPr>
          <w:rFonts w:cs="Times New Roman"/>
          <w:highlight w:val="yellow"/>
        </w:rPr>
        <w:t>to</w:t>
      </w:r>
      <w:r w:rsidRPr="003D2CA8">
        <w:rPr>
          <w:rFonts w:cs="Times New Roman"/>
          <w:highlight w:val="yellow"/>
        </w:rPr>
        <w:t xml:space="preserve"> regulations while retaining </w:t>
      </w:r>
      <w:r w:rsidR="003D2CA8">
        <w:rPr>
          <w:rFonts w:cs="Times New Roman"/>
          <w:highlight w:val="yellow"/>
        </w:rPr>
        <w:t xml:space="preserve">the </w:t>
      </w:r>
      <w:r w:rsidRPr="003D2CA8">
        <w:rPr>
          <w:rFonts w:cs="Times New Roman"/>
          <w:highlight w:val="yellow"/>
        </w:rPr>
        <w:t xml:space="preserve">presence of </w:t>
      </w:r>
      <w:r w:rsidR="003D2CA8">
        <w:rPr>
          <w:rFonts w:cs="Times New Roman"/>
          <w:highlight w:val="yellow"/>
        </w:rPr>
        <w:t xml:space="preserve">the </w:t>
      </w:r>
      <w:r w:rsidRPr="003D2CA8">
        <w:rPr>
          <w:rFonts w:cs="Times New Roman"/>
          <w:highlight w:val="yellow"/>
        </w:rPr>
        <w:t xml:space="preserve">brand. </w:t>
      </w:r>
    </w:p>
    <w:p w14:paraId="4D6157A5" w14:textId="5B27C957" w:rsidR="00A10D81" w:rsidRPr="003D2CA8" w:rsidRDefault="00885479" w:rsidP="00A10D81">
      <w:pPr>
        <w:pStyle w:val="ListParagraph"/>
        <w:numPr>
          <w:ilvl w:val="0"/>
          <w:numId w:val="15"/>
        </w:numPr>
        <w:rPr>
          <w:rFonts w:cs="Times New Roman"/>
          <w:highlight w:val="yellow"/>
        </w:rPr>
      </w:pPr>
      <w:r w:rsidRPr="003D2CA8">
        <w:rPr>
          <w:rFonts w:cs="Times New Roman"/>
          <w:highlight w:val="yellow"/>
        </w:rPr>
        <w:t xml:space="preserve">Domestic Partners </w:t>
      </w:r>
      <w:r w:rsidR="00A10D81" w:rsidRPr="003D2CA8">
        <w:rPr>
          <w:rFonts w:cs="Times New Roman"/>
          <w:highlight w:val="yellow"/>
        </w:rPr>
        <w:t xml:space="preserve">assume total responsibility for the management of interface, domestic hosting of the servers, local compliance of data localisation and navigating the state censorship approvals with NRTA. </w:t>
      </w:r>
    </w:p>
    <w:p w14:paraId="06D1F99D" w14:textId="44F081D5" w:rsidR="00A10D81" w:rsidRPr="003D2CA8" w:rsidRDefault="00A10D81" w:rsidP="00A10D81">
      <w:pPr>
        <w:pStyle w:val="ListParagraph"/>
        <w:numPr>
          <w:ilvl w:val="0"/>
          <w:numId w:val="14"/>
        </w:numPr>
        <w:rPr>
          <w:rFonts w:cs="Times New Roman"/>
          <w:highlight w:val="yellow"/>
        </w:rPr>
      </w:pPr>
      <w:r w:rsidRPr="003D2CA8">
        <w:rPr>
          <w:rFonts w:cs="Times New Roman"/>
          <w:b/>
          <w:bCs/>
          <w:i/>
          <w:iCs/>
          <w:highlight w:val="yellow"/>
        </w:rPr>
        <w:t xml:space="preserve">Permanently abort standalone direct-to-consumer platform entry: </w:t>
      </w:r>
    </w:p>
    <w:p w14:paraId="0CB7C664" w14:textId="29A40562" w:rsidR="00A10D81" w:rsidRPr="003D2CA8" w:rsidRDefault="006A23CA" w:rsidP="00A10D81">
      <w:pPr>
        <w:rPr>
          <w:rFonts w:cs="Times New Roman"/>
          <w:highlight w:val="yellow"/>
        </w:rPr>
      </w:pPr>
      <w:r w:rsidRPr="003D2CA8">
        <w:rPr>
          <w:rFonts w:cs="Times New Roman"/>
          <w:highlight w:val="yellow"/>
        </w:rPr>
        <w:t>Netflix needs to formally remove any plans to launch its proprietary streaming platform or application inside mainland China. The institutional distance and the cost of compliance enforced by the National Radio and Television Administration (NRTA)</w:t>
      </w:r>
      <w:r w:rsidR="00F261A4" w:rsidRPr="003D2CA8">
        <w:rPr>
          <w:rFonts w:cs="Times New Roman"/>
          <w:highlight w:val="yellow"/>
        </w:rPr>
        <w:t xml:space="preserve"> and CAC make standalone platform </w:t>
      </w:r>
      <w:r w:rsidR="003D2CA8">
        <w:rPr>
          <w:rFonts w:cs="Times New Roman"/>
          <w:highlight w:val="yellow"/>
        </w:rPr>
        <w:t>operation</w:t>
      </w:r>
      <w:r w:rsidR="00F261A4" w:rsidRPr="003D2CA8">
        <w:rPr>
          <w:rFonts w:cs="Times New Roman"/>
          <w:highlight w:val="yellow"/>
        </w:rPr>
        <w:t xml:space="preserve"> unviable. </w:t>
      </w:r>
    </w:p>
    <w:p w14:paraId="59A7916B" w14:textId="21607A3A" w:rsidR="00F261A4" w:rsidRPr="003D2CA8" w:rsidRDefault="00F261A4" w:rsidP="00F261A4">
      <w:pPr>
        <w:pStyle w:val="ListParagraph"/>
        <w:numPr>
          <w:ilvl w:val="0"/>
          <w:numId w:val="14"/>
        </w:numPr>
        <w:rPr>
          <w:rFonts w:cs="Times New Roman"/>
          <w:highlight w:val="yellow"/>
        </w:rPr>
      </w:pPr>
      <w:r w:rsidRPr="003D2CA8">
        <w:rPr>
          <w:rFonts w:cs="Times New Roman"/>
          <w:b/>
          <w:bCs/>
          <w:i/>
          <w:iCs/>
          <w:highlight w:val="yellow"/>
        </w:rPr>
        <w:t xml:space="preserve">Secure exclusive perpetual global rights for Chinese co-productions: </w:t>
      </w:r>
    </w:p>
    <w:p w14:paraId="1670C96D" w14:textId="75BCF2BE" w:rsidR="00F261A4" w:rsidRPr="003D2CA8" w:rsidRDefault="00F261A4" w:rsidP="00F261A4">
      <w:pPr>
        <w:rPr>
          <w:rFonts w:cs="Times New Roman"/>
          <w:highlight w:val="yellow"/>
        </w:rPr>
      </w:pPr>
      <w:r w:rsidRPr="003D2CA8">
        <w:rPr>
          <w:rFonts w:cs="Times New Roman"/>
          <w:highlight w:val="yellow"/>
        </w:rPr>
        <w:t xml:space="preserve">In exchange for licensing the global originals to its domestic Chinese partner, Netflix needs to negotiate the exclusive, perpetual distribution rights for all the co-produced, Chinese-language content outside mainland China. This process allows the organisation to boost its global streaming pipeline with authentic, premium Chinese narratives to satisfy the diaspora and global demand across its 190+ existing markets without incurring domestic risks on operations. </w:t>
      </w:r>
    </w:p>
    <w:p w14:paraId="49E41FDC" w14:textId="4432CBD6" w:rsidR="00F261A4" w:rsidRPr="003D2CA8" w:rsidRDefault="00F261A4" w:rsidP="00F261A4">
      <w:pPr>
        <w:pStyle w:val="ListParagraph"/>
        <w:numPr>
          <w:ilvl w:val="0"/>
          <w:numId w:val="14"/>
        </w:numPr>
        <w:rPr>
          <w:rFonts w:cs="Times New Roman"/>
          <w:highlight w:val="yellow"/>
        </w:rPr>
      </w:pPr>
      <w:r w:rsidRPr="003D2CA8">
        <w:rPr>
          <w:rFonts w:cs="Times New Roman"/>
          <w:b/>
          <w:bCs/>
          <w:i/>
          <w:iCs/>
          <w:highlight w:val="yellow"/>
        </w:rPr>
        <w:t xml:space="preserve">Establish strict institutional protocols for IP and data protection: </w:t>
      </w:r>
      <w:r w:rsidRPr="003D2CA8">
        <w:rPr>
          <w:rFonts w:cs="Times New Roman"/>
          <w:b/>
          <w:bCs/>
          <w:i/>
          <w:iCs/>
          <w:highlight w:val="yellow"/>
        </w:rPr>
        <w:tab/>
      </w:r>
    </w:p>
    <w:p w14:paraId="26B220D2" w14:textId="1284B679" w:rsidR="00F261A4" w:rsidRPr="00F261A4" w:rsidRDefault="003D2CA8" w:rsidP="00F261A4">
      <w:pPr>
        <w:rPr>
          <w:rFonts w:cs="Times New Roman"/>
        </w:rPr>
      </w:pPr>
      <w:r w:rsidRPr="003D2CA8">
        <w:rPr>
          <w:rFonts w:cs="Times New Roman"/>
          <w:highlight w:val="yellow"/>
        </w:rPr>
        <w:t>To prevent the rapid dilution of the intellectual capital that terminated its 2017 licensing agreement with iQIYI, Netflix needs to enforce strict legal ring-fencing. The alliance framework needs to isolate the proprietary machine learning source code and core suggestion algorithm of Netflix from the domestic partner infrastructure, ensuring zero cross-border transfer of proprietary technology.</w:t>
      </w:r>
      <w:r>
        <w:rPr>
          <w:rFonts w:cs="Times New Roman"/>
        </w:rPr>
        <w:t xml:space="preserve"> </w:t>
      </w:r>
    </w:p>
    <w:p w14:paraId="69A9E8C4" w14:textId="77777777" w:rsidR="00A10D81" w:rsidRPr="00885479" w:rsidRDefault="00A10D81" w:rsidP="00885479">
      <w:pPr>
        <w:rPr>
          <w:rFonts w:cs="Times New Roman"/>
        </w:rPr>
      </w:pPr>
    </w:p>
    <w:p w14:paraId="7320140A" w14:textId="77777777" w:rsidR="00666F25" w:rsidRDefault="00666F25" w:rsidP="00666F25">
      <w:pPr>
        <w:rPr>
          <w:rFonts w:cs="Times New Roman"/>
        </w:rPr>
      </w:pPr>
    </w:p>
    <w:p w14:paraId="20B21532" w14:textId="0540C1F4" w:rsidR="005355DF" w:rsidRPr="002F56FB" w:rsidRDefault="00AA048B" w:rsidP="002F56FB">
      <w:pPr>
        <w:pStyle w:val="Heading1"/>
      </w:pPr>
      <w:r>
        <w:rPr>
          <w:rFonts w:cs="Times New Roman"/>
        </w:rPr>
        <w:br w:type="page"/>
      </w:r>
      <w:bookmarkStart w:id="12" w:name="_Toc236250847"/>
      <w:r w:rsidR="00632C8D" w:rsidRPr="002F56FB">
        <w:lastRenderedPageBreak/>
        <w:t>Section 2: Reflective Account</w:t>
      </w:r>
      <w:bookmarkEnd w:id="12"/>
      <w:r w:rsidR="00632C8D" w:rsidRPr="002F56FB">
        <w:t xml:space="preserve"> </w:t>
      </w:r>
    </w:p>
    <w:p w14:paraId="1A3784CB" w14:textId="77777777" w:rsidR="005355DF" w:rsidRPr="00AA048B" w:rsidRDefault="005355DF" w:rsidP="00AA048B">
      <w:pPr>
        <w:pStyle w:val="Heading2"/>
      </w:pPr>
      <w:bookmarkStart w:id="13" w:name="_Toc236250848"/>
      <w:r w:rsidRPr="00AA048B">
        <w:t>Introduction</w:t>
      </w:r>
      <w:bookmarkEnd w:id="13"/>
    </w:p>
    <w:p w14:paraId="3C43FA19" w14:textId="3DCB6CC0" w:rsidR="005355DF" w:rsidRPr="00AA048B" w:rsidRDefault="00251BE5" w:rsidP="00AA048B">
      <w:pPr>
        <w:rPr>
          <w:rFonts w:cs="Times New Roman"/>
        </w:rPr>
      </w:pPr>
      <w:r w:rsidRPr="00AA048B">
        <w:rPr>
          <w:rFonts w:cs="Times New Roman"/>
        </w:rPr>
        <w:t>This</w:t>
      </w:r>
      <w:r w:rsidR="005355DF" w:rsidRPr="00AA048B">
        <w:rPr>
          <w:rFonts w:cs="Times New Roman"/>
        </w:rPr>
        <w:t xml:space="preserve"> section represents the critical reflection on analysis, research and preparation processes that were followed by me for the market entry report on Netflix. To structure this reflection with academic </w:t>
      </w:r>
      <w:r w:rsidRPr="00AA048B">
        <w:rPr>
          <w:rFonts w:cs="Times New Roman"/>
        </w:rPr>
        <w:t>rigour</w:t>
      </w:r>
      <w:r w:rsidR="005355DF" w:rsidRPr="00AA048B">
        <w:rPr>
          <w:rFonts w:cs="Times New Roman"/>
        </w:rPr>
        <w:t xml:space="preserve">, I have used </w:t>
      </w:r>
      <w:r w:rsidRPr="00AA048B">
        <w:rPr>
          <w:rFonts w:cs="Times New Roman"/>
        </w:rPr>
        <w:t>Gibbs'</w:t>
      </w:r>
      <w:r w:rsidR="005355DF" w:rsidRPr="00AA048B">
        <w:rPr>
          <w:rFonts w:cs="Times New Roman"/>
        </w:rPr>
        <w:t xml:space="preserve"> reflective cycle (1988). This is a </w:t>
      </w:r>
      <w:r w:rsidRPr="00AA048B">
        <w:rPr>
          <w:rFonts w:cs="Times New Roman"/>
        </w:rPr>
        <w:t>6-stage</w:t>
      </w:r>
      <w:r w:rsidR="005355DF" w:rsidRPr="00AA048B">
        <w:rPr>
          <w:rFonts w:cs="Times New Roman"/>
        </w:rPr>
        <w:t xml:space="preserve"> model which includes description, feelings, evaluation, analysis, conclusion and action plan. It has allowed me to systematically examine my learning journey</w:t>
      </w:r>
      <w:r w:rsidRPr="00AA048B">
        <w:rPr>
          <w:rFonts w:cs="Times New Roman"/>
        </w:rPr>
        <w:t>,</w:t>
      </w:r>
      <w:r w:rsidR="005355DF" w:rsidRPr="00AA048B">
        <w:rPr>
          <w:rFonts w:cs="Times New Roman"/>
        </w:rPr>
        <w:t xml:space="preserve"> analyse the methodology which was used to navigate the critical international business theories, identify how this module has shifted my professional development and evaluate the challenges that were encountered. </w:t>
      </w:r>
    </w:p>
    <w:p w14:paraId="52118921" w14:textId="77777777" w:rsidR="005355DF" w:rsidRPr="00AA048B" w:rsidRDefault="005355DF" w:rsidP="00AA048B">
      <w:pPr>
        <w:pStyle w:val="Heading2"/>
      </w:pPr>
      <w:bookmarkStart w:id="14" w:name="_Toc236250849"/>
      <w:r w:rsidRPr="00AA048B">
        <w:t>Description</w:t>
      </w:r>
      <w:bookmarkEnd w:id="14"/>
    </w:p>
    <w:p w14:paraId="6C3AB929" w14:textId="6E1FB4A4" w:rsidR="005355DF" w:rsidRPr="00AA048B" w:rsidRDefault="00251BE5" w:rsidP="00AA048B">
      <w:pPr>
        <w:rPr>
          <w:rFonts w:cs="Times New Roman"/>
        </w:rPr>
      </w:pPr>
      <w:r w:rsidRPr="00AA048B">
        <w:rPr>
          <w:rFonts w:cs="Times New Roman"/>
        </w:rPr>
        <w:t>The</w:t>
      </w:r>
      <w:r w:rsidR="005355DF" w:rsidRPr="00AA048B">
        <w:rPr>
          <w:rFonts w:cs="Times New Roman"/>
        </w:rPr>
        <w:t xml:space="preserve"> major objective of Section 1 was to select a multinational corporation (MNC) and critically </w:t>
      </w:r>
      <w:r w:rsidRPr="00AA048B">
        <w:rPr>
          <w:rFonts w:cs="Times New Roman"/>
        </w:rPr>
        <w:t>analyse</w:t>
      </w:r>
      <w:r w:rsidR="005355DF" w:rsidRPr="00AA048B">
        <w:rPr>
          <w:rFonts w:cs="Times New Roman"/>
        </w:rPr>
        <w:t xml:space="preserve"> a strategic capacity to enter the foreign market in which it currently lacks a physical retail or operational footprint</w:t>
      </w:r>
      <w:r w:rsidRPr="00AA048B">
        <w:rPr>
          <w:rFonts w:cs="Times New Roman"/>
        </w:rPr>
        <w:t>,</w:t>
      </w:r>
      <w:r w:rsidR="005355DF" w:rsidRPr="00AA048B">
        <w:rPr>
          <w:rFonts w:cs="Times New Roman"/>
        </w:rPr>
        <w:t xml:space="preserve"> evaluated against the deadline of mid-2026. My approach started with choosing Netflix as the target enterprise and mainland China as the host market in which the company </w:t>
      </w:r>
      <w:r w:rsidRPr="00AA048B">
        <w:rPr>
          <w:rFonts w:cs="Times New Roman"/>
        </w:rPr>
        <w:t>currently has no operational footprint</w:t>
      </w:r>
      <w:r w:rsidR="005355DF" w:rsidRPr="00AA048B">
        <w:rPr>
          <w:rFonts w:cs="Times New Roman"/>
        </w:rPr>
        <w:t xml:space="preserve">. 2 effectively execute this, I used a structured, </w:t>
      </w:r>
      <w:r w:rsidRPr="00AA048B">
        <w:rPr>
          <w:rFonts w:cs="Times New Roman"/>
        </w:rPr>
        <w:t>desk-based</w:t>
      </w:r>
      <w:r w:rsidR="005355DF" w:rsidRPr="00AA048B">
        <w:rPr>
          <w:rFonts w:cs="Times New Roman"/>
        </w:rPr>
        <w:t xml:space="preserve"> research strategy. I collected information with </w:t>
      </w:r>
      <w:r w:rsidRPr="00AA048B">
        <w:rPr>
          <w:rFonts w:cs="Times New Roman"/>
        </w:rPr>
        <w:t>a</w:t>
      </w:r>
      <w:r w:rsidR="005355DF" w:rsidRPr="00AA048B">
        <w:rPr>
          <w:rFonts w:cs="Times New Roman"/>
        </w:rPr>
        <w:t xml:space="preserve"> focus on extracting </w:t>
      </w:r>
      <w:r w:rsidRPr="00AA048B">
        <w:rPr>
          <w:rFonts w:cs="Times New Roman"/>
        </w:rPr>
        <w:t>peer-reviewed</w:t>
      </w:r>
      <w:r w:rsidR="005355DF" w:rsidRPr="00AA048B">
        <w:rPr>
          <w:rFonts w:cs="Times New Roman"/>
        </w:rPr>
        <w:t xml:space="preserve"> journal articles from academic databases like ScienceDirect, Emerald, and Journal of International Business Studies. I also </w:t>
      </w:r>
      <w:r w:rsidRPr="00AA048B">
        <w:rPr>
          <w:rFonts w:cs="Times New Roman"/>
        </w:rPr>
        <w:t>used</w:t>
      </w:r>
      <w:r w:rsidR="005355DF" w:rsidRPr="00AA048B">
        <w:rPr>
          <w:rFonts w:cs="Times New Roman"/>
        </w:rPr>
        <w:t xml:space="preserve"> </w:t>
      </w:r>
      <w:r w:rsidRPr="00AA048B">
        <w:rPr>
          <w:rFonts w:cs="Times New Roman"/>
        </w:rPr>
        <w:t>Boolean</w:t>
      </w:r>
      <w:r w:rsidR="005355DF" w:rsidRPr="00AA048B">
        <w:rPr>
          <w:rFonts w:cs="Times New Roman"/>
        </w:rPr>
        <w:t xml:space="preserve"> operators to filter my research</w:t>
      </w:r>
      <w:r w:rsidRPr="00AA048B">
        <w:rPr>
          <w:rFonts w:cs="Times New Roman"/>
        </w:rPr>
        <w:t>,</w:t>
      </w:r>
      <w:r w:rsidR="005355DF" w:rsidRPr="00AA048B">
        <w:rPr>
          <w:rFonts w:cs="Times New Roman"/>
        </w:rPr>
        <w:t xml:space="preserve"> such as the search strings ‘Netflix AND International Strategy AND China’. This was critically referenced with the </w:t>
      </w:r>
      <w:r w:rsidRPr="00AA048B">
        <w:rPr>
          <w:rFonts w:cs="Times New Roman"/>
        </w:rPr>
        <w:t>real-time</w:t>
      </w:r>
      <w:r w:rsidR="005355DF" w:rsidRPr="00AA048B">
        <w:rPr>
          <w:rFonts w:cs="Times New Roman"/>
        </w:rPr>
        <w:t xml:space="preserve"> institutional documentation, particularly the special administrative measures of the foreign direct investment access (Negative list) and the recent legislative frameworks on data security </w:t>
      </w:r>
      <w:r w:rsidR="00AA048B" w:rsidRPr="00AA048B">
        <w:rPr>
          <w:rFonts w:cs="Times New Roman"/>
        </w:rPr>
        <w:t>in</w:t>
      </w:r>
      <w:r w:rsidR="005355DF" w:rsidRPr="00AA048B">
        <w:rPr>
          <w:rFonts w:cs="Times New Roman"/>
        </w:rPr>
        <w:t xml:space="preserve"> China. Analytically, I have also organised my results sequentially by mapping the </w:t>
      </w:r>
      <w:r w:rsidRPr="00AA048B">
        <w:rPr>
          <w:rFonts w:cs="Times New Roman"/>
        </w:rPr>
        <w:t>organisational</w:t>
      </w:r>
      <w:r w:rsidR="005355DF" w:rsidRPr="00AA048B">
        <w:rPr>
          <w:rFonts w:cs="Times New Roman"/>
        </w:rPr>
        <w:t xml:space="preserve"> architecture of Netflix to Bartlett and Ghoshal’s typology, followed by the </w:t>
      </w:r>
      <w:r w:rsidRPr="00AA048B">
        <w:rPr>
          <w:rFonts w:cs="Times New Roman"/>
        </w:rPr>
        <w:t>industry-specific</w:t>
      </w:r>
      <w:r w:rsidR="005355DF" w:rsidRPr="00AA048B">
        <w:rPr>
          <w:rFonts w:cs="Times New Roman"/>
        </w:rPr>
        <w:t xml:space="preserve"> PEST analysis. Finally</w:t>
      </w:r>
      <w:r w:rsidRPr="00AA048B">
        <w:rPr>
          <w:rFonts w:cs="Times New Roman"/>
        </w:rPr>
        <w:t>,</w:t>
      </w:r>
      <w:r w:rsidR="005355DF" w:rsidRPr="00AA048B">
        <w:rPr>
          <w:rFonts w:cs="Times New Roman"/>
        </w:rPr>
        <w:t xml:space="preserve"> I </w:t>
      </w:r>
      <w:r w:rsidRPr="00AA048B">
        <w:rPr>
          <w:rFonts w:cs="Times New Roman"/>
        </w:rPr>
        <w:t>synthesise</w:t>
      </w:r>
      <w:r w:rsidR="005355DF" w:rsidRPr="00AA048B">
        <w:rPr>
          <w:rFonts w:cs="Times New Roman"/>
        </w:rPr>
        <w:t xml:space="preserve"> data through John Dunning’s Eclectic (OLI) paradigm to evaluate the market entry viability. </w:t>
      </w:r>
    </w:p>
    <w:p w14:paraId="685E69CB" w14:textId="77777777" w:rsidR="005355DF" w:rsidRPr="00AA048B" w:rsidRDefault="005355DF" w:rsidP="00AA048B">
      <w:pPr>
        <w:pStyle w:val="Heading2"/>
      </w:pPr>
      <w:bookmarkStart w:id="15" w:name="_Toc236250850"/>
      <w:r w:rsidRPr="00AA048B">
        <w:t>Feelings</w:t>
      </w:r>
      <w:bookmarkEnd w:id="15"/>
      <w:r w:rsidRPr="00AA048B">
        <w:t xml:space="preserve"> </w:t>
      </w:r>
    </w:p>
    <w:p w14:paraId="1634EBBC" w14:textId="236E4D6B" w:rsidR="005355DF" w:rsidRPr="00AA048B" w:rsidRDefault="005355DF" w:rsidP="00AA048B">
      <w:pPr>
        <w:rPr>
          <w:rFonts w:cs="Times New Roman"/>
        </w:rPr>
      </w:pPr>
      <w:r w:rsidRPr="00AA048B">
        <w:rPr>
          <w:rFonts w:cs="Times New Roman"/>
        </w:rPr>
        <w:t xml:space="preserve">In this assignment, I experienced a high degree of cognitive dissonance. During the cold lectures of </w:t>
      </w:r>
      <w:r w:rsidR="00251BE5" w:rsidRPr="00AA048B">
        <w:rPr>
          <w:rFonts w:cs="Times New Roman"/>
        </w:rPr>
        <w:t xml:space="preserve">the </w:t>
      </w:r>
      <w:r w:rsidRPr="00AA048B">
        <w:rPr>
          <w:rFonts w:cs="Times New Roman"/>
        </w:rPr>
        <w:t xml:space="preserve">MBA on </w:t>
      </w:r>
      <w:r w:rsidR="00251BE5" w:rsidRPr="00AA048B">
        <w:rPr>
          <w:rFonts w:cs="Times New Roman"/>
        </w:rPr>
        <w:t>globalisation</w:t>
      </w:r>
      <w:r w:rsidRPr="00AA048B">
        <w:rPr>
          <w:rFonts w:cs="Times New Roman"/>
        </w:rPr>
        <w:t xml:space="preserve">, digital platforms are generally celebrated as borderline entities </w:t>
      </w:r>
      <w:r w:rsidR="00251BE5" w:rsidRPr="00AA048B">
        <w:rPr>
          <w:rFonts w:cs="Times New Roman"/>
        </w:rPr>
        <w:t>that</w:t>
      </w:r>
      <w:r w:rsidRPr="00AA048B">
        <w:rPr>
          <w:rFonts w:cs="Times New Roman"/>
        </w:rPr>
        <w:t xml:space="preserve"> have the capacity </w:t>
      </w:r>
      <w:r w:rsidR="00251BE5" w:rsidRPr="00AA048B">
        <w:rPr>
          <w:rFonts w:cs="Times New Roman"/>
        </w:rPr>
        <w:t>for fraction-free</w:t>
      </w:r>
      <w:r w:rsidRPr="00AA048B">
        <w:rPr>
          <w:rFonts w:cs="Times New Roman"/>
        </w:rPr>
        <w:t xml:space="preserve">, instantaneous international scaling. </w:t>
      </w:r>
      <w:r w:rsidR="00251BE5" w:rsidRPr="00AA048B">
        <w:rPr>
          <w:rFonts w:cs="Times New Roman"/>
        </w:rPr>
        <w:t>At</w:t>
      </w:r>
      <w:r w:rsidRPr="00AA048B">
        <w:rPr>
          <w:rFonts w:cs="Times New Roman"/>
        </w:rPr>
        <w:t xml:space="preserve"> the starting I felt confident that Netflix could easily enter any market using its standard digital delivery architecture. Meanwhile, when I began to research it more, I found that there are critical regulatory boundaries enforced by the Cyberspace Administration of China (CAC)</w:t>
      </w:r>
      <w:r w:rsidR="00251BE5" w:rsidRPr="00AA048B">
        <w:rPr>
          <w:rFonts w:cs="Times New Roman"/>
        </w:rPr>
        <w:t>;</w:t>
      </w:r>
      <w:r w:rsidRPr="00AA048B">
        <w:rPr>
          <w:rFonts w:cs="Times New Roman"/>
        </w:rPr>
        <w:t xml:space="preserve"> my confidence moved towards frustration. I realised that the conventional international business strategies that are designed for physical goods do not map neatly in the case of digital platform enterprises. Navigating this theoretical mismatch made me feel overwhelmed</w:t>
      </w:r>
      <w:r w:rsidR="00251BE5" w:rsidRPr="00AA048B">
        <w:rPr>
          <w:rFonts w:cs="Times New Roman"/>
        </w:rPr>
        <w:t>,</w:t>
      </w:r>
      <w:r w:rsidRPr="00AA048B">
        <w:rPr>
          <w:rFonts w:cs="Times New Roman"/>
        </w:rPr>
        <w:t xml:space="preserve"> and I </w:t>
      </w:r>
      <w:r w:rsidR="00251BE5" w:rsidRPr="00AA048B">
        <w:rPr>
          <w:rFonts w:cs="Times New Roman"/>
        </w:rPr>
        <w:t>realised</w:t>
      </w:r>
      <w:r w:rsidRPr="00AA048B">
        <w:rPr>
          <w:rFonts w:cs="Times New Roman"/>
        </w:rPr>
        <w:t xml:space="preserve"> that my assumptions </w:t>
      </w:r>
      <w:r w:rsidR="00251BE5" w:rsidRPr="00AA048B">
        <w:rPr>
          <w:rFonts w:cs="Times New Roman"/>
        </w:rPr>
        <w:t>at</w:t>
      </w:r>
      <w:r w:rsidRPr="00AA048B">
        <w:rPr>
          <w:rFonts w:cs="Times New Roman"/>
        </w:rPr>
        <w:t xml:space="preserve"> the </w:t>
      </w:r>
      <w:r w:rsidR="00251BE5" w:rsidRPr="00AA048B">
        <w:rPr>
          <w:rFonts w:cs="Times New Roman"/>
        </w:rPr>
        <w:t>start</w:t>
      </w:r>
      <w:r w:rsidRPr="00AA048B">
        <w:rPr>
          <w:rFonts w:cs="Times New Roman"/>
        </w:rPr>
        <w:t xml:space="preserve"> about digital </w:t>
      </w:r>
      <w:r w:rsidR="00251BE5" w:rsidRPr="00AA048B">
        <w:rPr>
          <w:rFonts w:cs="Times New Roman"/>
        </w:rPr>
        <w:t>globalisation</w:t>
      </w:r>
      <w:r w:rsidRPr="00AA048B">
        <w:rPr>
          <w:rFonts w:cs="Times New Roman"/>
        </w:rPr>
        <w:t xml:space="preserve"> were not true. </w:t>
      </w:r>
      <w:r w:rsidR="00251BE5" w:rsidRPr="00AA048B">
        <w:rPr>
          <w:rFonts w:cs="Times New Roman"/>
        </w:rPr>
        <w:t>There was a</w:t>
      </w:r>
      <w:r w:rsidRPr="00AA048B">
        <w:rPr>
          <w:rFonts w:cs="Times New Roman"/>
        </w:rPr>
        <w:t xml:space="preserve"> forced intellectual shift</w:t>
      </w:r>
      <w:r w:rsidR="00251BE5" w:rsidRPr="00AA048B">
        <w:rPr>
          <w:rFonts w:cs="Times New Roman"/>
        </w:rPr>
        <w:t>,</w:t>
      </w:r>
      <w:r w:rsidRPr="00AA048B">
        <w:rPr>
          <w:rFonts w:cs="Times New Roman"/>
        </w:rPr>
        <w:t xml:space="preserve"> and I moved from the purely descriptive mindset to a much more critical view of institutional host country risks. </w:t>
      </w:r>
    </w:p>
    <w:p w14:paraId="2C68341D" w14:textId="77777777" w:rsidR="005355DF" w:rsidRPr="00AA048B" w:rsidRDefault="005355DF" w:rsidP="00AA048B">
      <w:pPr>
        <w:pStyle w:val="Heading2"/>
      </w:pPr>
      <w:bookmarkStart w:id="16" w:name="_Toc236250851"/>
      <w:r w:rsidRPr="00AA048B">
        <w:lastRenderedPageBreak/>
        <w:t>Evaluation</w:t>
      </w:r>
      <w:bookmarkEnd w:id="16"/>
    </w:p>
    <w:p w14:paraId="026AF4C2" w14:textId="1386D7B1" w:rsidR="005355DF" w:rsidRPr="00AA048B" w:rsidRDefault="00251BE5" w:rsidP="00AA048B">
      <w:pPr>
        <w:rPr>
          <w:rFonts w:cs="Times New Roman"/>
        </w:rPr>
      </w:pPr>
      <w:r w:rsidRPr="00AA048B">
        <w:rPr>
          <w:rFonts w:cs="Times New Roman"/>
        </w:rPr>
        <w:t>Evaluating</w:t>
      </w:r>
      <w:r w:rsidR="005355DF" w:rsidRPr="00AA048B">
        <w:rPr>
          <w:rFonts w:cs="Times New Roman"/>
        </w:rPr>
        <w:t xml:space="preserve"> the research process presented </w:t>
      </w:r>
      <w:r w:rsidRPr="00AA048B">
        <w:rPr>
          <w:rFonts w:cs="Times New Roman"/>
        </w:rPr>
        <w:t xml:space="preserve">a </w:t>
      </w:r>
      <w:r w:rsidR="005355DF" w:rsidRPr="00AA048B">
        <w:rPr>
          <w:rFonts w:cs="Times New Roman"/>
        </w:rPr>
        <w:t xml:space="preserve">clear mixture of successful results and systematic challenges. The most positive aspect of this procedure was the structural alignment that was achieved when I used John Dunning’s OLI model along with the </w:t>
      </w:r>
      <w:r w:rsidRPr="00AA048B">
        <w:rPr>
          <w:rFonts w:cs="Times New Roman"/>
        </w:rPr>
        <w:t>industry-specific</w:t>
      </w:r>
      <w:r w:rsidR="005355DF" w:rsidRPr="00AA048B">
        <w:rPr>
          <w:rFonts w:cs="Times New Roman"/>
        </w:rPr>
        <w:t xml:space="preserve"> PEST analysis. Instead of producing the general country profile, this framework helped me to evaluate exactly why the global benefits of Netflix </w:t>
      </w:r>
      <w:r w:rsidRPr="00AA048B">
        <w:rPr>
          <w:rFonts w:cs="Times New Roman"/>
        </w:rPr>
        <w:t>break down</w:t>
      </w:r>
      <w:r w:rsidR="005355DF" w:rsidRPr="00AA048B">
        <w:rPr>
          <w:rFonts w:cs="Times New Roman"/>
        </w:rPr>
        <w:t xml:space="preserve"> when </w:t>
      </w:r>
      <w:r w:rsidRPr="00AA048B">
        <w:rPr>
          <w:rFonts w:cs="Times New Roman"/>
        </w:rPr>
        <w:t>they</w:t>
      </w:r>
      <w:r w:rsidR="005355DF" w:rsidRPr="00AA048B">
        <w:rPr>
          <w:rFonts w:cs="Times New Roman"/>
        </w:rPr>
        <w:t xml:space="preserve"> experience the state censorship laws of China. Moreover</w:t>
      </w:r>
      <w:r w:rsidRPr="00AA048B">
        <w:rPr>
          <w:rFonts w:cs="Times New Roman"/>
        </w:rPr>
        <w:t>,</w:t>
      </w:r>
      <w:r w:rsidR="005355DF" w:rsidRPr="00AA048B">
        <w:rPr>
          <w:rFonts w:cs="Times New Roman"/>
        </w:rPr>
        <w:t xml:space="preserve"> using the literature published </w:t>
      </w:r>
      <w:r w:rsidRPr="00AA048B">
        <w:rPr>
          <w:rFonts w:cs="Times New Roman"/>
        </w:rPr>
        <w:t>over</w:t>
      </w:r>
      <w:r w:rsidR="005355DF" w:rsidRPr="00AA048B">
        <w:rPr>
          <w:rFonts w:cs="Times New Roman"/>
        </w:rPr>
        <w:t xml:space="preserve"> the past 5 years ensured that my report </w:t>
      </w:r>
      <w:r w:rsidRPr="00AA048B">
        <w:rPr>
          <w:rFonts w:cs="Times New Roman"/>
        </w:rPr>
        <w:t>collected</w:t>
      </w:r>
      <w:r w:rsidR="005355DF" w:rsidRPr="00AA048B">
        <w:rPr>
          <w:rFonts w:cs="Times New Roman"/>
        </w:rPr>
        <w:t xml:space="preserve"> the current digital realities, like the Personal Information Protection Law (PIPL) of China, rather than outdated data. However</w:t>
      </w:r>
      <w:r w:rsidRPr="00AA048B">
        <w:rPr>
          <w:rFonts w:cs="Times New Roman"/>
        </w:rPr>
        <w:t>,</w:t>
      </w:r>
      <w:r w:rsidR="005355DF" w:rsidRPr="00AA048B">
        <w:rPr>
          <w:rFonts w:cs="Times New Roman"/>
        </w:rPr>
        <w:t xml:space="preserve"> I also </w:t>
      </w:r>
      <w:r w:rsidRPr="00AA048B">
        <w:rPr>
          <w:rFonts w:cs="Times New Roman"/>
        </w:rPr>
        <w:t>faced</w:t>
      </w:r>
      <w:r w:rsidR="005355DF" w:rsidRPr="00AA048B">
        <w:rPr>
          <w:rFonts w:cs="Times New Roman"/>
        </w:rPr>
        <w:t xml:space="preserve"> challenges during the data analysis. As I found that Netflix doesn't have open operations in China, it was impossible for me to find the direct corporate financial data or official investor reporting regarding the strategic plans of </w:t>
      </w:r>
      <w:r w:rsidRPr="00AA048B">
        <w:rPr>
          <w:rFonts w:cs="Times New Roman"/>
        </w:rPr>
        <w:t xml:space="preserve">the </w:t>
      </w:r>
      <w:r w:rsidR="005355DF" w:rsidRPr="00AA048B">
        <w:rPr>
          <w:rFonts w:cs="Times New Roman"/>
        </w:rPr>
        <w:t xml:space="preserve">company for the </w:t>
      </w:r>
      <w:r w:rsidR="003D2CA8">
        <w:rPr>
          <w:rFonts w:cs="Times New Roman"/>
        </w:rPr>
        <w:t>region</w:t>
      </w:r>
      <w:r w:rsidR="005355DF" w:rsidRPr="00AA048B">
        <w:rPr>
          <w:rFonts w:cs="Times New Roman"/>
        </w:rPr>
        <w:t xml:space="preserve">. In the </w:t>
      </w:r>
      <w:r w:rsidRPr="00AA048B">
        <w:rPr>
          <w:rFonts w:cs="Times New Roman"/>
        </w:rPr>
        <w:t>beginning,</w:t>
      </w:r>
      <w:r w:rsidR="005355DF" w:rsidRPr="00AA048B">
        <w:rPr>
          <w:rFonts w:cs="Times New Roman"/>
        </w:rPr>
        <w:t xml:space="preserve"> I found it tough to reconcile the incomplete data with the requirements for the definite entry suggestions. I also wasted considerable time looking for the direct corporate statements before realising that at this level in MBA, an analytical breakthrough comes from investigating the institutional restrictions and </w:t>
      </w:r>
      <w:r w:rsidRPr="00AA048B">
        <w:rPr>
          <w:rFonts w:cs="Times New Roman"/>
        </w:rPr>
        <w:t>synthesising</w:t>
      </w:r>
      <w:r w:rsidR="005355DF" w:rsidRPr="00AA048B">
        <w:rPr>
          <w:rFonts w:cs="Times New Roman"/>
        </w:rPr>
        <w:t xml:space="preserve"> the secondary competitor data to develop the logical case. </w:t>
      </w:r>
    </w:p>
    <w:p w14:paraId="02480C06" w14:textId="77777777" w:rsidR="005355DF" w:rsidRPr="00AA048B" w:rsidRDefault="005355DF" w:rsidP="00AA048B">
      <w:pPr>
        <w:pStyle w:val="Heading2"/>
      </w:pPr>
      <w:bookmarkStart w:id="17" w:name="_Toc236250852"/>
      <w:r w:rsidRPr="00AA048B">
        <w:t>Analysis</w:t>
      </w:r>
      <w:bookmarkEnd w:id="17"/>
    </w:p>
    <w:p w14:paraId="470DFCE3" w14:textId="2788A474" w:rsidR="005355DF" w:rsidRPr="00AA048B" w:rsidRDefault="005355DF" w:rsidP="00AA048B">
      <w:pPr>
        <w:rPr>
          <w:rFonts w:cs="Times New Roman"/>
        </w:rPr>
      </w:pPr>
      <w:r w:rsidRPr="00AA048B">
        <w:rPr>
          <w:rFonts w:cs="Times New Roman"/>
        </w:rPr>
        <w:t xml:space="preserve">dialysis part needs making the sense of how classroom learning supported </w:t>
      </w:r>
      <w:r w:rsidR="00251BE5" w:rsidRPr="00AA048B">
        <w:rPr>
          <w:rFonts w:cs="Times New Roman"/>
        </w:rPr>
        <w:t xml:space="preserve">the </w:t>
      </w:r>
      <w:r w:rsidRPr="00AA048B">
        <w:rPr>
          <w:rFonts w:cs="Times New Roman"/>
        </w:rPr>
        <w:t xml:space="preserve">risk assignment. I can say that the concepts that were covered in </w:t>
      </w:r>
      <w:r w:rsidRPr="00AA048B">
        <w:rPr>
          <w:rFonts w:cs="Times New Roman"/>
          <w:i/>
          <w:iCs/>
        </w:rPr>
        <w:t xml:space="preserve">International Business Concepts </w:t>
      </w:r>
      <w:r w:rsidRPr="00AA048B">
        <w:rPr>
          <w:rFonts w:cs="Times New Roman"/>
        </w:rPr>
        <w:t xml:space="preserve"> (LCMB7034), </w:t>
      </w:r>
      <w:r w:rsidR="00251BE5" w:rsidRPr="00AA048B">
        <w:rPr>
          <w:rFonts w:cs="Times New Roman"/>
        </w:rPr>
        <w:t>particularly</w:t>
      </w:r>
      <w:r w:rsidRPr="00AA048B">
        <w:rPr>
          <w:rFonts w:cs="Times New Roman"/>
        </w:rPr>
        <w:t xml:space="preserve"> regulatory path dependency, institutional distance and </w:t>
      </w:r>
      <w:r w:rsidR="00251BE5" w:rsidRPr="00AA048B">
        <w:rPr>
          <w:rFonts w:cs="Times New Roman"/>
        </w:rPr>
        <w:t>internationalisation</w:t>
      </w:r>
      <w:r w:rsidRPr="00AA048B">
        <w:rPr>
          <w:rFonts w:cs="Times New Roman"/>
        </w:rPr>
        <w:t xml:space="preserve"> theory, served as the primary conceptual tools for me. By applying the </w:t>
      </w:r>
      <w:r w:rsidR="00251BE5" w:rsidRPr="00AA048B">
        <w:rPr>
          <w:rFonts w:cs="Times New Roman"/>
        </w:rPr>
        <w:t>internationalisation</w:t>
      </w:r>
      <w:r w:rsidRPr="00AA048B">
        <w:rPr>
          <w:rFonts w:cs="Times New Roman"/>
        </w:rPr>
        <w:t xml:space="preserve"> theory, I understood why Netflix has historically used wholly owned subsidies. It needs to maintain complete control over its user data and algorithmic loops to protect </w:t>
      </w:r>
      <w:r w:rsidR="003D2CA8">
        <w:rPr>
          <w:rFonts w:cs="Times New Roman"/>
        </w:rPr>
        <w:t>its</w:t>
      </w:r>
      <w:r w:rsidRPr="00AA048B">
        <w:rPr>
          <w:rFonts w:cs="Times New Roman"/>
        </w:rPr>
        <w:t xml:space="preserve"> proprietary benefits. Meanwhile</w:t>
      </w:r>
      <w:r w:rsidR="00251BE5" w:rsidRPr="00AA048B">
        <w:rPr>
          <w:rFonts w:cs="Times New Roman"/>
        </w:rPr>
        <w:t>,</w:t>
      </w:r>
      <w:r w:rsidRPr="00AA048B">
        <w:rPr>
          <w:rFonts w:cs="Times New Roman"/>
        </w:rPr>
        <w:t xml:space="preserve"> when this is applied to China, this theory represents a major strategic paradox. Since the local regulations ban foreign ownership, Netflix cannot internalise its operations in China. If the company defaults to a pure licensing model, it can risk intellectual property piracy and </w:t>
      </w:r>
      <w:r w:rsidR="00251BE5" w:rsidRPr="00AA048B">
        <w:rPr>
          <w:rFonts w:cs="Times New Roman"/>
        </w:rPr>
        <w:t>surrender</w:t>
      </w:r>
      <w:r w:rsidRPr="00AA048B">
        <w:rPr>
          <w:rFonts w:cs="Times New Roman"/>
        </w:rPr>
        <w:t xml:space="preserve"> control over user data. This </w:t>
      </w:r>
      <w:r w:rsidR="00251BE5" w:rsidRPr="00AA048B">
        <w:rPr>
          <w:rFonts w:cs="Times New Roman"/>
        </w:rPr>
        <w:t>realisation</w:t>
      </w:r>
      <w:r w:rsidRPr="00AA048B">
        <w:rPr>
          <w:rFonts w:cs="Times New Roman"/>
        </w:rPr>
        <w:t xml:space="preserve"> helped me to shift from the descriptive summary towards the critical analysis and synthesis. It allowed me to recommend a customised compromise that can be used by Netflix, ‘A Strategic Equity-Free Alliance’</w:t>
      </w:r>
      <w:r w:rsidR="00251BE5" w:rsidRPr="00AA048B">
        <w:rPr>
          <w:rFonts w:cs="Times New Roman"/>
        </w:rPr>
        <w:t>,</w:t>
      </w:r>
      <w:r w:rsidRPr="00AA048B">
        <w:rPr>
          <w:rFonts w:cs="Times New Roman"/>
        </w:rPr>
        <w:t xml:space="preserve"> that isolates data liabilities while preserving global offshore distribution rights. This exercise proved that abstract academic models are practical frameworks vital for navigating the </w:t>
      </w:r>
      <w:r w:rsidR="00251BE5" w:rsidRPr="00AA048B">
        <w:rPr>
          <w:rFonts w:cs="Times New Roman"/>
        </w:rPr>
        <w:t>real-world</w:t>
      </w:r>
      <w:r w:rsidRPr="00AA048B">
        <w:rPr>
          <w:rFonts w:cs="Times New Roman"/>
        </w:rPr>
        <w:t xml:space="preserve"> geopolitical barriers. </w:t>
      </w:r>
    </w:p>
    <w:p w14:paraId="2A685B83" w14:textId="060527B0" w:rsidR="005355DF" w:rsidRPr="00AA048B" w:rsidRDefault="005355DF" w:rsidP="00AA048B">
      <w:pPr>
        <w:pStyle w:val="Heading2"/>
      </w:pPr>
      <w:bookmarkStart w:id="18" w:name="_Toc236250853"/>
      <w:r w:rsidRPr="00AA048B">
        <w:t>Conclusion</w:t>
      </w:r>
      <w:bookmarkEnd w:id="18"/>
    </w:p>
    <w:p w14:paraId="6582B86C" w14:textId="33182279" w:rsidR="005355DF" w:rsidRPr="00AA048B" w:rsidRDefault="00251BE5" w:rsidP="00AA048B">
      <w:pPr>
        <w:rPr>
          <w:rFonts w:cs="Times New Roman"/>
        </w:rPr>
      </w:pPr>
      <w:r w:rsidRPr="00AA048B">
        <w:rPr>
          <w:rFonts w:cs="Times New Roman"/>
        </w:rPr>
        <w:t>This</w:t>
      </w:r>
      <w:r w:rsidR="005355DF" w:rsidRPr="00AA048B">
        <w:rPr>
          <w:rFonts w:cs="Times New Roman"/>
        </w:rPr>
        <w:t xml:space="preserve"> research process has clearly demonstrated that digital platform scalability is not an absolute rule that should be used by the company</w:t>
      </w:r>
      <w:r w:rsidRPr="00AA048B">
        <w:rPr>
          <w:rFonts w:cs="Times New Roman"/>
        </w:rPr>
        <w:t>;</w:t>
      </w:r>
      <w:r w:rsidR="005355DF" w:rsidRPr="00AA048B">
        <w:rPr>
          <w:rFonts w:cs="Times New Roman"/>
        </w:rPr>
        <w:t xml:space="preserve"> it highly depends on the institutional environment of the host country in which it wants to enter. If I </w:t>
      </w:r>
      <w:r w:rsidRPr="00AA048B">
        <w:rPr>
          <w:rFonts w:cs="Times New Roman"/>
        </w:rPr>
        <w:t>were</w:t>
      </w:r>
      <w:r w:rsidR="005355DF" w:rsidRPr="00AA048B">
        <w:rPr>
          <w:rFonts w:cs="Times New Roman"/>
        </w:rPr>
        <w:t xml:space="preserve"> to undertake this report again, I would try to adjust my methodology by integrating a broader comparative analysis. Particularly, I would compare the regulatory hurdles of Netflix in China with its experiences in highly regulated democracies, like the strict cultural content quotas of France. This comparative approach would be helpful and would add depth to my report </w:t>
      </w:r>
      <w:r w:rsidRPr="00AA048B">
        <w:rPr>
          <w:rFonts w:cs="Times New Roman"/>
        </w:rPr>
        <w:t>on Netflix's</w:t>
      </w:r>
      <w:r w:rsidR="005355DF" w:rsidRPr="00AA048B">
        <w:rPr>
          <w:rFonts w:cs="Times New Roman"/>
        </w:rPr>
        <w:t xml:space="preserve"> transnational strategy. I can conclude that the international success of an </w:t>
      </w:r>
      <w:r w:rsidRPr="00AA048B">
        <w:rPr>
          <w:rFonts w:cs="Times New Roman"/>
        </w:rPr>
        <w:t>organisation</w:t>
      </w:r>
      <w:r w:rsidR="005355DF" w:rsidRPr="00AA048B">
        <w:rPr>
          <w:rFonts w:cs="Times New Roman"/>
        </w:rPr>
        <w:t xml:space="preserve"> depends </w:t>
      </w:r>
      <w:r w:rsidR="005355DF" w:rsidRPr="00AA048B">
        <w:rPr>
          <w:rFonts w:cs="Times New Roman"/>
        </w:rPr>
        <w:lastRenderedPageBreak/>
        <w:t xml:space="preserve">less on its financial power but more on its structural flexibility to modify its entry mode when standard operating procedures become legally unviable for the company. </w:t>
      </w:r>
    </w:p>
    <w:p w14:paraId="229B37E3" w14:textId="780DC663" w:rsidR="005355DF" w:rsidRPr="00AA048B" w:rsidRDefault="005355DF" w:rsidP="00AA048B">
      <w:pPr>
        <w:pStyle w:val="Heading2"/>
      </w:pPr>
      <w:bookmarkStart w:id="19" w:name="_Toc236250854"/>
      <w:r w:rsidRPr="00AA048B">
        <w:t>Action plan</w:t>
      </w:r>
      <w:bookmarkEnd w:id="19"/>
    </w:p>
    <w:p w14:paraId="3AAB1D22" w14:textId="364EC885" w:rsidR="005355DF" w:rsidRPr="00AA048B" w:rsidRDefault="00251BE5" w:rsidP="00AA048B">
      <w:pPr>
        <w:rPr>
          <w:rFonts w:cs="Times New Roman"/>
        </w:rPr>
      </w:pPr>
      <w:r w:rsidRPr="00AA048B">
        <w:rPr>
          <w:rFonts w:cs="Times New Roman"/>
        </w:rPr>
        <w:t>For</w:t>
      </w:r>
      <w:r w:rsidR="005355DF" w:rsidRPr="00AA048B">
        <w:rPr>
          <w:rFonts w:cs="Times New Roman"/>
        </w:rPr>
        <w:t xml:space="preserve"> future academic and professional practice, I can use the following action plan:</w:t>
      </w:r>
    </w:p>
    <w:p w14:paraId="2F2A3139" w14:textId="394E03F2" w:rsidR="005355DF" w:rsidRPr="00AA048B" w:rsidRDefault="00251BE5" w:rsidP="00AA048B">
      <w:pPr>
        <w:pStyle w:val="ListParagraph"/>
        <w:numPr>
          <w:ilvl w:val="0"/>
          <w:numId w:val="13"/>
        </w:numPr>
        <w:rPr>
          <w:rFonts w:cs="Times New Roman"/>
        </w:rPr>
      </w:pPr>
      <w:r w:rsidRPr="00AA048B">
        <w:rPr>
          <w:rFonts w:cs="Times New Roman"/>
        </w:rPr>
        <w:t>Proactively</w:t>
      </w:r>
      <w:r w:rsidR="005355DF" w:rsidRPr="00AA048B">
        <w:rPr>
          <w:rFonts w:cs="Times New Roman"/>
        </w:rPr>
        <w:t xml:space="preserve"> challenge strategic assumptions: </w:t>
      </w:r>
      <w:r w:rsidRPr="00AA048B">
        <w:rPr>
          <w:rFonts w:cs="Times New Roman"/>
        </w:rPr>
        <w:t>Professionally</w:t>
      </w:r>
      <w:r w:rsidR="005355DF" w:rsidRPr="00AA048B">
        <w:rPr>
          <w:rFonts w:cs="Times New Roman"/>
        </w:rPr>
        <w:t xml:space="preserve">, I will actively resist the scalability illusion. When analysing international markets, I will treat the legal and political frameworks as the chief strategic factors instead of minor operational details. </w:t>
      </w:r>
    </w:p>
    <w:p w14:paraId="72F43869" w14:textId="6E2401A0" w:rsidR="005355DF" w:rsidRPr="00AA048B" w:rsidRDefault="005355DF" w:rsidP="00AA048B">
      <w:pPr>
        <w:pStyle w:val="ListParagraph"/>
        <w:numPr>
          <w:ilvl w:val="0"/>
          <w:numId w:val="13"/>
        </w:numPr>
        <w:rPr>
          <w:rFonts w:cs="Times New Roman"/>
        </w:rPr>
      </w:pPr>
      <w:r w:rsidRPr="00AA048B">
        <w:rPr>
          <w:rFonts w:cs="Times New Roman"/>
        </w:rPr>
        <w:t xml:space="preserve">Develop advanced data filtering strategies: In future modules, I will avoid drowning in broad corporate data searches. I will try to immediately establish the institutional and legal parameters so that I can quickly gauge market entry feasibility. </w:t>
      </w:r>
    </w:p>
    <w:p w14:paraId="492979A4" w14:textId="4FDA344F" w:rsidR="005355DF" w:rsidRPr="00AA048B" w:rsidRDefault="005355DF" w:rsidP="00AA048B">
      <w:pPr>
        <w:pStyle w:val="ListParagraph"/>
        <w:numPr>
          <w:ilvl w:val="0"/>
          <w:numId w:val="13"/>
        </w:numPr>
        <w:rPr>
          <w:rFonts w:cs="Times New Roman"/>
        </w:rPr>
      </w:pPr>
      <w:r w:rsidRPr="00AA048B">
        <w:rPr>
          <w:rFonts w:cs="Times New Roman"/>
        </w:rPr>
        <w:t>Master critical theoretical frameworks</w:t>
      </w:r>
      <w:r w:rsidR="00251BE5" w:rsidRPr="00AA048B">
        <w:rPr>
          <w:rFonts w:cs="Times New Roman"/>
        </w:rPr>
        <w:t>:</w:t>
      </w:r>
      <w:r w:rsidRPr="00AA048B">
        <w:rPr>
          <w:rFonts w:cs="Times New Roman"/>
        </w:rPr>
        <w:t xml:space="preserve"> I will continue to practice </w:t>
      </w:r>
      <w:r w:rsidR="00251BE5" w:rsidRPr="00AA048B">
        <w:rPr>
          <w:rFonts w:cs="Times New Roman"/>
        </w:rPr>
        <w:t>cross-mapping</w:t>
      </w:r>
      <w:r w:rsidRPr="00AA048B">
        <w:rPr>
          <w:rFonts w:cs="Times New Roman"/>
        </w:rPr>
        <w:t xml:space="preserve"> multiple strategy models so that I can ensure that my future corporate </w:t>
      </w:r>
      <w:r w:rsidR="00251BE5" w:rsidRPr="00AA048B">
        <w:rPr>
          <w:rFonts w:cs="Times New Roman"/>
        </w:rPr>
        <w:t>analyses</w:t>
      </w:r>
      <w:r w:rsidRPr="00AA048B">
        <w:rPr>
          <w:rFonts w:cs="Times New Roman"/>
        </w:rPr>
        <w:t xml:space="preserve"> are deeply critical, highly structured and have the capacity to deliver realistic suggestions in uncertain business environments</w:t>
      </w:r>
    </w:p>
    <w:p w14:paraId="17FA3BF8" w14:textId="456F7847" w:rsidR="00E77A64" w:rsidRPr="00AA048B" w:rsidRDefault="00E77A64" w:rsidP="00AA048B">
      <w:pPr>
        <w:rPr>
          <w:rFonts w:cs="Times New Roman"/>
        </w:rPr>
      </w:pPr>
      <w:r w:rsidRPr="00AA048B">
        <w:rPr>
          <w:rFonts w:cs="Times New Roman"/>
        </w:rPr>
        <w:br w:type="page"/>
      </w:r>
    </w:p>
    <w:p w14:paraId="165483E3" w14:textId="5DDC3F19" w:rsidR="00EB240D" w:rsidRPr="00AA048B" w:rsidRDefault="00E77A64" w:rsidP="00AA048B">
      <w:pPr>
        <w:pStyle w:val="Heading1"/>
      </w:pPr>
      <w:bookmarkStart w:id="20" w:name="_Toc236250855"/>
      <w:r w:rsidRPr="00AA048B">
        <w:lastRenderedPageBreak/>
        <w:t>References</w:t>
      </w:r>
      <w:bookmarkEnd w:id="20"/>
    </w:p>
    <w:p w14:paraId="7EB83E1B" w14:textId="77777777" w:rsidR="00AA048B" w:rsidRPr="00AA048B" w:rsidRDefault="00AA048B" w:rsidP="00AA048B">
      <w:pPr>
        <w:rPr>
          <w:rFonts w:cs="Times New Roman"/>
        </w:rPr>
      </w:pPr>
      <w:r w:rsidRPr="00AA048B">
        <w:rPr>
          <w:rFonts w:cs="Times New Roman"/>
        </w:rPr>
        <w:t xml:space="preserve">Bartlett, C.A. and Ghoshal, S., 1989. </w:t>
      </w:r>
      <w:r w:rsidRPr="00AA048B">
        <w:rPr>
          <w:rFonts w:cs="Times New Roman"/>
          <w:i/>
          <w:iCs/>
        </w:rPr>
        <w:t>Managing across borders: The transnational solution</w:t>
      </w:r>
      <w:r w:rsidRPr="00AA048B">
        <w:rPr>
          <w:rFonts w:cs="Times New Roman"/>
        </w:rPr>
        <w:t>. Boston: Harvard Business School Press.</w:t>
      </w:r>
    </w:p>
    <w:p w14:paraId="7D339262" w14:textId="77777777" w:rsidR="00AA048B" w:rsidRPr="00AA048B" w:rsidRDefault="00AA048B" w:rsidP="00AA048B">
      <w:pPr>
        <w:pStyle w:val="NormalWeb"/>
        <w:jc w:val="both"/>
      </w:pPr>
      <w:r w:rsidRPr="00AA048B">
        <w:t xml:space="preserve">Bartlett, C.A. and Ghoshal, S., 1989. </w:t>
      </w:r>
      <w:r w:rsidRPr="00AA048B">
        <w:rPr>
          <w:i/>
          <w:iCs/>
        </w:rPr>
        <w:t>Managing across borders: The transnational solution</w:t>
      </w:r>
      <w:r w:rsidRPr="00AA048B">
        <w:t>. Boston: Harvard Business School Press.</w:t>
      </w:r>
    </w:p>
    <w:p w14:paraId="3E83B9A8" w14:textId="77777777" w:rsidR="00AA048B" w:rsidRPr="00AA048B" w:rsidRDefault="00AA048B" w:rsidP="00AA048B">
      <w:pPr>
        <w:rPr>
          <w:rFonts w:cs="Times New Roman"/>
        </w:rPr>
      </w:pPr>
      <w:r w:rsidRPr="00AA048B">
        <w:rPr>
          <w:rFonts w:cs="Times New Roman"/>
        </w:rPr>
        <w:t>Becker-</w:t>
      </w:r>
      <w:proofErr w:type="spellStart"/>
      <w:r w:rsidRPr="00AA048B">
        <w:rPr>
          <w:rFonts w:cs="Times New Roman"/>
        </w:rPr>
        <w:t>Ritterspach</w:t>
      </w:r>
      <w:proofErr w:type="spellEnd"/>
      <w:r w:rsidRPr="00AA048B">
        <w:rPr>
          <w:rFonts w:cs="Times New Roman"/>
        </w:rPr>
        <w:t>, F.A., 2025. </w:t>
      </w:r>
      <w:r w:rsidRPr="00AA048B">
        <w:rPr>
          <w:rFonts w:cs="Times New Roman"/>
          <w:i/>
          <w:iCs/>
        </w:rPr>
        <w:t>Internationalization of digital and traditional MNEs: A stylized comparison of antecedents, processes, strategies, and consequences</w:t>
      </w:r>
      <w:r w:rsidRPr="00AA048B">
        <w:rPr>
          <w:rFonts w:cs="Times New Roman"/>
        </w:rPr>
        <w:t xml:space="preserve"> (No. 4). BPS Working Paper. Available at: </w:t>
      </w:r>
      <w:hyperlink r:id="rId20" w:history="1">
        <w:r w:rsidRPr="00AA048B">
          <w:rPr>
            <w:rStyle w:val="Hyperlink"/>
            <w:rFonts w:cs="Times New Roman"/>
            <w:color w:val="auto"/>
          </w:rPr>
          <w:t>https://www.econstor.eu/bitstream/10419/328271/1/1938236645.pdf</w:t>
        </w:r>
      </w:hyperlink>
      <w:r w:rsidRPr="00AA048B">
        <w:rPr>
          <w:rFonts w:cs="Times New Roman"/>
        </w:rPr>
        <w:t xml:space="preserve"> (Accessed: 1 July 2026)</w:t>
      </w:r>
    </w:p>
    <w:p w14:paraId="5E7625D7" w14:textId="77777777" w:rsidR="00AA048B" w:rsidRPr="00AA048B" w:rsidRDefault="00AA048B" w:rsidP="00AA048B">
      <w:pPr>
        <w:rPr>
          <w:rFonts w:cs="Times New Roman"/>
        </w:rPr>
      </w:pPr>
      <w:r w:rsidRPr="00AA048B">
        <w:rPr>
          <w:rFonts w:cs="Times New Roman"/>
        </w:rPr>
        <w:t>Belli, L., Gaspar, W.B. and Jaswant, S.S., 2024. Data sovereignty and data transfers as fundamental elements of digital transformation: Lessons from the BRICS countries. </w:t>
      </w:r>
      <w:r w:rsidRPr="00AA048B">
        <w:rPr>
          <w:rFonts w:cs="Times New Roman"/>
          <w:i/>
          <w:iCs/>
        </w:rPr>
        <w:t>Computer Law &amp; Security Review</w:t>
      </w:r>
      <w:r w:rsidRPr="00AA048B">
        <w:rPr>
          <w:rFonts w:cs="Times New Roman"/>
        </w:rPr>
        <w:t>, </w:t>
      </w:r>
      <w:r w:rsidRPr="00AA048B">
        <w:rPr>
          <w:rFonts w:cs="Times New Roman"/>
          <w:i/>
          <w:iCs/>
        </w:rPr>
        <w:t>54</w:t>
      </w:r>
      <w:r w:rsidRPr="00AA048B">
        <w:rPr>
          <w:rFonts w:cs="Times New Roman"/>
        </w:rPr>
        <w:t xml:space="preserve">, p.106017. Available at: </w:t>
      </w:r>
      <w:hyperlink r:id="rId21" w:history="1">
        <w:r w:rsidRPr="00AA048B">
          <w:rPr>
            <w:rStyle w:val="Hyperlink"/>
            <w:rFonts w:cs="Times New Roman"/>
            <w:color w:val="auto"/>
          </w:rPr>
          <w:t>https://papers.ssrn.com/sol3/Delivery.cfm?abstractid=4903196</w:t>
        </w:r>
      </w:hyperlink>
      <w:r w:rsidRPr="00AA048B">
        <w:rPr>
          <w:rFonts w:cs="Times New Roman"/>
        </w:rPr>
        <w:t xml:space="preserve"> (Accessed: 1 July 2026) </w:t>
      </w:r>
    </w:p>
    <w:p w14:paraId="759691B4" w14:textId="77777777" w:rsidR="00AA048B" w:rsidRPr="00AA048B" w:rsidRDefault="00AA048B" w:rsidP="00AA048B">
      <w:pPr>
        <w:rPr>
          <w:rFonts w:cs="Times New Roman"/>
        </w:rPr>
      </w:pPr>
      <w:r w:rsidRPr="00AA048B">
        <w:rPr>
          <w:rFonts w:cs="Times New Roman"/>
        </w:rPr>
        <w:t xml:space="preserve"> </w:t>
      </w:r>
      <w:proofErr w:type="spellStart"/>
      <w:r w:rsidRPr="00AA048B">
        <w:rPr>
          <w:rFonts w:cs="Times New Roman"/>
        </w:rPr>
        <w:t>ByteBridge</w:t>
      </w:r>
      <w:proofErr w:type="spellEnd"/>
      <w:r w:rsidRPr="00AA048B">
        <w:rPr>
          <w:rFonts w:cs="Times New Roman"/>
        </w:rPr>
        <w:t xml:space="preserve">, 2025. </w:t>
      </w:r>
      <w:r w:rsidRPr="00AA048B">
        <w:rPr>
          <w:rStyle w:val="citation-75"/>
          <w:rFonts w:cs="Times New Roman"/>
          <w:i/>
          <w:iCs/>
        </w:rPr>
        <w:t>Netflix: Industry Leader in Streaming Entertainment</w:t>
      </w:r>
      <w:r w:rsidRPr="00AA048B">
        <w:rPr>
          <w:rStyle w:val="citation-75"/>
          <w:rFonts w:cs="Times New Roman"/>
        </w:rPr>
        <w:t>.</w:t>
      </w:r>
      <w:r w:rsidRPr="00AA048B">
        <w:rPr>
          <w:rFonts w:cs="Times New Roman"/>
        </w:rPr>
        <w:t xml:space="preserve"> Available at: </w:t>
      </w:r>
      <w:hyperlink r:id="rId22" w:tgtFrame="_blank" w:history="1">
        <w:r w:rsidRPr="00AA048B">
          <w:rPr>
            <w:rStyle w:val="Hyperlink"/>
            <w:rFonts w:cs="Times New Roman"/>
            <w:color w:val="auto"/>
          </w:rPr>
          <w:t>https://bytebridge.medium.com/netflix-industry-leader-in-streaming-entertainment-3fddb2c7f15d</w:t>
        </w:r>
      </w:hyperlink>
      <w:r w:rsidRPr="00AA048B">
        <w:rPr>
          <w:rFonts w:cs="Times New Roman"/>
        </w:rPr>
        <w:t xml:space="preserve"> (Accessed: 1 July 2026). </w:t>
      </w:r>
    </w:p>
    <w:p w14:paraId="2C60961C" w14:textId="77777777" w:rsidR="00AA048B" w:rsidRPr="00AA048B" w:rsidRDefault="00AA048B" w:rsidP="00AA048B">
      <w:pPr>
        <w:rPr>
          <w:rFonts w:cs="Times New Roman"/>
        </w:rPr>
      </w:pPr>
      <w:proofErr w:type="spellStart"/>
      <w:r w:rsidRPr="00AA048B">
        <w:rPr>
          <w:rFonts w:cs="Times New Roman"/>
        </w:rPr>
        <w:t>Chalaby</w:t>
      </w:r>
      <w:proofErr w:type="spellEnd"/>
      <w:r w:rsidRPr="00AA048B">
        <w:rPr>
          <w:rFonts w:cs="Times New Roman"/>
        </w:rPr>
        <w:t>, J.K., 2024. The streaming industry and the platform economy: An analysis. </w:t>
      </w:r>
      <w:r w:rsidRPr="00AA048B">
        <w:rPr>
          <w:rFonts w:cs="Times New Roman"/>
          <w:i/>
          <w:iCs/>
        </w:rPr>
        <w:t>Media, Culture &amp; Society</w:t>
      </w:r>
      <w:r w:rsidRPr="00AA048B">
        <w:rPr>
          <w:rFonts w:cs="Times New Roman"/>
        </w:rPr>
        <w:t>, </w:t>
      </w:r>
      <w:r w:rsidRPr="00AA048B">
        <w:rPr>
          <w:rFonts w:cs="Times New Roman"/>
          <w:i/>
          <w:iCs/>
        </w:rPr>
        <w:t>46</w:t>
      </w:r>
      <w:r w:rsidRPr="00AA048B">
        <w:rPr>
          <w:rFonts w:cs="Times New Roman"/>
        </w:rPr>
        <w:t xml:space="preserve">(3), pp.552-571. Available at: </w:t>
      </w:r>
      <w:hyperlink r:id="rId23" w:history="1">
        <w:r w:rsidRPr="00AA048B">
          <w:rPr>
            <w:rStyle w:val="Hyperlink"/>
            <w:rFonts w:cs="Times New Roman"/>
            <w:color w:val="auto"/>
          </w:rPr>
          <w:t>https://journals.sagepub.com/doi/pdf/10.1177/01634437231210439</w:t>
        </w:r>
      </w:hyperlink>
      <w:r w:rsidRPr="00AA048B">
        <w:rPr>
          <w:rFonts w:cs="Times New Roman"/>
        </w:rPr>
        <w:t xml:space="preserve"> (Accessed: 1 July 2026) </w:t>
      </w:r>
    </w:p>
    <w:p w14:paraId="106B836C" w14:textId="77777777" w:rsidR="00AA048B" w:rsidRPr="00AA048B" w:rsidRDefault="00AA048B" w:rsidP="00AA048B">
      <w:pPr>
        <w:rPr>
          <w:rFonts w:cs="Times New Roman"/>
        </w:rPr>
      </w:pPr>
      <w:r w:rsidRPr="00AA048B">
        <w:rPr>
          <w:rFonts w:cs="Times New Roman"/>
        </w:rPr>
        <w:t>Cunningham, S. and Craig, D., 2016. Online entertainment: A new wave of media globalization?(Introduction). </w:t>
      </w:r>
      <w:r w:rsidRPr="00AA048B">
        <w:rPr>
          <w:rFonts w:cs="Times New Roman"/>
          <w:i/>
          <w:iCs/>
        </w:rPr>
        <w:t>International journal of communication</w:t>
      </w:r>
      <w:r w:rsidRPr="00AA048B">
        <w:rPr>
          <w:rFonts w:cs="Times New Roman"/>
        </w:rPr>
        <w:t>, </w:t>
      </w:r>
      <w:r w:rsidRPr="00AA048B">
        <w:rPr>
          <w:rFonts w:cs="Times New Roman"/>
          <w:i/>
          <w:iCs/>
        </w:rPr>
        <w:t>10</w:t>
      </w:r>
      <w:r w:rsidRPr="00AA048B">
        <w:rPr>
          <w:rFonts w:cs="Times New Roman"/>
        </w:rPr>
        <w:t xml:space="preserve">, pp.5409-5425. Available at: </w:t>
      </w:r>
      <w:hyperlink r:id="rId24" w:history="1">
        <w:r w:rsidRPr="00AA048B">
          <w:rPr>
            <w:rStyle w:val="Hyperlink"/>
            <w:rFonts w:cs="Times New Roman"/>
            <w:color w:val="auto"/>
          </w:rPr>
          <w:t>https://eprints.qut.edu.au/222423/1/5725-22730-1-PB.pdf</w:t>
        </w:r>
      </w:hyperlink>
      <w:r w:rsidRPr="00AA048B">
        <w:rPr>
          <w:rFonts w:cs="Times New Roman"/>
        </w:rPr>
        <w:t xml:space="preserve"> (Accessed: 1 July 2026) </w:t>
      </w:r>
    </w:p>
    <w:p w14:paraId="079D7225" w14:textId="77777777" w:rsidR="00AA048B" w:rsidRPr="00AA048B" w:rsidRDefault="00AA048B" w:rsidP="00AA048B">
      <w:pPr>
        <w:rPr>
          <w:rFonts w:cs="Times New Roman"/>
        </w:rPr>
      </w:pPr>
      <w:r w:rsidRPr="00AA048B">
        <w:rPr>
          <w:rFonts w:cs="Times New Roman"/>
        </w:rPr>
        <w:t xml:space="preserve">Cunningham, S. and Scarlata, A., 2020. New forms of internationalisation? The impact of Netflix in Australia. </w:t>
      </w:r>
      <w:hyperlink r:id="rId25" w:anchor=":~:text=forms%20of%20internationalisation%3F-,The%20impact%20of%20Netflix%20in%20Australia,on%2Ddemand%20(SVOD)%20services" w:history="1">
        <w:r w:rsidRPr="00AA048B">
          <w:rPr>
            <w:rStyle w:val="Hyperlink"/>
            <w:rFonts w:cs="Times New Roman"/>
            <w:color w:val="auto"/>
          </w:rPr>
          <w:t>https://www.researchgate.net/publication/343027348_New_forms_of_internationalisation_The_impact_of_Netflix_in_Australia#:~:text=forms%20of%20internationalisation%3F-,The%20impact%20of%20Netflix%20in%20Australia,on%2Ddemand%20(SVOD)%20services</w:t>
        </w:r>
      </w:hyperlink>
      <w:r w:rsidRPr="00AA048B">
        <w:rPr>
          <w:rFonts w:cs="Times New Roman"/>
        </w:rPr>
        <w:t xml:space="preserve"> </w:t>
      </w:r>
    </w:p>
    <w:p w14:paraId="3E30B9DA" w14:textId="77777777" w:rsidR="00AA048B" w:rsidRPr="00AA048B" w:rsidRDefault="00AA048B" w:rsidP="00AA048B">
      <w:pPr>
        <w:rPr>
          <w:rFonts w:cs="Times New Roman"/>
        </w:rPr>
      </w:pPr>
      <w:r w:rsidRPr="00AA048B">
        <w:rPr>
          <w:rFonts w:cs="Times New Roman"/>
        </w:rPr>
        <w:t xml:space="preserve">Gómez, R. and Muñoz </w:t>
      </w:r>
      <w:proofErr w:type="spellStart"/>
      <w:r w:rsidRPr="00AA048B">
        <w:rPr>
          <w:rFonts w:cs="Times New Roman"/>
        </w:rPr>
        <w:t>Larroa</w:t>
      </w:r>
      <w:proofErr w:type="spellEnd"/>
      <w:r w:rsidRPr="00AA048B">
        <w:rPr>
          <w:rFonts w:cs="Times New Roman"/>
        </w:rPr>
        <w:t>, A., 2023. Netflix in Mexico: An example of the tech giant’s transnational business strategies. </w:t>
      </w:r>
      <w:r w:rsidRPr="00AA048B">
        <w:rPr>
          <w:rFonts w:cs="Times New Roman"/>
          <w:i/>
          <w:iCs/>
        </w:rPr>
        <w:t>Television &amp; New Media</w:t>
      </w:r>
      <w:r w:rsidRPr="00AA048B">
        <w:rPr>
          <w:rFonts w:cs="Times New Roman"/>
        </w:rPr>
        <w:t>, </w:t>
      </w:r>
      <w:r w:rsidRPr="00AA048B">
        <w:rPr>
          <w:rFonts w:cs="Times New Roman"/>
          <w:i/>
          <w:iCs/>
        </w:rPr>
        <w:t>24</w:t>
      </w:r>
      <w:r w:rsidRPr="00AA048B">
        <w:rPr>
          <w:rFonts w:cs="Times New Roman"/>
        </w:rPr>
        <w:t xml:space="preserve">(1), pp.88-105. Available at: </w:t>
      </w:r>
      <w:hyperlink r:id="rId26" w:history="1">
        <w:r w:rsidRPr="00AA048B">
          <w:rPr>
            <w:rStyle w:val="Hyperlink"/>
            <w:rFonts w:cs="Times New Roman"/>
            <w:color w:val="auto"/>
          </w:rPr>
          <w:t>https://drive.google.com/file/d/1YatPlp7sbtYtWxoXDOF3kVjt3_ur40O1/view</w:t>
        </w:r>
      </w:hyperlink>
      <w:r w:rsidRPr="00AA048B">
        <w:rPr>
          <w:rFonts w:cs="Times New Roman"/>
        </w:rPr>
        <w:t xml:space="preserve"> (Accessed: 1 July 2026)</w:t>
      </w:r>
    </w:p>
    <w:p w14:paraId="6E56B3D0" w14:textId="77777777" w:rsidR="00AA048B" w:rsidRPr="00AA048B" w:rsidRDefault="00AA048B" w:rsidP="00AA048B">
      <w:pPr>
        <w:rPr>
          <w:rFonts w:cs="Times New Roman"/>
        </w:rPr>
      </w:pPr>
      <w:r w:rsidRPr="00AA048B">
        <w:rPr>
          <w:rFonts w:cs="Times New Roman"/>
        </w:rPr>
        <w:t xml:space="preserve">Gómez, R. and Muñoz </w:t>
      </w:r>
      <w:proofErr w:type="spellStart"/>
      <w:r w:rsidRPr="00AA048B">
        <w:rPr>
          <w:rFonts w:cs="Times New Roman"/>
        </w:rPr>
        <w:t>Larroa</w:t>
      </w:r>
      <w:proofErr w:type="spellEnd"/>
      <w:r w:rsidRPr="00AA048B">
        <w:rPr>
          <w:rFonts w:cs="Times New Roman"/>
        </w:rPr>
        <w:t>, A., 2023. Netflix in Mexico: An example of the tech giant’s transnational business strategies. </w:t>
      </w:r>
      <w:r w:rsidRPr="00AA048B">
        <w:rPr>
          <w:rFonts w:cs="Times New Roman"/>
          <w:i/>
          <w:iCs/>
        </w:rPr>
        <w:t>Television &amp; New Media</w:t>
      </w:r>
      <w:r w:rsidRPr="00AA048B">
        <w:rPr>
          <w:rFonts w:cs="Times New Roman"/>
        </w:rPr>
        <w:t>, </w:t>
      </w:r>
      <w:r w:rsidRPr="00AA048B">
        <w:rPr>
          <w:rFonts w:cs="Times New Roman"/>
          <w:i/>
          <w:iCs/>
        </w:rPr>
        <w:t>24</w:t>
      </w:r>
      <w:r w:rsidRPr="00AA048B">
        <w:rPr>
          <w:rFonts w:cs="Times New Roman"/>
        </w:rPr>
        <w:t xml:space="preserve">(1), pp.88-105. Available at: </w:t>
      </w:r>
      <w:hyperlink r:id="rId27" w:history="1">
        <w:r w:rsidRPr="00AA048B">
          <w:rPr>
            <w:rStyle w:val="Hyperlink"/>
            <w:rFonts w:cs="Times New Roman"/>
            <w:color w:val="auto"/>
          </w:rPr>
          <w:t>https://drive.google.com/file/d/1YatPlp7sbtYtWxoXDOF3kVjt3_ur40O1/view</w:t>
        </w:r>
      </w:hyperlink>
      <w:r w:rsidRPr="00AA048B">
        <w:rPr>
          <w:rFonts w:cs="Times New Roman"/>
        </w:rPr>
        <w:t xml:space="preserve"> (Accessed: 1 July 2026). </w:t>
      </w:r>
    </w:p>
    <w:p w14:paraId="0F3D27AE" w14:textId="77777777" w:rsidR="00AA048B" w:rsidRPr="00AA048B" w:rsidRDefault="00AA048B" w:rsidP="00AA048B">
      <w:pPr>
        <w:rPr>
          <w:rFonts w:cs="Times New Roman"/>
        </w:rPr>
      </w:pPr>
      <w:r w:rsidRPr="00AA048B">
        <w:rPr>
          <w:rFonts w:cs="Times New Roman"/>
        </w:rPr>
        <w:lastRenderedPageBreak/>
        <w:t>Hoffman, G.J., 2025. </w:t>
      </w:r>
      <w:r w:rsidRPr="00AA048B">
        <w:rPr>
          <w:rFonts w:cs="Times New Roman"/>
          <w:i/>
          <w:iCs/>
        </w:rPr>
        <w:t>The Rise of Digital Authoritarian Stability: Chinese Firms and the Global Market for Censorship</w:t>
      </w:r>
      <w:r w:rsidRPr="00AA048B">
        <w:rPr>
          <w:rFonts w:cs="Times New Roman"/>
        </w:rPr>
        <w:t xml:space="preserve"> (Doctoral dissertation, University of California, San Diego). Available at: </w:t>
      </w:r>
      <w:hyperlink r:id="rId28" w:history="1">
        <w:r w:rsidRPr="00AA048B">
          <w:rPr>
            <w:rStyle w:val="Hyperlink"/>
            <w:rFonts w:cs="Times New Roman"/>
            <w:color w:val="auto"/>
          </w:rPr>
          <w:t>https://escholarship.org/content/qt6bs9k46j/qt6bs9k46j.pdf</w:t>
        </w:r>
      </w:hyperlink>
      <w:r w:rsidRPr="00AA048B">
        <w:rPr>
          <w:rFonts w:cs="Times New Roman"/>
        </w:rPr>
        <w:t xml:space="preserve"> (Accessed: 1 July 2026) </w:t>
      </w:r>
    </w:p>
    <w:p w14:paraId="3827EE17" w14:textId="77777777" w:rsidR="00AA048B" w:rsidRPr="00AA048B" w:rsidRDefault="00AA048B" w:rsidP="00AA048B">
      <w:pPr>
        <w:rPr>
          <w:rFonts w:cs="Times New Roman"/>
        </w:rPr>
      </w:pPr>
      <w:r w:rsidRPr="00AA048B">
        <w:rPr>
          <w:rFonts w:cs="Times New Roman"/>
        </w:rPr>
        <w:t xml:space="preserve">Hoffman, S., </w:t>
      </w:r>
      <w:proofErr w:type="spellStart"/>
      <w:r w:rsidRPr="00AA048B">
        <w:rPr>
          <w:rFonts w:cs="Times New Roman"/>
        </w:rPr>
        <w:t>Hoja</w:t>
      </w:r>
      <w:proofErr w:type="spellEnd"/>
      <w:r w:rsidRPr="00AA048B">
        <w:rPr>
          <w:rFonts w:cs="Times New Roman"/>
        </w:rPr>
        <w:t>, T., Lau, Y. and Lee, L.M.C., 2024. Truth and reality with Chinese characteristics. </w:t>
      </w:r>
      <w:r w:rsidRPr="00AA048B">
        <w:rPr>
          <w:rFonts w:cs="Times New Roman"/>
          <w:i/>
          <w:iCs/>
        </w:rPr>
        <w:t>Australian Strategic Policy Institute, May</w:t>
      </w:r>
      <w:r w:rsidRPr="00AA048B">
        <w:rPr>
          <w:rFonts w:cs="Times New Roman"/>
        </w:rPr>
        <w:t>, </w:t>
      </w:r>
      <w:r w:rsidRPr="00AA048B">
        <w:rPr>
          <w:rFonts w:cs="Times New Roman"/>
          <w:i/>
          <w:iCs/>
        </w:rPr>
        <w:t>2</w:t>
      </w:r>
      <w:r w:rsidRPr="00AA048B">
        <w:rPr>
          <w:rFonts w:cs="Times New Roman"/>
        </w:rPr>
        <w:t xml:space="preserve">, p.2024. Available at: </w:t>
      </w:r>
      <w:hyperlink r:id="rId29" w:history="1">
        <w:r w:rsidRPr="00AA048B">
          <w:rPr>
            <w:rStyle w:val="Hyperlink"/>
            <w:rFonts w:cs="Times New Roman"/>
            <w:color w:val="auto"/>
          </w:rPr>
          <w:t>https://ad-aspi.s3.ap-southeast-2.amazonaws.com/2024-05/Truth and reality with Chinese characteristics.pdf</w:t>
        </w:r>
      </w:hyperlink>
      <w:r w:rsidRPr="00AA048B">
        <w:rPr>
          <w:rFonts w:cs="Times New Roman"/>
        </w:rPr>
        <w:t xml:space="preserve"> (Accessed: 1 July 2026) </w:t>
      </w:r>
    </w:p>
    <w:p w14:paraId="6EE5C4D0" w14:textId="77777777" w:rsidR="00AA048B" w:rsidRPr="00AA048B" w:rsidRDefault="00AA048B" w:rsidP="00AA048B">
      <w:pPr>
        <w:rPr>
          <w:rFonts w:cs="Times New Roman"/>
        </w:rPr>
      </w:pPr>
      <w:r w:rsidRPr="00AA048B">
        <w:rPr>
          <w:rFonts w:cs="Times New Roman"/>
        </w:rPr>
        <w:t>Kim, W., 2025. Reconfiguring the global–local nexus: A comparative analysis of Netflix and theatrical film diversity in South Korea. </w:t>
      </w:r>
      <w:r w:rsidRPr="00AA048B">
        <w:rPr>
          <w:rFonts w:cs="Times New Roman"/>
          <w:i/>
          <w:iCs/>
        </w:rPr>
        <w:t>Convergence</w:t>
      </w:r>
      <w:r w:rsidRPr="00AA048B">
        <w:rPr>
          <w:rFonts w:cs="Times New Roman"/>
        </w:rPr>
        <w:t xml:space="preserve">, p.13548565251393826. Available at: </w:t>
      </w:r>
      <w:hyperlink r:id="rId30" w:history="1">
        <w:r w:rsidRPr="00AA048B">
          <w:rPr>
            <w:rStyle w:val="Hyperlink"/>
            <w:rFonts w:cs="Times New Roman"/>
            <w:color w:val="auto"/>
          </w:rPr>
          <w:t>https://journals.sagepub.com/doi/pdf/10.1177/13548565251393826</w:t>
        </w:r>
      </w:hyperlink>
      <w:r w:rsidRPr="00AA048B">
        <w:rPr>
          <w:rFonts w:cs="Times New Roman"/>
        </w:rPr>
        <w:t xml:space="preserve">(Accessed: 1 July 2026). </w:t>
      </w:r>
    </w:p>
    <w:p w14:paraId="7FBC654E" w14:textId="77777777" w:rsidR="00AA048B" w:rsidRPr="00AA048B" w:rsidRDefault="00AA048B" w:rsidP="00AA048B">
      <w:pPr>
        <w:rPr>
          <w:rFonts w:cs="Times New Roman"/>
        </w:rPr>
      </w:pPr>
      <w:r w:rsidRPr="00AA048B">
        <w:rPr>
          <w:rFonts w:cs="Times New Roman"/>
        </w:rPr>
        <w:t xml:space="preserve">Li, J., Surana, A., Chavan, M., Kano, L., Schotter, A., and Chirico, F., 2025. The internationalization of digital platform-based firms. </w:t>
      </w:r>
      <w:r w:rsidRPr="00AA048B">
        <w:rPr>
          <w:rFonts w:cs="Times New Roman"/>
          <w:i/>
          <w:iCs/>
        </w:rPr>
        <w:t>Journal of World Business</w:t>
      </w:r>
      <w:r w:rsidRPr="00AA048B">
        <w:rPr>
          <w:rFonts w:cs="Times New Roman"/>
        </w:rPr>
        <w:t xml:space="preserve">, </w:t>
      </w:r>
      <w:r w:rsidRPr="00AA048B">
        <w:rPr>
          <w:rFonts w:cs="Times New Roman"/>
          <w:i/>
          <w:iCs/>
        </w:rPr>
        <w:t>60</w:t>
      </w:r>
      <w:r w:rsidRPr="00AA048B">
        <w:rPr>
          <w:rFonts w:cs="Times New Roman"/>
        </w:rPr>
        <w:t xml:space="preserve">(2), 101629. Available at: </w:t>
      </w:r>
      <w:hyperlink r:id="rId31" w:history="1">
        <w:r w:rsidRPr="00AA048B">
          <w:rPr>
            <w:rStyle w:val="Hyperlink"/>
            <w:rFonts w:cs="Times New Roman"/>
            <w:color w:val="auto"/>
          </w:rPr>
          <w:t>https://doi.org/10.1016/j.jwb.2025.101629</w:t>
        </w:r>
      </w:hyperlink>
      <w:r w:rsidRPr="00AA048B">
        <w:rPr>
          <w:rFonts w:cs="Times New Roman"/>
        </w:rPr>
        <w:t xml:space="preserve"> (Accessed: 1 July 2026) </w:t>
      </w:r>
    </w:p>
    <w:p w14:paraId="79876A60" w14:textId="77777777" w:rsidR="00AA048B" w:rsidRPr="00AA048B" w:rsidRDefault="00AA048B" w:rsidP="00AA048B">
      <w:pPr>
        <w:rPr>
          <w:rFonts w:cs="Times New Roman"/>
        </w:rPr>
      </w:pPr>
      <w:proofErr w:type="spellStart"/>
      <w:r w:rsidRPr="00AA048B">
        <w:rPr>
          <w:rFonts w:cs="Times New Roman"/>
        </w:rPr>
        <w:t>Umbrex</w:t>
      </w:r>
      <w:proofErr w:type="spellEnd"/>
      <w:r w:rsidRPr="00AA048B">
        <w:rPr>
          <w:rFonts w:cs="Times New Roman"/>
        </w:rPr>
        <w:t xml:space="preserve">, 2024. </w:t>
      </w:r>
      <w:r w:rsidRPr="00AA048B">
        <w:rPr>
          <w:rFonts w:cs="Times New Roman"/>
          <w:i/>
          <w:iCs/>
        </w:rPr>
        <w:t xml:space="preserve">Netflix Strategy and Business Model. </w:t>
      </w:r>
      <w:r w:rsidRPr="00AA048B">
        <w:rPr>
          <w:rFonts w:cs="Times New Roman"/>
        </w:rPr>
        <w:t xml:space="preserve">Available at: </w:t>
      </w:r>
      <w:hyperlink r:id="rId32" w:history="1">
        <w:r w:rsidRPr="00AA048B">
          <w:rPr>
            <w:rStyle w:val="Hyperlink"/>
            <w:rFonts w:cs="Times New Roman"/>
            <w:color w:val="auto"/>
          </w:rPr>
          <w:t>https://umbrex.com/resources/company-profiles/netflix/</w:t>
        </w:r>
      </w:hyperlink>
      <w:r w:rsidRPr="00AA048B">
        <w:rPr>
          <w:rFonts w:cs="Times New Roman"/>
        </w:rPr>
        <w:t xml:space="preserve"> (Accessed: 1 July 2026) </w:t>
      </w:r>
    </w:p>
    <w:p w14:paraId="5B08ED9E" w14:textId="77777777" w:rsidR="00AA048B" w:rsidRPr="00AA048B" w:rsidRDefault="00AA048B" w:rsidP="00AA048B">
      <w:pPr>
        <w:rPr>
          <w:rFonts w:cs="Times New Roman"/>
        </w:rPr>
      </w:pPr>
      <w:r w:rsidRPr="00AA048B">
        <w:rPr>
          <w:rFonts w:cs="Times New Roman"/>
        </w:rPr>
        <w:t xml:space="preserve">Wang, W. Y., and Lobato, R., 2019. Chinese video streaming services in the context of global platform studies. </w:t>
      </w:r>
      <w:r w:rsidRPr="00AA048B">
        <w:rPr>
          <w:rFonts w:cs="Times New Roman"/>
          <w:i/>
          <w:iCs/>
        </w:rPr>
        <w:t>Chinese Journal of Communication</w:t>
      </w:r>
      <w:r w:rsidRPr="00AA048B">
        <w:rPr>
          <w:rFonts w:cs="Times New Roman"/>
        </w:rPr>
        <w:t xml:space="preserve">, </w:t>
      </w:r>
      <w:r w:rsidRPr="00AA048B">
        <w:rPr>
          <w:rFonts w:cs="Times New Roman"/>
          <w:i/>
          <w:iCs/>
        </w:rPr>
        <w:t>12</w:t>
      </w:r>
      <w:r w:rsidRPr="00AA048B">
        <w:rPr>
          <w:rFonts w:cs="Times New Roman"/>
        </w:rPr>
        <w:t xml:space="preserve">(3), 356–371. Available at: </w:t>
      </w:r>
      <w:hyperlink r:id="rId33" w:history="1">
        <w:r w:rsidRPr="00AA048B">
          <w:rPr>
            <w:rStyle w:val="Hyperlink"/>
            <w:rFonts w:cs="Times New Roman"/>
            <w:color w:val="auto"/>
          </w:rPr>
          <w:t>https://doi.org/10.1080/17544750.2019.1584119</w:t>
        </w:r>
      </w:hyperlink>
      <w:r w:rsidRPr="00AA048B">
        <w:rPr>
          <w:rFonts w:cs="Times New Roman"/>
        </w:rPr>
        <w:t xml:space="preserve"> (Accessed: 1 July 2026) </w:t>
      </w:r>
    </w:p>
    <w:p w14:paraId="0090B346" w14:textId="77777777" w:rsidR="00AA048B" w:rsidRPr="00AA048B" w:rsidRDefault="00AA048B" w:rsidP="00AA048B">
      <w:pPr>
        <w:rPr>
          <w:rFonts w:cs="Times New Roman"/>
        </w:rPr>
      </w:pPr>
      <w:r w:rsidRPr="00AA048B">
        <w:rPr>
          <w:rFonts w:cs="Times New Roman"/>
        </w:rPr>
        <w:t>Wen, Y., Tao, Y. and Tang, H., 2024. Geopolitical risk, digital transformation, and corporate outward foreign direct investment. </w:t>
      </w:r>
      <w:r w:rsidRPr="00AA048B">
        <w:rPr>
          <w:rFonts w:cs="Times New Roman"/>
          <w:i/>
          <w:iCs/>
        </w:rPr>
        <w:t>Finance Research Letters</w:t>
      </w:r>
      <w:r w:rsidRPr="00AA048B">
        <w:rPr>
          <w:rFonts w:cs="Times New Roman"/>
        </w:rPr>
        <w:t>, </w:t>
      </w:r>
      <w:r w:rsidRPr="00AA048B">
        <w:rPr>
          <w:rFonts w:cs="Times New Roman"/>
          <w:i/>
          <w:iCs/>
        </w:rPr>
        <w:t>69</w:t>
      </w:r>
      <w:r w:rsidRPr="00AA048B">
        <w:rPr>
          <w:rFonts w:cs="Times New Roman"/>
        </w:rPr>
        <w:t xml:space="preserve">, p.106171. Available at: </w:t>
      </w:r>
      <w:hyperlink r:id="rId34" w:history="1">
        <w:r w:rsidRPr="00AA048B">
          <w:rPr>
            <w:rStyle w:val="Hyperlink"/>
            <w:rFonts w:cs="Times New Roman"/>
            <w:color w:val="auto"/>
          </w:rPr>
          <w:t>https://www.sciencedirect.com/science/article/abs/pii/S1544612324012005</w:t>
        </w:r>
      </w:hyperlink>
      <w:r w:rsidRPr="00AA048B">
        <w:rPr>
          <w:rFonts w:cs="Times New Roman"/>
        </w:rPr>
        <w:t xml:space="preserve"> (Accessed: 1 July 2026) </w:t>
      </w:r>
    </w:p>
    <w:p w14:paraId="4A3A34FC" w14:textId="77777777" w:rsidR="00AA048B" w:rsidRPr="00AA048B" w:rsidRDefault="00AA048B" w:rsidP="00AA048B">
      <w:pPr>
        <w:rPr>
          <w:rFonts w:cs="Times New Roman"/>
        </w:rPr>
      </w:pPr>
      <w:r w:rsidRPr="00AA048B">
        <w:rPr>
          <w:rFonts w:cs="Times New Roman"/>
        </w:rPr>
        <w:t>Zeng, J., 2024. </w:t>
      </w:r>
      <w:r w:rsidRPr="00AA048B">
        <w:rPr>
          <w:rFonts w:cs="Times New Roman"/>
          <w:i/>
          <w:iCs/>
        </w:rPr>
        <w:t>Original web dramas and Chinese subscription video-on-demand services: patterns and benefits</w:t>
      </w:r>
      <w:r w:rsidRPr="00AA048B">
        <w:rPr>
          <w:rFonts w:cs="Times New Roman"/>
        </w:rPr>
        <w:t xml:space="preserve"> (Doctoral dissertation, University of Glasgow). Available at: </w:t>
      </w:r>
      <w:hyperlink r:id="rId35" w:history="1">
        <w:r w:rsidRPr="00AA048B">
          <w:rPr>
            <w:rStyle w:val="Hyperlink"/>
            <w:rFonts w:cs="Times New Roman"/>
            <w:color w:val="auto"/>
          </w:rPr>
          <w:t>https://theses.gla.ac.uk/84560/2/2024ZengPhD.pdf</w:t>
        </w:r>
      </w:hyperlink>
      <w:r w:rsidRPr="00AA048B">
        <w:rPr>
          <w:rFonts w:cs="Times New Roman"/>
        </w:rPr>
        <w:t xml:space="preserve"> (Accessed: 1 July 2026) </w:t>
      </w:r>
    </w:p>
    <w:p w14:paraId="360F7600" w14:textId="77777777" w:rsidR="00AA048B" w:rsidRPr="00AA048B" w:rsidRDefault="00AA048B" w:rsidP="00AA048B">
      <w:pPr>
        <w:rPr>
          <w:rFonts w:cs="Times New Roman"/>
        </w:rPr>
      </w:pPr>
      <w:r w:rsidRPr="00AA048B">
        <w:rPr>
          <w:rFonts w:cs="Times New Roman"/>
        </w:rPr>
        <w:t>Zhang, D., 2026. </w:t>
      </w:r>
      <w:r w:rsidRPr="00AA048B">
        <w:rPr>
          <w:rFonts w:cs="Times New Roman"/>
          <w:i/>
          <w:iCs/>
        </w:rPr>
        <w:t>Digital nationalism and affective governance: Propaganda, public sentiment, and soft authoritarianism in China</w:t>
      </w:r>
      <w:r w:rsidRPr="00AA048B">
        <w:rPr>
          <w:rFonts w:cs="Times New Roman"/>
        </w:rPr>
        <w:t xml:space="preserve">. Taylor &amp; Francis. </w:t>
      </w:r>
    </w:p>
    <w:p w14:paraId="0A2EA3C3" w14:textId="77777777" w:rsidR="00AA048B" w:rsidRPr="00AA048B" w:rsidRDefault="00AA048B" w:rsidP="00AA048B">
      <w:pPr>
        <w:rPr>
          <w:rFonts w:cs="Times New Roman"/>
        </w:rPr>
      </w:pPr>
      <w:r w:rsidRPr="00AA048B">
        <w:rPr>
          <w:rFonts w:cs="Times New Roman"/>
        </w:rPr>
        <w:t xml:space="preserve">Zhao, Y. and Sun, J., 2023. The </w:t>
      </w:r>
      <w:proofErr w:type="spellStart"/>
      <w:r w:rsidRPr="00AA048B">
        <w:rPr>
          <w:rFonts w:cs="Times New Roman"/>
        </w:rPr>
        <w:t>platformization</w:t>
      </w:r>
      <w:proofErr w:type="spellEnd"/>
      <w:r w:rsidRPr="00AA048B">
        <w:rPr>
          <w:rFonts w:cs="Times New Roman"/>
        </w:rPr>
        <w:t xml:space="preserve"> of Chinese media: How iQIYI, Tencent, and Youku redefined the entertainment ecosystem. </w:t>
      </w:r>
      <w:r w:rsidRPr="00AA048B">
        <w:rPr>
          <w:rFonts w:cs="Times New Roman"/>
          <w:i/>
          <w:iCs/>
        </w:rPr>
        <w:t>International Journal of Communication</w:t>
      </w:r>
      <w:r w:rsidRPr="00AA048B">
        <w:rPr>
          <w:rFonts w:cs="Times New Roman"/>
        </w:rPr>
        <w:t>, 17, pp. 2415–2436.</w:t>
      </w:r>
    </w:p>
    <w:p w14:paraId="0FC698C4" w14:textId="421F009B" w:rsidR="00C862AF" w:rsidRPr="00AA048B" w:rsidRDefault="00C862AF" w:rsidP="00AA048B">
      <w:pPr>
        <w:rPr>
          <w:rFonts w:cs="Times New Roman"/>
        </w:rPr>
      </w:pPr>
    </w:p>
    <w:sectPr w:rsidR="00C862AF" w:rsidRPr="00AA048B">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1A22D" w14:textId="77777777" w:rsidR="008E3D63" w:rsidRDefault="008E3D63" w:rsidP="00AA048B">
      <w:pPr>
        <w:spacing w:after="0" w:line="240" w:lineRule="auto"/>
      </w:pPr>
      <w:r>
        <w:separator/>
      </w:r>
    </w:p>
  </w:endnote>
  <w:endnote w:type="continuationSeparator" w:id="0">
    <w:p w14:paraId="2BB67B7B" w14:textId="77777777" w:rsidR="008E3D63" w:rsidRDefault="008E3D63" w:rsidP="00AA04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1303525"/>
      <w:docPartObj>
        <w:docPartGallery w:val="Page Numbers (Bottom of Page)"/>
        <w:docPartUnique/>
      </w:docPartObj>
    </w:sdtPr>
    <w:sdtEndPr>
      <w:rPr>
        <w:noProof/>
      </w:rPr>
    </w:sdtEndPr>
    <w:sdtContent>
      <w:p w14:paraId="45DDE207" w14:textId="4A984C27" w:rsidR="00AA048B" w:rsidRDefault="00AA048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92598F" w14:textId="77777777" w:rsidR="00AA048B" w:rsidRDefault="00AA04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8F5A17" w14:textId="77777777" w:rsidR="008E3D63" w:rsidRDefault="008E3D63" w:rsidP="00AA048B">
      <w:pPr>
        <w:spacing w:after="0" w:line="240" w:lineRule="auto"/>
      </w:pPr>
      <w:r>
        <w:separator/>
      </w:r>
    </w:p>
  </w:footnote>
  <w:footnote w:type="continuationSeparator" w:id="0">
    <w:p w14:paraId="1B41D619" w14:textId="77777777" w:rsidR="008E3D63" w:rsidRDefault="008E3D63" w:rsidP="00AA04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0426F"/>
    <w:multiLevelType w:val="hybridMultilevel"/>
    <w:tmpl w:val="BDE811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B574CE1"/>
    <w:multiLevelType w:val="hybridMultilevel"/>
    <w:tmpl w:val="0D42DB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F6D7971"/>
    <w:multiLevelType w:val="hybridMultilevel"/>
    <w:tmpl w:val="35A8D5E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45C606A3"/>
    <w:multiLevelType w:val="hybridMultilevel"/>
    <w:tmpl w:val="BC2206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B401541"/>
    <w:multiLevelType w:val="hybridMultilevel"/>
    <w:tmpl w:val="368AAB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3651145"/>
    <w:multiLevelType w:val="multilevel"/>
    <w:tmpl w:val="70F62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A51D6C"/>
    <w:multiLevelType w:val="hybridMultilevel"/>
    <w:tmpl w:val="B2F28D5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565F372D"/>
    <w:multiLevelType w:val="multilevel"/>
    <w:tmpl w:val="07DE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055ABC"/>
    <w:multiLevelType w:val="multilevel"/>
    <w:tmpl w:val="35CE749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63A7B7A"/>
    <w:multiLevelType w:val="hybridMultilevel"/>
    <w:tmpl w:val="A3C2CA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67822FA7"/>
    <w:multiLevelType w:val="multilevel"/>
    <w:tmpl w:val="CA00F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7BA1883"/>
    <w:multiLevelType w:val="hybridMultilevel"/>
    <w:tmpl w:val="3E5486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6B032EAB"/>
    <w:multiLevelType w:val="hybridMultilevel"/>
    <w:tmpl w:val="2B8CEE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71DB288B"/>
    <w:multiLevelType w:val="multilevel"/>
    <w:tmpl w:val="287A3F1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3991021"/>
    <w:multiLevelType w:val="hybridMultilevel"/>
    <w:tmpl w:val="EA1CDD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86992361">
    <w:abstractNumId w:val="10"/>
  </w:num>
  <w:num w:numId="2" w16cid:durableId="1694499463">
    <w:abstractNumId w:val="2"/>
  </w:num>
  <w:num w:numId="3" w16cid:durableId="363753858">
    <w:abstractNumId w:val="8"/>
  </w:num>
  <w:num w:numId="4" w16cid:durableId="1197546513">
    <w:abstractNumId w:val="12"/>
  </w:num>
  <w:num w:numId="5" w16cid:durableId="624432277">
    <w:abstractNumId w:val="13"/>
  </w:num>
  <w:num w:numId="6" w16cid:durableId="1811708757">
    <w:abstractNumId w:val="7"/>
  </w:num>
  <w:num w:numId="7" w16cid:durableId="1510489831">
    <w:abstractNumId w:val="14"/>
  </w:num>
  <w:num w:numId="8" w16cid:durableId="1038359667">
    <w:abstractNumId w:val="5"/>
  </w:num>
  <w:num w:numId="9" w16cid:durableId="1209731193">
    <w:abstractNumId w:val="4"/>
  </w:num>
  <w:num w:numId="10" w16cid:durableId="1639726704">
    <w:abstractNumId w:val="1"/>
  </w:num>
  <w:num w:numId="11" w16cid:durableId="593975651">
    <w:abstractNumId w:val="11"/>
  </w:num>
  <w:num w:numId="12" w16cid:durableId="863901172">
    <w:abstractNumId w:val="9"/>
  </w:num>
  <w:num w:numId="13" w16cid:durableId="1561942048">
    <w:abstractNumId w:val="0"/>
  </w:num>
  <w:num w:numId="14" w16cid:durableId="134153161">
    <w:abstractNumId w:val="6"/>
  </w:num>
  <w:num w:numId="15" w16cid:durableId="20438975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B70"/>
    <w:rsid w:val="00021769"/>
    <w:rsid w:val="00053A65"/>
    <w:rsid w:val="00095EA2"/>
    <w:rsid w:val="000A05FE"/>
    <w:rsid w:val="000A11D5"/>
    <w:rsid w:val="000A3886"/>
    <w:rsid w:val="00106ED7"/>
    <w:rsid w:val="001115C3"/>
    <w:rsid w:val="00116352"/>
    <w:rsid w:val="00124EF1"/>
    <w:rsid w:val="00151467"/>
    <w:rsid w:val="001B40CE"/>
    <w:rsid w:val="001E3A83"/>
    <w:rsid w:val="00235029"/>
    <w:rsid w:val="00251BE5"/>
    <w:rsid w:val="00252174"/>
    <w:rsid w:val="002A5991"/>
    <w:rsid w:val="002B26F5"/>
    <w:rsid w:val="002F56FB"/>
    <w:rsid w:val="00314443"/>
    <w:rsid w:val="003547B5"/>
    <w:rsid w:val="0039547A"/>
    <w:rsid w:val="003A0E7A"/>
    <w:rsid w:val="003B38D6"/>
    <w:rsid w:val="003D2CA8"/>
    <w:rsid w:val="00445B1D"/>
    <w:rsid w:val="00460DF3"/>
    <w:rsid w:val="004A49BE"/>
    <w:rsid w:val="004F2B7F"/>
    <w:rsid w:val="005355DF"/>
    <w:rsid w:val="005476C0"/>
    <w:rsid w:val="00561F88"/>
    <w:rsid w:val="00590660"/>
    <w:rsid w:val="00632C8D"/>
    <w:rsid w:val="00635B1B"/>
    <w:rsid w:val="00636EB7"/>
    <w:rsid w:val="00666F25"/>
    <w:rsid w:val="006759EE"/>
    <w:rsid w:val="006A23CA"/>
    <w:rsid w:val="006D40EA"/>
    <w:rsid w:val="00710BB5"/>
    <w:rsid w:val="00725B88"/>
    <w:rsid w:val="00740C72"/>
    <w:rsid w:val="00744167"/>
    <w:rsid w:val="00774654"/>
    <w:rsid w:val="00786216"/>
    <w:rsid w:val="007B5624"/>
    <w:rsid w:val="00826CF1"/>
    <w:rsid w:val="00831D7E"/>
    <w:rsid w:val="0084548A"/>
    <w:rsid w:val="00852918"/>
    <w:rsid w:val="00852EBC"/>
    <w:rsid w:val="00885479"/>
    <w:rsid w:val="008E3D63"/>
    <w:rsid w:val="00907D32"/>
    <w:rsid w:val="00951BDB"/>
    <w:rsid w:val="0099256C"/>
    <w:rsid w:val="009C2231"/>
    <w:rsid w:val="009D0123"/>
    <w:rsid w:val="009F4818"/>
    <w:rsid w:val="00A10D81"/>
    <w:rsid w:val="00A20F4D"/>
    <w:rsid w:val="00A63438"/>
    <w:rsid w:val="00AA048B"/>
    <w:rsid w:val="00AA0CA9"/>
    <w:rsid w:val="00AE3CE6"/>
    <w:rsid w:val="00B63360"/>
    <w:rsid w:val="00BA55DA"/>
    <w:rsid w:val="00BB45A9"/>
    <w:rsid w:val="00BC53B5"/>
    <w:rsid w:val="00BD23E0"/>
    <w:rsid w:val="00BF4B70"/>
    <w:rsid w:val="00C07D1C"/>
    <w:rsid w:val="00C36A26"/>
    <w:rsid w:val="00C47066"/>
    <w:rsid w:val="00C54ABD"/>
    <w:rsid w:val="00C862AF"/>
    <w:rsid w:val="00C90A97"/>
    <w:rsid w:val="00CA4B74"/>
    <w:rsid w:val="00CE48CA"/>
    <w:rsid w:val="00CE572E"/>
    <w:rsid w:val="00CF5545"/>
    <w:rsid w:val="00D57D55"/>
    <w:rsid w:val="00DD4F16"/>
    <w:rsid w:val="00E77A64"/>
    <w:rsid w:val="00EB240D"/>
    <w:rsid w:val="00EC2DE8"/>
    <w:rsid w:val="00F120F7"/>
    <w:rsid w:val="00F261A4"/>
    <w:rsid w:val="00F26AEC"/>
    <w:rsid w:val="00FC5F46"/>
    <w:rsid w:val="00FF0AFB"/>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F1727"/>
  <w15:chartTrackingRefBased/>
  <w15:docId w15:val="{215668F9-F314-4156-86AA-3C35A1CA6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B88"/>
    <w:pPr>
      <w:jc w:val="both"/>
    </w:pPr>
    <w:rPr>
      <w:rFonts w:ascii="Times New Roman" w:hAnsi="Times New Roman"/>
    </w:rPr>
  </w:style>
  <w:style w:type="paragraph" w:styleId="Heading1">
    <w:name w:val="heading 1"/>
    <w:basedOn w:val="Normal"/>
    <w:next w:val="Normal"/>
    <w:link w:val="Heading1Char"/>
    <w:autoRedefine/>
    <w:uiPriority w:val="9"/>
    <w:qFormat/>
    <w:rsid w:val="00CA4B74"/>
    <w:pPr>
      <w:keepNext/>
      <w:keepLines/>
      <w:spacing w:before="360" w:after="80" w:line="240" w:lineRule="auto"/>
      <w:outlineLvl w:val="0"/>
    </w:pPr>
    <w:rPr>
      <w:rFonts w:eastAsiaTheme="majorEastAsia" w:cstheme="majorBidi"/>
      <w:b/>
      <w:kern w:val="0"/>
      <w:szCs w:val="40"/>
      <w:lang w:val="en-US"/>
      <w14:ligatures w14:val="none"/>
    </w:rPr>
  </w:style>
  <w:style w:type="paragraph" w:styleId="Heading2">
    <w:name w:val="heading 2"/>
    <w:basedOn w:val="Normal"/>
    <w:next w:val="Normal"/>
    <w:link w:val="Heading2Char"/>
    <w:autoRedefine/>
    <w:uiPriority w:val="9"/>
    <w:unhideWhenUsed/>
    <w:qFormat/>
    <w:rsid w:val="00561F88"/>
    <w:pPr>
      <w:keepNext/>
      <w:keepLines/>
      <w:spacing w:before="160" w:after="80" w:line="240" w:lineRule="auto"/>
      <w:outlineLvl w:val="1"/>
    </w:pPr>
    <w:rPr>
      <w:rFonts w:eastAsiaTheme="majorEastAsia" w:cstheme="majorBidi"/>
      <w:b/>
      <w:kern w:val="0"/>
      <w:szCs w:val="32"/>
      <w:lang w:val="en-US"/>
      <w14:ligatures w14:val="none"/>
    </w:rPr>
  </w:style>
  <w:style w:type="paragraph" w:styleId="Heading3">
    <w:name w:val="heading 3"/>
    <w:basedOn w:val="Normal"/>
    <w:next w:val="Normal"/>
    <w:link w:val="Heading3Char"/>
    <w:autoRedefine/>
    <w:uiPriority w:val="9"/>
    <w:unhideWhenUsed/>
    <w:qFormat/>
    <w:rsid w:val="00590660"/>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BF4B7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F4B7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F4B7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F4B7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F4B7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F4B7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4B74"/>
    <w:rPr>
      <w:rFonts w:ascii="Times New Roman" w:eastAsiaTheme="majorEastAsia" w:hAnsi="Times New Roman" w:cstheme="majorBidi"/>
      <w:b/>
      <w:kern w:val="0"/>
      <w:szCs w:val="40"/>
      <w:lang w:val="en-US"/>
      <w14:ligatures w14:val="none"/>
    </w:rPr>
  </w:style>
  <w:style w:type="character" w:customStyle="1" w:styleId="Heading2Char">
    <w:name w:val="Heading 2 Char"/>
    <w:basedOn w:val="DefaultParagraphFont"/>
    <w:link w:val="Heading2"/>
    <w:uiPriority w:val="9"/>
    <w:rsid w:val="00561F88"/>
    <w:rPr>
      <w:rFonts w:ascii="Times New Roman" w:eastAsiaTheme="majorEastAsia" w:hAnsi="Times New Roman" w:cstheme="majorBidi"/>
      <w:b/>
      <w:kern w:val="0"/>
      <w:szCs w:val="32"/>
      <w:lang w:val="en-US"/>
      <w14:ligatures w14:val="none"/>
    </w:rPr>
  </w:style>
  <w:style w:type="character" w:customStyle="1" w:styleId="Heading3Char">
    <w:name w:val="Heading 3 Char"/>
    <w:basedOn w:val="DefaultParagraphFont"/>
    <w:link w:val="Heading3"/>
    <w:uiPriority w:val="9"/>
    <w:rsid w:val="00590660"/>
    <w:rPr>
      <w:rFonts w:ascii="Times New Roman" w:eastAsiaTheme="majorEastAsia" w:hAnsi="Times New Roman" w:cstheme="majorBidi"/>
      <w:b/>
      <w:szCs w:val="28"/>
    </w:rPr>
  </w:style>
  <w:style w:type="paragraph" w:styleId="Caption">
    <w:name w:val="caption"/>
    <w:basedOn w:val="Normal"/>
    <w:next w:val="Normal"/>
    <w:autoRedefine/>
    <w:uiPriority w:val="35"/>
    <w:unhideWhenUsed/>
    <w:qFormat/>
    <w:rsid w:val="000A05FE"/>
    <w:rPr>
      <w:iCs/>
      <w:szCs w:val="18"/>
    </w:rPr>
  </w:style>
  <w:style w:type="paragraph" w:styleId="TOCHeading">
    <w:name w:val="TOC Heading"/>
    <w:basedOn w:val="Heading1"/>
    <w:next w:val="Normal"/>
    <w:autoRedefine/>
    <w:uiPriority w:val="39"/>
    <w:unhideWhenUsed/>
    <w:qFormat/>
    <w:rsid w:val="004F2B7F"/>
    <w:pPr>
      <w:outlineLvl w:val="9"/>
    </w:pPr>
    <w:rPr>
      <w:sz w:val="28"/>
    </w:rPr>
  </w:style>
  <w:style w:type="character" w:customStyle="1" w:styleId="Heading4Char">
    <w:name w:val="Heading 4 Char"/>
    <w:basedOn w:val="DefaultParagraphFont"/>
    <w:link w:val="Heading4"/>
    <w:uiPriority w:val="9"/>
    <w:semiHidden/>
    <w:rsid w:val="00BF4B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4B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4B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4B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4B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4B70"/>
    <w:rPr>
      <w:rFonts w:eastAsiaTheme="majorEastAsia" w:cstheme="majorBidi"/>
      <w:color w:val="272727" w:themeColor="text1" w:themeTint="D8"/>
    </w:rPr>
  </w:style>
  <w:style w:type="paragraph" w:styleId="Title">
    <w:name w:val="Title"/>
    <w:basedOn w:val="Normal"/>
    <w:next w:val="Normal"/>
    <w:link w:val="TitleChar"/>
    <w:uiPriority w:val="10"/>
    <w:qFormat/>
    <w:rsid w:val="00BF4B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4B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4B7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4B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4B70"/>
    <w:pPr>
      <w:spacing w:before="160"/>
      <w:jc w:val="center"/>
    </w:pPr>
    <w:rPr>
      <w:i/>
      <w:iCs/>
      <w:color w:val="404040" w:themeColor="text1" w:themeTint="BF"/>
    </w:rPr>
  </w:style>
  <w:style w:type="character" w:customStyle="1" w:styleId="QuoteChar">
    <w:name w:val="Quote Char"/>
    <w:basedOn w:val="DefaultParagraphFont"/>
    <w:link w:val="Quote"/>
    <w:uiPriority w:val="29"/>
    <w:rsid w:val="00BF4B70"/>
    <w:rPr>
      <w:rFonts w:ascii="Times New Roman" w:hAnsi="Times New Roman"/>
      <w:i/>
      <w:iCs/>
      <w:color w:val="404040" w:themeColor="text1" w:themeTint="BF"/>
    </w:rPr>
  </w:style>
  <w:style w:type="paragraph" w:styleId="ListParagraph">
    <w:name w:val="List Paragraph"/>
    <w:basedOn w:val="Normal"/>
    <w:uiPriority w:val="34"/>
    <w:qFormat/>
    <w:rsid w:val="00BF4B70"/>
    <w:pPr>
      <w:ind w:left="720"/>
      <w:contextualSpacing/>
    </w:pPr>
  </w:style>
  <w:style w:type="character" w:styleId="IntenseEmphasis">
    <w:name w:val="Intense Emphasis"/>
    <w:basedOn w:val="DefaultParagraphFont"/>
    <w:uiPriority w:val="21"/>
    <w:qFormat/>
    <w:rsid w:val="00BF4B70"/>
    <w:rPr>
      <w:i/>
      <w:iCs/>
      <w:color w:val="0F4761" w:themeColor="accent1" w:themeShade="BF"/>
    </w:rPr>
  </w:style>
  <w:style w:type="paragraph" w:styleId="IntenseQuote">
    <w:name w:val="Intense Quote"/>
    <w:basedOn w:val="Normal"/>
    <w:next w:val="Normal"/>
    <w:link w:val="IntenseQuoteChar"/>
    <w:uiPriority w:val="30"/>
    <w:qFormat/>
    <w:rsid w:val="00BF4B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4B70"/>
    <w:rPr>
      <w:rFonts w:ascii="Times New Roman" w:hAnsi="Times New Roman"/>
      <w:i/>
      <w:iCs/>
      <w:color w:val="0F4761" w:themeColor="accent1" w:themeShade="BF"/>
    </w:rPr>
  </w:style>
  <w:style w:type="character" w:styleId="IntenseReference">
    <w:name w:val="Intense Reference"/>
    <w:basedOn w:val="DefaultParagraphFont"/>
    <w:uiPriority w:val="32"/>
    <w:qFormat/>
    <w:rsid w:val="00BF4B70"/>
    <w:rPr>
      <w:b/>
      <w:bCs/>
      <w:smallCaps/>
      <w:color w:val="0F4761" w:themeColor="accent1" w:themeShade="BF"/>
      <w:spacing w:val="5"/>
    </w:rPr>
  </w:style>
  <w:style w:type="character" w:styleId="Hyperlink">
    <w:name w:val="Hyperlink"/>
    <w:basedOn w:val="DefaultParagraphFont"/>
    <w:uiPriority w:val="99"/>
    <w:unhideWhenUsed/>
    <w:rsid w:val="00E77A64"/>
    <w:rPr>
      <w:color w:val="467886" w:themeColor="hyperlink"/>
      <w:u w:val="single"/>
    </w:rPr>
  </w:style>
  <w:style w:type="character" w:styleId="UnresolvedMention">
    <w:name w:val="Unresolved Mention"/>
    <w:basedOn w:val="DefaultParagraphFont"/>
    <w:uiPriority w:val="99"/>
    <w:semiHidden/>
    <w:unhideWhenUsed/>
    <w:rsid w:val="00E77A64"/>
    <w:rPr>
      <w:color w:val="605E5C"/>
      <w:shd w:val="clear" w:color="auto" w:fill="E1DFDD"/>
    </w:rPr>
  </w:style>
  <w:style w:type="paragraph" w:styleId="NormalWeb">
    <w:name w:val="Normal (Web)"/>
    <w:basedOn w:val="Normal"/>
    <w:uiPriority w:val="99"/>
    <w:unhideWhenUsed/>
    <w:rsid w:val="00095EA2"/>
    <w:pPr>
      <w:spacing w:before="100" w:beforeAutospacing="1" w:after="100" w:afterAutospacing="1" w:line="240" w:lineRule="auto"/>
      <w:jc w:val="left"/>
    </w:pPr>
    <w:rPr>
      <w:rFonts w:eastAsia="Times New Roman" w:cs="Times New Roman"/>
      <w:kern w:val="0"/>
      <w:lang w:eastAsia="en-IN"/>
      <w14:ligatures w14:val="none"/>
    </w:rPr>
  </w:style>
  <w:style w:type="character" w:customStyle="1" w:styleId="citation-75">
    <w:name w:val="citation-75"/>
    <w:basedOn w:val="DefaultParagraphFont"/>
    <w:rsid w:val="00095EA2"/>
  </w:style>
  <w:style w:type="character" w:customStyle="1" w:styleId="citation-74">
    <w:name w:val="citation-74"/>
    <w:basedOn w:val="DefaultParagraphFont"/>
    <w:rsid w:val="00095EA2"/>
  </w:style>
  <w:style w:type="character" w:customStyle="1" w:styleId="citation-73">
    <w:name w:val="citation-73"/>
    <w:basedOn w:val="DefaultParagraphFont"/>
    <w:rsid w:val="00095EA2"/>
  </w:style>
  <w:style w:type="character" w:customStyle="1" w:styleId="citation-98">
    <w:name w:val="citation-98"/>
    <w:basedOn w:val="DefaultParagraphFont"/>
    <w:rsid w:val="00C862AF"/>
  </w:style>
  <w:style w:type="character" w:customStyle="1" w:styleId="source-title">
    <w:name w:val="source-title"/>
    <w:basedOn w:val="DefaultParagraphFont"/>
    <w:rsid w:val="00C862AF"/>
  </w:style>
  <w:style w:type="table" w:styleId="TableGrid">
    <w:name w:val="Table Grid"/>
    <w:basedOn w:val="TableNormal"/>
    <w:uiPriority w:val="39"/>
    <w:rsid w:val="001B40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A04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048B"/>
    <w:rPr>
      <w:rFonts w:ascii="Times New Roman" w:hAnsi="Times New Roman"/>
    </w:rPr>
  </w:style>
  <w:style w:type="paragraph" w:styleId="Footer">
    <w:name w:val="footer"/>
    <w:basedOn w:val="Normal"/>
    <w:link w:val="FooterChar"/>
    <w:uiPriority w:val="99"/>
    <w:unhideWhenUsed/>
    <w:rsid w:val="00AA04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048B"/>
    <w:rPr>
      <w:rFonts w:ascii="Times New Roman" w:hAnsi="Times New Roman"/>
    </w:rPr>
  </w:style>
  <w:style w:type="paragraph" w:styleId="TOC1">
    <w:name w:val="toc 1"/>
    <w:basedOn w:val="Normal"/>
    <w:next w:val="Normal"/>
    <w:autoRedefine/>
    <w:uiPriority w:val="39"/>
    <w:unhideWhenUsed/>
    <w:rsid w:val="00AA048B"/>
    <w:pPr>
      <w:spacing w:after="100"/>
    </w:pPr>
  </w:style>
  <w:style w:type="paragraph" w:styleId="TOC2">
    <w:name w:val="toc 2"/>
    <w:basedOn w:val="Normal"/>
    <w:next w:val="Normal"/>
    <w:autoRedefine/>
    <w:uiPriority w:val="39"/>
    <w:unhideWhenUsed/>
    <w:rsid w:val="00AA048B"/>
    <w:pPr>
      <w:spacing w:after="100"/>
      <w:ind w:left="240"/>
    </w:pPr>
  </w:style>
  <w:style w:type="paragraph" w:styleId="TOC3">
    <w:name w:val="toc 3"/>
    <w:basedOn w:val="Normal"/>
    <w:next w:val="Normal"/>
    <w:autoRedefine/>
    <w:uiPriority w:val="39"/>
    <w:unhideWhenUsed/>
    <w:rsid w:val="00AA048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hyperlink" Target="https://drive.google.com/file/d/1YatPlp7sbtYtWxoXDOF3kVjt3_ur40O1/view" TargetMode="External"/><Relationship Id="rId21" Type="http://schemas.openxmlformats.org/officeDocument/2006/relationships/hyperlink" Target="https://papers.ssrn.com/sol3/Delivery.cfm?abstractid=4903196" TargetMode="External"/><Relationship Id="rId34" Type="http://schemas.openxmlformats.org/officeDocument/2006/relationships/hyperlink" Target="https://www.sciencedirect.com/science/article/abs/pii/S1544612324012005" TargetMode="Externa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hyperlink" Target="https://www.researchgate.net/publication/343027348_New_forms_of_internationalisation_The_impact_of_Netflix_in_Australia" TargetMode="External"/><Relationship Id="rId33" Type="http://schemas.openxmlformats.org/officeDocument/2006/relationships/hyperlink" Target="https://doi.org/10.1080/17544750.2019.1584119"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hyperlink" Target="https://www.econstor.eu/bitstream/10419/328271/1/1938236645.pdf" TargetMode="External"/><Relationship Id="rId29" Type="http://schemas.openxmlformats.org/officeDocument/2006/relationships/hyperlink" Target="https://ad-aspi.s3.ap-southeast-2.amazonaws.com/2024-05/Truth%20and%20reality%20with%20Chinese%20characteristic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s://eprints.qut.edu.au/222423/1/5725-22730-1-PB.pdf" TargetMode="External"/><Relationship Id="rId32" Type="http://schemas.openxmlformats.org/officeDocument/2006/relationships/hyperlink" Target="https://umbrex.com/resources/company-profiles/netflix/"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hyperlink" Target="https://journals.sagepub.com/doi/pdf/10.1177/01634437231210439" TargetMode="External"/><Relationship Id="rId28" Type="http://schemas.openxmlformats.org/officeDocument/2006/relationships/hyperlink" Target="https://escholarship.org/content/qt6bs9k46j/qt6bs9k46j.pdf" TargetMode="External"/><Relationship Id="rId36" Type="http://schemas.openxmlformats.org/officeDocument/2006/relationships/footer" Target="footer1.xm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hyperlink" Target="https://doi.org/10.1016/j.jwb.2025.101629" TargetMode="Externa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hyperlink" Target="https://bytebridge.medium.com/netflix-industry-leader-in-streaming-entertainment-3fddb2c7f15d" TargetMode="External"/><Relationship Id="rId27" Type="http://schemas.openxmlformats.org/officeDocument/2006/relationships/hyperlink" Target="https://drive.google.com/file/d/1YatPlp7sbtYtWxoXDOF3kVjt3_ur40O1/view" TargetMode="External"/><Relationship Id="rId30" Type="http://schemas.openxmlformats.org/officeDocument/2006/relationships/hyperlink" Target="https://journals.sagepub.com/doi/pdf/10.1177/13548565251393826" TargetMode="External"/><Relationship Id="rId35" Type="http://schemas.openxmlformats.org/officeDocument/2006/relationships/hyperlink" Target="https://theses.gla.ac.uk/84560/2/2024ZengPhD.pdf" TargetMode="External"/><Relationship Id="rId8" Type="http://schemas.openxmlformats.org/officeDocument/2006/relationships/image" Target="media/image1.pn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E3D5041-6DB1-4E04-9306-BBFA852A4419}" type="doc">
      <dgm:prSet loTypeId="urn:diagrams.loki3.com/BracketList" loCatId="list" qsTypeId="urn:microsoft.com/office/officeart/2005/8/quickstyle/3d1" qsCatId="3D" csTypeId="urn:microsoft.com/office/officeart/2005/8/colors/accent1_2" csCatId="accent1" phldr="1"/>
      <dgm:spPr/>
      <dgm:t>
        <a:bodyPr/>
        <a:lstStyle/>
        <a:p>
          <a:endParaRPr lang="en-IN"/>
        </a:p>
      </dgm:t>
    </dgm:pt>
    <dgm:pt modelId="{3C0F75DC-D34E-4774-A638-05EC4749D608}">
      <dgm:prSet phldrT="[Text]"/>
      <dgm:spPr/>
      <dgm:t>
        <a:bodyPr/>
        <a:lstStyle/>
        <a:p>
          <a:r>
            <a:rPr lang="en-IN"/>
            <a:t>Data Governance Triad </a:t>
          </a:r>
        </a:p>
      </dgm:t>
    </dgm:pt>
    <dgm:pt modelId="{68A1533A-A381-4698-8A1B-59B0F7183B03}" type="parTrans" cxnId="{FE8386D3-E9B2-49E7-99FA-09B57C32C5B5}">
      <dgm:prSet/>
      <dgm:spPr/>
      <dgm:t>
        <a:bodyPr/>
        <a:lstStyle/>
        <a:p>
          <a:endParaRPr lang="en-IN"/>
        </a:p>
      </dgm:t>
    </dgm:pt>
    <dgm:pt modelId="{E51B65D5-CE83-45C6-9257-26D6E298C0E7}" type="sibTrans" cxnId="{FE8386D3-E9B2-49E7-99FA-09B57C32C5B5}">
      <dgm:prSet/>
      <dgm:spPr/>
      <dgm:t>
        <a:bodyPr/>
        <a:lstStyle/>
        <a:p>
          <a:endParaRPr lang="en-IN"/>
        </a:p>
      </dgm:t>
    </dgm:pt>
    <dgm:pt modelId="{F885EEFC-1A91-4A0A-A5B7-46157AD0CD25}">
      <dgm:prSet phldrT="[Text]"/>
      <dgm:spPr/>
      <dgm:t>
        <a:bodyPr/>
        <a:lstStyle/>
        <a:p>
          <a:r>
            <a:rPr lang="en-IN"/>
            <a:t>Cybersecurity Law (CSL)</a:t>
          </a:r>
        </a:p>
      </dgm:t>
    </dgm:pt>
    <dgm:pt modelId="{ED4CE3DA-C6BC-4CED-9E9C-3E07A5052702}" type="parTrans" cxnId="{64A8A8B9-A9A1-471E-BFFC-9F68DB9A5343}">
      <dgm:prSet/>
      <dgm:spPr/>
      <dgm:t>
        <a:bodyPr/>
        <a:lstStyle/>
        <a:p>
          <a:endParaRPr lang="en-IN"/>
        </a:p>
      </dgm:t>
    </dgm:pt>
    <dgm:pt modelId="{836ED1DE-CAF0-45E1-8CDB-F8231541537A}" type="sibTrans" cxnId="{64A8A8B9-A9A1-471E-BFFC-9F68DB9A5343}">
      <dgm:prSet/>
      <dgm:spPr/>
      <dgm:t>
        <a:bodyPr/>
        <a:lstStyle/>
        <a:p>
          <a:endParaRPr lang="en-IN"/>
        </a:p>
      </dgm:t>
    </dgm:pt>
    <dgm:pt modelId="{69C31F0D-7056-4469-94A1-66CA88C07C05}">
      <dgm:prSet phldrT="[Text]"/>
      <dgm:spPr/>
      <dgm:t>
        <a:bodyPr/>
        <a:lstStyle/>
        <a:p>
          <a:r>
            <a:rPr lang="en-IN"/>
            <a:t>Data Security Law (DSL)</a:t>
          </a:r>
        </a:p>
      </dgm:t>
    </dgm:pt>
    <dgm:pt modelId="{E10B220F-5F49-4DC9-9EC2-CE5CADAD9B12}" type="parTrans" cxnId="{47822DDE-1D00-43DA-B8A2-227405082C06}">
      <dgm:prSet/>
      <dgm:spPr/>
      <dgm:t>
        <a:bodyPr/>
        <a:lstStyle/>
        <a:p>
          <a:endParaRPr lang="en-IN"/>
        </a:p>
      </dgm:t>
    </dgm:pt>
    <dgm:pt modelId="{B0A576FD-CE58-40B9-A548-AF1B2967DBFA}" type="sibTrans" cxnId="{47822DDE-1D00-43DA-B8A2-227405082C06}">
      <dgm:prSet/>
      <dgm:spPr/>
      <dgm:t>
        <a:bodyPr/>
        <a:lstStyle/>
        <a:p>
          <a:endParaRPr lang="en-IN"/>
        </a:p>
      </dgm:t>
    </dgm:pt>
    <dgm:pt modelId="{FF891321-C216-4919-BBFA-3F6B749A3890}">
      <dgm:prSet phldrT="[Text]"/>
      <dgm:spPr/>
      <dgm:t>
        <a:bodyPr/>
        <a:lstStyle/>
        <a:p>
          <a:r>
            <a:rPr lang="en-IN"/>
            <a:t>Personal Information Protection law (PIPL)</a:t>
          </a:r>
        </a:p>
      </dgm:t>
    </dgm:pt>
    <dgm:pt modelId="{A3EB16F5-8559-4660-97C0-85A85F7E970A}" type="parTrans" cxnId="{FA2DC02D-B7F4-4CA9-8C17-CB37080148BF}">
      <dgm:prSet/>
      <dgm:spPr/>
      <dgm:t>
        <a:bodyPr/>
        <a:lstStyle/>
        <a:p>
          <a:endParaRPr lang="en-IN"/>
        </a:p>
      </dgm:t>
    </dgm:pt>
    <dgm:pt modelId="{31D23789-4BD3-4CF4-BF44-838C986D3792}" type="sibTrans" cxnId="{FA2DC02D-B7F4-4CA9-8C17-CB37080148BF}">
      <dgm:prSet/>
      <dgm:spPr/>
      <dgm:t>
        <a:bodyPr/>
        <a:lstStyle/>
        <a:p>
          <a:endParaRPr lang="en-IN"/>
        </a:p>
      </dgm:t>
    </dgm:pt>
    <dgm:pt modelId="{20C030B5-2F37-4273-BF2E-0E67B9A3C4B9}" type="pres">
      <dgm:prSet presAssocID="{CE3D5041-6DB1-4E04-9306-BBFA852A4419}" presName="Name0" presStyleCnt="0">
        <dgm:presLayoutVars>
          <dgm:dir/>
          <dgm:animLvl val="lvl"/>
          <dgm:resizeHandles val="exact"/>
        </dgm:presLayoutVars>
      </dgm:prSet>
      <dgm:spPr/>
    </dgm:pt>
    <dgm:pt modelId="{9AB9A253-7FC1-4A31-8DE9-E7576E27B249}" type="pres">
      <dgm:prSet presAssocID="{3C0F75DC-D34E-4774-A638-05EC4749D608}" presName="linNode" presStyleCnt="0"/>
      <dgm:spPr/>
    </dgm:pt>
    <dgm:pt modelId="{D3DE2672-2416-464C-BFDE-F85DE22BD35F}" type="pres">
      <dgm:prSet presAssocID="{3C0F75DC-D34E-4774-A638-05EC4749D608}" presName="parTx" presStyleLbl="revTx" presStyleIdx="0" presStyleCnt="1">
        <dgm:presLayoutVars>
          <dgm:chMax val="1"/>
          <dgm:bulletEnabled val="1"/>
        </dgm:presLayoutVars>
      </dgm:prSet>
      <dgm:spPr/>
    </dgm:pt>
    <dgm:pt modelId="{A72F4F5B-2D6F-478A-BC1D-E5CFE2E97581}" type="pres">
      <dgm:prSet presAssocID="{3C0F75DC-D34E-4774-A638-05EC4749D608}" presName="bracket" presStyleLbl="parChTrans1D1" presStyleIdx="0" presStyleCnt="1"/>
      <dgm:spPr/>
    </dgm:pt>
    <dgm:pt modelId="{D6A912FB-AAB0-4B2A-B4DD-DEFB6E22D282}" type="pres">
      <dgm:prSet presAssocID="{3C0F75DC-D34E-4774-A638-05EC4749D608}" presName="spH" presStyleCnt="0"/>
      <dgm:spPr/>
    </dgm:pt>
    <dgm:pt modelId="{0E081543-CE4D-4773-8122-BE46EF09E215}" type="pres">
      <dgm:prSet presAssocID="{3C0F75DC-D34E-4774-A638-05EC4749D608}" presName="desTx" presStyleLbl="node1" presStyleIdx="0" presStyleCnt="1">
        <dgm:presLayoutVars>
          <dgm:bulletEnabled val="1"/>
        </dgm:presLayoutVars>
      </dgm:prSet>
      <dgm:spPr/>
    </dgm:pt>
  </dgm:ptLst>
  <dgm:cxnLst>
    <dgm:cxn modelId="{FA2DC02D-B7F4-4CA9-8C17-CB37080148BF}" srcId="{3C0F75DC-D34E-4774-A638-05EC4749D608}" destId="{FF891321-C216-4919-BBFA-3F6B749A3890}" srcOrd="2" destOrd="0" parTransId="{A3EB16F5-8559-4660-97C0-85A85F7E970A}" sibTransId="{31D23789-4BD3-4CF4-BF44-838C986D3792}"/>
    <dgm:cxn modelId="{57F00D7A-D4A4-4E71-8810-2C84E8A7928E}" type="presOf" srcId="{3C0F75DC-D34E-4774-A638-05EC4749D608}" destId="{D3DE2672-2416-464C-BFDE-F85DE22BD35F}" srcOrd="0" destOrd="0" presId="urn:diagrams.loki3.com/BracketList"/>
    <dgm:cxn modelId="{A34D9C85-E184-46AD-8174-87DEBA223D8A}" type="presOf" srcId="{69C31F0D-7056-4469-94A1-66CA88C07C05}" destId="{0E081543-CE4D-4773-8122-BE46EF09E215}" srcOrd="0" destOrd="1" presId="urn:diagrams.loki3.com/BracketList"/>
    <dgm:cxn modelId="{B6619892-40B8-4CF4-8222-9CBD05609F71}" type="presOf" srcId="{FF891321-C216-4919-BBFA-3F6B749A3890}" destId="{0E081543-CE4D-4773-8122-BE46EF09E215}" srcOrd="0" destOrd="2" presId="urn:diagrams.loki3.com/BracketList"/>
    <dgm:cxn modelId="{2EC3BDA1-AC47-41A1-AA96-BD368F0E1A42}" type="presOf" srcId="{F885EEFC-1A91-4A0A-A5B7-46157AD0CD25}" destId="{0E081543-CE4D-4773-8122-BE46EF09E215}" srcOrd="0" destOrd="0" presId="urn:diagrams.loki3.com/BracketList"/>
    <dgm:cxn modelId="{64A8A8B9-A9A1-471E-BFFC-9F68DB9A5343}" srcId="{3C0F75DC-D34E-4774-A638-05EC4749D608}" destId="{F885EEFC-1A91-4A0A-A5B7-46157AD0CD25}" srcOrd="0" destOrd="0" parTransId="{ED4CE3DA-C6BC-4CED-9E9C-3E07A5052702}" sibTransId="{836ED1DE-CAF0-45E1-8CDB-F8231541537A}"/>
    <dgm:cxn modelId="{FE8386D3-E9B2-49E7-99FA-09B57C32C5B5}" srcId="{CE3D5041-6DB1-4E04-9306-BBFA852A4419}" destId="{3C0F75DC-D34E-4774-A638-05EC4749D608}" srcOrd="0" destOrd="0" parTransId="{68A1533A-A381-4698-8A1B-59B0F7183B03}" sibTransId="{E51B65D5-CE83-45C6-9257-26D6E298C0E7}"/>
    <dgm:cxn modelId="{47822DDE-1D00-43DA-B8A2-227405082C06}" srcId="{3C0F75DC-D34E-4774-A638-05EC4749D608}" destId="{69C31F0D-7056-4469-94A1-66CA88C07C05}" srcOrd="1" destOrd="0" parTransId="{E10B220F-5F49-4DC9-9EC2-CE5CADAD9B12}" sibTransId="{B0A576FD-CE58-40B9-A548-AF1B2967DBFA}"/>
    <dgm:cxn modelId="{23C2EAEB-DDD6-4AD7-9DA0-4192004EAF86}" type="presOf" srcId="{CE3D5041-6DB1-4E04-9306-BBFA852A4419}" destId="{20C030B5-2F37-4273-BF2E-0E67B9A3C4B9}" srcOrd="0" destOrd="0" presId="urn:diagrams.loki3.com/BracketList"/>
    <dgm:cxn modelId="{45B91604-1E3C-4F2B-B4ED-914EBF268FA3}" type="presParOf" srcId="{20C030B5-2F37-4273-BF2E-0E67B9A3C4B9}" destId="{9AB9A253-7FC1-4A31-8DE9-E7576E27B249}" srcOrd="0" destOrd="0" presId="urn:diagrams.loki3.com/BracketList"/>
    <dgm:cxn modelId="{D9EBC419-FE4E-438E-A956-5A9A5E767471}" type="presParOf" srcId="{9AB9A253-7FC1-4A31-8DE9-E7576E27B249}" destId="{D3DE2672-2416-464C-BFDE-F85DE22BD35F}" srcOrd="0" destOrd="0" presId="urn:diagrams.loki3.com/BracketList"/>
    <dgm:cxn modelId="{ECC3290E-2286-4521-9624-E2E0E2637430}" type="presParOf" srcId="{9AB9A253-7FC1-4A31-8DE9-E7576E27B249}" destId="{A72F4F5B-2D6F-478A-BC1D-E5CFE2E97581}" srcOrd="1" destOrd="0" presId="urn:diagrams.loki3.com/BracketList"/>
    <dgm:cxn modelId="{E8D578B6-4442-4E98-A968-BFE7E3B566C6}" type="presParOf" srcId="{9AB9A253-7FC1-4A31-8DE9-E7576E27B249}" destId="{D6A912FB-AAB0-4B2A-B4DD-DEFB6E22D282}" srcOrd="2" destOrd="0" presId="urn:diagrams.loki3.com/BracketList"/>
    <dgm:cxn modelId="{0C3901F6-099C-464B-A8E9-039AB8AE6013}" type="presParOf" srcId="{9AB9A253-7FC1-4A31-8DE9-E7576E27B249}" destId="{0E081543-CE4D-4773-8122-BE46EF09E215}" srcOrd="3" destOrd="0" presId="urn:diagrams.loki3.com/BracketLis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C319214-D3F6-4EA8-85B9-46A2767A66C4}" type="doc">
      <dgm:prSet loTypeId="urn:microsoft.com/office/officeart/2005/8/layout/orgChart1" loCatId="hierarchy" qsTypeId="urn:microsoft.com/office/officeart/2005/8/quickstyle/3d1" qsCatId="3D" csTypeId="urn:microsoft.com/office/officeart/2005/8/colors/accent1_2" csCatId="accent1" phldr="1"/>
      <dgm:spPr/>
      <dgm:t>
        <a:bodyPr/>
        <a:lstStyle/>
        <a:p>
          <a:endParaRPr lang="en-IN"/>
        </a:p>
      </dgm:t>
    </dgm:pt>
    <dgm:pt modelId="{07E1E934-D42C-40A8-B90F-A0EA44B7022A}">
      <dgm:prSet phldrT="[Text]"/>
      <dgm:spPr/>
      <dgm:t>
        <a:bodyPr/>
        <a:lstStyle/>
        <a:p>
          <a:r>
            <a:rPr lang="en-IN"/>
            <a:t>Dunning's OLI Paradigm (Netflix/China Matrix)</a:t>
          </a:r>
        </a:p>
      </dgm:t>
    </dgm:pt>
    <dgm:pt modelId="{69F08CFC-B5A2-416D-976E-E1B8D8CC17E8}" type="parTrans" cxnId="{E473F2D1-585E-41ED-992B-1FB1F1C185A3}">
      <dgm:prSet/>
      <dgm:spPr/>
      <dgm:t>
        <a:bodyPr/>
        <a:lstStyle/>
        <a:p>
          <a:endParaRPr lang="en-IN"/>
        </a:p>
      </dgm:t>
    </dgm:pt>
    <dgm:pt modelId="{1468C9FE-E365-413F-B540-E420CECAA2E3}" type="sibTrans" cxnId="{E473F2D1-585E-41ED-992B-1FB1F1C185A3}">
      <dgm:prSet/>
      <dgm:spPr/>
      <dgm:t>
        <a:bodyPr/>
        <a:lstStyle/>
        <a:p>
          <a:endParaRPr lang="en-IN"/>
        </a:p>
      </dgm:t>
    </dgm:pt>
    <dgm:pt modelId="{8E567840-1500-4766-B9F5-43FC834281EC}">
      <dgm:prSet phldrT="[Text]"/>
      <dgm:spPr/>
      <dgm:t>
        <a:bodyPr/>
        <a:lstStyle/>
        <a:p>
          <a:r>
            <a:rPr lang="en-IN"/>
            <a:t>Ownership advantages </a:t>
          </a:r>
        </a:p>
      </dgm:t>
    </dgm:pt>
    <dgm:pt modelId="{0AE7CC03-173B-4E16-AF79-D7B9E0D61888}" type="parTrans" cxnId="{08916396-6AAE-43B8-AE7C-5D325E809564}">
      <dgm:prSet/>
      <dgm:spPr/>
      <dgm:t>
        <a:bodyPr/>
        <a:lstStyle/>
        <a:p>
          <a:endParaRPr lang="en-IN"/>
        </a:p>
      </dgm:t>
    </dgm:pt>
    <dgm:pt modelId="{24214E3C-9CEE-48C1-99D1-A0114B932E41}" type="sibTrans" cxnId="{08916396-6AAE-43B8-AE7C-5D325E809564}">
      <dgm:prSet/>
      <dgm:spPr/>
      <dgm:t>
        <a:bodyPr/>
        <a:lstStyle/>
        <a:p>
          <a:endParaRPr lang="en-IN"/>
        </a:p>
      </dgm:t>
    </dgm:pt>
    <dgm:pt modelId="{B33FEED8-C1FB-41EE-ADD4-08E70EA7FE1E}">
      <dgm:prSet phldrT="[Text]"/>
      <dgm:spPr/>
      <dgm:t>
        <a:bodyPr/>
        <a:lstStyle/>
        <a:p>
          <a:r>
            <a:rPr lang="en-IN"/>
            <a:t>Proprietory tech global IP/ Brands big data analytics. </a:t>
          </a:r>
        </a:p>
      </dgm:t>
    </dgm:pt>
    <dgm:pt modelId="{3469991F-91C8-4AB1-8D15-476854493A93}" type="parTrans" cxnId="{59BC69DA-39C3-4294-9BBB-EAB2314FCD8F}">
      <dgm:prSet/>
      <dgm:spPr/>
      <dgm:t>
        <a:bodyPr/>
        <a:lstStyle/>
        <a:p>
          <a:endParaRPr lang="en-IN"/>
        </a:p>
      </dgm:t>
    </dgm:pt>
    <dgm:pt modelId="{A552B0A5-AEF0-4A03-8829-6777586E16FA}" type="sibTrans" cxnId="{59BC69DA-39C3-4294-9BBB-EAB2314FCD8F}">
      <dgm:prSet/>
      <dgm:spPr/>
      <dgm:t>
        <a:bodyPr/>
        <a:lstStyle/>
        <a:p>
          <a:endParaRPr lang="en-IN"/>
        </a:p>
      </dgm:t>
    </dgm:pt>
    <dgm:pt modelId="{89D0ADB9-9347-4F5E-BAAE-ED7D0538EF65}">
      <dgm:prSet phldrT="[Text]"/>
      <dgm:spPr/>
      <dgm:t>
        <a:bodyPr/>
        <a:lstStyle/>
        <a:p>
          <a:r>
            <a:rPr lang="en-IN"/>
            <a:t>Local advantages </a:t>
          </a:r>
        </a:p>
      </dgm:t>
    </dgm:pt>
    <dgm:pt modelId="{89FF8841-D247-4C39-B9F7-42F3F42B358A}" type="parTrans" cxnId="{3D28DE39-1C8E-4C51-97AE-4A7C44D6F78E}">
      <dgm:prSet/>
      <dgm:spPr/>
      <dgm:t>
        <a:bodyPr/>
        <a:lstStyle/>
        <a:p>
          <a:endParaRPr lang="en-IN"/>
        </a:p>
      </dgm:t>
    </dgm:pt>
    <dgm:pt modelId="{C905629B-CF62-4AD0-B672-89B485471205}" type="sibTrans" cxnId="{3D28DE39-1C8E-4C51-97AE-4A7C44D6F78E}">
      <dgm:prSet/>
      <dgm:spPr/>
      <dgm:t>
        <a:bodyPr/>
        <a:lstStyle/>
        <a:p>
          <a:endParaRPr lang="en-IN"/>
        </a:p>
      </dgm:t>
    </dgm:pt>
    <dgm:pt modelId="{477F77EA-8D19-4034-B3BC-BD0B6FFB7CC6}">
      <dgm:prSet phldrT="[Text]"/>
      <dgm:spPr/>
      <dgm:t>
        <a:bodyPr/>
        <a:lstStyle/>
        <a:p>
          <a:r>
            <a:rPr lang="en-IN"/>
            <a:t>1 Billion+ users advanced 5G tech middle class growth </a:t>
          </a:r>
        </a:p>
      </dgm:t>
    </dgm:pt>
    <dgm:pt modelId="{2952FFE8-1496-4127-B2CE-638792C3068A}" type="parTrans" cxnId="{E1975A00-F4FD-4C5C-84C6-7683B90E57D3}">
      <dgm:prSet/>
      <dgm:spPr/>
      <dgm:t>
        <a:bodyPr/>
        <a:lstStyle/>
        <a:p>
          <a:endParaRPr lang="en-IN"/>
        </a:p>
      </dgm:t>
    </dgm:pt>
    <dgm:pt modelId="{FB71D896-3473-4962-8411-719A839A0A85}" type="sibTrans" cxnId="{E1975A00-F4FD-4C5C-84C6-7683B90E57D3}">
      <dgm:prSet/>
      <dgm:spPr/>
      <dgm:t>
        <a:bodyPr/>
        <a:lstStyle/>
        <a:p>
          <a:endParaRPr lang="en-IN"/>
        </a:p>
      </dgm:t>
    </dgm:pt>
    <dgm:pt modelId="{B3AD9C72-7587-4B89-92FC-1F0279D8AFA9}">
      <dgm:prSet phldrT="[Text]"/>
      <dgm:spPr/>
      <dgm:t>
        <a:bodyPr/>
        <a:lstStyle/>
        <a:p>
          <a:r>
            <a:rPr lang="en-IN"/>
            <a:t>Internationalisation advantages</a:t>
          </a:r>
        </a:p>
      </dgm:t>
    </dgm:pt>
    <dgm:pt modelId="{128A1A87-0FB7-4C08-A865-79307943217C}" type="parTrans" cxnId="{6C54ABD2-F4F5-49F5-92F1-409268A52FA3}">
      <dgm:prSet/>
      <dgm:spPr/>
      <dgm:t>
        <a:bodyPr/>
        <a:lstStyle/>
        <a:p>
          <a:endParaRPr lang="en-IN"/>
        </a:p>
      </dgm:t>
    </dgm:pt>
    <dgm:pt modelId="{B4B7168B-F54A-4734-A34F-8395F0AA77B3}" type="sibTrans" cxnId="{6C54ABD2-F4F5-49F5-92F1-409268A52FA3}">
      <dgm:prSet/>
      <dgm:spPr/>
      <dgm:t>
        <a:bodyPr/>
        <a:lstStyle/>
        <a:p>
          <a:endParaRPr lang="en-IN"/>
        </a:p>
      </dgm:t>
    </dgm:pt>
    <dgm:pt modelId="{8ED52BD7-1D11-44EF-9888-0847BC9E59BE}">
      <dgm:prSet phldrT="[Text]"/>
      <dgm:spPr/>
      <dgm:t>
        <a:bodyPr/>
        <a:lstStyle/>
        <a:p>
          <a:r>
            <a:rPr lang="en-IN"/>
            <a:t>Protection of IP algorithm control quality control </a:t>
          </a:r>
        </a:p>
      </dgm:t>
    </dgm:pt>
    <dgm:pt modelId="{EC78C6C9-E47E-4167-845E-F31EA0038115}" type="parTrans" cxnId="{A3C083F4-263B-495A-95E1-F311CCB1E9CB}">
      <dgm:prSet/>
      <dgm:spPr/>
      <dgm:t>
        <a:bodyPr/>
        <a:lstStyle/>
        <a:p>
          <a:endParaRPr lang="en-IN"/>
        </a:p>
      </dgm:t>
    </dgm:pt>
    <dgm:pt modelId="{50C667BF-1A64-4C9E-A7CA-6E69F5061118}" type="sibTrans" cxnId="{A3C083F4-263B-495A-95E1-F311CCB1E9CB}">
      <dgm:prSet/>
      <dgm:spPr/>
      <dgm:t>
        <a:bodyPr/>
        <a:lstStyle/>
        <a:p>
          <a:endParaRPr lang="en-IN"/>
        </a:p>
      </dgm:t>
    </dgm:pt>
    <dgm:pt modelId="{4F9DB1D0-3117-405E-8D43-5EE14CAF0AAD}" type="pres">
      <dgm:prSet presAssocID="{AC319214-D3F6-4EA8-85B9-46A2767A66C4}" presName="hierChild1" presStyleCnt="0">
        <dgm:presLayoutVars>
          <dgm:orgChart val="1"/>
          <dgm:chPref val="1"/>
          <dgm:dir/>
          <dgm:animOne val="branch"/>
          <dgm:animLvl val="lvl"/>
          <dgm:resizeHandles/>
        </dgm:presLayoutVars>
      </dgm:prSet>
      <dgm:spPr/>
    </dgm:pt>
    <dgm:pt modelId="{983DDB24-056B-4483-9563-E0BD12C9A53C}" type="pres">
      <dgm:prSet presAssocID="{07E1E934-D42C-40A8-B90F-A0EA44B7022A}" presName="hierRoot1" presStyleCnt="0">
        <dgm:presLayoutVars>
          <dgm:hierBranch val="init"/>
        </dgm:presLayoutVars>
      </dgm:prSet>
      <dgm:spPr/>
    </dgm:pt>
    <dgm:pt modelId="{80C0E774-2273-42F4-AAD9-A9ED09BDE446}" type="pres">
      <dgm:prSet presAssocID="{07E1E934-D42C-40A8-B90F-A0EA44B7022A}" presName="rootComposite1" presStyleCnt="0"/>
      <dgm:spPr/>
    </dgm:pt>
    <dgm:pt modelId="{DF2C15C4-936A-4224-BA1C-C175F450893C}" type="pres">
      <dgm:prSet presAssocID="{07E1E934-D42C-40A8-B90F-A0EA44B7022A}" presName="rootText1" presStyleLbl="node0" presStyleIdx="0" presStyleCnt="1">
        <dgm:presLayoutVars>
          <dgm:chPref val="3"/>
        </dgm:presLayoutVars>
      </dgm:prSet>
      <dgm:spPr/>
    </dgm:pt>
    <dgm:pt modelId="{CFD91753-CC4E-4D58-879A-34A442997910}" type="pres">
      <dgm:prSet presAssocID="{07E1E934-D42C-40A8-B90F-A0EA44B7022A}" presName="rootConnector1" presStyleLbl="node1" presStyleIdx="0" presStyleCnt="0"/>
      <dgm:spPr/>
    </dgm:pt>
    <dgm:pt modelId="{94819F1B-39E0-4C84-A881-FA49700DCC78}" type="pres">
      <dgm:prSet presAssocID="{07E1E934-D42C-40A8-B90F-A0EA44B7022A}" presName="hierChild2" presStyleCnt="0"/>
      <dgm:spPr/>
    </dgm:pt>
    <dgm:pt modelId="{2C41EC3D-5B7B-4F29-80D0-C5E41F38AB23}" type="pres">
      <dgm:prSet presAssocID="{0AE7CC03-173B-4E16-AF79-D7B9E0D61888}" presName="Name37" presStyleLbl="parChTrans1D2" presStyleIdx="0" presStyleCnt="3"/>
      <dgm:spPr/>
    </dgm:pt>
    <dgm:pt modelId="{924B8ABD-33EF-4189-9F77-1D1D659A311F}" type="pres">
      <dgm:prSet presAssocID="{8E567840-1500-4766-B9F5-43FC834281EC}" presName="hierRoot2" presStyleCnt="0">
        <dgm:presLayoutVars>
          <dgm:hierBranch val="init"/>
        </dgm:presLayoutVars>
      </dgm:prSet>
      <dgm:spPr/>
    </dgm:pt>
    <dgm:pt modelId="{4179EC21-E298-4A27-9FC5-42CD4483B708}" type="pres">
      <dgm:prSet presAssocID="{8E567840-1500-4766-B9F5-43FC834281EC}" presName="rootComposite" presStyleCnt="0"/>
      <dgm:spPr/>
    </dgm:pt>
    <dgm:pt modelId="{57F7E549-B439-474A-9950-49344081C1AC}" type="pres">
      <dgm:prSet presAssocID="{8E567840-1500-4766-B9F5-43FC834281EC}" presName="rootText" presStyleLbl="node2" presStyleIdx="0" presStyleCnt="3">
        <dgm:presLayoutVars>
          <dgm:chPref val="3"/>
        </dgm:presLayoutVars>
      </dgm:prSet>
      <dgm:spPr/>
    </dgm:pt>
    <dgm:pt modelId="{CD1542E2-78C9-4B34-B30A-7BEF8957E983}" type="pres">
      <dgm:prSet presAssocID="{8E567840-1500-4766-B9F5-43FC834281EC}" presName="rootConnector" presStyleLbl="node2" presStyleIdx="0" presStyleCnt="3"/>
      <dgm:spPr/>
    </dgm:pt>
    <dgm:pt modelId="{0A475AEB-9033-4C11-A88D-D6825147064C}" type="pres">
      <dgm:prSet presAssocID="{8E567840-1500-4766-B9F5-43FC834281EC}" presName="hierChild4" presStyleCnt="0"/>
      <dgm:spPr/>
    </dgm:pt>
    <dgm:pt modelId="{16332708-FD97-4EA6-971D-006EE9EFA09E}" type="pres">
      <dgm:prSet presAssocID="{3469991F-91C8-4AB1-8D15-476854493A93}" presName="Name37" presStyleLbl="parChTrans1D3" presStyleIdx="0" presStyleCnt="3"/>
      <dgm:spPr/>
    </dgm:pt>
    <dgm:pt modelId="{3222D3F4-0101-49F5-A988-E9F1A256EFFB}" type="pres">
      <dgm:prSet presAssocID="{B33FEED8-C1FB-41EE-ADD4-08E70EA7FE1E}" presName="hierRoot2" presStyleCnt="0">
        <dgm:presLayoutVars>
          <dgm:hierBranch val="init"/>
        </dgm:presLayoutVars>
      </dgm:prSet>
      <dgm:spPr/>
    </dgm:pt>
    <dgm:pt modelId="{EF48E1C6-EFF0-4C60-AA9E-23FB0E16F45B}" type="pres">
      <dgm:prSet presAssocID="{B33FEED8-C1FB-41EE-ADD4-08E70EA7FE1E}" presName="rootComposite" presStyleCnt="0"/>
      <dgm:spPr/>
    </dgm:pt>
    <dgm:pt modelId="{7E62A8A2-FC22-4EF0-8711-14B3F08629C8}" type="pres">
      <dgm:prSet presAssocID="{B33FEED8-C1FB-41EE-ADD4-08E70EA7FE1E}" presName="rootText" presStyleLbl="node3" presStyleIdx="0" presStyleCnt="3">
        <dgm:presLayoutVars>
          <dgm:chPref val="3"/>
        </dgm:presLayoutVars>
      </dgm:prSet>
      <dgm:spPr/>
    </dgm:pt>
    <dgm:pt modelId="{41DFA63D-B931-4F10-B6B4-F11AF6542F35}" type="pres">
      <dgm:prSet presAssocID="{B33FEED8-C1FB-41EE-ADD4-08E70EA7FE1E}" presName="rootConnector" presStyleLbl="node3" presStyleIdx="0" presStyleCnt="3"/>
      <dgm:spPr/>
    </dgm:pt>
    <dgm:pt modelId="{2D8FD418-27CA-4916-9172-9AD704D03545}" type="pres">
      <dgm:prSet presAssocID="{B33FEED8-C1FB-41EE-ADD4-08E70EA7FE1E}" presName="hierChild4" presStyleCnt="0"/>
      <dgm:spPr/>
    </dgm:pt>
    <dgm:pt modelId="{53000E0E-3E79-4F3D-B5B7-CBC88F3B2A30}" type="pres">
      <dgm:prSet presAssocID="{B33FEED8-C1FB-41EE-ADD4-08E70EA7FE1E}" presName="hierChild5" presStyleCnt="0"/>
      <dgm:spPr/>
    </dgm:pt>
    <dgm:pt modelId="{B463706A-6E71-4BFB-84FF-98C66A34AF34}" type="pres">
      <dgm:prSet presAssocID="{8E567840-1500-4766-B9F5-43FC834281EC}" presName="hierChild5" presStyleCnt="0"/>
      <dgm:spPr/>
    </dgm:pt>
    <dgm:pt modelId="{3A489047-6B57-4D16-85AE-A980CEA8B352}" type="pres">
      <dgm:prSet presAssocID="{89FF8841-D247-4C39-B9F7-42F3F42B358A}" presName="Name37" presStyleLbl="parChTrans1D2" presStyleIdx="1" presStyleCnt="3"/>
      <dgm:spPr/>
    </dgm:pt>
    <dgm:pt modelId="{8F1CCA66-3A95-4930-9E30-047FDEC8DAA9}" type="pres">
      <dgm:prSet presAssocID="{89D0ADB9-9347-4F5E-BAAE-ED7D0538EF65}" presName="hierRoot2" presStyleCnt="0">
        <dgm:presLayoutVars>
          <dgm:hierBranch val="init"/>
        </dgm:presLayoutVars>
      </dgm:prSet>
      <dgm:spPr/>
    </dgm:pt>
    <dgm:pt modelId="{EC0ACE46-C3F7-4BCF-BEA3-15EA963B2DF9}" type="pres">
      <dgm:prSet presAssocID="{89D0ADB9-9347-4F5E-BAAE-ED7D0538EF65}" presName="rootComposite" presStyleCnt="0"/>
      <dgm:spPr/>
    </dgm:pt>
    <dgm:pt modelId="{B6F7042F-11D4-4FDA-A120-DCB9567C0DC5}" type="pres">
      <dgm:prSet presAssocID="{89D0ADB9-9347-4F5E-BAAE-ED7D0538EF65}" presName="rootText" presStyleLbl="node2" presStyleIdx="1" presStyleCnt="3">
        <dgm:presLayoutVars>
          <dgm:chPref val="3"/>
        </dgm:presLayoutVars>
      </dgm:prSet>
      <dgm:spPr/>
    </dgm:pt>
    <dgm:pt modelId="{C5712CD7-C547-491F-8AE4-0D94E635961B}" type="pres">
      <dgm:prSet presAssocID="{89D0ADB9-9347-4F5E-BAAE-ED7D0538EF65}" presName="rootConnector" presStyleLbl="node2" presStyleIdx="1" presStyleCnt="3"/>
      <dgm:spPr/>
    </dgm:pt>
    <dgm:pt modelId="{E08CFC45-C896-4D6E-89C1-28D499261FD2}" type="pres">
      <dgm:prSet presAssocID="{89D0ADB9-9347-4F5E-BAAE-ED7D0538EF65}" presName="hierChild4" presStyleCnt="0"/>
      <dgm:spPr/>
    </dgm:pt>
    <dgm:pt modelId="{CB0CB326-240E-4C9E-B240-F1F196DC00EE}" type="pres">
      <dgm:prSet presAssocID="{2952FFE8-1496-4127-B2CE-638792C3068A}" presName="Name37" presStyleLbl="parChTrans1D3" presStyleIdx="1" presStyleCnt="3"/>
      <dgm:spPr/>
    </dgm:pt>
    <dgm:pt modelId="{CB069242-F25E-4BBC-B95C-220707486689}" type="pres">
      <dgm:prSet presAssocID="{477F77EA-8D19-4034-B3BC-BD0B6FFB7CC6}" presName="hierRoot2" presStyleCnt="0">
        <dgm:presLayoutVars>
          <dgm:hierBranch val="init"/>
        </dgm:presLayoutVars>
      </dgm:prSet>
      <dgm:spPr/>
    </dgm:pt>
    <dgm:pt modelId="{B1CD3A24-C60C-439F-A3D4-9D8E2E2BEAFC}" type="pres">
      <dgm:prSet presAssocID="{477F77EA-8D19-4034-B3BC-BD0B6FFB7CC6}" presName="rootComposite" presStyleCnt="0"/>
      <dgm:spPr/>
    </dgm:pt>
    <dgm:pt modelId="{9160C027-7288-4B94-8A2F-33D592F1EEC6}" type="pres">
      <dgm:prSet presAssocID="{477F77EA-8D19-4034-B3BC-BD0B6FFB7CC6}" presName="rootText" presStyleLbl="node3" presStyleIdx="1" presStyleCnt="3">
        <dgm:presLayoutVars>
          <dgm:chPref val="3"/>
        </dgm:presLayoutVars>
      </dgm:prSet>
      <dgm:spPr/>
    </dgm:pt>
    <dgm:pt modelId="{CDC6B1E3-5138-4A8C-8D5B-7CABCB27766E}" type="pres">
      <dgm:prSet presAssocID="{477F77EA-8D19-4034-B3BC-BD0B6FFB7CC6}" presName="rootConnector" presStyleLbl="node3" presStyleIdx="1" presStyleCnt="3"/>
      <dgm:spPr/>
    </dgm:pt>
    <dgm:pt modelId="{DE1BCA6F-0A46-41D4-9E6D-EC052E4C73F8}" type="pres">
      <dgm:prSet presAssocID="{477F77EA-8D19-4034-B3BC-BD0B6FFB7CC6}" presName="hierChild4" presStyleCnt="0"/>
      <dgm:spPr/>
    </dgm:pt>
    <dgm:pt modelId="{BF40806A-93EE-49AE-9C9D-C53F4CA04229}" type="pres">
      <dgm:prSet presAssocID="{477F77EA-8D19-4034-B3BC-BD0B6FFB7CC6}" presName="hierChild5" presStyleCnt="0"/>
      <dgm:spPr/>
    </dgm:pt>
    <dgm:pt modelId="{F755160C-7A93-4161-8B03-D9944DFF3EA6}" type="pres">
      <dgm:prSet presAssocID="{89D0ADB9-9347-4F5E-BAAE-ED7D0538EF65}" presName="hierChild5" presStyleCnt="0"/>
      <dgm:spPr/>
    </dgm:pt>
    <dgm:pt modelId="{787380A1-E5D4-49F1-BD1F-4D01B17EAAFA}" type="pres">
      <dgm:prSet presAssocID="{128A1A87-0FB7-4C08-A865-79307943217C}" presName="Name37" presStyleLbl="parChTrans1D2" presStyleIdx="2" presStyleCnt="3"/>
      <dgm:spPr/>
    </dgm:pt>
    <dgm:pt modelId="{0A874434-D977-48B6-8AA5-790F0C5A6DEE}" type="pres">
      <dgm:prSet presAssocID="{B3AD9C72-7587-4B89-92FC-1F0279D8AFA9}" presName="hierRoot2" presStyleCnt="0">
        <dgm:presLayoutVars>
          <dgm:hierBranch val="init"/>
        </dgm:presLayoutVars>
      </dgm:prSet>
      <dgm:spPr/>
    </dgm:pt>
    <dgm:pt modelId="{2B88947C-73B4-474B-845D-204686D70CF0}" type="pres">
      <dgm:prSet presAssocID="{B3AD9C72-7587-4B89-92FC-1F0279D8AFA9}" presName="rootComposite" presStyleCnt="0"/>
      <dgm:spPr/>
    </dgm:pt>
    <dgm:pt modelId="{8572CF9E-A123-48E9-BFD0-5EEB23FBC370}" type="pres">
      <dgm:prSet presAssocID="{B3AD9C72-7587-4B89-92FC-1F0279D8AFA9}" presName="rootText" presStyleLbl="node2" presStyleIdx="2" presStyleCnt="3">
        <dgm:presLayoutVars>
          <dgm:chPref val="3"/>
        </dgm:presLayoutVars>
      </dgm:prSet>
      <dgm:spPr/>
    </dgm:pt>
    <dgm:pt modelId="{3BD2C41D-548F-46F0-AB11-FF9BA31A1E14}" type="pres">
      <dgm:prSet presAssocID="{B3AD9C72-7587-4B89-92FC-1F0279D8AFA9}" presName="rootConnector" presStyleLbl="node2" presStyleIdx="2" presStyleCnt="3"/>
      <dgm:spPr/>
    </dgm:pt>
    <dgm:pt modelId="{BFE88435-4204-4448-92BE-571D1F0446EC}" type="pres">
      <dgm:prSet presAssocID="{B3AD9C72-7587-4B89-92FC-1F0279D8AFA9}" presName="hierChild4" presStyleCnt="0"/>
      <dgm:spPr/>
    </dgm:pt>
    <dgm:pt modelId="{D42CB1DE-9BB4-4C6A-9C3F-45ECF392C3E1}" type="pres">
      <dgm:prSet presAssocID="{EC78C6C9-E47E-4167-845E-F31EA0038115}" presName="Name37" presStyleLbl="parChTrans1D3" presStyleIdx="2" presStyleCnt="3"/>
      <dgm:spPr/>
    </dgm:pt>
    <dgm:pt modelId="{F1F3969B-2618-49C8-B646-4F0645683DD7}" type="pres">
      <dgm:prSet presAssocID="{8ED52BD7-1D11-44EF-9888-0847BC9E59BE}" presName="hierRoot2" presStyleCnt="0">
        <dgm:presLayoutVars>
          <dgm:hierBranch val="init"/>
        </dgm:presLayoutVars>
      </dgm:prSet>
      <dgm:spPr/>
    </dgm:pt>
    <dgm:pt modelId="{53954316-C308-4AF8-B11C-ECCF405471CE}" type="pres">
      <dgm:prSet presAssocID="{8ED52BD7-1D11-44EF-9888-0847BC9E59BE}" presName="rootComposite" presStyleCnt="0"/>
      <dgm:spPr/>
    </dgm:pt>
    <dgm:pt modelId="{ED4B0EF1-D6C9-4BCF-8657-385F030340C2}" type="pres">
      <dgm:prSet presAssocID="{8ED52BD7-1D11-44EF-9888-0847BC9E59BE}" presName="rootText" presStyleLbl="node3" presStyleIdx="2" presStyleCnt="3">
        <dgm:presLayoutVars>
          <dgm:chPref val="3"/>
        </dgm:presLayoutVars>
      </dgm:prSet>
      <dgm:spPr/>
    </dgm:pt>
    <dgm:pt modelId="{7169A98C-F0BF-4F12-B3B3-A71A270C3AE6}" type="pres">
      <dgm:prSet presAssocID="{8ED52BD7-1D11-44EF-9888-0847BC9E59BE}" presName="rootConnector" presStyleLbl="node3" presStyleIdx="2" presStyleCnt="3"/>
      <dgm:spPr/>
    </dgm:pt>
    <dgm:pt modelId="{6476F754-147C-4A42-9107-5B80ADF6FA03}" type="pres">
      <dgm:prSet presAssocID="{8ED52BD7-1D11-44EF-9888-0847BC9E59BE}" presName="hierChild4" presStyleCnt="0"/>
      <dgm:spPr/>
    </dgm:pt>
    <dgm:pt modelId="{031863C0-06F7-442F-B4B8-E4363D5E89B6}" type="pres">
      <dgm:prSet presAssocID="{8ED52BD7-1D11-44EF-9888-0847BC9E59BE}" presName="hierChild5" presStyleCnt="0"/>
      <dgm:spPr/>
    </dgm:pt>
    <dgm:pt modelId="{3FC935EA-B018-4859-B553-3A9E09308CA3}" type="pres">
      <dgm:prSet presAssocID="{B3AD9C72-7587-4B89-92FC-1F0279D8AFA9}" presName="hierChild5" presStyleCnt="0"/>
      <dgm:spPr/>
    </dgm:pt>
    <dgm:pt modelId="{1D81A9C5-5E31-4018-9250-7FE01A1C58D4}" type="pres">
      <dgm:prSet presAssocID="{07E1E934-D42C-40A8-B90F-A0EA44B7022A}" presName="hierChild3" presStyleCnt="0"/>
      <dgm:spPr/>
    </dgm:pt>
  </dgm:ptLst>
  <dgm:cxnLst>
    <dgm:cxn modelId="{E1975A00-F4FD-4C5C-84C6-7683B90E57D3}" srcId="{89D0ADB9-9347-4F5E-BAAE-ED7D0538EF65}" destId="{477F77EA-8D19-4034-B3BC-BD0B6FFB7CC6}" srcOrd="0" destOrd="0" parTransId="{2952FFE8-1496-4127-B2CE-638792C3068A}" sibTransId="{FB71D896-3473-4962-8411-719A839A0A85}"/>
    <dgm:cxn modelId="{8866B311-41DD-4640-80FF-8561FF97D2E9}" type="presOf" srcId="{B3AD9C72-7587-4B89-92FC-1F0279D8AFA9}" destId="{8572CF9E-A123-48E9-BFD0-5EEB23FBC370}" srcOrd="0" destOrd="0" presId="urn:microsoft.com/office/officeart/2005/8/layout/orgChart1"/>
    <dgm:cxn modelId="{CC8B6B15-1A17-45BC-9510-407B4F0539BC}" type="presOf" srcId="{0AE7CC03-173B-4E16-AF79-D7B9E0D61888}" destId="{2C41EC3D-5B7B-4F29-80D0-C5E41F38AB23}" srcOrd="0" destOrd="0" presId="urn:microsoft.com/office/officeart/2005/8/layout/orgChart1"/>
    <dgm:cxn modelId="{5F5BCB1C-20E3-4377-8BC6-D12D4B1EF482}" type="presOf" srcId="{477F77EA-8D19-4034-B3BC-BD0B6FFB7CC6}" destId="{CDC6B1E3-5138-4A8C-8D5B-7CABCB27766E}" srcOrd="1" destOrd="0" presId="urn:microsoft.com/office/officeart/2005/8/layout/orgChart1"/>
    <dgm:cxn modelId="{81227C1D-D8AE-4632-9064-2FC00BAAA026}" type="presOf" srcId="{128A1A87-0FB7-4C08-A865-79307943217C}" destId="{787380A1-E5D4-49F1-BD1F-4D01B17EAAFA}" srcOrd="0" destOrd="0" presId="urn:microsoft.com/office/officeart/2005/8/layout/orgChart1"/>
    <dgm:cxn modelId="{73B6AC22-6D78-46EC-B1A9-CF6B867DF5DE}" type="presOf" srcId="{3469991F-91C8-4AB1-8D15-476854493A93}" destId="{16332708-FD97-4EA6-971D-006EE9EFA09E}" srcOrd="0" destOrd="0" presId="urn:microsoft.com/office/officeart/2005/8/layout/orgChart1"/>
    <dgm:cxn modelId="{3D28DE39-1C8E-4C51-97AE-4A7C44D6F78E}" srcId="{07E1E934-D42C-40A8-B90F-A0EA44B7022A}" destId="{89D0ADB9-9347-4F5E-BAAE-ED7D0538EF65}" srcOrd="1" destOrd="0" parTransId="{89FF8841-D247-4C39-B9F7-42F3F42B358A}" sibTransId="{C905629B-CF62-4AD0-B672-89B485471205}"/>
    <dgm:cxn modelId="{1CC27666-4AC5-42FC-A62A-4FEFE373C4F1}" type="presOf" srcId="{8ED52BD7-1D11-44EF-9888-0847BC9E59BE}" destId="{7169A98C-F0BF-4F12-B3B3-A71A270C3AE6}" srcOrd="1" destOrd="0" presId="urn:microsoft.com/office/officeart/2005/8/layout/orgChart1"/>
    <dgm:cxn modelId="{C4183567-6D3A-4748-967B-6689F23EAFAE}" type="presOf" srcId="{477F77EA-8D19-4034-B3BC-BD0B6FFB7CC6}" destId="{9160C027-7288-4B94-8A2F-33D592F1EEC6}" srcOrd="0" destOrd="0" presId="urn:microsoft.com/office/officeart/2005/8/layout/orgChart1"/>
    <dgm:cxn modelId="{C622617F-898B-4076-8B3D-B35A2BF89E33}" type="presOf" srcId="{8E567840-1500-4766-B9F5-43FC834281EC}" destId="{57F7E549-B439-474A-9950-49344081C1AC}" srcOrd="0" destOrd="0" presId="urn:microsoft.com/office/officeart/2005/8/layout/orgChart1"/>
    <dgm:cxn modelId="{23D7E789-CBF5-4BA0-B2D9-B3BD322C9A38}" type="presOf" srcId="{07E1E934-D42C-40A8-B90F-A0EA44B7022A}" destId="{CFD91753-CC4E-4D58-879A-34A442997910}" srcOrd="1" destOrd="0" presId="urn:microsoft.com/office/officeart/2005/8/layout/orgChart1"/>
    <dgm:cxn modelId="{EE89F78F-4045-48FB-911A-7B71B30262EA}" type="presOf" srcId="{AC319214-D3F6-4EA8-85B9-46A2767A66C4}" destId="{4F9DB1D0-3117-405E-8D43-5EE14CAF0AAD}" srcOrd="0" destOrd="0" presId="urn:microsoft.com/office/officeart/2005/8/layout/orgChart1"/>
    <dgm:cxn modelId="{E7DCAC90-E297-490B-BEFB-FBAE0566581E}" type="presOf" srcId="{2952FFE8-1496-4127-B2CE-638792C3068A}" destId="{CB0CB326-240E-4C9E-B240-F1F196DC00EE}" srcOrd="0" destOrd="0" presId="urn:microsoft.com/office/officeart/2005/8/layout/orgChart1"/>
    <dgm:cxn modelId="{08916396-6AAE-43B8-AE7C-5D325E809564}" srcId="{07E1E934-D42C-40A8-B90F-A0EA44B7022A}" destId="{8E567840-1500-4766-B9F5-43FC834281EC}" srcOrd="0" destOrd="0" parTransId="{0AE7CC03-173B-4E16-AF79-D7B9E0D61888}" sibTransId="{24214E3C-9CEE-48C1-99D1-A0114B932E41}"/>
    <dgm:cxn modelId="{F16E65A8-53CC-4292-BDE9-CEC1FBE8A89B}" type="presOf" srcId="{89D0ADB9-9347-4F5E-BAAE-ED7D0538EF65}" destId="{B6F7042F-11D4-4FDA-A120-DCB9567C0DC5}" srcOrd="0" destOrd="0" presId="urn:microsoft.com/office/officeart/2005/8/layout/orgChart1"/>
    <dgm:cxn modelId="{9DD1D0A8-9554-4B91-BB26-3BE3F62FD444}" type="presOf" srcId="{8ED52BD7-1D11-44EF-9888-0847BC9E59BE}" destId="{ED4B0EF1-D6C9-4BCF-8657-385F030340C2}" srcOrd="0" destOrd="0" presId="urn:microsoft.com/office/officeart/2005/8/layout/orgChart1"/>
    <dgm:cxn modelId="{56E25AAE-F72A-4864-911A-9D3C0D207815}" type="presOf" srcId="{07E1E934-D42C-40A8-B90F-A0EA44B7022A}" destId="{DF2C15C4-936A-4224-BA1C-C175F450893C}" srcOrd="0" destOrd="0" presId="urn:microsoft.com/office/officeart/2005/8/layout/orgChart1"/>
    <dgm:cxn modelId="{C758B1BB-6658-4116-9F4A-01123D30B1CF}" type="presOf" srcId="{B33FEED8-C1FB-41EE-ADD4-08E70EA7FE1E}" destId="{41DFA63D-B931-4F10-B6B4-F11AF6542F35}" srcOrd="1" destOrd="0" presId="urn:microsoft.com/office/officeart/2005/8/layout/orgChart1"/>
    <dgm:cxn modelId="{C72349BE-2BD1-4056-B090-317F12B994C6}" type="presOf" srcId="{89D0ADB9-9347-4F5E-BAAE-ED7D0538EF65}" destId="{C5712CD7-C547-491F-8AE4-0D94E635961B}" srcOrd="1" destOrd="0" presId="urn:microsoft.com/office/officeart/2005/8/layout/orgChart1"/>
    <dgm:cxn modelId="{E473F2D1-585E-41ED-992B-1FB1F1C185A3}" srcId="{AC319214-D3F6-4EA8-85B9-46A2767A66C4}" destId="{07E1E934-D42C-40A8-B90F-A0EA44B7022A}" srcOrd="0" destOrd="0" parTransId="{69F08CFC-B5A2-416D-976E-E1B8D8CC17E8}" sibTransId="{1468C9FE-E365-413F-B540-E420CECAA2E3}"/>
    <dgm:cxn modelId="{6C54ABD2-F4F5-49F5-92F1-409268A52FA3}" srcId="{07E1E934-D42C-40A8-B90F-A0EA44B7022A}" destId="{B3AD9C72-7587-4B89-92FC-1F0279D8AFA9}" srcOrd="2" destOrd="0" parTransId="{128A1A87-0FB7-4C08-A865-79307943217C}" sibTransId="{B4B7168B-F54A-4734-A34F-8395F0AA77B3}"/>
    <dgm:cxn modelId="{4E5DE5D7-1C84-43D8-8070-06E5CDE403D9}" type="presOf" srcId="{B3AD9C72-7587-4B89-92FC-1F0279D8AFA9}" destId="{3BD2C41D-548F-46F0-AB11-FF9BA31A1E14}" srcOrd="1" destOrd="0" presId="urn:microsoft.com/office/officeart/2005/8/layout/orgChart1"/>
    <dgm:cxn modelId="{59BC69DA-39C3-4294-9BBB-EAB2314FCD8F}" srcId="{8E567840-1500-4766-B9F5-43FC834281EC}" destId="{B33FEED8-C1FB-41EE-ADD4-08E70EA7FE1E}" srcOrd="0" destOrd="0" parTransId="{3469991F-91C8-4AB1-8D15-476854493A93}" sibTransId="{A552B0A5-AEF0-4A03-8829-6777586E16FA}"/>
    <dgm:cxn modelId="{0F0542E6-2DC5-4D91-B852-0EE96452739F}" type="presOf" srcId="{89FF8841-D247-4C39-B9F7-42F3F42B358A}" destId="{3A489047-6B57-4D16-85AE-A980CEA8B352}" srcOrd="0" destOrd="0" presId="urn:microsoft.com/office/officeart/2005/8/layout/orgChart1"/>
    <dgm:cxn modelId="{CE087AE8-994A-4061-837F-EBE669B2D02F}" type="presOf" srcId="{EC78C6C9-E47E-4167-845E-F31EA0038115}" destId="{D42CB1DE-9BB4-4C6A-9C3F-45ECF392C3E1}" srcOrd="0" destOrd="0" presId="urn:microsoft.com/office/officeart/2005/8/layout/orgChart1"/>
    <dgm:cxn modelId="{A979FFED-704F-467C-9DDE-E04663DE3EA7}" type="presOf" srcId="{B33FEED8-C1FB-41EE-ADD4-08E70EA7FE1E}" destId="{7E62A8A2-FC22-4EF0-8711-14B3F08629C8}" srcOrd="0" destOrd="0" presId="urn:microsoft.com/office/officeart/2005/8/layout/orgChart1"/>
    <dgm:cxn modelId="{A3C083F4-263B-495A-95E1-F311CCB1E9CB}" srcId="{B3AD9C72-7587-4B89-92FC-1F0279D8AFA9}" destId="{8ED52BD7-1D11-44EF-9888-0847BC9E59BE}" srcOrd="0" destOrd="0" parTransId="{EC78C6C9-E47E-4167-845E-F31EA0038115}" sibTransId="{50C667BF-1A64-4C9E-A7CA-6E69F5061118}"/>
    <dgm:cxn modelId="{7802D9FC-3F88-4CDF-A5F3-C98E391DBB51}" type="presOf" srcId="{8E567840-1500-4766-B9F5-43FC834281EC}" destId="{CD1542E2-78C9-4B34-B30A-7BEF8957E983}" srcOrd="1" destOrd="0" presId="urn:microsoft.com/office/officeart/2005/8/layout/orgChart1"/>
    <dgm:cxn modelId="{CE2D9605-275B-4C2F-9E49-0E7E03B76613}" type="presParOf" srcId="{4F9DB1D0-3117-405E-8D43-5EE14CAF0AAD}" destId="{983DDB24-056B-4483-9563-E0BD12C9A53C}" srcOrd="0" destOrd="0" presId="urn:microsoft.com/office/officeart/2005/8/layout/orgChart1"/>
    <dgm:cxn modelId="{E9060399-044D-4E2F-A42F-70AAB8391C40}" type="presParOf" srcId="{983DDB24-056B-4483-9563-E0BD12C9A53C}" destId="{80C0E774-2273-42F4-AAD9-A9ED09BDE446}" srcOrd="0" destOrd="0" presId="urn:microsoft.com/office/officeart/2005/8/layout/orgChart1"/>
    <dgm:cxn modelId="{4E4E2E9F-7AAC-4A55-A34A-995E282EBA66}" type="presParOf" srcId="{80C0E774-2273-42F4-AAD9-A9ED09BDE446}" destId="{DF2C15C4-936A-4224-BA1C-C175F450893C}" srcOrd="0" destOrd="0" presId="urn:microsoft.com/office/officeart/2005/8/layout/orgChart1"/>
    <dgm:cxn modelId="{C7E94A22-6CB1-4441-9959-5DA100A21331}" type="presParOf" srcId="{80C0E774-2273-42F4-AAD9-A9ED09BDE446}" destId="{CFD91753-CC4E-4D58-879A-34A442997910}" srcOrd="1" destOrd="0" presId="urn:microsoft.com/office/officeart/2005/8/layout/orgChart1"/>
    <dgm:cxn modelId="{B5937CF2-3524-409A-8EF1-F40671827450}" type="presParOf" srcId="{983DDB24-056B-4483-9563-E0BD12C9A53C}" destId="{94819F1B-39E0-4C84-A881-FA49700DCC78}" srcOrd="1" destOrd="0" presId="urn:microsoft.com/office/officeart/2005/8/layout/orgChart1"/>
    <dgm:cxn modelId="{480E72B4-B884-469D-BBE1-9CB3A84D9BB5}" type="presParOf" srcId="{94819F1B-39E0-4C84-A881-FA49700DCC78}" destId="{2C41EC3D-5B7B-4F29-80D0-C5E41F38AB23}" srcOrd="0" destOrd="0" presId="urn:microsoft.com/office/officeart/2005/8/layout/orgChart1"/>
    <dgm:cxn modelId="{BF356C33-22C1-466B-825D-2E6BD2413C79}" type="presParOf" srcId="{94819F1B-39E0-4C84-A881-FA49700DCC78}" destId="{924B8ABD-33EF-4189-9F77-1D1D659A311F}" srcOrd="1" destOrd="0" presId="urn:microsoft.com/office/officeart/2005/8/layout/orgChart1"/>
    <dgm:cxn modelId="{A1BAF3B5-CD7C-4254-9D1B-DDF00596E2E0}" type="presParOf" srcId="{924B8ABD-33EF-4189-9F77-1D1D659A311F}" destId="{4179EC21-E298-4A27-9FC5-42CD4483B708}" srcOrd="0" destOrd="0" presId="urn:microsoft.com/office/officeart/2005/8/layout/orgChart1"/>
    <dgm:cxn modelId="{F454D94D-0FBE-410A-90BE-D8B6F91C0303}" type="presParOf" srcId="{4179EC21-E298-4A27-9FC5-42CD4483B708}" destId="{57F7E549-B439-474A-9950-49344081C1AC}" srcOrd="0" destOrd="0" presId="urn:microsoft.com/office/officeart/2005/8/layout/orgChart1"/>
    <dgm:cxn modelId="{4BBFF469-504C-4BAF-9E56-5AE12BDBB7AB}" type="presParOf" srcId="{4179EC21-E298-4A27-9FC5-42CD4483B708}" destId="{CD1542E2-78C9-4B34-B30A-7BEF8957E983}" srcOrd="1" destOrd="0" presId="urn:microsoft.com/office/officeart/2005/8/layout/orgChart1"/>
    <dgm:cxn modelId="{16BE4757-8B76-4191-9DA5-9333CEF2F8A0}" type="presParOf" srcId="{924B8ABD-33EF-4189-9F77-1D1D659A311F}" destId="{0A475AEB-9033-4C11-A88D-D6825147064C}" srcOrd="1" destOrd="0" presId="urn:microsoft.com/office/officeart/2005/8/layout/orgChart1"/>
    <dgm:cxn modelId="{371C22AE-E114-4F89-AD4C-A1BA938E0F9F}" type="presParOf" srcId="{0A475AEB-9033-4C11-A88D-D6825147064C}" destId="{16332708-FD97-4EA6-971D-006EE9EFA09E}" srcOrd="0" destOrd="0" presId="urn:microsoft.com/office/officeart/2005/8/layout/orgChart1"/>
    <dgm:cxn modelId="{B1893AEB-4521-4567-9AEF-2064D25EEE14}" type="presParOf" srcId="{0A475AEB-9033-4C11-A88D-D6825147064C}" destId="{3222D3F4-0101-49F5-A988-E9F1A256EFFB}" srcOrd="1" destOrd="0" presId="urn:microsoft.com/office/officeart/2005/8/layout/orgChart1"/>
    <dgm:cxn modelId="{CDFAF493-FD54-40B7-B038-FCE8C3F7FC1C}" type="presParOf" srcId="{3222D3F4-0101-49F5-A988-E9F1A256EFFB}" destId="{EF48E1C6-EFF0-4C60-AA9E-23FB0E16F45B}" srcOrd="0" destOrd="0" presId="urn:microsoft.com/office/officeart/2005/8/layout/orgChart1"/>
    <dgm:cxn modelId="{7ACFF712-14D1-4309-B326-A4B9CFF485B7}" type="presParOf" srcId="{EF48E1C6-EFF0-4C60-AA9E-23FB0E16F45B}" destId="{7E62A8A2-FC22-4EF0-8711-14B3F08629C8}" srcOrd="0" destOrd="0" presId="urn:microsoft.com/office/officeart/2005/8/layout/orgChart1"/>
    <dgm:cxn modelId="{18B51910-6689-4263-AC2F-9E9838E35DED}" type="presParOf" srcId="{EF48E1C6-EFF0-4C60-AA9E-23FB0E16F45B}" destId="{41DFA63D-B931-4F10-B6B4-F11AF6542F35}" srcOrd="1" destOrd="0" presId="urn:microsoft.com/office/officeart/2005/8/layout/orgChart1"/>
    <dgm:cxn modelId="{21E2ADAE-486E-4A63-940E-073BEC409588}" type="presParOf" srcId="{3222D3F4-0101-49F5-A988-E9F1A256EFFB}" destId="{2D8FD418-27CA-4916-9172-9AD704D03545}" srcOrd="1" destOrd="0" presId="urn:microsoft.com/office/officeart/2005/8/layout/orgChart1"/>
    <dgm:cxn modelId="{DCDF1C2F-D869-48F0-98EE-B55DD626CC2B}" type="presParOf" srcId="{3222D3F4-0101-49F5-A988-E9F1A256EFFB}" destId="{53000E0E-3E79-4F3D-B5B7-CBC88F3B2A30}" srcOrd="2" destOrd="0" presId="urn:microsoft.com/office/officeart/2005/8/layout/orgChart1"/>
    <dgm:cxn modelId="{5A6FC4E6-2285-4732-95AD-9259E4D71EA4}" type="presParOf" srcId="{924B8ABD-33EF-4189-9F77-1D1D659A311F}" destId="{B463706A-6E71-4BFB-84FF-98C66A34AF34}" srcOrd="2" destOrd="0" presId="urn:microsoft.com/office/officeart/2005/8/layout/orgChart1"/>
    <dgm:cxn modelId="{7C45E3FB-1AA7-4C23-B8D3-AD1A4118B3B7}" type="presParOf" srcId="{94819F1B-39E0-4C84-A881-FA49700DCC78}" destId="{3A489047-6B57-4D16-85AE-A980CEA8B352}" srcOrd="2" destOrd="0" presId="urn:microsoft.com/office/officeart/2005/8/layout/orgChart1"/>
    <dgm:cxn modelId="{AD7A9047-3165-473F-BA45-F64F43A61B92}" type="presParOf" srcId="{94819F1B-39E0-4C84-A881-FA49700DCC78}" destId="{8F1CCA66-3A95-4930-9E30-047FDEC8DAA9}" srcOrd="3" destOrd="0" presId="urn:microsoft.com/office/officeart/2005/8/layout/orgChart1"/>
    <dgm:cxn modelId="{E39ECB1B-A9EA-4867-865E-56135A6DDB5A}" type="presParOf" srcId="{8F1CCA66-3A95-4930-9E30-047FDEC8DAA9}" destId="{EC0ACE46-C3F7-4BCF-BEA3-15EA963B2DF9}" srcOrd="0" destOrd="0" presId="urn:microsoft.com/office/officeart/2005/8/layout/orgChart1"/>
    <dgm:cxn modelId="{6EC8C041-DA52-4763-9075-9ECEA48F3D3F}" type="presParOf" srcId="{EC0ACE46-C3F7-4BCF-BEA3-15EA963B2DF9}" destId="{B6F7042F-11D4-4FDA-A120-DCB9567C0DC5}" srcOrd="0" destOrd="0" presId="urn:microsoft.com/office/officeart/2005/8/layout/orgChart1"/>
    <dgm:cxn modelId="{AA1CC888-F3FB-4A48-9B45-C6A86C61C167}" type="presParOf" srcId="{EC0ACE46-C3F7-4BCF-BEA3-15EA963B2DF9}" destId="{C5712CD7-C547-491F-8AE4-0D94E635961B}" srcOrd="1" destOrd="0" presId="urn:microsoft.com/office/officeart/2005/8/layout/orgChart1"/>
    <dgm:cxn modelId="{05524693-1BC8-4D5D-96DA-5F0AD804527B}" type="presParOf" srcId="{8F1CCA66-3A95-4930-9E30-047FDEC8DAA9}" destId="{E08CFC45-C896-4D6E-89C1-28D499261FD2}" srcOrd="1" destOrd="0" presId="urn:microsoft.com/office/officeart/2005/8/layout/orgChart1"/>
    <dgm:cxn modelId="{1E7BC8AC-23F0-4F75-A01A-D8433868E159}" type="presParOf" srcId="{E08CFC45-C896-4D6E-89C1-28D499261FD2}" destId="{CB0CB326-240E-4C9E-B240-F1F196DC00EE}" srcOrd="0" destOrd="0" presId="urn:microsoft.com/office/officeart/2005/8/layout/orgChart1"/>
    <dgm:cxn modelId="{25FE3B97-EEE6-4B7F-9088-DF03407349F1}" type="presParOf" srcId="{E08CFC45-C896-4D6E-89C1-28D499261FD2}" destId="{CB069242-F25E-4BBC-B95C-220707486689}" srcOrd="1" destOrd="0" presId="urn:microsoft.com/office/officeart/2005/8/layout/orgChart1"/>
    <dgm:cxn modelId="{72ED1DF9-F1AC-4B9D-825F-5384AADF1E86}" type="presParOf" srcId="{CB069242-F25E-4BBC-B95C-220707486689}" destId="{B1CD3A24-C60C-439F-A3D4-9D8E2E2BEAFC}" srcOrd="0" destOrd="0" presId="urn:microsoft.com/office/officeart/2005/8/layout/orgChart1"/>
    <dgm:cxn modelId="{F44B4000-DD71-4870-BD24-DBD45AC2D689}" type="presParOf" srcId="{B1CD3A24-C60C-439F-A3D4-9D8E2E2BEAFC}" destId="{9160C027-7288-4B94-8A2F-33D592F1EEC6}" srcOrd="0" destOrd="0" presId="urn:microsoft.com/office/officeart/2005/8/layout/orgChart1"/>
    <dgm:cxn modelId="{DFA5C6E9-991C-46A6-8A5C-EBBA57E6BB9D}" type="presParOf" srcId="{B1CD3A24-C60C-439F-A3D4-9D8E2E2BEAFC}" destId="{CDC6B1E3-5138-4A8C-8D5B-7CABCB27766E}" srcOrd="1" destOrd="0" presId="urn:microsoft.com/office/officeart/2005/8/layout/orgChart1"/>
    <dgm:cxn modelId="{A0E58E27-2528-4311-B56A-C568D31C8685}" type="presParOf" srcId="{CB069242-F25E-4BBC-B95C-220707486689}" destId="{DE1BCA6F-0A46-41D4-9E6D-EC052E4C73F8}" srcOrd="1" destOrd="0" presId="urn:microsoft.com/office/officeart/2005/8/layout/orgChart1"/>
    <dgm:cxn modelId="{4E5C5F37-A173-44F8-83B7-4B16881E9A5E}" type="presParOf" srcId="{CB069242-F25E-4BBC-B95C-220707486689}" destId="{BF40806A-93EE-49AE-9C9D-C53F4CA04229}" srcOrd="2" destOrd="0" presId="urn:microsoft.com/office/officeart/2005/8/layout/orgChart1"/>
    <dgm:cxn modelId="{463B0B0C-DF7C-45C3-AF27-17D24BBF9AB1}" type="presParOf" srcId="{8F1CCA66-3A95-4930-9E30-047FDEC8DAA9}" destId="{F755160C-7A93-4161-8B03-D9944DFF3EA6}" srcOrd="2" destOrd="0" presId="urn:microsoft.com/office/officeart/2005/8/layout/orgChart1"/>
    <dgm:cxn modelId="{A3531A54-CFE7-41B1-A25B-CEA322757F44}" type="presParOf" srcId="{94819F1B-39E0-4C84-A881-FA49700DCC78}" destId="{787380A1-E5D4-49F1-BD1F-4D01B17EAAFA}" srcOrd="4" destOrd="0" presId="urn:microsoft.com/office/officeart/2005/8/layout/orgChart1"/>
    <dgm:cxn modelId="{8E97FB66-E9AC-4CB8-9C83-813EF6CE083F}" type="presParOf" srcId="{94819F1B-39E0-4C84-A881-FA49700DCC78}" destId="{0A874434-D977-48B6-8AA5-790F0C5A6DEE}" srcOrd="5" destOrd="0" presId="urn:microsoft.com/office/officeart/2005/8/layout/orgChart1"/>
    <dgm:cxn modelId="{8BDCF1DE-F5FE-466B-923F-8CB9A7431D4D}" type="presParOf" srcId="{0A874434-D977-48B6-8AA5-790F0C5A6DEE}" destId="{2B88947C-73B4-474B-845D-204686D70CF0}" srcOrd="0" destOrd="0" presId="urn:microsoft.com/office/officeart/2005/8/layout/orgChart1"/>
    <dgm:cxn modelId="{6F7A573A-851B-4E73-89EA-2B6BD2D86AE8}" type="presParOf" srcId="{2B88947C-73B4-474B-845D-204686D70CF0}" destId="{8572CF9E-A123-48E9-BFD0-5EEB23FBC370}" srcOrd="0" destOrd="0" presId="urn:microsoft.com/office/officeart/2005/8/layout/orgChart1"/>
    <dgm:cxn modelId="{55BDFDFF-AB6F-439E-9792-E9F1BE01A28D}" type="presParOf" srcId="{2B88947C-73B4-474B-845D-204686D70CF0}" destId="{3BD2C41D-548F-46F0-AB11-FF9BA31A1E14}" srcOrd="1" destOrd="0" presId="urn:microsoft.com/office/officeart/2005/8/layout/orgChart1"/>
    <dgm:cxn modelId="{5F4D15A9-83E8-4E9E-ABBE-EE6CDCA1A87F}" type="presParOf" srcId="{0A874434-D977-48B6-8AA5-790F0C5A6DEE}" destId="{BFE88435-4204-4448-92BE-571D1F0446EC}" srcOrd="1" destOrd="0" presId="urn:microsoft.com/office/officeart/2005/8/layout/orgChart1"/>
    <dgm:cxn modelId="{0F1519AD-85F1-4753-91DD-3D328BD262AF}" type="presParOf" srcId="{BFE88435-4204-4448-92BE-571D1F0446EC}" destId="{D42CB1DE-9BB4-4C6A-9C3F-45ECF392C3E1}" srcOrd="0" destOrd="0" presId="urn:microsoft.com/office/officeart/2005/8/layout/orgChart1"/>
    <dgm:cxn modelId="{1996B9E7-E5B5-47CB-9D7E-5D1702C0B77C}" type="presParOf" srcId="{BFE88435-4204-4448-92BE-571D1F0446EC}" destId="{F1F3969B-2618-49C8-B646-4F0645683DD7}" srcOrd="1" destOrd="0" presId="urn:microsoft.com/office/officeart/2005/8/layout/orgChart1"/>
    <dgm:cxn modelId="{6A98862B-57B4-4AC4-A3FE-580F56885E98}" type="presParOf" srcId="{F1F3969B-2618-49C8-B646-4F0645683DD7}" destId="{53954316-C308-4AF8-B11C-ECCF405471CE}" srcOrd="0" destOrd="0" presId="urn:microsoft.com/office/officeart/2005/8/layout/orgChart1"/>
    <dgm:cxn modelId="{9B5D547B-0478-4312-8E34-AA2186C69C36}" type="presParOf" srcId="{53954316-C308-4AF8-B11C-ECCF405471CE}" destId="{ED4B0EF1-D6C9-4BCF-8657-385F030340C2}" srcOrd="0" destOrd="0" presId="urn:microsoft.com/office/officeart/2005/8/layout/orgChart1"/>
    <dgm:cxn modelId="{B6C3935D-F1C7-495F-B937-9B6E74DFD738}" type="presParOf" srcId="{53954316-C308-4AF8-B11C-ECCF405471CE}" destId="{7169A98C-F0BF-4F12-B3B3-A71A270C3AE6}" srcOrd="1" destOrd="0" presId="urn:microsoft.com/office/officeart/2005/8/layout/orgChart1"/>
    <dgm:cxn modelId="{1F26B1B3-077C-4994-8691-EDCE0338BD15}" type="presParOf" srcId="{F1F3969B-2618-49C8-B646-4F0645683DD7}" destId="{6476F754-147C-4A42-9107-5B80ADF6FA03}" srcOrd="1" destOrd="0" presId="urn:microsoft.com/office/officeart/2005/8/layout/orgChart1"/>
    <dgm:cxn modelId="{502798F7-0C70-42F2-9159-213985EFC04E}" type="presParOf" srcId="{F1F3969B-2618-49C8-B646-4F0645683DD7}" destId="{031863C0-06F7-442F-B4B8-E4363D5E89B6}" srcOrd="2" destOrd="0" presId="urn:microsoft.com/office/officeart/2005/8/layout/orgChart1"/>
    <dgm:cxn modelId="{10372B84-EADC-443B-9EC3-863971D20AAD}" type="presParOf" srcId="{0A874434-D977-48B6-8AA5-790F0C5A6DEE}" destId="{3FC935EA-B018-4859-B553-3A9E09308CA3}" srcOrd="2" destOrd="0" presId="urn:microsoft.com/office/officeart/2005/8/layout/orgChart1"/>
    <dgm:cxn modelId="{93D84B76-77B3-4C55-B32B-2FA13F890170}" type="presParOf" srcId="{983DDB24-056B-4483-9563-E0BD12C9A53C}" destId="{1D81A9C5-5E31-4018-9250-7FE01A1C58D4}"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3DE2672-2416-464C-BFDE-F85DE22BD35F}">
      <dsp:nvSpPr>
        <dsp:cNvPr id="0" name=""/>
        <dsp:cNvSpPr/>
      </dsp:nvSpPr>
      <dsp:spPr>
        <a:xfrm>
          <a:off x="2678" y="566399"/>
          <a:ext cx="1370260" cy="7722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3792" tIns="40640" rIns="113792" bIns="40640" numCol="1" spcCol="1270" anchor="ctr" anchorCtr="0">
          <a:noAutofit/>
        </a:bodyPr>
        <a:lstStyle/>
        <a:p>
          <a:pPr marL="0" lvl="0" indent="0" algn="r" defTabSz="711200">
            <a:lnSpc>
              <a:spcPct val="90000"/>
            </a:lnSpc>
            <a:spcBef>
              <a:spcPct val="0"/>
            </a:spcBef>
            <a:spcAft>
              <a:spcPct val="35000"/>
            </a:spcAft>
            <a:buNone/>
          </a:pPr>
          <a:r>
            <a:rPr lang="en-IN" sz="1600" kern="1200"/>
            <a:t>Data Governance Triad </a:t>
          </a:r>
        </a:p>
      </dsp:txBody>
      <dsp:txXfrm>
        <a:off x="2678" y="566399"/>
        <a:ext cx="1370260" cy="772200"/>
      </dsp:txXfrm>
    </dsp:sp>
    <dsp:sp modelId="{A72F4F5B-2D6F-478A-BC1D-E5CFE2E97581}">
      <dsp:nvSpPr>
        <dsp:cNvPr id="0" name=""/>
        <dsp:cNvSpPr/>
      </dsp:nvSpPr>
      <dsp:spPr>
        <a:xfrm>
          <a:off x="1372939" y="397481"/>
          <a:ext cx="274052" cy="1110037"/>
        </a:xfrm>
        <a:prstGeom prst="leftBrace">
          <a:avLst>
            <a:gd name="adj1" fmla="val 35000"/>
            <a:gd name="adj2" fmla="val 50000"/>
          </a:avLst>
        </a:prstGeom>
        <a:noFill/>
        <a:ln w="1905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0E081543-CE4D-4773-8122-BE46EF09E215}">
      <dsp:nvSpPr>
        <dsp:cNvPr id="0" name=""/>
        <dsp:cNvSpPr/>
      </dsp:nvSpPr>
      <dsp:spPr>
        <a:xfrm>
          <a:off x="1756612" y="397481"/>
          <a:ext cx="3727108" cy="1110037"/>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171450" lvl="1" indent="-171450" algn="l" defTabSz="711200">
            <a:lnSpc>
              <a:spcPct val="90000"/>
            </a:lnSpc>
            <a:spcBef>
              <a:spcPct val="0"/>
            </a:spcBef>
            <a:spcAft>
              <a:spcPct val="15000"/>
            </a:spcAft>
            <a:buChar char="•"/>
          </a:pPr>
          <a:r>
            <a:rPr lang="en-IN" sz="1600" kern="1200"/>
            <a:t>Cybersecurity Law (CSL)</a:t>
          </a:r>
        </a:p>
        <a:p>
          <a:pPr marL="171450" lvl="1" indent="-171450" algn="l" defTabSz="711200">
            <a:lnSpc>
              <a:spcPct val="90000"/>
            </a:lnSpc>
            <a:spcBef>
              <a:spcPct val="0"/>
            </a:spcBef>
            <a:spcAft>
              <a:spcPct val="15000"/>
            </a:spcAft>
            <a:buChar char="•"/>
          </a:pPr>
          <a:r>
            <a:rPr lang="en-IN" sz="1600" kern="1200"/>
            <a:t>Data Security Law (DSL)</a:t>
          </a:r>
        </a:p>
        <a:p>
          <a:pPr marL="171450" lvl="1" indent="-171450" algn="l" defTabSz="711200">
            <a:lnSpc>
              <a:spcPct val="90000"/>
            </a:lnSpc>
            <a:spcBef>
              <a:spcPct val="0"/>
            </a:spcBef>
            <a:spcAft>
              <a:spcPct val="15000"/>
            </a:spcAft>
            <a:buChar char="•"/>
          </a:pPr>
          <a:r>
            <a:rPr lang="en-IN" sz="1600" kern="1200"/>
            <a:t>Personal Information Protection law (PIPL)</a:t>
          </a:r>
        </a:p>
      </dsp:txBody>
      <dsp:txXfrm>
        <a:off x="1756612" y="397481"/>
        <a:ext cx="3727108" cy="111003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42CB1DE-9BB4-4C6A-9C3F-45ECF392C3E1}">
      <dsp:nvSpPr>
        <dsp:cNvPr id="0" name=""/>
        <dsp:cNvSpPr/>
      </dsp:nvSpPr>
      <dsp:spPr>
        <a:xfrm>
          <a:off x="3766240" y="1973572"/>
          <a:ext cx="224023" cy="687005"/>
        </a:xfrm>
        <a:custGeom>
          <a:avLst/>
          <a:gdLst/>
          <a:ahLst/>
          <a:cxnLst/>
          <a:rect l="0" t="0" r="0" b="0"/>
          <a:pathLst>
            <a:path>
              <a:moveTo>
                <a:pt x="0" y="0"/>
              </a:moveTo>
              <a:lnTo>
                <a:pt x="0" y="687005"/>
              </a:lnTo>
              <a:lnTo>
                <a:pt x="224023" y="687005"/>
              </a:lnTo>
            </a:path>
          </a:pathLst>
        </a:custGeom>
        <a:noFill/>
        <a:ln w="19050" cap="flat" cmpd="sng" algn="ctr">
          <a:solidFill>
            <a:schemeClr val="accent1">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787380A1-E5D4-49F1-BD1F-4D01B17EAAFA}">
      <dsp:nvSpPr>
        <dsp:cNvPr id="0" name=""/>
        <dsp:cNvSpPr/>
      </dsp:nvSpPr>
      <dsp:spPr>
        <a:xfrm>
          <a:off x="2556513" y="913194"/>
          <a:ext cx="1807123" cy="313632"/>
        </a:xfrm>
        <a:custGeom>
          <a:avLst/>
          <a:gdLst/>
          <a:ahLst/>
          <a:cxnLst/>
          <a:rect l="0" t="0" r="0" b="0"/>
          <a:pathLst>
            <a:path>
              <a:moveTo>
                <a:pt x="0" y="0"/>
              </a:moveTo>
              <a:lnTo>
                <a:pt x="0" y="156816"/>
              </a:lnTo>
              <a:lnTo>
                <a:pt x="1807123" y="156816"/>
              </a:lnTo>
              <a:lnTo>
                <a:pt x="1807123" y="313632"/>
              </a:lnTo>
            </a:path>
          </a:pathLst>
        </a:custGeom>
        <a:noFill/>
        <a:ln w="1905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CB0CB326-240E-4C9E-B240-F1F196DC00EE}">
      <dsp:nvSpPr>
        <dsp:cNvPr id="0" name=""/>
        <dsp:cNvSpPr/>
      </dsp:nvSpPr>
      <dsp:spPr>
        <a:xfrm>
          <a:off x="1959117" y="1973572"/>
          <a:ext cx="224023" cy="687005"/>
        </a:xfrm>
        <a:custGeom>
          <a:avLst/>
          <a:gdLst/>
          <a:ahLst/>
          <a:cxnLst/>
          <a:rect l="0" t="0" r="0" b="0"/>
          <a:pathLst>
            <a:path>
              <a:moveTo>
                <a:pt x="0" y="0"/>
              </a:moveTo>
              <a:lnTo>
                <a:pt x="0" y="687005"/>
              </a:lnTo>
              <a:lnTo>
                <a:pt x="224023" y="687005"/>
              </a:lnTo>
            </a:path>
          </a:pathLst>
        </a:custGeom>
        <a:noFill/>
        <a:ln w="19050" cap="flat" cmpd="sng" algn="ctr">
          <a:solidFill>
            <a:schemeClr val="accent1">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A489047-6B57-4D16-85AE-A980CEA8B352}">
      <dsp:nvSpPr>
        <dsp:cNvPr id="0" name=""/>
        <dsp:cNvSpPr/>
      </dsp:nvSpPr>
      <dsp:spPr>
        <a:xfrm>
          <a:off x="2510793" y="913194"/>
          <a:ext cx="91440" cy="313632"/>
        </a:xfrm>
        <a:custGeom>
          <a:avLst/>
          <a:gdLst/>
          <a:ahLst/>
          <a:cxnLst/>
          <a:rect l="0" t="0" r="0" b="0"/>
          <a:pathLst>
            <a:path>
              <a:moveTo>
                <a:pt x="45720" y="0"/>
              </a:moveTo>
              <a:lnTo>
                <a:pt x="45720" y="313632"/>
              </a:lnTo>
            </a:path>
          </a:pathLst>
        </a:custGeom>
        <a:noFill/>
        <a:ln w="1905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6332708-FD97-4EA6-971D-006EE9EFA09E}">
      <dsp:nvSpPr>
        <dsp:cNvPr id="0" name=""/>
        <dsp:cNvSpPr/>
      </dsp:nvSpPr>
      <dsp:spPr>
        <a:xfrm>
          <a:off x="151994" y="1973572"/>
          <a:ext cx="224023" cy="687005"/>
        </a:xfrm>
        <a:custGeom>
          <a:avLst/>
          <a:gdLst/>
          <a:ahLst/>
          <a:cxnLst/>
          <a:rect l="0" t="0" r="0" b="0"/>
          <a:pathLst>
            <a:path>
              <a:moveTo>
                <a:pt x="0" y="0"/>
              </a:moveTo>
              <a:lnTo>
                <a:pt x="0" y="687005"/>
              </a:lnTo>
              <a:lnTo>
                <a:pt x="224023" y="687005"/>
              </a:lnTo>
            </a:path>
          </a:pathLst>
        </a:custGeom>
        <a:noFill/>
        <a:ln w="19050" cap="flat" cmpd="sng" algn="ctr">
          <a:solidFill>
            <a:schemeClr val="accent1">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2C41EC3D-5B7B-4F29-80D0-C5E41F38AB23}">
      <dsp:nvSpPr>
        <dsp:cNvPr id="0" name=""/>
        <dsp:cNvSpPr/>
      </dsp:nvSpPr>
      <dsp:spPr>
        <a:xfrm>
          <a:off x="749390" y="913194"/>
          <a:ext cx="1807123" cy="313632"/>
        </a:xfrm>
        <a:custGeom>
          <a:avLst/>
          <a:gdLst/>
          <a:ahLst/>
          <a:cxnLst/>
          <a:rect l="0" t="0" r="0" b="0"/>
          <a:pathLst>
            <a:path>
              <a:moveTo>
                <a:pt x="1807123" y="0"/>
              </a:moveTo>
              <a:lnTo>
                <a:pt x="1807123" y="156816"/>
              </a:lnTo>
              <a:lnTo>
                <a:pt x="0" y="156816"/>
              </a:lnTo>
              <a:lnTo>
                <a:pt x="0" y="313632"/>
              </a:lnTo>
            </a:path>
          </a:pathLst>
        </a:custGeom>
        <a:noFill/>
        <a:ln w="1905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F2C15C4-936A-4224-BA1C-C175F450893C}">
      <dsp:nvSpPr>
        <dsp:cNvPr id="0" name=""/>
        <dsp:cNvSpPr/>
      </dsp:nvSpPr>
      <dsp:spPr>
        <a:xfrm>
          <a:off x="1809768" y="166449"/>
          <a:ext cx="1493490" cy="746745"/>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IN" sz="1300" kern="1200"/>
            <a:t>Dunning's OLI Paradigm (Netflix/China Matrix)</a:t>
          </a:r>
        </a:p>
      </dsp:txBody>
      <dsp:txXfrm>
        <a:off x="1809768" y="166449"/>
        <a:ext cx="1493490" cy="746745"/>
      </dsp:txXfrm>
    </dsp:sp>
    <dsp:sp modelId="{57F7E549-B439-474A-9950-49344081C1AC}">
      <dsp:nvSpPr>
        <dsp:cNvPr id="0" name=""/>
        <dsp:cNvSpPr/>
      </dsp:nvSpPr>
      <dsp:spPr>
        <a:xfrm>
          <a:off x="2645" y="1226827"/>
          <a:ext cx="1493490" cy="746745"/>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IN" sz="1300" kern="1200"/>
            <a:t>Ownership advantages </a:t>
          </a:r>
        </a:p>
      </dsp:txBody>
      <dsp:txXfrm>
        <a:off x="2645" y="1226827"/>
        <a:ext cx="1493490" cy="746745"/>
      </dsp:txXfrm>
    </dsp:sp>
    <dsp:sp modelId="{7E62A8A2-FC22-4EF0-8711-14B3F08629C8}">
      <dsp:nvSpPr>
        <dsp:cNvPr id="0" name=""/>
        <dsp:cNvSpPr/>
      </dsp:nvSpPr>
      <dsp:spPr>
        <a:xfrm>
          <a:off x="376017" y="2287205"/>
          <a:ext cx="1493490" cy="746745"/>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IN" sz="1300" kern="1200"/>
            <a:t>Proprietory tech global IP/ Brands big data analytics. </a:t>
          </a:r>
        </a:p>
      </dsp:txBody>
      <dsp:txXfrm>
        <a:off x="376017" y="2287205"/>
        <a:ext cx="1493490" cy="746745"/>
      </dsp:txXfrm>
    </dsp:sp>
    <dsp:sp modelId="{B6F7042F-11D4-4FDA-A120-DCB9567C0DC5}">
      <dsp:nvSpPr>
        <dsp:cNvPr id="0" name=""/>
        <dsp:cNvSpPr/>
      </dsp:nvSpPr>
      <dsp:spPr>
        <a:xfrm>
          <a:off x="1809768" y="1226827"/>
          <a:ext cx="1493490" cy="746745"/>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IN" sz="1300" kern="1200"/>
            <a:t>Local advantages </a:t>
          </a:r>
        </a:p>
      </dsp:txBody>
      <dsp:txXfrm>
        <a:off x="1809768" y="1226827"/>
        <a:ext cx="1493490" cy="746745"/>
      </dsp:txXfrm>
    </dsp:sp>
    <dsp:sp modelId="{9160C027-7288-4B94-8A2F-33D592F1EEC6}">
      <dsp:nvSpPr>
        <dsp:cNvPr id="0" name=""/>
        <dsp:cNvSpPr/>
      </dsp:nvSpPr>
      <dsp:spPr>
        <a:xfrm>
          <a:off x="2183141" y="2287205"/>
          <a:ext cx="1493490" cy="746745"/>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IN" sz="1300" kern="1200"/>
            <a:t>1 Billion+ users advanced 5G tech middle class growth </a:t>
          </a:r>
        </a:p>
      </dsp:txBody>
      <dsp:txXfrm>
        <a:off x="2183141" y="2287205"/>
        <a:ext cx="1493490" cy="746745"/>
      </dsp:txXfrm>
    </dsp:sp>
    <dsp:sp modelId="{8572CF9E-A123-48E9-BFD0-5EEB23FBC370}">
      <dsp:nvSpPr>
        <dsp:cNvPr id="0" name=""/>
        <dsp:cNvSpPr/>
      </dsp:nvSpPr>
      <dsp:spPr>
        <a:xfrm>
          <a:off x="3616891" y="1226827"/>
          <a:ext cx="1493490" cy="746745"/>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IN" sz="1300" kern="1200"/>
            <a:t>Internationalisation advantages</a:t>
          </a:r>
        </a:p>
      </dsp:txBody>
      <dsp:txXfrm>
        <a:off x="3616891" y="1226827"/>
        <a:ext cx="1493490" cy="746745"/>
      </dsp:txXfrm>
    </dsp:sp>
    <dsp:sp modelId="{ED4B0EF1-D6C9-4BCF-8657-385F030340C2}">
      <dsp:nvSpPr>
        <dsp:cNvPr id="0" name=""/>
        <dsp:cNvSpPr/>
      </dsp:nvSpPr>
      <dsp:spPr>
        <a:xfrm>
          <a:off x="3990264" y="2287205"/>
          <a:ext cx="1493490" cy="746745"/>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IN" sz="1300" kern="1200"/>
            <a:t>Protection of IP algorithm control quality control </a:t>
          </a:r>
        </a:p>
      </dsp:txBody>
      <dsp:txXfrm>
        <a:off x="3990264" y="2287205"/>
        <a:ext cx="1493490" cy="746745"/>
      </dsp:txXfrm>
    </dsp:sp>
  </dsp:spTree>
</dsp:drawing>
</file>

<file path=word/diagrams/layout1.xml><?xml version="1.0" encoding="utf-8"?>
<dgm:layoutDef xmlns:dgm="http://schemas.openxmlformats.org/drawingml/2006/diagram" xmlns:a="http://schemas.openxmlformats.org/drawingml/2006/main" uniqueId="urn:diagrams.loki3.com/BracketList">
  <dgm:title val="Vertical Bracket List"/>
  <dgm:desc val="Use to show grouped blocks of information.  Works well with large amounts of Level 2 text."/>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0C3E7-94D0-429A-A5C1-F145FA77B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7410</Words>
  <Characters>42238</Characters>
  <Application>Microsoft Office Word</Application>
  <DocSecurity>0</DocSecurity>
  <Lines>351</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Faizu Saiyed</cp:lastModifiedBy>
  <cp:revision>2</cp:revision>
  <dcterms:created xsi:type="dcterms:W3CDTF">2026-07-31T07:38:00Z</dcterms:created>
  <dcterms:modified xsi:type="dcterms:W3CDTF">2026-07-31T07:38:00Z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d29a5b0e-94e1-4d7a-807f-29c0bf1011d2</vt:lpwstr>
  </property>
</Properties>
</file>