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F36D58" w14:textId="174CCC63" w:rsidR="000C35D6" w:rsidRPr="000C35D6" w:rsidRDefault="000C35D6" w:rsidP="000C35D6">
      <w:pPr>
        <w:jc w:val="center"/>
        <w:rPr>
          <w:rFonts w:ascii="Georgia" w:hAnsi="Georgia"/>
          <w:sz w:val="36"/>
          <w:szCs w:val="36"/>
        </w:rPr>
      </w:pPr>
      <w:r w:rsidRPr="000C35D6">
        <w:rPr>
          <w:rFonts w:ascii="Georgia" w:hAnsi="Georgia"/>
          <w:sz w:val="36"/>
          <w:szCs w:val="36"/>
          <w:u w:val="single"/>
        </w:rPr>
        <w:t>Garbology Project</w:t>
      </w:r>
    </w:p>
    <w:p w14:paraId="3DB692D9" w14:textId="77777777" w:rsidR="000C35D6" w:rsidRPr="000C35D6" w:rsidRDefault="000C35D6" w:rsidP="000C35D6">
      <w:pPr>
        <w:rPr>
          <w:rFonts w:ascii="Georgia" w:hAnsi="Georgia"/>
          <w:sz w:val="23"/>
          <w:szCs w:val="23"/>
        </w:rPr>
      </w:pPr>
    </w:p>
    <w:p w14:paraId="202C6C6B" w14:textId="5AA8C2FA" w:rsidR="000C35D6" w:rsidRPr="000C35D6" w:rsidRDefault="000C35D6" w:rsidP="000C35D6">
      <w:pPr>
        <w:rPr>
          <w:rFonts w:ascii="Georgia" w:hAnsi="Georgia"/>
          <w:sz w:val="23"/>
          <w:szCs w:val="23"/>
        </w:rPr>
      </w:pPr>
      <w:r w:rsidRPr="000C35D6">
        <w:rPr>
          <w:rFonts w:ascii="Georgia" w:hAnsi="Georgia"/>
          <w:sz w:val="23"/>
          <w:szCs w:val="23"/>
        </w:rPr>
        <w:t>Before opening the bag it already gives us a small insight into the person whose rubbish it is, the blue recycling bag indicates that it is from Carmarthenshire meaning there is a broader amount of shops that could be present in the bag than somewhere such as Lampeter that has fewer supermarkets. Additionally, as we open the double knotted bag we are faced with varying materials, including cardboard, plastic, tin and paper. A majority of the items can be found in Tesco</w:t>
      </w:r>
      <w:r>
        <w:rPr>
          <w:rFonts w:ascii="Georgia" w:hAnsi="Georgia"/>
          <w:sz w:val="23"/>
          <w:szCs w:val="23"/>
        </w:rPr>
        <w:t>’</w:t>
      </w:r>
      <w:r w:rsidRPr="000C35D6">
        <w:rPr>
          <w:rFonts w:ascii="Georgia" w:hAnsi="Georgia"/>
          <w:sz w:val="23"/>
          <w:szCs w:val="23"/>
        </w:rPr>
        <w:t>s, showing not only shop loyalty but also that they do not often stray to alternatives, this could possibly indicate that they are closer to this shop compared to others. The only anomaly in this bag would be the cardboard box for a Co-Op pizza, however, it can still be connected to the other items as its monetary value is on a similar level to the rest of the bag. This brand loyalty and multiples of items could mean that one person is doing the shopping rather than two as it is easier to go towards known brands than deviate. In relation to the pizza, the best before date was very recent meaning that it was consumed possibly the day of purchase, this could indicate that they had forgotten to prepare something for dinner and needed something quick and easy for that night. The expiry dates also give a range on when the items were purchased, yet also suggests that a majority of the things they get do not have short term expiry dates and therefore can be kept for longer, meaning there may not be many people as they don’t need a lot of food. In this bag, the cardboard boxes are not folded down meaning they take up more room, this could possibly indicate that it is something they haven’t been brought up doing or it could suggest that they do not produce that much cardboard waste as a collective and therefore it isn’t much of an issue. Additionally,  the idea that they don't need the extra space could suggest that there aren’t many in the household, we estimated that there were around 3 individuals, one a child and maybe 2 adults. </w:t>
      </w:r>
    </w:p>
    <w:p w14:paraId="634819B0" w14:textId="77777777" w:rsidR="000C35D6" w:rsidRPr="000C35D6" w:rsidRDefault="000C35D6" w:rsidP="000C35D6">
      <w:pPr>
        <w:rPr>
          <w:rFonts w:ascii="Georgia" w:hAnsi="Georgia"/>
          <w:sz w:val="23"/>
          <w:szCs w:val="23"/>
        </w:rPr>
      </w:pPr>
    </w:p>
    <w:p w14:paraId="600E6674" w14:textId="3CD27504" w:rsidR="000C35D6" w:rsidRPr="000C35D6" w:rsidRDefault="000C35D6" w:rsidP="000C35D6">
      <w:pPr>
        <w:rPr>
          <w:rFonts w:ascii="Georgia" w:hAnsi="Georgia"/>
          <w:sz w:val="23"/>
          <w:szCs w:val="23"/>
        </w:rPr>
      </w:pPr>
      <w:r w:rsidRPr="000C35D6">
        <w:rPr>
          <w:rFonts w:ascii="Georgia" w:hAnsi="Georgia"/>
          <w:sz w:val="23"/>
          <w:szCs w:val="23"/>
        </w:rPr>
        <w:t>We deduced that there was a child through observation of some of the products, specifically the children's cereal, multivitamin gummies, Gruffalo bandages, cartoon bubbles and children</w:t>
      </w:r>
      <w:r>
        <w:rPr>
          <w:rFonts w:ascii="Georgia" w:hAnsi="Georgia"/>
          <w:sz w:val="23"/>
          <w:szCs w:val="23"/>
        </w:rPr>
        <w:t>’</w:t>
      </w:r>
      <w:r w:rsidRPr="000C35D6">
        <w:rPr>
          <w:rFonts w:ascii="Georgia" w:hAnsi="Georgia"/>
          <w:sz w:val="23"/>
          <w:szCs w:val="23"/>
        </w:rPr>
        <w:t>s snacks. However, there was a small amount of what can be considered children</w:t>
      </w:r>
      <w:r>
        <w:rPr>
          <w:rFonts w:ascii="Georgia" w:hAnsi="Georgia"/>
          <w:sz w:val="23"/>
          <w:szCs w:val="23"/>
        </w:rPr>
        <w:t>’</w:t>
      </w:r>
      <w:r w:rsidRPr="000C35D6">
        <w:rPr>
          <w:rFonts w:ascii="Georgia" w:hAnsi="Georgia"/>
          <w:sz w:val="23"/>
          <w:szCs w:val="23"/>
        </w:rPr>
        <w:t>s waste meaning it is more likely to be one child then multiple. Additionally, this is backed up by the bubbles, normally households with multiple children would supply multiple of one item so the children are entertained doing one activity together, yet in this bag there is only one bubble bottle, meaning it is more likely to be just one child. The child's age can be narrowed down through multiple factors such as the multivitamin box which had the age range of 4 to 12, however, this can be further simplified again using the Peppa Pig bubbles. The show is, on average, watched by children ranging from 4 to 6 (</w:t>
      </w:r>
      <w:proofErr w:type="spellStart"/>
      <w:r w:rsidRPr="000C35D6">
        <w:rPr>
          <w:rFonts w:ascii="Georgia" w:hAnsi="Georgia"/>
          <w:sz w:val="23"/>
          <w:szCs w:val="23"/>
        </w:rPr>
        <w:t>Paultons</w:t>
      </w:r>
      <w:proofErr w:type="spellEnd"/>
      <w:r w:rsidRPr="000C35D6">
        <w:rPr>
          <w:rFonts w:ascii="Georgia" w:hAnsi="Georgia"/>
          <w:sz w:val="23"/>
          <w:szCs w:val="23"/>
        </w:rPr>
        <w:t xml:space="preserve"> Park, 2022), meaning the child is on the younger side of the vitamin range. The gender of the child cannot be determined as the items relating to the child were all unisex. In, what can be considered, the child’s waste there was a box of Yoyo Bear snacks, what was interesting about this is the way in which the box was opened. The end of the box had been torn and the cardboard that was torn off was still in the box. This could mean that the child opened the box as it was not as neatly done as the other boxes or that the box was hastily opened and the product decanted into another reciprocal. If the box was still to be used it would be more likely that the torn off piece would be thrown away without the box, however, this is not the case therefore </w:t>
      </w:r>
      <w:r w:rsidRPr="000C35D6">
        <w:rPr>
          <w:rFonts w:ascii="Georgia" w:hAnsi="Georgia"/>
          <w:sz w:val="23"/>
          <w:szCs w:val="23"/>
        </w:rPr>
        <w:lastRenderedPageBreak/>
        <w:t>backing up the analysis. Furthermore, in the bag there was also a gift wrap set that is most likely for a child, this could indicate that the couple have friends who have children and were attending their party or instead their child has a friend's birthday to attend, increasing the evidence that there is a child in the household. </w:t>
      </w:r>
    </w:p>
    <w:p w14:paraId="237D511A" w14:textId="77777777" w:rsidR="000C35D6" w:rsidRPr="000C35D6" w:rsidRDefault="000C35D6" w:rsidP="000C35D6">
      <w:pPr>
        <w:rPr>
          <w:rFonts w:ascii="Georgia" w:hAnsi="Georgia"/>
          <w:sz w:val="23"/>
          <w:szCs w:val="23"/>
        </w:rPr>
      </w:pPr>
    </w:p>
    <w:p w14:paraId="199D0792" w14:textId="77777777" w:rsidR="000C35D6" w:rsidRPr="000C35D6" w:rsidRDefault="000C35D6" w:rsidP="000C35D6">
      <w:pPr>
        <w:rPr>
          <w:rFonts w:ascii="Georgia" w:hAnsi="Georgia"/>
          <w:sz w:val="23"/>
          <w:szCs w:val="23"/>
        </w:rPr>
      </w:pPr>
      <w:r w:rsidRPr="000C35D6">
        <w:rPr>
          <w:rFonts w:ascii="Georgia" w:hAnsi="Georgia"/>
          <w:sz w:val="23"/>
          <w:szCs w:val="23"/>
        </w:rPr>
        <w:t>When distinguishing between one or two adults we looked at the quantity of food that was presented. The amount of tins is indicative of a big meal that would possibly feed more than just one young child and one adult, therefore it could be suggested that this is at least a family of three. However, this can be opposed through the idea that they were cooking a larger meal to have leftovers for the next day, meaning it could also suggest that there is only one child and adult. Additionally the need for time is evident in some of the other products, mainly the mixed spices for curry- this item could suggest that the individual does not have a lot of time at the end of the day to cook dinner. Moreover, this could suggest that the adults are in full time work and if it is two adults that they both have full time jobs and do not have the time to finish dinner at the end of the day. When looking at the cans it can be assumed that they were recently baking something due to the quantity of fruit and cooking something (due to the quantity of tomato cans and beans), statistically it is something mainly women do (Aubrey, 2023) for the family and therefore could mean that one of the adult (or adults) maybe female. </w:t>
      </w:r>
    </w:p>
    <w:p w14:paraId="38383D90" w14:textId="77777777" w:rsidR="000C35D6" w:rsidRPr="000C35D6" w:rsidRDefault="000C35D6" w:rsidP="000C35D6">
      <w:pPr>
        <w:rPr>
          <w:rFonts w:ascii="Georgia" w:hAnsi="Georgia"/>
          <w:sz w:val="23"/>
          <w:szCs w:val="23"/>
        </w:rPr>
      </w:pPr>
    </w:p>
    <w:p w14:paraId="609E88C3" w14:textId="2EE12DDF" w:rsidR="000C35D6" w:rsidRPr="000C35D6" w:rsidRDefault="000C35D6" w:rsidP="000C35D6">
      <w:pPr>
        <w:rPr>
          <w:rFonts w:ascii="Georgia" w:hAnsi="Georgia"/>
          <w:sz w:val="23"/>
          <w:szCs w:val="23"/>
        </w:rPr>
      </w:pPr>
      <w:r w:rsidRPr="000C35D6">
        <w:rPr>
          <w:rFonts w:ascii="Georgia" w:hAnsi="Georgia"/>
          <w:sz w:val="23"/>
          <w:szCs w:val="23"/>
        </w:rPr>
        <w:t>When first arranging the bags our first instinct was to organise it by material, cardboard with cardboard and so on.  This organisation could be indicative of our society in which we are required to separate certain materials into different bags. In doing so we noticed a stark amount of cardboard based products compared to the amount of plastic ones. Almost all materials, excluding a lid of a punnet of blackberries, can be recycled meaning the family are conscious of their economic impact and are trying to involve themselves in sustainability. Zooming in on the tins, it is clear that they have been cleaned and the lids, other than two, are not with the tins. This again tells us that the family is aware of the regulations in which to recycle things and take the time and effort to wash their rubbish before throwing it away. This is then replicated with the yoghurt pots, each having been washed before thrown away. This then is opposed by the fact that the cardboard isn’t folded, since the effort was taken to wash out the tins, not folding the cardboard is an anomaly. This is an expression of culture as in different places different materials can be put into different bins, in this instance the bag is from Carmarthenshire meaning that tin, plastics and cupboards can be put together whereas in Lampeter these materials are separated into different bins. Focusing on the cardboard products we realised that a majority held a focus on ‘organic’ and ‘healthy’ substitutes with most of them being vegan or vegetarian friendly. Specifically, the idea of vegetarianism stems from the box of veggie fingers and the almond milk, this could again be an individualistic quality of the owners and may branch from their childhood. Alternatively, the family could simply enjoy such things predominantly used by vegetarians rather than meat or milk based products. We didn’t go as far to say that the family were possibly vegan as the yoghurt, despite being for children, most likely tell us that they do consume dairy even if in small portions. Additionally, since they are children</w:t>
      </w:r>
      <w:r>
        <w:rPr>
          <w:rFonts w:ascii="Georgia" w:hAnsi="Georgia"/>
          <w:sz w:val="23"/>
          <w:szCs w:val="23"/>
        </w:rPr>
        <w:t>’</w:t>
      </w:r>
      <w:r w:rsidRPr="000C35D6">
        <w:rPr>
          <w:rFonts w:ascii="Georgia" w:hAnsi="Georgia"/>
          <w:sz w:val="23"/>
          <w:szCs w:val="23"/>
        </w:rPr>
        <w:t xml:space="preserve">s yoghurts it is more likely that the whole family is not vegan as for children as young as this one is assumed to be, often do not have a large influence on their diets, therefore if they were vegan the child would also be vegan which they are not. There is only one paper bag found in this pile, having held two </w:t>
      </w:r>
      <w:r w:rsidRPr="000C35D6">
        <w:rPr>
          <w:rFonts w:ascii="Georgia" w:hAnsi="Georgia"/>
          <w:sz w:val="23"/>
          <w:szCs w:val="23"/>
        </w:rPr>
        <w:lastRenderedPageBreak/>
        <w:t>apples, the way in which this paper bag had been ripped open suggests that they were using both apples at the same time and had no intention of resealing the bag. Furthermore, in combination with some of the items it could be deduced that the fruit ( three cans of peach slices, blackberries and apples) were being used in some sort of dessert. </w:t>
      </w:r>
    </w:p>
    <w:p w14:paraId="3CF19DAC" w14:textId="77777777" w:rsidR="000C35D6" w:rsidRPr="000C35D6" w:rsidRDefault="000C35D6" w:rsidP="000C35D6">
      <w:pPr>
        <w:rPr>
          <w:rFonts w:ascii="Georgia" w:hAnsi="Georgia"/>
          <w:sz w:val="23"/>
          <w:szCs w:val="23"/>
        </w:rPr>
      </w:pPr>
    </w:p>
    <w:p w14:paraId="1C3A9A7D" w14:textId="77777777" w:rsidR="000C35D6" w:rsidRPr="000C35D6" w:rsidRDefault="000C35D6" w:rsidP="000C35D6">
      <w:pPr>
        <w:rPr>
          <w:rFonts w:ascii="Georgia" w:hAnsi="Georgia"/>
          <w:sz w:val="23"/>
          <w:szCs w:val="23"/>
        </w:rPr>
      </w:pPr>
      <w:r w:rsidRPr="000C35D6">
        <w:rPr>
          <w:rFonts w:ascii="Georgia" w:hAnsi="Georgia"/>
          <w:sz w:val="23"/>
          <w:szCs w:val="23"/>
        </w:rPr>
        <w:t>Rearranging the items into a stereotypical perception of ‘children's’ and ‘adult items’ we can see that there is still a large connection between them. Again there’s a focus on organic brands and products in both groups, meaning the family is conscious of what they eat and will choose the healthier option when given the choice. The narrative of this new rearrangement shows that, from this bag, the family do not consume a lot of sugar or additives. This is present in the fact that some objects had reductions in sugar such as the Graze bars and the children’s items are the healthier options for things such as cereal. Again, there is a pattern in the children's items, many from the ‘Organic’ brand and a few from the Yoyo Bears brand as well, meaning that the parents are more aware of the sugar intake of the child or it could possibly mean that the child prefers those brands. Furthermore, the choice of almond milk may suggest that someone in the family, most likely an adult, could be lactose intolerant or prefers milk alternatives. This is another dietary decision that the family follows that deviates from the norms since only 35% of the Uk consume mostly plant-based milk substitutes (Wunsch, 2024).  Comparatively, the first arrangement gave an overview of the types of material the family favours and their attempt to remain sustainable through recycling correctly, whereas in this arrangement it is easier to pick out the specifics of the families diet and how the child is also involved in the healthy eating. What is evidently missing from this pile is anything relating to takeaways or order in meals, meaning that either they keep the plastic containers (dependent on what they order) or they do not eat fast food often. This then fits with the theory that they are cautious on what they eat and cook their food, be it things that take a shorter amount of time to cook, then order in. </w:t>
      </w:r>
    </w:p>
    <w:p w14:paraId="0F45806F" w14:textId="77777777" w:rsidR="000C35D6" w:rsidRPr="000C35D6" w:rsidRDefault="000C35D6" w:rsidP="000C35D6">
      <w:pPr>
        <w:rPr>
          <w:rFonts w:ascii="Georgia" w:hAnsi="Georgia"/>
          <w:sz w:val="23"/>
          <w:szCs w:val="23"/>
        </w:rPr>
      </w:pPr>
    </w:p>
    <w:p w14:paraId="785CDFB0" w14:textId="77777777" w:rsidR="000C35D6" w:rsidRPr="000C35D6" w:rsidRDefault="000C35D6" w:rsidP="000C35D6">
      <w:pPr>
        <w:rPr>
          <w:rFonts w:ascii="Georgia" w:hAnsi="Georgia"/>
          <w:sz w:val="23"/>
          <w:szCs w:val="23"/>
        </w:rPr>
      </w:pPr>
      <w:r w:rsidRPr="000C35D6">
        <w:rPr>
          <w:rFonts w:ascii="Georgia" w:hAnsi="Georgia"/>
          <w:sz w:val="23"/>
          <w:szCs w:val="23"/>
        </w:rPr>
        <w:t>Another way to organise the rubbish is in colour, cooler shades going with cooler shades and warmer going with warmer. When put into these piles it becomes clearer that the individual's packaging mainly consists of things that have quite nullified, warmer colours. This would be because organic brands often use duller colours in their packaging to give off a more sustainable appearance as earthy colours invoke a more eco-friendly feeling (</w:t>
      </w:r>
      <w:proofErr w:type="spellStart"/>
      <w:r w:rsidRPr="000C35D6">
        <w:rPr>
          <w:rFonts w:ascii="Georgia" w:hAnsi="Georgia"/>
          <w:sz w:val="23"/>
          <w:szCs w:val="23"/>
        </w:rPr>
        <w:t>allpack</w:t>
      </w:r>
      <w:proofErr w:type="spellEnd"/>
      <w:r w:rsidRPr="000C35D6">
        <w:rPr>
          <w:rFonts w:ascii="Georgia" w:hAnsi="Georgia"/>
          <w:sz w:val="23"/>
          <w:szCs w:val="23"/>
        </w:rPr>
        <w:t>, 2024). Therefore it could be assumed that the family are more drawn to such colours and are very eco-conscious. This could also suggest that they are a more active family and use those snacks and natural bars (such as Graze and Deliciously Ella) when out on walks or during activities. In contrast to the other organisations this could possibly give a larger insight into what the family is attracted by in terms of product and also could suggest their activity levels. Although, the natural bars could also suggest that they do not have a lot of time, further providing evidence to the idea that their jobs are regular day jobs and possibly labour or mentally intensive, meaning that they do not want to constantly be thinking about what to have for snacks or meals throughout the day and choose a quicker alternative. </w:t>
      </w:r>
    </w:p>
    <w:p w14:paraId="1DFE5A13" w14:textId="77777777" w:rsidR="000C35D6" w:rsidRPr="000C35D6" w:rsidRDefault="000C35D6" w:rsidP="000C35D6">
      <w:pPr>
        <w:rPr>
          <w:rFonts w:ascii="Georgia" w:hAnsi="Georgia"/>
          <w:sz w:val="23"/>
          <w:szCs w:val="23"/>
        </w:rPr>
      </w:pPr>
    </w:p>
    <w:p w14:paraId="41D25D8C" w14:textId="77777777" w:rsidR="000C35D6" w:rsidRPr="000C35D6" w:rsidRDefault="000C35D6" w:rsidP="000C35D6">
      <w:pPr>
        <w:rPr>
          <w:rFonts w:ascii="Georgia" w:hAnsi="Georgia"/>
          <w:sz w:val="23"/>
          <w:szCs w:val="23"/>
        </w:rPr>
      </w:pPr>
      <w:r w:rsidRPr="000C35D6">
        <w:rPr>
          <w:rFonts w:ascii="Georgia" w:hAnsi="Georgia"/>
          <w:sz w:val="23"/>
          <w:szCs w:val="23"/>
        </w:rPr>
        <w:lastRenderedPageBreak/>
        <w:t>Conclusively, it can be deduced that the property has at least one adult and child with the adult having a full higher paid full time job, meaning they are more likely to be university educated. The individuals are conscious of what they eat and are more likely to go with the healthier option when presented while also focusing on sustainability. </w:t>
      </w:r>
    </w:p>
    <w:p w14:paraId="3E5BAB1C" w14:textId="77777777" w:rsidR="000C35D6" w:rsidRPr="000C35D6" w:rsidRDefault="000C35D6" w:rsidP="000C35D6">
      <w:pPr>
        <w:rPr>
          <w:rFonts w:ascii="Georgia" w:hAnsi="Georgia"/>
          <w:sz w:val="23"/>
          <w:szCs w:val="23"/>
        </w:rPr>
      </w:pPr>
      <w:r w:rsidRPr="000C35D6">
        <w:rPr>
          <w:rFonts w:ascii="Georgia" w:hAnsi="Georgia"/>
          <w:sz w:val="23"/>
          <w:szCs w:val="23"/>
        </w:rPr>
        <w:br/>
      </w:r>
    </w:p>
    <w:p w14:paraId="7A90E7B0" w14:textId="77777777" w:rsidR="000C35D6" w:rsidRPr="000C35D6" w:rsidRDefault="000C35D6" w:rsidP="000C35D6">
      <w:pPr>
        <w:rPr>
          <w:rFonts w:ascii="Georgia" w:hAnsi="Georgia"/>
          <w:sz w:val="23"/>
          <w:szCs w:val="23"/>
        </w:rPr>
      </w:pPr>
    </w:p>
    <w:p w14:paraId="5CE858BE" w14:textId="77777777" w:rsidR="000C35D6" w:rsidRPr="000C35D6" w:rsidRDefault="000C35D6" w:rsidP="000C35D6">
      <w:pPr>
        <w:rPr>
          <w:rFonts w:ascii="Georgia" w:hAnsi="Georgia"/>
          <w:sz w:val="23"/>
          <w:szCs w:val="23"/>
        </w:rPr>
      </w:pPr>
    </w:p>
    <w:p w14:paraId="5DC0368C" w14:textId="241536E9" w:rsidR="000C35D6" w:rsidRPr="000C35D6" w:rsidRDefault="000C35D6" w:rsidP="000C35D6">
      <w:pPr>
        <w:rPr>
          <w:rFonts w:ascii="Georgia" w:hAnsi="Georgia"/>
          <w:sz w:val="23"/>
          <w:szCs w:val="23"/>
        </w:rPr>
      </w:pPr>
      <w:r w:rsidRPr="000C35D6">
        <w:rPr>
          <w:rFonts w:ascii="Georgia" w:hAnsi="Georgia"/>
          <w:sz w:val="23"/>
          <w:szCs w:val="23"/>
        </w:rPr>
        <w:t>Bibliography:</w:t>
      </w:r>
    </w:p>
    <w:p w14:paraId="31F98FD9" w14:textId="77777777" w:rsidR="000C35D6" w:rsidRPr="000C35D6" w:rsidRDefault="000C35D6" w:rsidP="000C35D6">
      <w:pPr>
        <w:rPr>
          <w:rFonts w:ascii="Georgia" w:hAnsi="Georgia"/>
          <w:sz w:val="23"/>
          <w:szCs w:val="23"/>
        </w:rPr>
      </w:pPr>
    </w:p>
    <w:p w14:paraId="4E103C64" w14:textId="77777777" w:rsidR="000C35D6" w:rsidRPr="000C35D6" w:rsidRDefault="000C35D6" w:rsidP="000C35D6">
      <w:pPr>
        <w:rPr>
          <w:rFonts w:ascii="Georgia" w:hAnsi="Georgia"/>
          <w:sz w:val="23"/>
          <w:szCs w:val="23"/>
        </w:rPr>
      </w:pPr>
      <w:proofErr w:type="spellStart"/>
      <w:r w:rsidRPr="000C35D6">
        <w:rPr>
          <w:rFonts w:ascii="Georgia" w:hAnsi="Georgia"/>
          <w:sz w:val="23"/>
          <w:szCs w:val="23"/>
        </w:rPr>
        <w:t>Paultons</w:t>
      </w:r>
      <w:proofErr w:type="spellEnd"/>
      <w:r w:rsidRPr="000C35D6">
        <w:rPr>
          <w:rFonts w:ascii="Georgia" w:hAnsi="Georgia"/>
          <w:sz w:val="23"/>
          <w:szCs w:val="23"/>
        </w:rPr>
        <w:t xml:space="preserve"> Park (2022). </w:t>
      </w:r>
      <w:r w:rsidRPr="000C35D6">
        <w:rPr>
          <w:rFonts w:ascii="Georgia" w:hAnsi="Georgia"/>
          <w:i/>
          <w:iCs/>
          <w:sz w:val="23"/>
          <w:szCs w:val="23"/>
        </w:rPr>
        <w:t xml:space="preserve">What Age is Peppa Pig for? - </w:t>
      </w:r>
      <w:proofErr w:type="spellStart"/>
      <w:r w:rsidRPr="000C35D6">
        <w:rPr>
          <w:rFonts w:ascii="Georgia" w:hAnsi="Georgia"/>
          <w:i/>
          <w:iCs/>
          <w:sz w:val="23"/>
          <w:szCs w:val="23"/>
        </w:rPr>
        <w:t>Paultons</w:t>
      </w:r>
      <w:proofErr w:type="spellEnd"/>
      <w:r w:rsidRPr="000C35D6">
        <w:rPr>
          <w:rFonts w:ascii="Georgia" w:hAnsi="Georgia"/>
          <w:i/>
          <w:iCs/>
          <w:sz w:val="23"/>
          <w:szCs w:val="23"/>
        </w:rPr>
        <w:t xml:space="preserve"> Park Blog</w:t>
      </w:r>
      <w:r w:rsidRPr="000C35D6">
        <w:rPr>
          <w:rFonts w:ascii="Georgia" w:hAnsi="Georgia"/>
          <w:sz w:val="23"/>
          <w:szCs w:val="23"/>
        </w:rPr>
        <w:t xml:space="preserve">. [online] </w:t>
      </w:r>
      <w:proofErr w:type="spellStart"/>
      <w:r w:rsidRPr="000C35D6">
        <w:rPr>
          <w:rFonts w:ascii="Georgia" w:hAnsi="Georgia"/>
          <w:sz w:val="23"/>
          <w:szCs w:val="23"/>
        </w:rPr>
        <w:t>Paultons</w:t>
      </w:r>
      <w:proofErr w:type="spellEnd"/>
      <w:r w:rsidRPr="000C35D6">
        <w:rPr>
          <w:rFonts w:ascii="Georgia" w:hAnsi="Georgia"/>
          <w:sz w:val="23"/>
          <w:szCs w:val="23"/>
        </w:rPr>
        <w:t xml:space="preserve"> Park. Available at: https://blog.paultonspark.co.uk/what-age-is-peppa-pig-for/.</w:t>
      </w:r>
    </w:p>
    <w:p w14:paraId="5FE9A9E2" w14:textId="77777777" w:rsidR="000C35D6" w:rsidRPr="000C35D6" w:rsidRDefault="000C35D6" w:rsidP="000C35D6">
      <w:pPr>
        <w:rPr>
          <w:rFonts w:ascii="Georgia" w:hAnsi="Georgia"/>
          <w:sz w:val="23"/>
          <w:szCs w:val="23"/>
        </w:rPr>
      </w:pPr>
      <w:r w:rsidRPr="000C35D6">
        <w:rPr>
          <w:rFonts w:ascii="Georgia" w:hAnsi="Georgia"/>
          <w:sz w:val="23"/>
          <w:szCs w:val="23"/>
        </w:rPr>
        <w:t xml:space="preserve">Aubrey, A. (2023). </w:t>
      </w:r>
      <w:r w:rsidRPr="000C35D6">
        <w:rPr>
          <w:rFonts w:ascii="Georgia" w:hAnsi="Georgia"/>
          <w:i/>
          <w:iCs/>
          <w:sz w:val="23"/>
          <w:szCs w:val="23"/>
        </w:rPr>
        <w:t>Worldwide, women cook twice as much as men: One country bucks the trend</w:t>
      </w:r>
      <w:r w:rsidRPr="000C35D6">
        <w:rPr>
          <w:rFonts w:ascii="Georgia" w:hAnsi="Georgia"/>
          <w:sz w:val="23"/>
          <w:szCs w:val="23"/>
        </w:rPr>
        <w:t>. [online] NPR. Available at: https://www.npr.org/sections/health-shots/2023/10/30/1209473449/worldwide-women-cook-twice-as-much-as-men-one-country-bucks-the-trend.</w:t>
      </w:r>
    </w:p>
    <w:p w14:paraId="22272FF9" w14:textId="77777777" w:rsidR="000C35D6" w:rsidRPr="000C35D6" w:rsidRDefault="000C35D6" w:rsidP="000C35D6">
      <w:pPr>
        <w:rPr>
          <w:rFonts w:ascii="Georgia" w:hAnsi="Georgia"/>
          <w:sz w:val="23"/>
          <w:szCs w:val="23"/>
        </w:rPr>
      </w:pPr>
      <w:r w:rsidRPr="000C35D6">
        <w:rPr>
          <w:rFonts w:ascii="Georgia" w:hAnsi="Georgia"/>
          <w:sz w:val="23"/>
          <w:szCs w:val="23"/>
        </w:rPr>
        <w:t xml:space="preserve">Wunsch, N.-G. (2024). </w:t>
      </w:r>
      <w:r w:rsidRPr="000C35D6">
        <w:rPr>
          <w:rFonts w:ascii="Georgia" w:hAnsi="Georgia"/>
          <w:i/>
          <w:iCs/>
          <w:sz w:val="23"/>
          <w:szCs w:val="23"/>
        </w:rPr>
        <w:t>Plant-based milk: consumption by type &amp; age group in the UK 2022</w:t>
      </w:r>
      <w:r w:rsidRPr="000C35D6">
        <w:rPr>
          <w:rFonts w:ascii="Georgia" w:hAnsi="Georgia"/>
          <w:sz w:val="23"/>
          <w:szCs w:val="23"/>
        </w:rPr>
        <w:t>. [online] Statista. Available at: https://www.statista.com/statistics/1388126/consumer-preference-of-different-types-of-plant-based-milks-age/.</w:t>
      </w:r>
    </w:p>
    <w:p w14:paraId="54683A5F" w14:textId="77777777" w:rsidR="000C35D6" w:rsidRPr="000C35D6" w:rsidRDefault="000C35D6" w:rsidP="000C35D6">
      <w:pPr>
        <w:rPr>
          <w:rFonts w:ascii="Georgia" w:hAnsi="Georgia"/>
          <w:sz w:val="23"/>
          <w:szCs w:val="23"/>
        </w:rPr>
      </w:pPr>
      <w:proofErr w:type="spellStart"/>
      <w:r w:rsidRPr="000C35D6">
        <w:rPr>
          <w:rFonts w:ascii="Georgia" w:hAnsi="Georgia"/>
          <w:sz w:val="23"/>
          <w:szCs w:val="23"/>
        </w:rPr>
        <w:t>allpack</w:t>
      </w:r>
      <w:proofErr w:type="spellEnd"/>
      <w:r w:rsidRPr="000C35D6">
        <w:rPr>
          <w:rFonts w:ascii="Georgia" w:hAnsi="Georgia"/>
          <w:sz w:val="23"/>
          <w:szCs w:val="23"/>
        </w:rPr>
        <w:t xml:space="preserve"> (2024). </w:t>
      </w:r>
      <w:r w:rsidRPr="000C35D6">
        <w:rPr>
          <w:rFonts w:ascii="Georgia" w:hAnsi="Georgia"/>
          <w:i/>
          <w:iCs/>
          <w:sz w:val="23"/>
          <w:szCs w:val="23"/>
        </w:rPr>
        <w:t>Colour Psychology in Eco Packaging Design</w:t>
      </w:r>
      <w:r w:rsidRPr="000C35D6">
        <w:rPr>
          <w:rFonts w:ascii="Georgia" w:hAnsi="Georgia"/>
          <w:sz w:val="23"/>
          <w:szCs w:val="23"/>
        </w:rPr>
        <w:t>. [online] blog.allpack.uk.com. Available at: https://blog.allpack.uk.com/colour-psychology-eco-packaging-design.</w:t>
      </w:r>
    </w:p>
    <w:p w14:paraId="7AED874C" w14:textId="77777777" w:rsidR="006E52E6" w:rsidRPr="000C35D6" w:rsidRDefault="006E52E6">
      <w:pPr>
        <w:rPr>
          <w:rFonts w:ascii="Georgia" w:hAnsi="Georgia"/>
          <w:sz w:val="23"/>
          <w:szCs w:val="23"/>
        </w:rPr>
      </w:pPr>
    </w:p>
    <w:sectPr w:rsidR="006E52E6" w:rsidRPr="000C35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5D6"/>
    <w:rsid w:val="000C35D6"/>
    <w:rsid w:val="001D1819"/>
    <w:rsid w:val="006E52E6"/>
    <w:rsid w:val="00893028"/>
    <w:rsid w:val="00FD5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8F8E6B"/>
  <w15:chartTrackingRefBased/>
  <w15:docId w15:val="{E032FE75-58BB-4B29-9638-7C0191882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5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35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35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35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35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35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35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35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35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5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35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35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35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35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35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35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35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35D6"/>
    <w:rPr>
      <w:rFonts w:eastAsiaTheme="majorEastAsia" w:cstheme="majorBidi"/>
      <w:color w:val="272727" w:themeColor="text1" w:themeTint="D8"/>
    </w:rPr>
  </w:style>
  <w:style w:type="paragraph" w:styleId="Title">
    <w:name w:val="Title"/>
    <w:basedOn w:val="Normal"/>
    <w:next w:val="Normal"/>
    <w:link w:val="TitleChar"/>
    <w:uiPriority w:val="10"/>
    <w:qFormat/>
    <w:rsid w:val="000C35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35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35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35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35D6"/>
    <w:pPr>
      <w:spacing w:before="160"/>
      <w:jc w:val="center"/>
    </w:pPr>
    <w:rPr>
      <w:i/>
      <w:iCs/>
      <w:color w:val="404040" w:themeColor="text1" w:themeTint="BF"/>
    </w:rPr>
  </w:style>
  <w:style w:type="character" w:customStyle="1" w:styleId="QuoteChar">
    <w:name w:val="Quote Char"/>
    <w:basedOn w:val="DefaultParagraphFont"/>
    <w:link w:val="Quote"/>
    <w:uiPriority w:val="29"/>
    <w:rsid w:val="000C35D6"/>
    <w:rPr>
      <w:i/>
      <w:iCs/>
      <w:color w:val="404040" w:themeColor="text1" w:themeTint="BF"/>
    </w:rPr>
  </w:style>
  <w:style w:type="paragraph" w:styleId="ListParagraph">
    <w:name w:val="List Paragraph"/>
    <w:basedOn w:val="Normal"/>
    <w:uiPriority w:val="34"/>
    <w:qFormat/>
    <w:rsid w:val="000C35D6"/>
    <w:pPr>
      <w:ind w:left="720"/>
      <w:contextualSpacing/>
    </w:pPr>
  </w:style>
  <w:style w:type="character" w:styleId="IntenseEmphasis">
    <w:name w:val="Intense Emphasis"/>
    <w:basedOn w:val="DefaultParagraphFont"/>
    <w:uiPriority w:val="21"/>
    <w:qFormat/>
    <w:rsid w:val="000C35D6"/>
    <w:rPr>
      <w:i/>
      <w:iCs/>
      <w:color w:val="0F4761" w:themeColor="accent1" w:themeShade="BF"/>
    </w:rPr>
  </w:style>
  <w:style w:type="paragraph" w:styleId="IntenseQuote">
    <w:name w:val="Intense Quote"/>
    <w:basedOn w:val="Normal"/>
    <w:next w:val="Normal"/>
    <w:link w:val="IntenseQuoteChar"/>
    <w:uiPriority w:val="30"/>
    <w:qFormat/>
    <w:rsid w:val="000C35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35D6"/>
    <w:rPr>
      <w:i/>
      <w:iCs/>
      <w:color w:val="0F4761" w:themeColor="accent1" w:themeShade="BF"/>
    </w:rPr>
  </w:style>
  <w:style w:type="character" w:styleId="IntenseReference">
    <w:name w:val="Intense Reference"/>
    <w:basedOn w:val="DefaultParagraphFont"/>
    <w:uiPriority w:val="32"/>
    <w:qFormat/>
    <w:rsid w:val="000C35D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5666407">
      <w:bodyDiv w:val="1"/>
      <w:marLeft w:val="0"/>
      <w:marRight w:val="0"/>
      <w:marTop w:val="0"/>
      <w:marBottom w:val="0"/>
      <w:divBdr>
        <w:top w:val="none" w:sz="0" w:space="0" w:color="auto"/>
        <w:left w:val="none" w:sz="0" w:space="0" w:color="auto"/>
        <w:bottom w:val="none" w:sz="0" w:space="0" w:color="auto"/>
        <w:right w:val="none" w:sz="0" w:space="0" w:color="auto"/>
      </w:divBdr>
    </w:div>
    <w:div w:id="1314335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1846</Words>
  <Characters>10526</Characters>
  <Application>Microsoft Office Word</Application>
  <DocSecurity>0</DocSecurity>
  <Lines>87</Lines>
  <Paragraphs>24</Paragraphs>
  <ScaleCrop>false</ScaleCrop>
  <Company/>
  <LinksUpToDate>false</LinksUpToDate>
  <CharactersWithSpaces>12348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Jasper (Student)</dc:creator>
  <cp:keywords/>
  <dc:description/>
  <cp:lastModifiedBy>Elisabeth Jasper (Student)</cp:lastModifiedBy>
  <cp:revision>1</cp:revision>
  <dcterms:created xsi:type="dcterms:W3CDTF">2024-11-03T14:51:00Z</dcterms:created>
  <dcterms:modified xsi:type="dcterms:W3CDTF">2024-11-03T14:53:00Z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36afbda6-8ace-4846-b544-c9b001254f42</vt:lpwstr>
  </property>
</Properties>
</file>