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F91ED" w14:textId="7ABC9BD8" w:rsidR="00D91AEA" w:rsidRDefault="0014393C" w:rsidP="000653DE">
      <w:pPr>
        <w:spacing w:line="480" w:lineRule="auto"/>
        <w:jc w:val="center"/>
        <w:rPr>
          <w:u w:val="single"/>
        </w:rPr>
      </w:pPr>
      <w:r>
        <w:rPr>
          <w:u w:val="single"/>
        </w:rPr>
        <w:t>James Forder HPHI 5009: Portfolio 2 (Roger II and Christ, Palermo)</w:t>
      </w:r>
    </w:p>
    <w:p w14:paraId="30B39D43" w14:textId="75A4ED7A" w:rsidR="0014393C" w:rsidRDefault="0014393C" w:rsidP="000653DE">
      <w:pPr>
        <w:spacing w:line="480" w:lineRule="auto"/>
        <w:jc w:val="center"/>
        <w:rPr>
          <w:u w:val="single"/>
        </w:rPr>
      </w:pPr>
    </w:p>
    <w:p w14:paraId="411EB7CD" w14:textId="3D1DD17C" w:rsidR="001B2AAA" w:rsidRDefault="0014393C" w:rsidP="000653DE">
      <w:pPr>
        <w:spacing w:line="480" w:lineRule="auto"/>
      </w:pPr>
      <w:r>
        <w:t xml:space="preserve">The mosaic of Roger II of Sicily being crowned by Christ at </w:t>
      </w:r>
      <w:proofErr w:type="spellStart"/>
      <w:r>
        <w:t>Martorana</w:t>
      </w:r>
      <w:proofErr w:type="spellEnd"/>
      <w:r>
        <w:t>, Palermo</w:t>
      </w:r>
      <w:r w:rsidR="007A429E">
        <w:t xml:space="preserve"> (fig. 1),</w:t>
      </w:r>
      <w:r>
        <w:t xml:space="preserve"> is a good example of the ways in which the Normans used art to justify their authority, assimilate into the cultures and customs of the peoples existing in the areas they controlled, and used art to make political statements. The image was a particularly subversive and potentially controversial image, which says a significant amount about the mindset and aims of the Norman kings of Sicily.</w:t>
      </w:r>
      <w:r w:rsidR="00D65744">
        <w:t xml:space="preserve"> It also shows the imagery through which they viewed themselves </w:t>
      </w:r>
      <w:r w:rsidR="00FC1147">
        <w:t>and</w:t>
      </w:r>
      <w:r w:rsidR="00D65744">
        <w:t xml:space="preserve"> </w:t>
      </w:r>
      <w:r w:rsidR="00FC1147">
        <w:t>desired</w:t>
      </w:r>
      <w:r w:rsidR="00D65744">
        <w:t xml:space="preserve"> to be viewed by others. This commentary will explore </w:t>
      </w:r>
      <w:r w:rsidR="001B2AAA">
        <w:t>what the image tells us about the status, image and aims of the Norman Sicilian kings</w:t>
      </w:r>
      <w:r w:rsidR="00F3381F">
        <w:t xml:space="preserve"> and how they wanted to present themselves.</w:t>
      </w:r>
    </w:p>
    <w:p w14:paraId="3E77D9DB" w14:textId="2FDFBBA3" w:rsidR="0014393C" w:rsidRDefault="00323FF7" w:rsidP="000653DE">
      <w:pPr>
        <w:spacing w:line="480" w:lineRule="auto"/>
      </w:pPr>
      <w:r>
        <w:t>The first point to address is the significance of the imagery around Roger being crowned by Christ. Firstly, Christ is a major figure in the three main religions in Sicily at the time, Catholicism, Orthodoxy and Islam. This gives the image of Christ handing the crown to Roger universal significance to his subjects, a</w:t>
      </w:r>
      <w:r w:rsidR="00FC1147">
        <w:t xml:space="preserve"> </w:t>
      </w:r>
      <w:r>
        <w:t xml:space="preserve">display of power and legitimacy. More importantly, it separates Roger from the papacy, who initially did not accept his rule as legitimate, so was therefore crowned by an anti-pope </w:t>
      </w:r>
      <w:proofErr w:type="spellStart"/>
      <w:r>
        <w:t>Anacletus</w:t>
      </w:r>
      <w:proofErr w:type="spellEnd"/>
      <w:r>
        <w:t xml:space="preserve"> II.</w:t>
      </w:r>
      <w:r>
        <w:rPr>
          <w:rStyle w:val="FootnoteReference"/>
        </w:rPr>
        <w:footnoteReference w:id="1"/>
      </w:r>
      <w:r w:rsidR="007A429E">
        <w:t xml:space="preserve"> </w:t>
      </w:r>
      <w:r w:rsidR="00F264AA">
        <w:t>In s</w:t>
      </w:r>
      <w:r>
        <w:t xml:space="preserve">howing himself being crowned by Christ himself, Roger is showing that he does not </w:t>
      </w:r>
      <w:r w:rsidR="0089537F">
        <w:t>require</w:t>
      </w:r>
      <w:r>
        <w:t xml:space="preserve"> the pope’s approval</w:t>
      </w:r>
      <w:r w:rsidR="0089537F">
        <w:t xml:space="preserve">, as the approval comes from a higher power, although he was eventually granted legitimacy in 1139, following the pope’s capture following the Treaty of </w:t>
      </w:r>
      <w:proofErr w:type="spellStart"/>
      <w:r w:rsidR="0089537F">
        <w:t>Mignano</w:t>
      </w:r>
      <w:proofErr w:type="spellEnd"/>
      <w:r w:rsidR="0089537F">
        <w:t>.</w:t>
      </w:r>
      <w:r w:rsidR="0089537F">
        <w:rPr>
          <w:rStyle w:val="FootnoteReference"/>
        </w:rPr>
        <w:footnoteReference w:id="2"/>
      </w:r>
      <w:r w:rsidR="008843AA">
        <w:t xml:space="preserve"> According to Barber, Roger may have believed that </w:t>
      </w:r>
      <w:proofErr w:type="spellStart"/>
      <w:r w:rsidR="008843AA">
        <w:t>Anacletus</w:t>
      </w:r>
      <w:proofErr w:type="spellEnd"/>
      <w:r w:rsidR="008843AA">
        <w:t xml:space="preserve"> was more likely to become the legitimate pope, due </w:t>
      </w:r>
      <w:r w:rsidR="008843AA">
        <w:lastRenderedPageBreak/>
        <w:t>to his support of the southern Italian churchmen.</w:t>
      </w:r>
      <w:r w:rsidR="008843AA">
        <w:rPr>
          <w:rStyle w:val="FootnoteReference"/>
        </w:rPr>
        <w:footnoteReference w:id="3"/>
      </w:r>
      <w:r w:rsidR="008843AA">
        <w:t xml:space="preserve"> Therefore, Roger showing himself being crowned by Christ may be a way for him to </w:t>
      </w:r>
      <w:r w:rsidR="00E94BC8">
        <w:t xml:space="preserve">make up for his error of judgement in his endorsement for the papacy, as well as simply distancing himself. Overall, </w:t>
      </w:r>
      <w:r w:rsidR="00FC1147">
        <w:t>the</w:t>
      </w:r>
      <w:r w:rsidR="00E94BC8">
        <w:t xml:space="preserve"> image has a very political goal, showing Roger as equal to above the authority of the </w:t>
      </w:r>
      <w:r w:rsidR="003375A8">
        <w:t>church.</w:t>
      </w:r>
    </w:p>
    <w:p w14:paraId="217496B9" w14:textId="797A7F83" w:rsidR="00E94BC8" w:rsidRDefault="00E94BC8" w:rsidP="000653DE">
      <w:pPr>
        <w:spacing w:line="480" w:lineRule="auto"/>
      </w:pPr>
      <w:r>
        <w:t>The Byzantine imagery in Roger’s portrayal is also very important. For example, he is depicted wearing the garments of Byzantine nobles and Emperors</w:t>
      </w:r>
      <w:r w:rsidR="003375A8">
        <w:t>.</w:t>
      </w:r>
      <w:r>
        <w:rPr>
          <w:rStyle w:val="FootnoteReference"/>
        </w:rPr>
        <w:footnoteReference w:id="4"/>
      </w:r>
      <w:r w:rsidR="003375A8">
        <w:t xml:space="preserve"> This could just be a means for the Greek </w:t>
      </w:r>
      <w:r w:rsidR="007A429E">
        <w:t>inhabitants of Sicily to better identify with the imagery, or it could be an indication of Roger’s ambitions. Marongiu states that this imagery shows that Roger had Imperial ambitions, rather than simply royal.</w:t>
      </w:r>
      <w:r w:rsidR="007A429E">
        <w:rPr>
          <w:rStyle w:val="FootnoteReference"/>
        </w:rPr>
        <w:footnoteReference w:id="5"/>
      </w:r>
      <w:r w:rsidR="007A429E">
        <w:t xml:space="preserve"> By showing himself this way, he is presenting his power as absolute, </w:t>
      </w:r>
      <w:r w:rsidR="00F3381F">
        <w:t>with the same privileges as the Byzantine emperors.</w:t>
      </w:r>
      <w:r w:rsidR="00F3381F">
        <w:rPr>
          <w:rStyle w:val="FootnoteReference"/>
        </w:rPr>
        <w:footnoteReference w:id="6"/>
      </w:r>
      <w:r w:rsidR="00F3381F">
        <w:t xml:space="preserve"> This further adds to the earlier points regarding Roger’s aim to distance himself from the papacy.</w:t>
      </w:r>
      <w:r w:rsidR="00322253">
        <w:t xml:space="preserve"> The expensive nature of such a garb also alludes to the wealth, therefore power of Sicily. This may have been a way of Roger attempting to enhance the prestige of both his achievement in taking control of such a wealthy, powerful location, also to enhance the reputation of Sicily itself.</w:t>
      </w:r>
      <w:r w:rsidR="00F3381F">
        <w:t xml:space="preserve"> However, the garments appear to contain fleur-des-</w:t>
      </w:r>
      <w:proofErr w:type="spellStart"/>
      <w:r w:rsidR="00F3381F">
        <w:t>lis</w:t>
      </w:r>
      <w:proofErr w:type="spellEnd"/>
      <w:r w:rsidR="00F3381F">
        <w:t>, which may be a link to Roger’s French origin.</w:t>
      </w:r>
      <w:r w:rsidR="00F3381F">
        <w:rPr>
          <w:rStyle w:val="FootnoteReference"/>
        </w:rPr>
        <w:footnoteReference w:id="7"/>
      </w:r>
      <w:r w:rsidR="00322253">
        <w:t xml:space="preserve"> Therefore, he is not necessarily portraying himself as a Greek emperor, rather a French or Norman in the role of an emperor. Roger is also wearing a crown which does not fit into the traditional imagery of Byzantine crowns of the time.</w:t>
      </w:r>
      <w:r w:rsidR="00322253">
        <w:rPr>
          <w:rStyle w:val="FootnoteReference"/>
        </w:rPr>
        <w:footnoteReference w:id="8"/>
      </w:r>
      <w:r w:rsidR="00322253">
        <w:t xml:space="preserve"> This imagery also has a similar purpose, giving the Greek Orthodox Christians the familiarity of the Byzantine imperial garb, but with some elements which are unfamiliar, showing that </w:t>
      </w:r>
      <w:r w:rsidR="004E2920">
        <w:t xml:space="preserve">a new ruler has </w:t>
      </w:r>
      <w:r w:rsidR="004E2920">
        <w:lastRenderedPageBreak/>
        <w:t xml:space="preserve">imposed himself onto their positions. Therefore, it is both a display of the Norman conquest of the Sicilian throne, but also a display of their partial assimilation into pre-existing customs and status. Another interesting thing pointed out by Kitzinger is that the </w:t>
      </w:r>
      <w:proofErr w:type="spellStart"/>
      <w:r w:rsidR="004E2920">
        <w:t>loros</w:t>
      </w:r>
      <w:proofErr w:type="spellEnd"/>
      <w:r w:rsidR="004E2920">
        <w:t xml:space="preserve"> is not contemporary for the time</w:t>
      </w:r>
      <w:r w:rsidR="003C405C">
        <w:t>.</w:t>
      </w:r>
      <w:r w:rsidR="003C405C">
        <w:rPr>
          <w:rStyle w:val="FootnoteReference"/>
        </w:rPr>
        <w:footnoteReference w:id="9"/>
      </w:r>
      <w:r w:rsidR="003C405C">
        <w:t xml:space="preserve"> This is likely done to evoke a sense of tradition, linking Roger to ancient emperors at the height of Byzantine power, rather than the rather weak position the empire was experiencing at that time. That way, he is distancing himself from the weakness of the Byzantine Empire from the time, rather showing himself potentially as the figure through which the empire could regain its former glory. This links to a passage in </w:t>
      </w:r>
      <w:r w:rsidR="005E53C7">
        <w:rPr>
          <w:i/>
        </w:rPr>
        <w:t xml:space="preserve">The Deeds of Robert Guiscard </w:t>
      </w:r>
      <w:r w:rsidR="003C405C">
        <w:t>regarding the heroic ancestry of the Greeks.</w:t>
      </w:r>
      <w:r w:rsidR="003C405C">
        <w:rPr>
          <w:rStyle w:val="FootnoteReference"/>
        </w:rPr>
        <w:footnoteReference w:id="10"/>
      </w:r>
      <w:r w:rsidR="00EA5414">
        <w:t xml:space="preserve"> By presenting himself in traditional Byzantine imperial garb, Roger is implying that he is the successor through his deeds to the heroic Greeks of old, contrasting with the poor state of the Greeks at the time.</w:t>
      </w:r>
    </w:p>
    <w:p w14:paraId="6B7AAC70" w14:textId="2283A750" w:rsidR="00D843AA" w:rsidRDefault="00D843AA" w:rsidP="000653DE">
      <w:pPr>
        <w:spacing w:line="480" w:lineRule="auto"/>
      </w:pPr>
      <w:r>
        <w:t>The text is also important, as it is Latin words for ‘King Roger’, but with Greek letters. This is a very interesting combination of the Latin culture of Normandy and Italy, with the Greek culture of Sicily. Therefore, it is understandable to both Latin and Greek audiences, representing the diversity of the kingdom. The inclusion of the letters IC, meaning Jesus Christ, is also an indication of this diversity.</w:t>
      </w:r>
      <w:r>
        <w:rPr>
          <w:rStyle w:val="FootnoteReference"/>
        </w:rPr>
        <w:footnoteReference w:id="11"/>
      </w:r>
      <w:r w:rsidR="00162060">
        <w:t xml:space="preserve"> It could also be viewed as a display of unity, bringing together the languages of the different elements of the kingdom in harmony under one identifiable </w:t>
      </w:r>
      <w:r w:rsidR="00FF344A">
        <w:t>motif. Therefore, Roger is presenting himself as well as Christ as the unifying force behind the peoples of Sicily.</w:t>
      </w:r>
    </w:p>
    <w:p w14:paraId="13311D32" w14:textId="24C23A5E" w:rsidR="00EA5414" w:rsidRDefault="00EA5414" w:rsidP="000653DE">
      <w:pPr>
        <w:spacing w:line="480" w:lineRule="auto"/>
      </w:pPr>
      <w:r>
        <w:t>The image of Christ is interesting in that, unlike most Byzantine style mosaics</w:t>
      </w:r>
      <w:r w:rsidR="00E7611E">
        <w:t xml:space="preserve">, such as the </w:t>
      </w:r>
      <w:r w:rsidR="00E7611E" w:rsidRPr="005E53C7">
        <w:rPr>
          <w:i/>
        </w:rPr>
        <w:t xml:space="preserve">Christ </w:t>
      </w:r>
      <w:proofErr w:type="spellStart"/>
      <w:r w:rsidR="00E7611E" w:rsidRPr="005E53C7">
        <w:rPr>
          <w:i/>
        </w:rPr>
        <w:t>Pantocrator</w:t>
      </w:r>
      <w:proofErr w:type="spellEnd"/>
      <w:r w:rsidR="00E7611E">
        <w:t xml:space="preserve"> (Fig. 2), Jesus is not directly facing the viewer of the image, rather facing Roger, with Roger facing the viewer instead.</w:t>
      </w:r>
      <w:r w:rsidR="000B4724">
        <w:t xml:space="preserve"> This is important, as it makes Roger the primary </w:t>
      </w:r>
      <w:r w:rsidR="000B4724">
        <w:lastRenderedPageBreak/>
        <w:t xml:space="preserve">focus of the image, with the eye of the viewer </w:t>
      </w:r>
      <w:r w:rsidR="00E7259F">
        <w:t xml:space="preserve">initially being drawn to his depiction, due to his gaze and the brightness of his image. Roger’s posture then directs you towards Christ, who is directly facing Roger. </w:t>
      </w:r>
      <w:r w:rsidR="005E53C7">
        <w:t xml:space="preserve">This could be partially done to achieve a linear progression, with the depiction of the king then showing why he is legitimate, or it could be done to illustrate a representation of Roger as a representative or spokesperson for Christ, therefore a divine figure. This expands his role from that of a king, to one </w:t>
      </w:r>
      <w:proofErr w:type="gramStart"/>
      <w:r w:rsidR="005E53C7">
        <w:t>similar to</w:t>
      </w:r>
      <w:proofErr w:type="gramEnd"/>
      <w:r w:rsidR="005E53C7">
        <w:t xml:space="preserve"> that of the pope, which further shows the role of the image in distancing himself from the papacy. The gold colour of the background also has implications of divinity,</w:t>
      </w:r>
      <w:r w:rsidR="005E53C7">
        <w:rPr>
          <w:rStyle w:val="FootnoteReference"/>
        </w:rPr>
        <w:footnoteReference w:id="12"/>
      </w:r>
      <w:r w:rsidR="005E53C7">
        <w:t xml:space="preserve"> which extends behind both figures, potentially showing both figures as divine.</w:t>
      </w:r>
      <w:r w:rsidR="00AB6486">
        <w:t xml:space="preserve"> However, Christ is presented in a larger size than Roger, so it could be implied that Jesus is represented as more divine.</w:t>
      </w:r>
      <w:r w:rsidR="005E53C7">
        <w:t xml:space="preserve"> It is also significant that the crown is being placed on Roger’s head </w:t>
      </w:r>
      <w:r w:rsidR="00AB6486">
        <w:t>with Christ’s right hand, which represents a blessing.</w:t>
      </w:r>
      <w:r w:rsidR="00AB6486">
        <w:rPr>
          <w:rStyle w:val="FootnoteReference"/>
        </w:rPr>
        <w:footnoteReference w:id="13"/>
      </w:r>
      <w:r w:rsidR="00AB6486">
        <w:t xml:space="preserve"> This could be a subversive attack on Innocent II, Roger giving the message that ‘If you do not bless my rule, Christ himself does’. Overall, the posture and positioning of the figures in the image show Roger’s rule to have been blessed by Christ, with both figures presented as divine, perhaps being a response to the initial refusal of the pope to recognise Roger’s rule.</w:t>
      </w:r>
    </w:p>
    <w:p w14:paraId="4A45E464" w14:textId="788DE39C" w:rsidR="00DB711C" w:rsidRPr="003C405C" w:rsidRDefault="00DB711C" w:rsidP="000653DE">
      <w:pPr>
        <w:spacing w:line="480" w:lineRule="auto"/>
      </w:pPr>
      <w:r>
        <w:t xml:space="preserve">Overall, the image is a very subversive </w:t>
      </w:r>
      <w:r w:rsidR="00DF7543">
        <w:t xml:space="preserve">portrayal of the coronation of Roger II of Sicily, breaking away from the traditions of other Western European monarchs showing themselves crowned by popes or bishops, establishing a new tradition for Sicily as appointed directly by God (fig. 3). In doing so, the kings of Sicily show themselves as above the rule of the papacy, with their rule ratified by a higher power. It also evokes the Byzantine emperors, showing </w:t>
      </w:r>
      <w:r w:rsidR="003C6429">
        <w:t>Sicilian kings to be the legitimate rulers of the Greek Orthodox contingent of Sicily</w:t>
      </w:r>
      <w:r w:rsidR="006C14D3">
        <w:t xml:space="preserve">. It also establishes the Norman kings as the spiritual successors of the Byzantine emperors in their </w:t>
      </w:r>
      <w:r w:rsidR="006C14D3">
        <w:lastRenderedPageBreak/>
        <w:t xml:space="preserve">prime, showing Roger as a king who can restore the honour and power to that of old. </w:t>
      </w:r>
      <w:r w:rsidR="00A7542A">
        <w:t xml:space="preserve">In short, it establishes and legitimises a new dynasty in </w:t>
      </w:r>
      <w:r w:rsidR="00763AB0">
        <w:t xml:space="preserve">Sicily whose power derives from the highest authority, who rules over </w:t>
      </w:r>
      <w:proofErr w:type="gramStart"/>
      <w:r w:rsidR="00763AB0">
        <w:t>all of</w:t>
      </w:r>
      <w:proofErr w:type="gramEnd"/>
      <w:r w:rsidR="00763AB0">
        <w:t xml:space="preserve"> the peoples of his territory with absolute power.</w:t>
      </w:r>
    </w:p>
    <w:p w14:paraId="3D30A599" w14:textId="0E4DC204" w:rsidR="003375A8" w:rsidRDefault="003375A8" w:rsidP="000653DE">
      <w:pPr>
        <w:spacing w:line="480" w:lineRule="auto"/>
      </w:pPr>
    </w:p>
    <w:p w14:paraId="2DEB88CC" w14:textId="77777777" w:rsidR="00757AAF" w:rsidRDefault="00757AAF" w:rsidP="000653DE">
      <w:pPr>
        <w:spacing w:line="480" w:lineRule="auto"/>
      </w:pPr>
    </w:p>
    <w:p w14:paraId="27487504" w14:textId="66177B8C" w:rsidR="003375A8" w:rsidRPr="00FE3DB3" w:rsidRDefault="00FE3DB3" w:rsidP="000653DE">
      <w:pPr>
        <w:spacing w:line="480" w:lineRule="auto"/>
        <w:rPr>
          <w:b/>
        </w:rPr>
      </w:pPr>
      <w:bookmarkStart w:id="0" w:name="_GoBack"/>
      <w:bookmarkEnd w:id="0"/>
      <w:r>
        <w:rPr>
          <w:b/>
        </w:rPr>
        <w:t>Word Count: 1303</w:t>
      </w:r>
    </w:p>
    <w:p w14:paraId="0C10186D" w14:textId="6085C677" w:rsidR="003375A8" w:rsidRDefault="003375A8" w:rsidP="00323FF7"/>
    <w:p w14:paraId="071BBE44" w14:textId="352E1D07" w:rsidR="003375A8" w:rsidRDefault="003375A8" w:rsidP="00323FF7"/>
    <w:p w14:paraId="451C73F4" w14:textId="6F992C62" w:rsidR="00F264AA" w:rsidRDefault="00F264AA" w:rsidP="00323FF7"/>
    <w:p w14:paraId="62489626" w14:textId="15B51509" w:rsidR="00F264AA" w:rsidRDefault="00F264AA" w:rsidP="00323FF7"/>
    <w:p w14:paraId="5EF4BCF4" w14:textId="6E01CFCE" w:rsidR="00F264AA" w:rsidRDefault="00F264AA" w:rsidP="00323FF7"/>
    <w:p w14:paraId="568DF2A4" w14:textId="77777777" w:rsidR="00F264AA" w:rsidRDefault="00F264AA" w:rsidP="00323FF7"/>
    <w:p w14:paraId="58E8C889" w14:textId="77777777" w:rsidR="00F264AA" w:rsidRDefault="00F264AA" w:rsidP="00323FF7"/>
    <w:p w14:paraId="50928F41" w14:textId="77777777" w:rsidR="00F264AA" w:rsidRDefault="00F264AA" w:rsidP="00323FF7"/>
    <w:p w14:paraId="2BC06792" w14:textId="02301899" w:rsidR="003375A8" w:rsidRDefault="000B4724" w:rsidP="000653DE">
      <w:pPr>
        <w:spacing w:line="480" w:lineRule="auto"/>
      </w:pPr>
      <w:r w:rsidRPr="00783697">
        <w:rPr>
          <w:noProof/>
          <w:szCs w:val="24"/>
        </w:rPr>
        <w:lastRenderedPageBreak/>
        <w:drawing>
          <wp:anchor distT="0" distB="0" distL="114300" distR="114300" simplePos="0" relativeHeight="251659264" behindDoc="0" locked="0" layoutInCell="1" allowOverlap="1" wp14:anchorId="3C66836E" wp14:editId="4088E9AA">
            <wp:simplePos x="0" y="0"/>
            <wp:positionH relativeFrom="margin">
              <wp:align>left</wp:align>
            </wp:positionH>
            <wp:positionV relativeFrom="paragraph">
              <wp:posOffset>294640</wp:posOffset>
            </wp:positionV>
            <wp:extent cx="2814320" cy="3838575"/>
            <wp:effectExtent l="0" t="0" r="5080" b="0"/>
            <wp:wrapSquare wrapText="bothSides"/>
            <wp:docPr id="5" name="Picture 5" descr="http://upload.wikimedia.org/wikipedia/commons/0/04/Martorana_RogerII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pload.wikimedia.org/wikipedia/commons/0/04/Martorana_RogerII2008.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7169" cy="3842211"/>
                    </a:xfrm>
                    <a:prstGeom prst="rect">
                      <a:avLst/>
                    </a:prstGeom>
                    <a:noFill/>
                    <a:ln>
                      <a:noFill/>
                    </a:ln>
                  </pic:spPr>
                </pic:pic>
              </a:graphicData>
            </a:graphic>
            <wp14:sizeRelH relativeFrom="page">
              <wp14:pctWidth>0</wp14:pctWidth>
            </wp14:sizeRelH>
            <wp14:sizeRelV relativeFrom="page">
              <wp14:pctHeight>0</wp14:pctHeight>
            </wp14:sizeRelV>
          </wp:anchor>
        </w:drawing>
      </w:r>
      <w:r w:rsidR="00F264AA">
        <w:rPr>
          <w:u w:val="single"/>
        </w:rPr>
        <w:t>Appendix</w:t>
      </w:r>
    </w:p>
    <w:p w14:paraId="14A013EB" w14:textId="257A3E55" w:rsidR="000B4724" w:rsidRPr="000B4724" w:rsidRDefault="000B4724" w:rsidP="000653DE">
      <w:pPr>
        <w:spacing w:line="480" w:lineRule="auto"/>
      </w:pPr>
    </w:p>
    <w:p w14:paraId="5DB610E1" w14:textId="2CB264F3" w:rsidR="000B4724" w:rsidRPr="000B4724" w:rsidRDefault="000B4724" w:rsidP="000653DE">
      <w:pPr>
        <w:spacing w:line="480" w:lineRule="auto"/>
      </w:pPr>
    </w:p>
    <w:p w14:paraId="52D7969E" w14:textId="33BA0B28" w:rsidR="000B4724" w:rsidRPr="000B4724" w:rsidRDefault="000B4724" w:rsidP="000653DE">
      <w:pPr>
        <w:spacing w:line="480" w:lineRule="auto"/>
      </w:pPr>
    </w:p>
    <w:p w14:paraId="034ADC9F" w14:textId="69FE6021" w:rsidR="000B4724" w:rsidRPr="000B4724" w:rsidRDefault="000B4724" w:rsidP="000653DE">
      <w:pPr>
        <w:spacing w:line="480" w:lineRule="auto"/>
      </w:pPr>
    </w:p>
    <w:p w14:paraId="5EBABDD0" w14:textId="3D10ADA7" w:rsidR="000B4724" w:rsidRPr="000B4724" w:rsidRDefault="000B4724" w:rsidP="000653DE">
      <w:pPr>
        <w:spacing w:line="480" w:lineRule="auto"/>
      </w:pPr>
    </w:p>
    <w:p w14:paraId="43E2B862" w14:textId="6BC863D6" w:rsidR="000B4724" w:rsidRPr="000B4724" w:rsidRDefault="000B4724" w:rsidP="000653DE">
      <w:pPr>
        <w:spacing w:line="480" w:lineRule="auto"/>
      </w:pPr>
    </w:p>
    <w:p w14:paraId="01AAF997" w14:textId="1735B840" w:rsidR="000B4724" w:rsidRPr="000B4724" w:rsidRDefault="000B4724" w:rsidP="000653DE">
      <w:pPr>
        <w:spacing w:line="480" w:lineRule="auto"/>
      </w:pPr>
    </w:p>
    <w:p w14:paraId="02EA310B" w14:textId="6D68298B" w:rsidR="000B4724" w:rsidRPr="000B4724" w:rsidRDefault="000B4724" w:rsidP="000653DE">
      <w:pPr>
        <w:spacing w:line="480" w:lineRule="auto"/>
      </w:pPr>
    </w:p>
    <w:p w14:paraId="500E9C54" w14:textId="01728CA5" w:rsidR="000B4724" w:rsidRPr="000B4724" w:rsidRDefault="000653DE" w:rsidP="000653DE">
      <w:pPr>
        <w:spacing w:line="480" w:lineRule="auto"/>
      </w:pPr>
      <w:r>
        <w:rPr>
          <w:noProof/>
        </w:rPr>
        <mc:AlternateContent>
          <mc:Choice Requires="wps">
            <w:drawing>
              <wp:anchor distT="0" distB="0" distL="114300" distR="114300" simplePos="0" relativeHeight="251661312" behindDoc="0" locked="0" layoutInCell="1" allowOverlap="1" wp14:anchorId="6932F133" wp14:editId="6072B26F">
                <wp:simplePos x="0" y="0"/>
                <wp:positionH relativeFrom="column">
                  <wp:posOffset>-428625</wp:posOffset>
                </wp:positionH>
                <wp:positionV relativeFrom="paragraph">
                  <wp:posOffset>216535</wp:posOffset>
                </wp:positionV>
                <wp:extent cx="395287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952875" cy="635"/>
                        </a:xfrm>
                        <a:prstGeom prst="rect">
                          <a:avLst/>
                        </a:prstGeom>
                        <a:solidFill>
                          <a:prstClr val="white"/>
                        </a:solidFill>
                        <a:ln>
                          <a:noFill/>
                        </a:ln>
                      </wps:spPr>
                      <wps:txbx>
                        <w:txbxContent>
                          <w:p w14:paraId="7F2376E6" w14:textId="26704E7C" w:rsidR="003375A8" w:rsidRPr="001D45A0" w:rsidRDefault="003375A8" w:rsidP="003375A8">
                            <w:pPr>
                              <w:pStyle w:val="Caption"/>
                              <w:rPr>
                                <w:noProof/>
                                <w:sz w:val="24"/>
                                <w:szCs w:val="24"/>
                              </w:rPr>
                            </w:pPr>
                            <w:r>
                              <w:t xml:space="preserve">Figure </w:t>
                            </w:r>
                            <w:fldSimple w:instr=" SEQ Figure \* ARABIC ">
                              <w:r w:rsidR="00DF7543">
                                <w:rPr>
                                  <w:noProof/>
                                </w:rPr>
                                <w:t>1</w:t>
                              </w:r>
                            </w:fldSimple>
                            <w:r>
                              <w:t xml:space="preserve">: Roger II Being Crowned by Christ, </w:t>
                            </w:r>
                            <w:proofErr w:type="spellStart"/>
                            <w:r>
                              <w:t>Martorana</w:t>
                            </w:r>
                            <w:proofErr w:type="spellEnd"/>
                            <w:r>
                              <w:t>, Palermo.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32F133" id="_x0000_t202" coordsize="21600,21600" o:spt="202" path="m,l,21600r21600,l21600,xe">
                <v:stroke joinstyle="miter"/>
                <v:path gradientshapeok="t" o:connecttype="rect"/>
              </v:shapetype>
              <v:shape id="Text Box 1" o:spid="_x0000_s1026" type="#_x0000_t202" style="position:absolute;margin-left:-33.75pt;margin-top:17.05pt;width:311.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" stroked="f">
                <v:textbox style="mso-fit-shape-to-text:t" inset="0,0,0,0">
                  <w:txbxContent>
                    <w:p w14:paraId="7F2376E6" w14:textId="26704E7C" w:rsidR="003375A8" w:rsidRPr="001D45A0" w:rsidRDefault="003375A8" w:rsidP="003375A8">
                      <w:pPr>
                        <w:pStyle w:val="Caption"/>
                        <w:rPr>
                          <w:noProof/>
                          <w:sz w:val="24"/>
                          <w:szCs w:val="24"/>
                        </w:rPr>
                      </w:pPr>
                      <w:r>
                        <w:t xml:space="preserve">Figure </w:t>
                      </w:r>
                      <w:fldSimple w:instr=" SEQ Figure \* ARABIC ">
                        <w:r w:rsidR="00DF7543">
                          <w:rPr>
                            <w:noProof/>
                          </w:rPr>
                          <w:t>1</w:t>
                        </w:r>
                      </w:fldSimple>
                      <w:r>
                        <w:t xml:space="preserve">: Roger II Being Crowned by Christ, </w:t>
                      </w:r>
                      <w:proofErr w:type="spellStart"/>
                      <w:r>
                        <w:t>Martorana</w:t>
                      </w:r>
                      <w:proofErr w:type="spellEnd"/>
                      <w:r>
                        <w:t>, Palermo.</w:t>
                      </w:r>
                    </w:p>
                  </w:txbxContent>
                </v:textbox>
                <w10:wrap type="square"/>
              </v:shape>
            </w:pict>
          </mc:Fallback>
        </mc:AlternateContent>
      </w:r>
    </w:p>
    <w:p w14:paraId="43AAD493" w14:textId="6E534FD0" w:rsidR="000B4724" w:rsidRPr="000B4724" w:rsidRDefault="000653DE" w:rsidP="000653DE">
      <w:pPr>
        <w:spacing w:line="480" w:lineRule="auto"/>
      </w:pPr>
      <w:r w:rsidRPr="000B4724">
        <w:drawing>
          <wp:inline distT="0" distB="0" distL="0" distR="0" wp14:anchorId="0D29C405" wp14:editId="1651A532">
            <wp:extent cx="4402989" cy="2933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402989" cy="2933700"/>
                    </a:xfrm>
                    <a:prstGeom prst="rect">
                      <a:avLst/>
                    </a:prstGeom>
                  </pic:spPr>
                </pic:pic>
              </a:graphicData>
            </a:graphic>
          </wp:inline>
        </w:drawing>
      </w:r>
    </w:p>
    <w:p w14:paraId="25AF91D5" w14:textId="18C07A86" w:rsidR="000B4724" w:rsidRDefault="000B4724" w:rsidP="000653DE">
      <w:pPr>
        <w:pStyle w:val="Caption"/>
        <w:spacing w:line="480" w:lineRule="auto"/>
      </w:pPr>
      <w:r>
        <w:t xml:space="preserve">Figure </w:t>
      </w:r>
      <w:fldSimple w:instr=" SEQ Figure \* ARABIC ">
        <w:r w:rsidR="00DF7543">
          <w:rPr>
            <w:noProof/>
          </w:rPr>
          <w:t>2</w:t>
        </w:r>
      </w:fldSimple>
      <w:r>
        <w:t xml:space="preserve">: Christus </w:t>
      </w:r>
      <w:proofErr w:type="spellStart"/>
      <w:r>
        <w:t>Pantocrator</w:t>
      </w:r>
      <w:proofErr w:type="spellEnd"/>
      <w:r>
        <w:t xml:space="preserve">, Cathedral of </w:t>
      </w:r>
      <w:proofErr w:type="spellStart"/>
      <w:r>
        <w:t>Cefalu</w:t>
      </w:r>
      <w:proofErr w:type="spellEnd"/>
      <w:r>
        <w:t xml:space="preserve">, Sicily, </w:t>
      </w:r>
      <w:r w:rsidRPr="000F7EB4">
        <w:t xml:space="preserve">By Andreas </w:t>
      </w:r>
      <w:proofErr w:type="spellStart"/>
      <w:r w:rsidRPr="000F7EB4">
        <w:t>Wahra</w:t>
      </w:r>
      <w:proofErr w:type="spellEnd"/>
      <w:r w:rsidRPr="000F7EB4">
        <w:t xml:space="preserve"> [GFDL (http://www.gnu.org/copyleft/fdl.html) or CC-BY-SA-3.0 (http://creativecommons.org/licenses/by-sa/3.0/)], from Wikimedia Commons</w:t>
      </w:r>
    </w:p>
    <w:p w14:paraId="0043A523" w14:textId="09F8C50E" w:rsidR="000B4724" w:rsidRDefault="000B4724" w:rsidP="000653DE">
      <w:pPr>
        <w:spacing w:line="480" w:lineRule="auto"/>
      </w:pPr>
    </w:p>
    <w:p w14:paraId="6623009F" w14:textId="77777777" w:rsidR="00DF7543" w:rsidRDefault="00DF7543" w:rsidP="000653DE">
      <w:pPr>
        <w:keepNext/>
        <w:spacing w:line="480" w:lineRule="auto"/>
      </w:pPr>
      <w:r>
        <w:rPr>
          <w:noProof/>
        </w:rPr>
        <w:lastRenderedPageBreak/>
        <w:drawing>
          <wp:inline distT="0" distB="0" distL="0" distR="0" wp14:anchorId="6B6F5E7A" wp14:editId="13F94EC4">
            <wp:extent cx="2727484" cy="3952875"/>
            <wp:effectExtent l="0" t="0" r="0" b="0"/>
            <wp:docPr id="3" name="Picture 3" descr="File:Monreale photo ru Sibeaster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Monreale photo ru Sibeaster0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5661" cy="3964726"/>
                    </a:xfrm>
                    <a:prstGeom prst="rect">
                      <a:avLst/>
                    </a:prstGeom>
                    <a:noFill/>
                    <a:ln>
                      <a:noFill/>
                    </a:ln>
                  </pic:spPr>
                </pic:pic>
              </a:graphicData>
            </a:graphic>
          </wp:inline>
        </w:drawing>
      </w:r>
    </w:p>
    <w:p w14:paraId="5A674C80" w14:textId="3AAB63CC" w:rsidR="000B4724" w:rsidRDefault="00DF7543" w:rsidP="000653DE">
      <w:pPr>
        <w:pStyle w:val="Caption"/>
        <w:spacing w:line="480" w:lineRule="auto"/>
      </w:pPr>
      <w:r>
        <w:t xml:space="preserve">Figure </w:t>
      </w:r>
      <w:fldSimple w:instr=" SEQ Figure \* ARABIC ">
        <w:r>
          <w:rPr>
            <w:noProof/>
          </w:rPr>
          <w:t>3</w:t>
        </w:r>
      </w:fldSimple>
      <w:r w:rsidR="006C14D3">
        <w:t xml:space="preserve">: </w:t>
      </w:r>
      <w:r>
        <w:t xml:space="preserve">Christ crowns William II of Sicily, </w:t>
      </w:r>
      <w:proofErr w:type="spellStart"/>
      <w:r w:rsidRPr="00405AC0">
        <w:t>Sibeaster</w:t>
      </w:r>
      <w:proofErr w:type="spellEnd"/>
      <w:r w:rsidRPr="00405AC0">
        <w:t xml:space="preserve"> [Public domain], via Wikimedia Commons</w:t>
      </w:r>
    </w:p>
    <w:p w14:paraId="629DC368" w14:textId="6A26987C" w:rsidR="00F264AA" w:rsidRDefault="00F264AA" w:rsidP="000653DE">
      <w:pPr>
        <w:spacing w:line="480" w:lineRule="auto"/>
        <w:rPr>
          <w:u w:val="single"/>
        </w:rPr>
      </w:pPr>
      <w:r>
        <w:rPr>
          <w:u w:val="single"/>
        </w:rPr>
        <w:t>Bibliography</w:t>
      </w:r>
    </w:p>
    <w:p w14:paraId="65B4C874" w14:textId="20F3CF76" w:rsidR="00F264AA" w:rsidRDefault="00F264AA" w:rsidP="000653DE">
      <w:pPr>
        <w:spacing w:line="480" w:lineRule="auto"/>
        <w:rPr>
          <w:u w:val="single"/>
        </w:rPr>
      </w:pPr>
      <w:r>
        <w:rPr>
          <w:u w:val="single"/>
        </w:rPr>
        <w:t>Primary Sources</w:t>
      </w:r>
    </w:p>
    <w:p w14:paraId="446AA407" w14:textId="458C485D" w:rsidR="00F264AA" w:rsidRDefault="00F264AA" w:rsidP="000653DE">
      <w:pPr>
        <w:spacing w:line="480" w:lineRule="auto"/>
      </w:pPr>
      <w:r>
        <w:t xml:space="preserve">William of Apulia, </w:t>
      </w:r>
      <w:r>
        <w:rPr>
          <w:i/>
        </w:rPr>
        <w:t xml:space="preserve">The Deeds of Robert Guiscard, </w:t>
      </w:r>
      <w:r>
        <w:t>translated by G.A. Loud (Leeds: University of Leeds, 2002).</w:t>
      </w:r>
    </w:p>
    <w:p w14:paraId="4379EDDB" w14:textId="77777777" w:rsidR="00F264AA" w:rsidRDefault="00F264AA" w:rsidP="000653DE">
      <w:pPr>
        <w:spacing w:line="480" w:lineRule="auto"/>
        <w:rPr>
          <w:u w:val="single"/>
        </w:rPr>
      </w:pPr>
      <w:r>
        <w:rPr>
          <w:u w:val="single"/>
        </w:rPr>
        <w:t>Modern Scholarship</w:t>
      </w:r>
    </w:p>
    <w:p w14:paraId="7EF38547" w14:textId="26A9DADC" w:rsidR="00F264AA" w:rsidRDefault="00F264AA" w:rsidP="000653DE">
      <w:pPr>
        <w:spacing w:line="480" w:lineRule="auto"/>
      </w:pPr>
      <w:r>
        <w:t>Barber,</w:t>
      </w:r>
      <w:r>
        <w:t xml:space="preserve"> M.,</w:t>
      </w:r>
      <w:r>
        <w:t xml:space="preserve"> </w:t>
      </w:r>
      <w:r>
        <w:rPr>
          <w:i/>
        </w:rPr>
        <w:t xml:space="preserve">The Two Cities: Medieval Europe: 1050-1320, </w:t>
      </w:r>
      <w:r>
        <w:t>Second Edition (London, New York: Routledge, 2004 (1992))</w:t>
      </w:r>
      <w:r>
        <w:t>.</w:t>
      </w:r>
    </w:p>
    <w:p w14:paraId="5D3DE2B7" w14:textId="340B3942" w:rsidR="00F264AA" w:rsidRDefault="0065326E" w:rsidP="000653DE">
      <w:pPr>
        <w:spacing w:line="480" w:lineRule="auto"/>
      </w:pPr>
      <w:r>
        <w:t>Kitzinger,</w:t>
      </w:r>
      <w:r>
        <w:t xml:space="preserve"> E.,</w:t>
      </w:r>
      <w:r>
        <w:t xml:space="preserve"> </w:t>
      </w:r>
      <w:r w:rsidRPr="003375A8">
        <w:rPr>
          <w:i/>
        </w:rPr>
        <w:t>The Mosaics of St. Mary's of the Admiral in Palermo</w:t>
      </w:r>
      <w:r>
        <w:rPr>
          <w:i/>
        </w:rPr>
        <w:t xml:space="preserve">, </w:t>
      </w:r>
      <w:r>
        <w:t>(Washington, DC: Dumbarton Oaks Research Library and Collection, 1990</w:t>
      </w:r>
      <w:r>
        <w:t>).</w:t>
      </w:r>
    </w:p>
    <w:p w14:paraId="2DA067F4" w14:textId="0F7902D6" w:rsidR="006727E3" w:rsidRDefault="006727E3" w:rsidP="000653DE">
      <w:pPr>
        <w:spacing w:line="480" w:lineRule="auto"/>
      </w:pPr>
      <w:r>
        <w:lastRenderedPageBreak/>
        <w:t>Antonio Marongiu, ‘</w:t>
      </w:r>
      <w:r w:rsidRPr="0089537F">
        <w:t>A Model State in the Middle Ages: The Norman and Swabian Kingdom of Sicily</w:t>
      </w:r>
      <w:r>
        <w:t xml:space="preserve">’, </w:t>
      </w:r>
      <w:r w:rsidRPr="0089537F">
        <w:rPr>
          <w:i/>
        </w:rPr>
        <w:t>Comparative Studies in Society and History</w:t>
      </w:r>
      <w:r>
        <w:rPr>
          <w:i/>
        </w:rPr>
        <w:t xml:space="preserve">, </w:t>
      </w:r>
      <w:r>
        <w:t>6(3) (1964)</w:t>
      </w:r>
      <w:r>
        <w:t>, p.p. 307-320.</w:t>
      </w:r>
    </w:p>
    <w:p w14:paraId="64E59669" w14:textId="682219FD" w:rsidR="0065326E" w:rsidRDefault="0065326E" w:rsidP="000653DE">
      <w:pPr>
        <w:spacing w:line="480" w:lineRule="auto"/>
      </w:pPr>
      <w:r>
        <w:t>Norman,</w:t>
      </w:r>
      <w:r>
        <w:t xml:space="preserve"> D.,</w:t>
      </w:r>
      <w:r>
        <w:t xml:space="preserve"> ‘The Sicilian Connection: Imperial Themes in Simone Martini’s St. Louis of Toulouse Altarpiece’, </w:t>
      </w:r>
      <w:proofErr w:type="spellStart"/>
      <w:r>
        <w:rPr>
          <w:i/>
        </w:rPr>
        <w:t>Gesta</w:t>
      </w:r>
      <w:proofErr w:type="spellEnd"/>
      <w:r>
        <w:rPr>
          <w:i/>
        </w:rPr>
        <w:t xml:space="preserve">, </w:t>
      </w:r>
      <w:r>
        <w:t>53(1) (2014)</w:t>
      </w:r>
      <w:r>
        <w:t>, p.p. 25-45.</w:t>
      </w:r>
    </w:p>
    <w:p w14:paraId="7F4BF0F3" w14:textId="306E9240" w:rsidR="006727E3" w:rsidRDefault="006727E3" w:rsidP="000653DE">
      <w:pPr>
        <w:spacing w:line="480" w:lineRule="auto"/>
      </w:pPr>
      <w:r>
        <w:t xml:space="preserve">Gertrude Grace Sill, </w:t>
      </w:r>
      <w:r>
        <w:rPr>
          <w:i/>
        </w:rPr>
        <w:t xml:space="preserve">A Handbook of Symbols in Christian Art </w:t>
      </w:r>
      <w:r>
        <w:t>(New York: Collier Books, 1975</w:t>
      </w:r>
      <w:r>
        <w:t>).</w:t>
      </w:r>
    </w:p>
    <w:p w14:paraId="3CFB9C5C" w14:textId="35D6BD36" w:rsidR="0065326E" w:rsidRPr="00D33A1D" w:rsidRDefault="006727E3" w:rsidP="000653DE">
      <w:pPr>
        <w:spacing w:line="480" w:lineRule="auto"/>
      </w:pPr>
      <w:proofErr w:type="spellStart"/>
      <w:r>
        <w:t>Wieruszovski</w:t>
      </w:r>
      <w:proofErr w:type="spellEnd"/>
      <w:r>
        <w:t>,</w:t>
      </w:r>
      <w:r>
        <w:t xml:space="preserve"> H.,</w:t>
      </w:r>
      <w:r>
        <w:t xml:space="preserve"> ‘</w:t>
      </w:r>
      <w:r w:rsidRPr="00323FF7">
        <w:t>Roger II of Sicily, Rex-Tyrannus, In Twelfth-Century Political Thought</w:t>
      </w:r>
      <w:r>
        <w:t xml:space="preserve">’, </w:t>
      </w:r>
      <w:r>
        <w:rPr>
          <w:i/>
        </w:rPr>
        <w:t xml:space="preserve">Speculum, </w:t>
      </w:r>
      <w:r>
        <w:t>38(1) (1963)</w:t>
      </w:r>
      <w:r>
        <w:t>, p.p. 46-78.</w:t>
      </w:r>
    </w:p>
    <w:sectPr w:rsidR="0065326E" w:rsidRPr="00D33A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664E89" w14:textId="77777777" w:rsidR="00F04455" w:rsidRDefault="00F04455" w:rsidP="00323FF7">
      <w:pPr>
        <w:spacing w:after="0" w:line="240" w:lineRule="auto"/>
      </w:pPr>
      <w:r>
        <w:separator/>
      </w:r>
    </w:p>
  </w:endnote>
  <w:endnote w:type="continuationSeparator" w:id="0">
    <w:p w14:paraId="0BD547EB" w14:textId="77777777" w:rsidR="00F04455" w:rsidRDefault="00F04455" w:rsidP="00323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026DC" w14:textId="77777777" w:rsidR="00F04455" w:rsidRDefault="00F04455" w:rsidP="00323FF7">
      <w:pPr>
        <w:spacing w:after="0" w:line="240" w:lineRule="auto"/>
      </w:pPr>
      <w:r>
        <w:separator/>
      </w:r>
    </w:p>
  </w:footnote>
  <w:footnote w:type="continuationSeparator" w:id="0">
    <w:p w14:paraId="40A33B68" w14:textId="77777777" w:rsidR="00F04455" w:rsidRDefault="00F04455" w:rsidP="00323FF7">
      <w:pPr>
        <w:spacing w:after="0" w:line="240" w:lineRule="auto"/>
      </w:pPr>
      <w:r>
        <w:continuationSeparator/>
      </w:r>
    </w:p>
  </w:footnote>
  <w:footnote w:id="1">
    <w:p w14:paraId="176EFB7D" w14:textId="2CB053C7" w:rsidR="00323FF7" w:rsidRPr="0089537F" w:rsidRDefault="00323FF7">
      <w:pPr>
        <w:pStyle w:val="FootnoteText"/>
      </w:pPr>
      <w:r>
        <w:rPr>
          <w:rStyle w:val="FootnoteReference"/>
        </w:rPr>
        <w:footnoteRef/>
      </w:r>
      <w:r>
        <w:t xml:space="preserve"> Helene </w:t>
      </w:r>
      <w:proofErr w:type="spellStart"/>
      <w:r>
        <w:t>Wieruszovski</w:t>
      </w:r>
      <w:proofErr w:type="spellEnd"/>
      <w:r>
        <w:t>, ‘</w:t>
      </w:r>
      <w:r w:rsidRPr="00323FF7">
        <w:t>Roger II of Sicily, Rex-Tyrannus, In Twelfth-Century Political Thought</w:t>
      </w:r>
      <w:r>
        <w:t xml:space="preserve">’, </w:t>
      </w:r>
      <w:r>
        <w:rPr>
          <w:i/>
        </w:rPr>
        <w:t xml:space="preserve">Speculum, </w:t>
      </w:r>
      <w:r>
        <w:t>38(1) (1963), p. 48</w:t>
      </w:r>
      <w:r w:rsidR="0089537F">
        <w:t>; Antonio Marongiu, ‘</w:t>
      </w:r>
      <w:r w:rsidR="0089537F" w:rsidRPr="0089537F">
        <w:t>A Model State in the Middle Ages: The Norman and Swabian Kingdom of Sicily</w:t>
      </w:r>
      <w:r w:rsidR="0089537F">
        <w:t xml:space="preserve">’, </w:t>
      </w:r>
      <w:r w:rsidR="0089537F" w:rsidRPr="0089537F">
        <w:rPr>
          <w:i/>
        </w:rPr>
        <w:t>Comparative Studies in Society and History</w:t>
      </w:r>
      <w:r w:rsidR="0089537F">
        <w:rPr>
          <w:i/>
        </w:rPr>
        <w:t xml:space="preserve">, </w:t>
      </w:r>
      <w:r w:rsidR="0089537F">
        <w:t>6(3) (1964), p. 308.</w:t>
      </w:r>
    </w:p>
  </w:footnote>
  <w:footnote w:id="2">
    <w:p w14:paraId="15DDB25B" w14:textId="44D835FA" w:rsidR="0089537F" w:rsidRPr="0089537F" w:rsidRDefault="0089537F">
      <w:pPr>
        <w:pStyle w:val="FootnoteText"/>
      </w:pPr>
      <w:r>
        <w:rPr>
          <w:rStyle w:val="FootnoteReference"/>
        </w:rPr>
        <w:footnoteRef/>
      </w:r>
      <w:r>
        <w:t xml:space="preserve"> Malcolm Barber, </w:t>
      </w:r>
      <w:r>
        <w:rPr>
          <w:i/>
        </w:rPr>
        <w:t xml:space="preserve">The Two Cities: Medieval Europe: 1050-1320, </w:t>
      </w:r>
      <w:r>
        <w:t>Second Edition (London, New York: Routledge, 2004 (1992))</w:t>
      </w:r>
      <w:r w:rsidR="008843AA">
        <w:t>, p. 220.</w:t>
      </w:r>
    </w:p>
  </w:footnote>
  <w:footnote w:id="3">
    <w:p w14:paraId="3DB0FC29" w14:textId="52F34F4E" w:rsidR="008843AA" w:rsidRDefault="008843AA">
      <w:pPr>
        <w:pStyle w:val="FootnoteText"/>
      </w:pPr>
      <w:r>
        <w:rPr>
          <w:rStyle w:val="FootnoteReference"/>
        </w:rPr>
        <w:footnoteRef/>
      </w:r>
      <w:r>
        <w:t xml:space="preserve"> </w:t>
      </w:r>
      <w:r w:rsidR="00D843AA">
        <w:t xml:space="preserve">Barber, </w:t>
      </w:r>
      <w:r w:rsidR="00D843AA">
        <w:rPr>
          <w:i/>
        </w:rPr>
        <w:t>Two Cities</w:t>
      </w:r>
      <w:r>
        <w:t>, p. 218.</w:t>
      </w:r>
    </w:p>
  </w:footnote>
  <w:footnote w:id="4">
    <w:p w14:paraId="7D0736D7" w14:textId="129958F1" w:rsidR="00E94BC8" w:rsidRPr="003375A8" w:rsidRDefault="00E94BC8" w:rsidP="003375A8">
      <w:pPr>
        <w:pStyle w:val="FootnoteText"/>
      </w:pPr>
      <w:r>
        <w:rPr>
          <w:rStyle w:val="FootnoteReference"/>
        </w:rPr>
        <w:footnoteRef/>
      </w:r>
      <w:r>
        <w:t xml:space="preserve"> </w:t>
      </w:r>
      <w:r w:rsidR="003375A8">
        <w:t xml:space="preserve">Marongiu, </w:t>
      </w:r>
      <w:r w:rsidR="003375A8">
        <w:rPr>
          <w:i/>
        </w:rPr>
        <w:t xml:space="preserve">Model State, </w:t>
      </w:r>
      <w:r w:rsidR="003375A8">
        <w:t>p. 310; Diana Norman, ‘</w:t>
      </w:r>
      <w:r w:rsidR="003375A8">
        <w:t>The Sicilian Connection: Imperial Themes in Simone Martini’s St. Louis of Toulouse</w:t>
      </w:r>
      <w:r w:rsidR="003375A8">
        <w:t xml:space="preserve"> </w:t>
      </w:r>
      <w:r w:rsidR="003375A8">
        <w:t>Altarpiece</w:t>
      </w:r>
      <w:r w:rsidR="003375A8">
        <w:t xml:space="preserve">’, </w:t>
      </w:r>
      <w:proofErr w:type="spellStart"/>
      <w:r w:rsidR="003375A8">
        <w:rPr>
          <w:i/>
        </w:rPr>
        <w:t>Gesta</w:t>
      </w:r>
      <w:proofErr w:type="spellEnd"/>
      <w:r w:rsidR="003375A8">
        <w:rPr>
          <w:i/>
        </w:rPr>
        <w:t xml:space="preserve">, </w:t>
      </w:r>
      <w:r w:rsidR="003375A8">
        <w:t xml:space="preserve">53(1) (2014), p.p. 29-32; Ernst Kitzinger, </w:t>
      </w:r>
      <w:r w:rsidR="003375A8" w:rsidRPr="003375A8">
        <w:rPr>
          <w:i/>
        </w:rPr>
        <w:t>The Mosaics of St. Mary's of the Admiral in Palermo</w:t>
      </w:r>
      <w:r w:rsidR="003375A8">
        <w:rPr>
          <w:i/>
        </w:rPr>
        <w:t xml:space="preserve">, </w:t>
      </w:r>
      <w:r w:rsidR="003375A8">
        <w:t xml:space="preserve">(Washington, DC: Dumbarton Oaks Research Library and Collection, 1990), p. 191; </w:t>
      </w:r>
    </w:p>
  </w:footnote>
  <w:footnote w:id="5">
    <w:p w14:paraId="2D074F7C" w14:textId="413E0C8C" w:rsidR="007A429E" w:rsidRPr="007A429E" w:rsidRDefault="007A429E">
      <w:pPr>
        <w:pStyle w:val="FootnoteText"/>
      </w:pPr>
      <w:r>
        <w:rPr>
          <w:rStyle w:val="FootnoteReference"/>
        </w:rPr>
        <w:footnoteRef/>
      </w:r>
      <w:r>
        <w:t xml:space="preserve"> Marongiu, </w:t>
      </w:r>
      <w:r>
        <w:rPr>
          <w:i/>
        </w:rPr>
        <w:t xml:space="preserve">Model State, </w:t>
      </w:r>
      <w:r>
        <w:t>p. 309.</w:t>
      </w:r>
    </w:p>
  </w:footnote>
  <w:footnote w:id="6">
    <w:p w14:paraId="09918E75" w14:textId="6F2E65F5" w:rsidR="00F3381F" w:rsidRPr="00F3381F" w:rsidRDefault="00F3381F">
      <w:pPr>
        <w:pStyle w:val="FootnoteText"/>
      </w:pPr>
      <w:r>
        <w:rPr>
          <w:rStyle w:val="FootnoteReference"/>
        </w:rPr>
        <w:footnoteRef/>
      </w:r>
      <w:r>
        <w:t xml:space="preserve"> </w:t>
      </w:r>
      <w:r w:rsidR="008E7AFE">
        <w:t xml:space="preserve">Marongiu, </w:t>
      </w:r>
      <w:r w:rsidR="008E7AFE">
        <w:rPr>
          <w:i/>
        </w:rPr>
        <w:t>Model State</w:t>
      </w:r>
      <w:r>
        <w:t xml:space="preserve">, p. 308; Norman, </w:t>
      </w:r>
      <w:r>
        <w:rPr>
          <w:i/>
        </w:rPr>
        <w:t xml:space="preserve">Sicilian Connection, </w:t>
      </w:r>
      <w:r>
        <w:t>p. 32.</w:t>
      </w:r>
    </w:p>
  </w:footnote>
  <w:footnote w:id="7">
    <w:p w14:paraId="54C7312C" w14:textId="52B120B5" w:rsidR="00F3381F" w:rsidRPr="00F3381F" w:rsidRDefault="00F3381F">
      <w:pPr>
        <w:pStyle w:val="FootnoteText"/>
      </w:pPr>
      <w:r>
        <w:rPr>
          <w:rStyle w:val="FootnoteReference"/>
        </w:rPr>
        <w:footnoteRef/>
      </w:r>
      <w:r>
        <w:t xml:space="preserve"> Kitzinger, </w:t>
      </w:r>
      <w:r>
        <w:rPr>
          <w:i/>
        </w:rPr>
        <w:t xml:space="preserve">Mosaics of St. Mary’s, </w:t>
      </w:r>
      <w:r>
        <w:t>p.</w:t>
      </w:r>
      <w:r w:rsidR="00322253">
        <w:t xml:space="preserve"> 190.</w:t>
      </w:r>
    </w:p>
  </w:footnote>
  <w:footnote w:id="8">
    <w:p w14:paraId="595373A2" w14:textId="7A1E7123" w:rsidR="00322253" w:rsidRPr="00322253" w:rsidRDefault="00322253">
      <w:pPr>
        <w:pStyle w:val="FootnoteText"/>
      </w:pPr>
      <w:r>
        <w:rPr>
          <w:rStyle w:val="FootnoteReference"/>
        </w:rPr>
        <w:footnoteRef/>
      </w:r>
      <w:r>
        <w:t xml:space="preserve"> Norman, </w:t>
      </w:r>
      <w:r>
        <w:rPr>
          <w:i/>
        </w:rPr>
        <w:t xml:space="preserve">Sicilian Connection, </w:t>
      </w:r>
      <w:r>
        <w:t>p. 31.</w:t>
      </w:r>
    </w:p>
  </w:footnote>
  <w:footnote w:id="9">
    <w:p w14:paraId="11CBF834" w14:textId="4FDDA011" w:rsidR="003C405C" w:rsidRPr="003C405C" w:rsidRDefault="003C405C">
      <w:pPr>
        <w:pStyle w:val="FootnoteText"/>
      </w:pPr>
      <w:r>
        <w:rPr>
          <w:rStyle w:val="FootnoteReference"/>
        </w:rPr>
        <w:footnoteRef/>
      </w:r>
      <w:r>
        <w:t xml:space="preserve"> Kitzinger, </w:t>
      </w:r>
      <w:r>
        <w:rPr>
          <w:i/>
        </w:rPr>
        <w:t xml:space="preserve">Mosaics of St. Mary’s, </w:t>
      </w:r>
      <w:r>
        <w:t>p. 192.</w:t>
      </w:r>
    </w:p>
  </w:footnote>
  <w:footnote w:id="10">
    <w:p w14:paraId="1A4E0FD4" w14:textId="3C06CFF2" w:rsidR="003C405C" w:rsidRPr="00EA5414" w:rsidRDefault="003C405C">
      <w:pPr>
        <w:pStyle w:val="FootnoteText"/>
      </w:pPr>
      <w:r>
        <w:rPr>
          <w:rStyle w:val="FootnoteReference"/>
        </w:rPr>
        <w:footnoteRef/>
      </w:r>
      <w:r>
        <w:t xml:space="preserve"> </w:t>
      </w:r>
      <w:r w:rsidR="00EA5414">
        <w:t xml:space="preserve">William of Apulia, </w:t>
      </w:r>
      <w:r w:rsidR="00EA5414">
        <w:rPr>
          <w:i/>
        </w:rPr>
        <w:t xml:space="preserve">The Deeds of Robert Guiscard, </w:t>
      </w:r>
      <w:r w:rsidR="00EA5414">
        <w:t>translated by G.A. Loud (Leeds: University of Leeds, 2002).</w:t>
      </w:r>
    </w:p>
  </w:footnote>
  <w:footnote w:id="11">
    <w:p w14:paraId="371231AD" w14:textId="1B8DD7DA" w:rsidR="00D843AA" w:rsidRDefault="00D843AA">
      <w:pPr>
        <w:pStyle w:val="FootnoteText"/>
      </w:pPr>
      <w:r>
        <w:rPr>
          <w:rStyle w:val="FootnoteReference"/>
        </w:rPr>
        <w:footnoteRef/>
      </w:r>
      <w:r>
        <w:t xml:space="preserve"> </w:t>
      </w:r>
      <w:r>
        <w:t xml:space="preserve">Gertrude Grace Sill, </w:t>
      </w:r>
      <w:r>
        <w:rPr>
          <w:i/>
        </w:rPr>
        <w:t xml:space="preserve">A Handbook of Symbols in Christian Art </w:t>
      </w:r>
      <w:r>
        <w:t xml:space="preserve">(New York: Collier Books, 1975), p. </w:t>
      </w:r>
      <w:r>
        <w:t>65</w:t>
      </w:r>
    </w:p>
  </w:footnote>
  <w:footnote w:id="12">
    <w:p w14:paraId="42403461" w14:textId="3A0D0A66" w:rsidR="005E53C7" w:rsidRPr="005E53C7" w:rsidRDefault="005E53C7">
      <w:pPr>
        <w:pStyle w:val="FootnoteText"/>
      </w:pPr>
      <w:r>
        <w:rPr>
          <w:rStyle w:val="FootnoteReference"/>
        </w:rPr>
        <w:footnoteRef/>
      </w:r>
      <w:r>
        <w:t xml:space="preserve"> </w:t>
      </w:r>
      <w:r w:rsidR="00D843AA">
        <w:t xml:space="preserve">Sill, </w:t>
      </w:r>
      <w:r w:rsidR="00D843AA">
        <w:rPr>
          <w:i/>
        </w:rPr>
        <w:t xml:space="preserve">Handbook of Symbols, </w:t>
      </w:r>
      <w:r>
        <w:t>p. 30.</w:t>
      </w:r>
    </w:p>
  </w:footnote>
  <w:footnote w:id="13">
    <w:p w14:paraId="710FDEB5" w14:textId="5751FAC3" w:rsidR="00AB6486" w:rsidRPr="00AB6486" w:rsidRDefault="00AB6486">
      <w:pPr>
        <w:pStyle w:val="FootnoteText"/>
      </w:pPr>
      <w:r>
        <w:rPr>
          <w:rStyle w:val="FootnoteReference"/>
        </w:rPr>
        <w:footnoteRef/>
      </w:r>
      <w:r>
        <w:t xml:space="preserve"> Sill, </w:t>
      </w:r>
      <w:r>
        <w:rPr>
          <w:i/>
        </w:rPr>
        <w:t xml:space="preserve">Handbook of Symbols, </w:t>
      </w:r>
      <w:r>
        <w:t>p. 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93C"/>
    <w:rsid w:val="0004673F"/>
    <w:rsid w:val="000653DE"/>
    <w:rsid w:val="000B4724"/>
    <w:rsid w:val="0014393C"/>
    <w:rsid w:val="00162060"/>
    <w:rsid w:val="001B2AAA"/>
    <w:rsid w:val="00322253"/>
    <w:rsid w:val="00323FF7"/>
    <w:rsid w:val="003375A8"/>
    <w:rsid w:val="003C405C"/>
    <w:rsid w:val="003C6429"/>
    <w:rsid w:val="004E2920"/>
    <w:rsid w:val="005E53C7"/>
    <w:rsid w:val="0065326E"/>
    <w:rsid w:val="006727E3"/>
    <w:rsid w:val="006C14D3"/>
    <w:rsid w:val="00757AAF"/>
    <w:rsid w:val="00763AB0"/>
    <w:rsid w:val="007A429E"/>
    <w:rsid w:val="00860198"/>
    <w:rsid w:val="008704D0"/>
    <w:rsid w:val="008843AA"/>
    <w:rsid w:val="0089537F"/>
    <w:rsid w:val="008E7AFE"/>
    <w:rsid w:val="009D49A0"/>
    <w:rsid w:val="00A7542A"/>
    <w:rsid w:val="00AB6486"/>
    <w:rsid w:val="00C35D03"/>
    <w:rsid w:val="00D33A1D"/>
    <w:rsid w:val="00D65744"/>
    <w:rsid w:val="00D843AA"/>
    <w:rsid w:val="00DB711C"/>
    <w:rsid w:val="00DF7543"/>
    <w:rsid w:val="00E7259F"/>
    <w:rsid w:val="00E7611E"/>
    <w:rsid w:val="00E94BC8"/>
    <w:rsid w:val="00EA5414"/>
    <w:rsid w:val="00F04455"/>
    <w:rsid w:val="00F264AA"/>
    <w:rsid w:val="00F3381F"/>
    <w:rsid w:val="00FC1147"/>
    <w:rsid w:val="00FE3DB3"/>
    <w:rsid w:val="00FF3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670CAC"/>
  <w15:chartTrackingRefBased/>
  <w15:docId w15:val="{D23BABD3-CDF4-41A8-B8AB-9491456E8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23F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3FF7"/>
    <w:rPr>
      <w:sz w:val="20"/>
      <w:szCs w:val="20"/>
    </w:rPr>
  </w:style>
  <w:style w:type="character" w:styleId="FootnoteReference">
    <w:name w:val="footnote reference"/>
    <w:basedOn w:val="DefaultParagraphFont"/>
    <w:uiPriority w:val="99"/>
    <w:semiHidden/>
    <w:unhideWhenUsed/>
    <w:rsid w:val="00323FF7"/>
    <w:rPr>
      <w:vertAlign w:val="superscript"/>
    </w:rPr>
  </w:style>
  <w:style w:type="paragraph" w:styleId="Caption">
    <w:name w:val="caption"/>
    <w:basedOn w:val="Normal"/>
    <w:next w:val="Normal"/>
    <w:uiPriority w:val="35"/>
    <w:unhideWhenUsed/>
    <w:qFormat/>
    <w:rsid w:val="003375A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8</Pages>
  <Words>1575</Words>
  <Characters>7596</Characters>
  <Application>Microsoft Office Word</Application>
  <DocSecurity>0</DocSecurity>
  <Lines>135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25</cp:revision>
  <dcterms:created xsi:type="dcterms:W3CDTF">2018-11-09T13:57:00Z</dcterms:created>
  <dcterms:modified xsi:type="dcterms:W3CDTF">2018-11-09T20:45:00Z</dcterms:modified>
</cp:coreProperties>
</file>