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val="en-GB"/>
        </w:rPr>
        <w:id w:val="1601683633"/>
        <w:docPartObj>
          <w:docPartGallery w:val="Cover Pages"/>
          <w:docPartUnique/>
        </w:docPartObj>
      </w:sdtPr>
      <w:sdtEndPr/>
      <w:sdtContent>
        <w:p w14:paraId="6449252D" w14:textId="77777777" w:rsidR="00835D69" w:rsidRPr="00E26736" w:rsidRDefault="00835D69" w:rsidP="00835D69">
          <w:pPr>
            <w:rPr>
              <w:lang w:val="en-GB"/>
            </w:rPr>
          </w:pPr>
          <w:r w:rsidRPr="00E26736">
            <w:rPr>
              <w:noProof/>
              <w:lang w:val="en-GB" w:eastAsia="en-GB"/>
            </w:rPr>
            <w:drawing>
              <wp:inline distT="0" distB="0" distL="0" distR="0" wp14:anchorId="0DF0FE51" wp14:editId="71593494">
                <wp:extent cx="1809750" cy="723900"/>
                <wp:effectExtent l="0" t="0" r="0"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pPr w:leftFromText="187" w:rightFromText="187" w:horzAnchor="margin" w:tblpXSpec="center" w:tblpY="2881"/>
            <w:tblW w:w="4040" w:type="pct"/>
            <w:tblBorders>
              <w:left w:val="single" w:sz="12" w:space="0" w:color="5B9BD5" w:themeColor="accent1"/>
            </w:tblBorders>
            <w:tblCellMar>
              <w:left w:w="144" w:type="dxa"/>
              <w:right w:w="115" w:type="dxa"/>
            </w:tblCellMar>
            <w:tblLook w:val="04A0" w:firstRow="1" w:lastRow="0" w:firstColumn="1" w:lastColumn="0" w:noHBand="0" w:noVBand="1"/>
          </w:tblPr>
          <w:tblGrid>
            <w:gridCol w:w="7551"/>
          </w:tblGrid>
          <w:tr w:rsidR="00835D69" w:rsidRPr="00E26736" w14:paraId="376C4F77" w14:textId="77777777" w:rsidTr="00F63E2F">
            <w:trPr>
              <w:trHeight w:val="279"/>
            </w:trPr>
            <w:sdt>
              <w:sdtPr>
                <w:rPr>
                  <w:color w:val="2E74B5" w:themeColor="accent1" w:themeShade="BF"/>
                  <w:sz w:val="24"/>
                  <w:szCs w:val="24"/>
                  <w:lang w:val="en-GB"/>
                </w:rPr>
                <w:alias w:val="Company"/>
                <w:id w:val="13406915"/>
                <w:placeholder>
                  <w:docPart w:val="A6537C303D384B79ADB55B036FEC8E8F"/>
                </w:placeholder>
                <w:dataBinding w:prefixMappings="xmlns:ns0='http://schemas.openxmlformats.org/officeDocument/2006/extended-properties'" w:xpath="/ns0:Properties[1]/ns0:Company[1]" w:storeItemID="{6668398D-A668-4E3E-A5EB-62B293D839F1}"/>
                <w:text/>
              </w:sdtPr>
              <w:sdtEndPr/>
              <w:sdtContent>
                <w:tc>
                  <w:tcPr>
                    <w:tcW w:w="7551" w:type="dxa"/>
                    <w:tcMar>
                      <w:top w:w="216" w:type="dxa"/>
                      <w:left w:w="115" w:type="dxa"/>
                      <w:bottom w:w="216" w:type="dxa"/>
                      <w:right w:w="115" w:type="dxa"/>
                    </w:tcMar>
                  </w:tcPr>
                  <w:p w14:paraId="65242A01" w14:textId="70B67526" w:rsidR="00835D69" w:rsidRPr="00E26736" w:rsidRDefault="007506AF" w:rsidP="00F63E2F">
                    <w:pPr>
                      <w:pStyle w:val="NoSpacing"/>
                      <w:rPr>
                        <w:color w:val="2E74B5" w:themeColor="accent1" w:themeShade="BF"/>
                        <w:sz w:val="24"/>
                        <w:lang w:val="en-GB"/>
                      </w:rPr>
                    </w:pPr>
                    <w:r>
                      <w:rPr>
                        <w:color w:val="2E74B5" w:themeColor="accent1" w:themeShade="BF"/>
                        <w:sz w:val="24"/>
                        <w:szCs w:val="24"/>
                        <w:lang w:val="en-GB"/>
                      </w:rPr>
                      <w:t>International Business (SBMA7122D)</w:t>
                    </w:r>
                  </w:p>
                </w:tc>
              </w:sdtContent>
            </w:sdt>
          </w:tr>
          <w:tr w:rsidR="00835D69" w:rsidRPr="00E26736" w14:paraId="6E302259" w14:textId="77777777" w:rsidTr="00F63E2F">
            <w:trPr>
              <w:trHeight w:val="7193"/>
            </w:trPr>
            <w:tc>
              <w:tcPr>
                <w:tcW w:w="7551" w:type="dxa"/>
                <w:vAlign w:val="center"/>
              </w:tcPr>
              <w:p w14:paraId="51315FAC" w14:textId="2D17607F" w:rsidR="00835D69" w:rsidRPr="00E26736" w:rsidRDefault="00835D69" w:rsidP="00835D69">
                <w:pPr>
                  <w:pStyle w:val="NoSpacing"/>
                  <w:spacing w:line="216" w:lineRule="auto"/>
                  <w:rPr>
                    <w:rFonts w:asciiTheme="majorHAnsi" w:eastAsiaTheme="majorEastAsia" w:hAnsiTheme="majorHAnsi" w:cstheme="majorBidi"/>
                    <w:color w:val="5B9BD5" w:themeColor="accent1"/>
                    <w:sz w:val="88"/>
                    <w:szCs w:val="88"/>
                    <w:lang w:val="en-GB"/>
                  </w:rPr>
                </w:pPr>
                <w:r w:rsidRPr="00835D69">
                  <w:rPr>
                    <w:rFonts w:asciiTheme="majorHAnsi" w:eastAsiaTheme="majorEastAsia" w:hAnsiTheme="majorHAnsi" w:cstheme="majorBidi"/>
                    <w:color w:val="5B9BD5" w:themeColor="accent1"/>
                    <w:sz w:val="72"/>
                    <w:szCs w:val="88"/>
                    <w:lang w:val="en-GB"/>
                  </w:rPr>
                  <w:t xml:space="preserve">An international </w:t>
                </w:r>
                <w:r>
                  <w:rPr>
                    <w:rFonts w:asciiTheme="majorHAnsi" w:eastAsiaTheme="majorEastAsia" w:hAnsiTheme="majorHAnsi" w:cstheme="majorBidi"/>
                    <w:color w:val="5B9BD5" w:themeColor="accent1"/>
                    <w:sz w:val="72"/>
                    <w:szCs w:val="88"/>
                    <w:lang w:val="en-GB"/>
                  </w:rPr>
                  <w:t>b</w:t>
                </w:r>
                <w:r w:rsidRPr="00835D69">
                  <w:rPr>
                    <w:rFonts w:asciiTheme="majorHAnsi" w:eastAsiaTheme="majorEastAsia" w:hAnsiTheme="majorHAnsi" w:cstheme="majorBidi"/>
                    <w:color w:val="5B9BD5" w:themeColor="accent1"/>
                    <w:sz w:val="72"/>
                    <w:szCs w:val="88"/>
                    <w:lang w:val="en-GB"/>
                  </w:rPr>
                  <w:t>usiness plan for Gazprom</w:t>
                </w:r>
              </w:p>
            </w:tc>
          </w:tr>
          <w:tr w:rsidR="00835D69" w:rsidRPr="00E26736" w14:paraId="440E2F8A" w14:textId="77777777" w:rsidTr="00F63E2F">
            <w:trPr>
              <w:trHeight w:val="279"/>
            </w:trPr>
            <w:sdt>
              <w:sdtPr>
                <w:rPr>
                  <w:color w:val="2E74B5" w:themeColor="accent1" w:themeShade="BF"/>
                  <w:sz w:val="24"/>
                  <w:szCs w:val="24"/>
                  <w:lang w:val="en-GB"/>
                </w:rPr>
                <w:alias w:val="Subtitle"/>
                <w:id w:val="13406923"/>
                <w:placeholder>
                  <w:docPart w:val="E6CE91F91E0C416CADD08B4586069C4E"/>
                </w:placeholder>
                <w:dataBinding w:prefixMappings="xmlns:ns0='http://schemas.openxmlformats.org/package/2006/metadata/core-properties' xmlns:ns1='http://purl.org/dc/elements/1.1/'" w:xpath="/ns0:coreProperties[1]/ns1:subject[1]" w:storeItemID="{6C3C8BC8-F283-45AE-878A-BAB7291924A1}"/>
                <w:text/>
              </w:sdtPr>
              <w:sdtEndPr/>
              <w:sdtContent>
                <w:tc>
                  <w:tcPr>
                    <w:tcW w:w="7551" w:type="dxa"/>
                    <w:tcMar>
                      <w:top w:w="216" w:type="dxa"/>
                      <w:left w:w="115" w:type="dxa"/>
                      <w:bottom w:w="216" w:type="dxa"/>
                      <w:right w:w="115" w:type="dxa"/>
                    </w:tcMar>
                  </w:tcPr>
                  <w:p w14:paraId="47A29A81" w14:textId="3C76A1A7" w:rsidR="00835D69" w:rsidRPr="00E26736" w:rsidRDefault="00835D69" w:rsidP="00F63E2F">
                    <w:pPr>
                      <w:pStyle w:val="NoSpacing"/>
                      <w:rPr>
                        <w:color w:val="2E74B5" w:themeColor="accent1" w:themeShade="BF"/>
                        <w:sz w:val="24"/>
                        <w:lang w:val="en-GB"/>
                      </w:rPr>
                    </w:pPr>
                    <w:r>
                      <w:rPr>
                        <w:color w:val="2E74B5" w:themeColor="accent1" w:themeShade="BF"/>
                        <w:sz w:val="24"/>
                        <w:szCs w:val="24"/>
                        <w:lang w:val="en-GB"/>
                      </w:rPr>
                      <w:t>Assignment 2</w:t>
                    </w:r>
                  </w:p>
                </w:tc>
              </w:sdtContent>
            </w:sdt>
          </w:tr>
        </w:tbl>
        <w:tbl>
          <w:tblPr>
            <w:tblpPr w:leftFromText="187" w:rightFromText="187" w:horzAnchor="margin" w:tblpXSpec="right" w:tblpYSpec="bottom"/>
            <w:tblW w:w="3857" w:type="pct"/>
            <w:tblLook w:val="04A0" w:firstRow="1" w:lastRow="0" w:firstColumn="1" w:lastColumn="0" w:noHBand="0" w:noVBand="1"/>
          </w:tblPr>
          <w:tblGrid>
            <w:gridCol w:w="7220"/>
          </w:tblGrid>
          <w:tr w:rsidR="00835D69" w:rsidRPr="00E26736" w14:paraId="1A2A9504" w14:textId="77777777" w:rsidTr="00F63E2F">
            <w:tc>
              <w:tcPr>
                <w:tcW w:w="7221" w:type="dxa"/>
                <w:tcMar>
                  <w:top w:w="216" w:type="dxa"/>
                  <w:left w:w="115" w:type="dxa"/>
                  <w:bottom w:w="216" w:type="dxa"/>
                  <w:right w:w="115" w:type="dxa"/>
                </w:tcMar>
              </w:tcPr>
              <w:p w14:paraId="6F429174" w14:textId="77777777" w:rsidR="00835D69" w:rsidRPr="00E26736" w:rsidRDefault="00835D69" w:rsidP="00F63E2F">
                <w:pPr>
                  <w:pStyle w:val="NoSpacing"/>
                  <w:jc w:val="right"/>
                  <w:rPr>
                    <w:color w:val="5B9BD5" w:themeColor="accent1"/>
                    <w:sz w:val="28"/>
                    <w:szCs w:val="28"/>
                    <w:lang w:val="en-GB"/>
                  </w:rPr>
                </w:pPr>
                <w:r w:rsidRPr="00E26736">
                  <w:rPr>
                    <w:color w:val="5B9BD5" w:themeColor="accent1"/>
                    <w:sz w:val="28"/>
                    <w:szCs w:val="28"/>
                    <w:lang w:val="en-GB"/>
                  </w:rPr>
                  <w:t xml:space="preserve">Student ID: </w:t>
                </w:r>
                <w:r w:rsidRPr="00E26736">
                  <w:rPr>
                    <w:lang w:val="en-GB"/>
                  </w:rPr>
                  <w:t xml:space="preserve"> </w:t>
                </w:r>
                <w:r w:rsidRPr="00E26736">
                  <w:rPr>
                    <w:color w:val="5B9BD5" w:themeColor="accent1"/>
                    <w:sz w:val="28"/>
                    <w:szCs w:val="28"/>
                    <w:lang w:val="en-GB"/>
                  </w:rPr>
                  <w:t>1602134</w:t>
                </w:r>
              </w:p>
              <w:sdt>
                <w:sdtPr>
                  <w:rPr>
                    <w:color w:val="5B9BD5" w:themeColor="accent1"/>
                    <w:sz w:val="28"/>
                    <w:szCs w:val="28"/>
                    <w:lang w:val="en-GB"/>
                  </w:rPr>
                  <w:alias w:val="Author"/>
                  <w:id w:val="-1867744510"/>
                  <w:placeholder>
                    <w:docPart w:val="8191332A636E4FA2ABE66455F2FEF6FF"/>
                  </w:placeholder>
                  <w:dataBinding w:prefixMappings="xmlns:ns0='http://schemas.openxmlformats.org/package/2006/metadata/core-properties' xmlns:ns1='http://purl.org/dc/elements/1.1/'" w:xpath="/ns0:coreProperties[1]/ns1:creator[1]" w:storeItemID="{6C3C8BC8-F283-45AE-878A-BAB7291924A1}"/>
                  <w:text/>
                </w:sdtPr>
                <w:sdtEndPr/>
                <w:sdtContent>
                  <w:p w14:paraId="67D3048D" w14:textId="54D2D304" w:rsidR="00835D69" w:rsidRPr="00E26736" w:rsidRDefault="00835D69" w:rsidP="00F63E2F">
                    <w:pPr>
                      <w:pStyle w:val="NoSpacing"/>
                      <w:jc w:val="right"/>
                      <w:rPr>
                        <w:color w:val="5B9BD5" w:themeColor="accent1"/>
                        <w:sz w:val="28"/>
                        <w:szCs w:val="28"/>
                        <w:lang w:val="en-GB"/>
                      </w:rPr>
                    </w:pPr>
                    <w:r>
                      <w:rPr>
                        <w:color w:val="5B9BD5" w:themeColor="accent1"/>
                        <w:sz w:val="28"/>
                        <w:szCs w:val="28"/>
                        <w:lang w:val="en-GB"/>
                      </w:rPr>
                      <w:t>Daina Veprauskiene</w:t>
                    </w:r>
                  </w:p>
                </w:sdtContent>
              </w:sdt>
              <w:p w14:paraId="25628757" w14:textId="28A81904" w:rsidR="00835D69" w:rsidRPr="00E26736" w:rsidRDefault="00B85A85" w:rsidP="00F63E2F">
                <w:pPr>
                  <w:pStyle w:val="NoSpacing"/>
                  <w:jc w:val="right"/>
                  <w:rPr>
                    <w:color w:val="5B9BD5" w:themeColor="accent1"/>
                    <w:sz w:val="28"/>
                    <w:szCs w:val="28"/>
                    <w:lang w:val="en-GB"/>
                  </w:rPr>
                </w:pPr>
                <w:r>
                  <w:rPr>
                    <w:color w:val="5B9BD5" w:themeColor="accent1"/>
                    <w:sz w:val="28"/>
                    <w:szCs w:val="28"/>
                    <w:lang w:val="en-GB"/>
                  </w:rPr>
                  <w:t>30</w:t>
                </w:r>
                <w:r w:rsidR="00835D69" w:rsidRPr="00E26736">
                  <w:rPr>
                    <w:color w:val="5B9BD5" w:themeColor="accent1"/>
                    <w:sz w:val="28"/>
                    <w:szCs w:val="28"/>
                    <w:lang w:val="en-GB"/>
                  </w:rPr>
                  <w:t>/0</w:t>
                </w:r>
                <w:r w:rsidR="00C878D6">
                  <w:rPr>
                    <w:color w:val="5B9BD5" w:themeColor="accent1"/>
                    <w:sz w:val="28"/>
                    <w:szCs w:val="28"/>
                    <w:lang w:val="en-GB"/>
                  </w:rPr>
                  <w:t>4</w:t>
                </w:r>
                <w:r w:rsidR="00835D69" w:rsidRPr="00E26736">
                  <w:rPr>
                    <w:color w:val="5B9BD5" w:themeColor="accent1"/>
                    <w:sz w:val="28"/>
                    <w:szCs w:val="28"/>
                    <w:lang w:val="en-GB"/>
                  </w:rPr>
                  <w:t>/201</w:t>
                </w:r>
                <w:r w:rsidR="00835D69">
                  <w:rPr>
                    <w:color w:val="5B9BD5" w:themeColor="accent1"/>
                    <w:sz w:val="28"/>
                    <w:szCs w:val="28"/>
                    <w:lang w:val="en-GB"/>
                  </w:rPr>
                  <w:t>8</w:t>
                </w:r>
              </w:p>
              <w:p w14:paraId="4FEEE095" w14:textId="5484AF9E" w:rsidR="00835D69" w:rsidRPr="00E26736" w:rsidRDefault="00835D69" w:rsidP="00F63E2F">
                <w:pPr>
                  <w:pStyle w:val="NoSpacing"/>
                  <w:jc w:val="right"/>
                  <w:rPr>
                    <w:color w:val="5B9BD5" w:themeColor="accent1"/>
                    <w:lang w:val="en-GB"/>
                  </w:rPr>
                </w:pPr>
                <w:r w:rsidRPr="00835D69">
                  <w:rPr>
                    <w:color w:val="5B9BD5" w:themeColor="accent1"/>
                    <w:sz w:val="28"/>
                    <w:szCs w:val="28"/>
                    <w:lang w:val="en-GB"/>
                  </w:rPr>
                  <w:t>International Business (SBMA7122D)</w:t>
                </w:r>
              </w:p>
            </w:tc>
          </w:tr>
        </w:tbl>
        <w:p w14:paraId="6EA3689B" w14:textId="77777777" w:rsidR="00835D69" w:rsidRPr="00E26736" w:rsidRDefault="00835D69" w:rsidP="00835D69">
          <w:pPr>
            <w:rPr>
              <w:rFonts w:asciiTheme="majorHAnsi" w:eastAsiaTheme="majorEastAsia" w:hAnsiTheme="majorHAnsi" w:cstheme="majorBidi"/>
              <w:b/>
              <w:bCs/>
              <w:kern w:val="28"/>
              <w:sz w:val="32"/>
              <w:szCs w:val="32"/>
              <w:lang w:val="en-GB"/>
            </w:rPr>
          </w:pPr>
          <w:r w:rsidRPr="00E26736">
            <w:rPr>
              <w:lang w:val="en-GB"/>
            </w:rPr>
            <w:br w:type="page"/>
          </w:r>
        </w:p>
      </w:sdtContent>
    </w:sdt>
    <w:sdt>
      <w:sdtPr>
        <w:rPr>
          <w:rFonts w:ascii="Arial" w:eastAsiaTheme="minorHAnsi" w:hAnsi="Arial" w:cs="Arial"/>
          <w:b/>
          <w:color w:val="000000" w:themeColor="text1"/>
          <w:sz w:val="24"/>
          <w:szCs w:val="22"/>
        </w:rPr>
        <w:id w:val="-460420677"/>
        <w:docPartObj>
          <w:docPartGallery w:val="Table of Contents"/>
          <w:docPartUnique/>
        </w:docPartObj>
      </w:sdtPr>
      <w:sdtEndPr>
        <w:rPr>
          <w:b w:val="0"/>
          <w:bCs/>
          <w:noProof/>
          <w:szCs w:val="24"/>
        </w:rPr>
      </w:sdtEndPr>
      <w:sdtContent>
        <w:p w14:paraId="24B67A04" w14:textId="77777777" w:rsidR="009C021B" w:rsidRPr="00412823" w:rsidRDefault="009C021B" w:rsidP="009C021B">
          <w:pPr>
            <w:pStyle w:val="TOCHeading"/>
            <w:jc w:val="center"/>
            <w:rPr>
              <w:rFonts w:ascii="Arial" w:hAnsi="Arial" w:cs="Arial"/>
              <w:b/>
              <w:color w:val="000000" w:themeColor="text1"/>
              <w:sz w:val="24"/>
              <w:szCs w:val="24"/>
            </w:rPr>
          </w:pPr>
          <w:r w:rsidRPr="00412823">
            <w:rPr>
              <w:rFonts w:ascii="Arial" w:hAnsi="Arial" w:cs="Arial"/>
              <w:b/>
              <w:color w:val="000000" w:themeColor="text1"/>
              <w:sz w:val="24"/>
              <w:szCs w:val="24"/>
            </w:rPr>
            <w:t>Table of Contents</w:t>
          </w:r>
        </w:p>
        <w:p w14:paraId="24B67A05" w14:textId="77777777" w:rsidR="009C021B" w:rsidRPr="00412823" w:rsidRDefault="009C021B" w:rsidP="009C021B">
          <w:pPr>
            <w:rPr>
              <w:rFonts w:ascii="Arial" w:hAnsi="Arial" w:cs="Arial"/>
              <w:color w:val="000000" w:themeColor="text1"/>
              <w:sz w:val="24"/>
              <w:szCs w:val="24"/>
            </w:rPr>
          </w:pPr>
        </w:p>
        <w:p w14:paraId="24B67A06" w14:textId="77777777" w:rsidR="002D0395" w:rsidRPr="00412823" w:rsidRDefault="009C021B">
          <w:pPr>
            <w:pStyle w:val="TOC1"/>
            <w:tabs>
              <w:tab w:val="right" w:leader="dot" w:pos="9350"/>
            </w:tabs>
            <w:rPr>
              <w:rFonts w:ascii="Arial" w:eastAsiaTheme="minorEastAsia" w:hAnsi="Arial" w:cs="Arial"/>
              <w:noProof/>
              <w:color w:val="000000" w:themeColor="text1"/>
            </w:rPr>
          </w:pPr>
          <w:r w:rsidRPr="00412823">
            <w:rPr>
              <w:rFonts w:ascii="Arial" w:hAnsi="Arial" w:cs="Arial"/>
              <w:color w:val="000000" w:themeColor="text1"/>
              <w:sz w:val="24"/>
              <w:szCs w:val="24"/>
            </w:rPr>
            <w:fldChar w:fldCharType="begin"/>
          </w:r>
          <w:r w:rsidRPr="00412823">
            <w:rPr>
              <w:rFonts w:ascii="Arial" w:hAnsi="Arial" w:cs="Arial"/>
              <w:color w:val="000000" w:themeColor="text1"/>
              <w:sz w:val="24"/>
              <w:szCs w:val="24"/>
            </w:rPr>
            <w:instrText xml:space="preserve"> TOC \o "1-3" \h \z \u </w:instrText>
          </w:r>
          <w:r w:rsidRPr="00412823">
            <w:rPr>
              <w:rFonts w:ascii="Arial" w:hAnsi="Arial" w:cs="Arial"/>
              <w:color w:val="000000" w:themeColor="text1"/>
              <w:sz w:val="24"/>
              <w:szCs w:val="24"/>
            </w:rPr>
            <w:fldChar w:fldCharType="separate"/>
          </w:r>
          <w:hyperlink w:anchor="_Toc509426057" w:history="1">
            <w:r w:rsidR="002D0395" w:rsidRPr="00412823">
              <w:rPr>
                <w:rStyle w:val="Hyperlink"/>
                <w:rFonts w:ascii="Arial" w:hAnsi="Arial" w:cs="Arial"/>
                <w:noProof/>
                <w:color w:val="000000" w:themeColor="text1"/>
              </w:rPr>
              <w:t>Executive summary of international business plan</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_Toc509426057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3</w:t>
            </w:r>
            <w:r w:rsidR="002D0395" w:rsidRPr="00412823">
              <w:rPr>
                <w:rFonts w:ascii="Arial" w:hAnsi="Arial" w:cs="Arial"/>
                <w:noProof/>
                <w:webHidden/>
                <w:color w:val="000000" w:themeColor="text1"/>
              </w:rPr>
              <w:fldChar w:fldCharType="end"/>
            </w:r>
          </w:hyperlink>
        </w:p>
        <w:p w14:paraId="24B67A07" w14:textId="77777777" w:rsidR="002D0395" w:rsidRPr="00412823" w:rsidRDefault="006B6B33">
          <w:pPr>
            <w:pStyle w:val="TOC1"/>
            <w:tabs>
              <w:tab w:val="right" w:leader="dot" w:pos="9350"/>
            </w:tabs>
            <w:rPr>
              <w:rFonts w:ascii="Arial" w:eastAsiaTheme="minorEastAsia" w:hAnsi="Arial" w:cs="Arial"/>
              <w:noProof/>
              <w:color w:val="000000" w:themeColor="text1"/>
            </w:rPr>
          </w:pPr>
          <w:hyperlink w:anchor="_Toc509426058" w:history="1">
            <w:r w:rsidR="002D0395" w:rsidRPr="00412823">
              <w:rPr>
                <w:rStyle w:val="Hyperlink"/>
                <w:rFonts w:ascii="Arial" w:eastAsiaTheme="majorEastAsia" w:hAnsi="Arial" w:cs="Arial"/>
                <w:noProof/>
                <w:color w:val="000000" w:themeColor="text1"/>
              </w:rPr>
              <w:t>Introduction</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_Toc509426058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4</w:t>
            </w:r>
            <w:r w:rsidR="002D0395" w:rsidRPr="00412823">
              <w:rPr>
                <w:rFonts w:ascii="Arial" w:hAnsi="Arial" w:cs="Arial"/>
                <w:noProof/>
                <w:webHidden/>
                <w:color w:val="000000" w:themeColor="text1"/>
              </w:rPr>
              <w:fldChar w:fldCharType="end"/>
            </w:r>
          </w:hyperlink>
        </w:p>
        <w:p w14:paraId="24B67A08"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59" w:history="1">
            <w:r w:rsidR="002D0395" w:rsidRPr="00412823">
              <w:rPr>
                <w:rStyle w:val="Hyperlink"/>
                <w:rFonts w:ascii="Arial" w:eastAsiaTheme="majorEastAsia" w:hAnsi="Arial" w:cs="Arial"/>
                <w:noProof/>
                <w:color w:val="000000" w:themeColor="text1"/>
              </w:rPr>
              <w:t>Corporate global vision and goals</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_Toc509426059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5</w:t>
            </w:r>
            <w:r w:rsidR="002D0395" w:rsidRPr="00412823">
              <w:rPr>
                <w:rFonts w:ascii="Arial" w:hAnsi="Arial" w:cs="Arial"/>
                <w:noProof/>
                <w:webHidden/>
                <w:color w:val="000000" w:themeColor="text1"/>
              </w:rPr>
              <w:fldChar w:fldCharType="end"/>
            </w:r>
          </w:hyperlink>
        </w:p>
        <w:p w14:paraId="24B67A09" w14:textId="77777777" w:rsidR="002D0395" w:rsidRPr="00412823" w:rsidRDefault="006B6B33">
          <w:pPr>
            <w:pStyle w:val="TOC1"/>
            <w:tabs>
              <w:tab w:val="right" w:leader="dot" w:pos="9350"/>
            </w:tabs>
            <w:rPr>
              <w:rFonts w:ascii="Arial" w:eastAsiaTheme="minorEastAsia" w:hAnsi="Arial" w:cs="Arial"/>
              <w:noProof/>
              <w:color w:val="000000" w:themeColor="text1"/>
            </w:rPr>
          </w:pPr>
          <w:hyperlink w:anchor="_Toc509426060" w:history="1">
            <w:r w:rsidR="002D0395" w:rsidRPr="00412823">
              <w:rPr>
                <w:rStyle w:val="Hyperlink"/>
                <w:rFonts w:ascii="Arial" w:eastAsiaTheme="majorEastAsia" w:hAnsi="Arial" w:cs="Arial"/>
                <w:noProof/>
                <w:color w:val="000000" w:themeColor="text1"/>
              </w:rPr>
              <w:t>International business/ organizational structure</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_Toc509426060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5</w:t>
            </w:r>
            <w:r w:rsidR="002D0395" w:rsidRPr="00412823">
              <w:rPr>
                <w:rFonts w:ascii="Arial" w:hAnsi="Arial" w:cs="Arial"/>
                <w:noProof/>
                <w:webHidden/>
                <w:color w:val="000000" w:themeColor="text1"/>
              </w:rPr>
              <w:fldChar w:fldCharType="end"/>
            </w:r>
          </w:hyperlink>
        </w:p>
        <w:p w14:paraId="24B67A0A"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61" w:history="1">
            <w:r w:rsidR="002D0395" w:rsidRPr="00412823">
              <w:rPr>
                <w:rStyle w:val="Hyperlink"/>
                <w:rFonts w:ascii="Arial" w:eastAsiaTheme="majorEastAsia" w:hAnsi="Arial" w:cs="Arial"/>
                <w:noProof/>
                <w:color w:val="000000" w:themeColor="text1"/>
              </w:rPr>
              <w:t>PEST (Political, Economic, Social and Technological)</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_Toc509426061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5</w:t>
            </w:r>
            <w:r w:rsidR="002D0395" w:rsidRPr="00412823">
              <w:rPr>
                <w:rFonts w:ascii="Arial" w:hAnsi="Arial" w:cs="Arial"/>
                <w:noProof/>
                <w:webHidden/>
                <w:color w:val="000000" w:themeColor="text1"/>
              </w:rPr>
              <w:fldChar w:fldCharType="end"/>
            </w:r>
          </w:hyperlink>
        </w:p>
        <w:p w14:paraId="24B67A0B"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62" w:history="1">
            <w:r w:rsidR="002D0395" w:rsidRPr="00412823">
              <w:rPr>
                <w:rStyle w:val="Hyperlink"/>
                <w:rFonts w:ascii="Arial" w:eastAsiaTheme="majorEastAsia" w:hAnsi="Arial" w:cs="Arial"/>
                <w:noProof/>
                <w:color w:val="000000" w:themeColor="text1"/>
              </w:rPr>
              <w:t>SWOT (Strengths, Weaknesses, Opportunities and Threats)</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_Toc509426062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6</w:t>
            </w:r>
            <w:r w:rsidR="002D0395" w:rsidRPr="00412823">
              <w:rPr>
                <w:rFonts w:ascii="Arial" w:hAnsi="Arial" w:cs="Arial"/>
                <w:noProof/>
                <w:webHidden/>
                <w:color w:val="000000" w:themeColor="text1"/>
              </w:rPr>
              <w:fldChar w:fldCharType="end"/>
            </w:r>
          </w:hyperlink>
        </w:p>
        <w:p w14:paraId="24B67A0C"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63" w:history="1">
            <w:r w:rsidR="002D0395" w:rsidRPr="00412823">
              <w:rPr>
                <w:rStyle w:val="Hyperlink"/>
                <w:rFonts w:ascii="Arial" w:eastAsiaTheme="majorEastAsia" w:hAnsi="Arial" w:cs="Arial"/>
                <w:noProof/>
                <w:color w:val="000000" w:themeColor="text1"/>
              </w:rPr>
              <w:t>TOWS</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_Toc509426063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7</w:t>
            </w:r>
            <w:r w:rsidR="002D0395" w:rsidRPr="00412823">
              <w:rPr>
                <w:rFonts w:ascii="Arial" w:hAnsi="Arial" w:cs="Arial"/>
                <w:noProof/>
                <w:webHidden/>
                <w:color w:val="000000" w:themeColor="text1"/>
              </w:rPr>
              <w:fldChar w:fldCharType="end"/>
            </w:r>
          </w:hyperlink>
        </w:p>
        <w:p w14:paraId="24B67A0D"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64" w:history="1">
            <w:r w:rsidR="002D0395" w:rsidRPr="00412823">
              <w:rPr>
                <w:rStyle w:val="Hyperlink"/>
                <w:rFonts w:ascii="Arial" w:eastAsiaTheme="majorEastAsia" w:hAnsi="Arial" w:cs="Arial"/>
                <w:noProof/>
                <w:color w:val="000000" w:themeColor="text1"/>
              </w:rPr>
              <w:t>QUEST (Quick Environmental Scanning Technique)</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_Toc509426064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8</w:t>
            </w:r>
            <w:r w:rsidR="002D0395" w:rsidRPr="00412823">
              <w:rPr>
                <w:rFonts w:ascii="Arial" w:hAnsi="Arial" w:cs="Arial"/>
                <w:noProof/>
                <w:webHidden/>
                <w:color w:val="000000" w:themeColor="text1"/>
              </w:rPr>
              <w:fldChar w:fldCharType="end"/>
            </w:r>
          </w:hyperlink>
        </w:p>
        <w:p w14:paraId="24B67A0E"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65" w:history="1">
            <w:r w:rsidR="002D0395" w:rsidRPr="00412823">
              <w:rPr>
                <w:rStyle w:val="Hyperlink"/>
                <w:rFonts w:ascii="Arial" w:eastAsiaTheme="majorEastAsia" w:hAnsi="Arial" w:cs="Arial"/>
                <w:noProof/>
                <w:color w:val="000000" w:themeColor="text1"/>
              </w:rPr>
              <w:t>Porter’s five forces analysis</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_Toc509426065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9</w:t>
            </w:r>
            <w:r w:rsidR="002D0395" w:rsidRPr="00412823">
              <w:rPr>
                <w:rFonts w:ascii="Arial" w:hAnsi="Arial" w:cs="Arial"/>
                <w:noProof/>
                <w:webHidden/>
                <w:color w:val="000000" w:themeColor="text1"/>
              </w:rPr>
              <w:fldChar w:fldCharType="end"/>
            </w:r>
          </w:hyperlink>
        </w:p>
        <w:p w14:paraId="24B67A0F"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66" w:history="1">
            <w:r w:rsidR="002D0395" w:rsidRPr="00412823">
              <w:rPr>
                <w:rStyle w:val="Hyperlink"/>
                <w:rFonts w:ascii="Arial" w:eastAsiaTheme="majorEastAsia" w:hAnsi="Arial" w:cs="Arial"/>
                <w:noProof/>
                <w:color w:val="000000" w:themeColor="text1"/>
              </w:rPr>
              <w:t>Porter’s diamond</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_Toc509426066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10</w:t>
            </w:r>
            <w:r w:rsidR="002D0395" w:rsidRPr="00412823">
              <w:rPr>
                <w:rFonts w:ascii="Arial" w:hAnsi="Arial" w:cs="Arial"/>
                <w:noProof/>
                <w:webHidden/>
                <w:color w:val="000000" w:themeColor="text1"/>
              </w:rPr>
              <w:fldChar w:fldCharType="end"/>
            </w:r>
          </w:hyperlink>
        </w:p>
        <w:p w14:paraId="24B67A10" w14:textId="77777777" w:rsidR="002D0395" w:rsidRPr="00412823" w:rsidRDefault="006B6B33">
          <w:pPr>
            <w:pStyle w:val="TOC1"/>
            <w:tabs>
              <w:tab w:val="right" w:leader="dot" w:pos="9350"/>
            </w:tabs>
            <w:rPr>
              <w:rFonts w:ascii="Arial" w:eastAsiaTheme="minorEastAsia" w:hAnsi="Arial" w:cs="Arial"/>
              <w:noProof/>
              <w:color w:val="000000" w:themeColor="text1"/>
            </w:rPr>
          </w:pPr>
          <w:hyperlink w:anchor="_Toc509426067" w:history="1">
            <w:r w:rsidR="002D0395" w:rsidRPr="00412823">
              <w:rPr>
                <w:rStyle w:val="Hyperlink"/>
                <w:rFonts w:ascii="Arial" w:eastAsiaTheme="majorEastAsia" w:hAnsi="Arial" w:cs="Arial"/>
                <w:noProof/>
                <w:color w:val="000000" w:themeColor="text1"/>
              </w:rPr>
              <w:t>Foreign market research</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_Toc509426067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11</w:t>
            </w:r>
            <w:r w:rsidR="002D0395" w:rsidRPr="00412823">
              <w:rPr>
                <w:rFonts w:ascii="Arial" w:hAnsi="Arial" w:cs="Arial"/>
                <w:noProof/>
                <w:webHidden/>
                <w:color w:val="000000" w:themeColor="text1"/>
              </w:rPr>
              <w:fldChar w:fldCharType="end"/>
            </w:r>
          </w:hyperlink>
        </w:p>
        <w:p w14:paraId="24B67A11" w14:textId="77777777" w:rsidR="002D0395" w:rsidRPr="00412823" w:rsidRDefault="006B6B33">
          <w:pPr>
            <w:pStyle w:val="TOC1"/>
            <w:tabs>
              <w:tab w:val="right" w:leader="dot" w:pos="9350"/>
            </w:tabs>
            <w:rPr>
              <w:rFonts w:ascii="Arial" w:eastAsiaTheme="minorEastAsia" w:hAnsi="Arial" w:cs="Arial"/>
              <w:noProof/>
              <w:color w:val="000000" w:themeColor="text1"/>
            </w:rPr>
          </w:pPr>
          <w:hyperlink w:anchor="_Toc509426068" w:history="1">
            <w:r w:rsidR="002D0395" w:rsidRPr="00412823">
              <w:rPr>
                <w:rStyle w:val="Hyperlink"/>
                <w:rFonts w:ascii="Arial" w:eastAsiaTheme="majorEastAsia" w:hAnsi="Arial" w:cs="Arial"/>
                <w:noProof/>
                <w:color w:val="000000" w:themeColor="text1"/>
              </w:rPr>
              <w:t>Risk assessment</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_Toc509426068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14</w:t>
            </w:r>
            <w:r w:rsidR="002D0395" w:rsidRPr="00412823">
              <w:rPr>
                <w:rFonts w:ascii="Arial" w:hAnsi="Arial" w:cs="Arial"/>
                <w:noProof/>
                <w:webHidden/>
                <w:color w:val="000000" w:themeColor="text1"/>
              </w:rPr>
              <w:fldChar w:fldCharType="end"/>
            </w:r>
          </w:hyperlink>
        </w:p>
        <w:p w14:paraId="24B67A12"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69" w:history="1">
            <w:r w:rsidR="002D0395" w:rsidRPr="00412823">
              <w:rPr>
                <w:rStyle w:val="Hyperlink"/>
                <w:rFonts w:ascii="Arial" w:eastAsiaTheme="majorEastAsia" w:hAnsi="Arial" w:cs="Arial"/>
                <w:noProof/>
                <w:color w:val="000000" w:themeColor="text1"/>
              </w:rPr>
              <w:t>Country analysis dimensions for International Business</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_Toc509426069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14</w:t>
            </w:r>
            <w:r w:rsidR="002D0395" w:rsidRPr="00412823">
              <w:rPr>
                <w:rFonts w:ascii="Arial" w:hAnsi="Arial" w:cs="Arial"/>
                <w:noProof/>
                <w:webHidden/>
                <w:color w:val="000000" w:themeColor="text1"/>
              </w:rPr>
              <w:fldChar w:fldCharType="end"/>
            </w:r>
          </w:hyperlink>
        </w:p>
        <w:p w14:paraId="24B67A13"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70" w:history="1">
            <w:bookmarkStart w:id="0" w:name="_GoBack"/>
            <w:r w:rsidR="002D0395" w:rsidRPr="00412823">
              <w:rPr>
                <w:rStyle w:val="Hyperlink"/>
                <w:rFonts w:ascii="Arial" w:eastAsiaTheme="majorEastAsia" w:hAnsi="Arial" w:cs="Arial"/>
                <w:noProof/>
                <w:color w:val="000000" w:themeColor="text1"/>
              </w:rPr>
              <w:t>Risk</w:t>
            </w:r>
            <w:bookmarkEnd w:id="0"/>
            <w:r w:rsidR="002D0395" w:rsidRPr="00412823">
              <w:rPr>
                <w:rStyle w:val="Hyperlink"/>
                <w:rFonts w:ascii="Arial" w:eastAsiaTheme="majorEastAsia" w:hAnsi="Arial" w:cs="Arial"/>
                <w:noProof/>
                <w:color w:val="000000" w:themeColor="text1"/>
              </w:rPr>
              <w:t xml:space="preserve"> summary</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_Toc509426070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18</w:t>
            </w:r>
            <w:r w:rsidR="002D0395" w:rsidRPr="00412823">
              <w:rPr>
                <w:rFonts w:ascii="Arial" w:hAnsi="Arial" w:cs="Arial"/>
                <w:noProof/>
                <w:webHidden/>
                <w:color w:val="000000" w:themeColor="text1"/>
              </w:rPr>
              <w:fldChar w:fldCharType="end"/>
            </w:r>
          </w:hyperlink>
        </w:p>
        <w:p w14:paraId="24B67A14" w14:textId="77777777" w:rsidR="002D0395" w:rsidRPr="00412823" w:rsidRDefault="006B6B33">
          <w:pPr>
            <w:pStyle w:val="TOC1"/>
            <w:tabs>
              <w:tab w:val="right" w:leader="dot" w:pos="9350"/>
            </w:tabs>
            <w:rPr>
              <w:rFonts w:ascii="Arial" w:eastAsiaTheme="minorEastAsia" w:hAnsi="Arial" w:cs="Arial"/>
              <w:noProof/>
              <w:color w:val="000000" w:themeColor="text1"/>
            </w:rPr>
          </w:pPr>
          <w:hyperlink w:anchor="_Toc509426071" w:history="1">
            <w:r w:rsidR="002D0395" w:rsidRPr="00412823">
              <w:rPr>
                <w:rStyle w:val="Hyperlink"/>
                <w:rFonts w:ascii="Arial" w:eastAsiaTheme="majorEastAsia" w:hAnsi="Arial" w:cs="Arial"/>
                <w:noProof/>
                <w:color w:val="000000" w:themeColor="text1"/>
              </w:rPr>
              <w:t>International business strategy</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_Toc509426071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19</w:t>
            </w:r>
            <w:r w:rsidR="002D0395" w:rsidRPr="00412823">
              <w:rPr>
                <w:rFonts w:ascii="Arial" w:hAnsi="Arial" w:cs="Arial"/>
                <w:noProof/>
                <w:webHidden/>
                <w:color w:val="000000" w:themeColor="text1"/>
              </w:rPr>
              <w:fldChar w:fldCharType="end"/>
            </w:r>
          </w:hyperlink>
        </w:p>
        <w:p w14:paraId="24B67A15" w14:textId="77777777" w:rsidR="002D0395" w:rsidRPr="00412823" w:rsidRDefault="006B6B33">
          <w:pPr>
            <w:pStyle w:val="TOC1"/>
            <w:tabs>
              <w:tab w:val="right" w:leader="dot" w:pos="9350"/>
            </w:tabs>
            <w:rPr>
              <w:rFonts w:ascii="Arial" w:eastAsiaTheme="minorEastAsia" w:hAnsi="Arial" w:cs="Arial"/>
              <w:noProof/>
              <w:color w:val="000000" w:themeColor="text1"/>
            </w:rPr>
          </w:pPr>
          <w:hyperlink w:anchor="_Toc509426072" w:history="1">
            <w:r w:rsidR="002D0395" w:rsidRPr="00412823">
              <w:rPr>
                <w:rStyle w:val="Hyperlink"/>
                <w:rFonts w:ascii="Arial" w:hAnsi="Arial" w:cs="Arial"/>
                <w:noProof/>
                <w:color w:val="000000" w:themeColor="text1"/>
              </w:rPr>
              <w:t>International marketing plan</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_Toc509426072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20</w:t>
            </w:r>
            <w:r w:rsidR="002D0395" w:rsidRPr="00412823">
              <w:rPr>
                <w:rFonts w:ascii="Arial" w:hAnsi="Arial" w:cs="Arial"/>
                <w:noProof/>
                <w:webHidden/>
                <w:color w:val="000000" w:themeColor="text1"/>
              </w:rPr>
              <w:fldChar w:fldCharType="end"/>
            </w:r>
          </w:hyperlink>
        </w:p>
        <w:p w14:paraId="24B67A16"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73" w:history="1">
            <w:r w:rsidR="002D0395" w:rsidRPr="00412823">
              <w:rPr>
                <w:rStyle w:val="Hyperlink"/>
                <w:rFonts w:ascii="Arial" w:eastAsiaTheme="majorEastAsia" w:hAnsi="Arial" w:cs="Arial"/>
                <w:noProof/>
                <w:color w:val="000000" w:themeColor="text1"/>
              </w:rPr>
              <w:t>Marketing strategy</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_Toc509426073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21</w:t>
            </w:r>
            <w:r w:rsidR="002D0395" w:rsidRPr="00412823">
              <w:rPr>
                <w:rFonts w:ascii="Arial" w:hAnsi="Arial" w:cs="Arial"/>
                <w:noProof/>
                <w:webHidden/>
                <w:color w:val="000000" w:themeColor="text1"/>
              </w:rPr>
              <w:fldChar w:fldCharType="end"/>
            </w:r>
          </w:hyperlink>
        </w:p>
        <w:p w14:paraId="24B67A17" w14:textId="77777777" w:rsidR="002D0395" w:rsidRPr="00412823" w:rsidRDefault="006B6B33">
          <w:pPr>
            <w:pStyle w:val="TOC2"/>
            <w:tabs>
              <w:tab w:val="right" w:leader="dot" w:pos="9350"/>
            </w:tabs>
            <w:rPr>
              <w:rFonts w:ascii="Arial" w:eastAsiaTheme="minorEastAsia" w:hAnsi="Arial" w:cs="Arial"/>
              <w:noProof/>
              <w:color w:val="000000" w:themeColor="text1"/>
            </w:rPr>
          </w:pPr>
          <w:hyperlink w:anchor="_Toc509426074" w:history="1">
            <w:r w:rsidR="002D0395" w:rsidRPr="00412823">
              <w:rPr>
                <w:rStyle w:val="Hyperlink"/>
                <w:rFonts w:ascii="Arial" w:eastAsiaTheme="majorEastAsia" w:hAnsi="Arial" w:cs="Arial"/>
                <w:noProof/>
                <w:color w:val="000000" w:themeColor="text1"/>
              </w:rPr>
              <w:t>Market entry plan and strategy</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_Toc509426074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21</w:t>
            </w:r>
            <w:r w:rsidR="002D0395" w:rsidRPr="00412823">
              <w:rPr>
                <w:rFonts w:ascii="Arial" w:hAnsi="Arial" w:cs="Arial"/>
                <w:noProof/>
                <w:webHidden/>
                <w:color w:val="000000" w:themeColor="text1"/>
              </w:rPr>
              <w:fldChar w:fldCharType="end"/>
            </w:r>
          </w:hyperlink>
        </w:p>
        <w:p w14:paraId="24B67A18" w14:textId="77777777" w:rsidR="002D0395" w:rsidRPr="00412823" w:rsidRDefault="006B6B33">
          <w:pPr>
            <w:pStyle w:val="TOC1"/>
            <w:tabs>
              <w:tab w:val="right" w:leader="dot" w:pos="9350"/>
            </w:tabs>
            <w:rPr>
              <w:rFonts w:ascii="Arial" w:eastAsiaTheme="minorEastAsia" w:hAnsi="Arial" w:cs="Arial"/>
              <w:noProof/>
              <w:color w:val="000000" w:themeColor="text1"/>
            </w:rPr>
          </w:pPr>
          <w:hyperlink w:anchor="_Toc509426075" w:history="1">
            <w:r w:rsidR="002D0395" w:rsidRPr="00412823">
              <w:rPr>
                <w:rStyle w:val="Hyperlink"/>
                <w:rFonts w:ascii="Arial" w:hAnsi="Arial" w:cs="Arial"/>
                <w:noProof/>
                <w:color w:val="000000" w:themeColor="text1"/>
              </w:rPr>
              <w:t>Recommendations</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_Toc509426075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24</w:t>
            </w:r>
            <w:r w:rsidR="002D0395" w:rsidRPr="00412823">
              <w:rPr>
                <w:rFonts w:ascii="Arial" w:hAnsi="Arial" w:cs="Arial"/>
                <w:noProof/>
                <w:webHidden/>
                <w:color w:val="000000" w:themeColor="text1"/>
              </w:rPr>
              <w:fldChar w:fldCharType="end"/>
            </w:r>
          </w:hyperlink>
        </w:p>
        <w:p w14:paraId="24B67A19" w14:textId="77777777" w:rsidR="002D0395" w:rsidRPr="00412823" w:rsidRDefault="006B6B33">
          <w:pPr>
            <w:pStyle w:val="TOC1"/>
            <w:tabs>
              <w:tab w:val="right" w:leader="dot" w:pos="9350"/>
            </w:tabs>
            <w:rPr>
              <w:rFonts w:ascii="Arial" w:eastAsiaTheme="minorEastAsia" w:hAnsi="Arial" w:cs="Arial"/>
              <w:noProof/>
              <w:color w:val="000000" w:themeColor="text1"/>
            </w:rPr>
          </w:pPr>
          <w:hyperlink w:anchor="_Toc509426076" w:history="1">
            <w:r w:rsidR="002D0395" w:rsidRPr="00412823">
              <w:rPr>
                <w:rStyle w:val="Hyperlink"/>
                <w:rFonts w:ascii="Arial" w:hAnsi="Arial" w:cs="Arial"/>
                <w:noProof/>
                <w:color w:val="000000" w:themeColor="text1"/>
              </w:rPr>
              <w:t>Conclusion</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_Toc509426076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24</w:t>
            </w:r>
            <w:r w:rsidR="002D0395" w:rsidRPr="00412823">
              <w:rPr>
                <w:rFonts w:ascii="Arial" w:hAnsi="Arial" w:cs="Arial"/>
                <w:noProof/>
                <w:webHidden/>
                <w:color w:val="000000" w:themeColor="text1"/>
              </w:rPr>
              <w:fldChar w:fldCharType="end"/>
            </w:r>
          </w:hyperlink>
        </w:p>
        <w:p w14:paraId="24B67A1A" w14:textId="77777777" w:rsidR="002D0395" w:rsidRPr="00412823" w:rsidRDefault="006B6B33">
          <w:pPr>
            <w:pStyle w:val="TOC1"/>
            <w:tabs>
              <w:tab w:val="right" w:leader="dot" w:pos="9350"/>
            </w:tabs>
            <w:rPr>
              <w:rFonts w:ascii="Arial" w:eastAsiaTheme="minorEastAsia" w:hAnsi="Arial" w:cs="Arial"/>
              <w:noProof/>
              <w:color w:val="000000" w:themeColor="text1"/>
            </w:rPr>
          </w:pPr>
          <w:hyperlink w:anchor="_Toc509426077" w:history="1">
            <w:r w:rsidR="002D0395" w:rsidRPr="00412823">
              <w:rPr>
                <w:rStyle w:val="Hyperlink"/>
                <w:rFonts w:ascii="Arial" w:hAnsi="Arial" w:cs="Arial"/>
                <w:noProof/>
                <w:color w:val="000000" w:themeColor="text1"/>
              </w:rPr>
              <w:t>References</w:t>
            </w:r>
            <w:r w:rsidR="002D0395" w:rsidRPr="00412823">
              <w:rPr>
                <w:rFonts w:ascii="Arial" w:hAnsi="Arial" w:cs="Arial"/>
                <w:noProof/>
                <w:webHidden/>
                <w:color w:val="000000" w:themeColor="text1"/>
              </w:rPr>
              <w:tab/>
            </w:r>
            <w:r w:rsidR="002D0395" w:rsidRPr="00412823">
              <w:rPr>
                <w:rFonts w:ascii="Arial" w:hAnsi="Arial" w:cs="Arial"/>
                <w:noProof/>
                <w:webHidden/>
                <w:color w:val="000000" w:themeColor="text1"/>
              </w:rPr>
              <w:fldChar w:fldCharType="begin"/>
            </w:r>
            <w:r w:rsidR="002D0395" w:rsidRPr="00412823">
              <w:rPr>
                <w:rFonts w:ascii="Arial" w:hAnsi="Arial" w:cs="Arial"/>
                <w:noProof/>
                <w:webHidden/>
                <w:color w:val="000000" w:themeColor="text1"/>
              </w:rPr>
              <w:instrText xml:space="preserve"> PAGEREF _Toc509426077 \h </w:instrText>
            </w:r>
            <w:r w:rsidR="002D0395" w:rsidRPr="00412823">
              <w:rPr>
                <w:rFonts w:ascii="Arial" w:hAnsi="Arial" w:cs="Arial"/>
                <w:noProof/>
                <w:webHidden/>
                <w:color w:val="000000" w:themeColor="text1"/>
              </w:rPr>
            </w:r>
            <w:r w:rsidR="002D0395" w:rsidRPr="00412823">
              <w:rPr>
                <w:rFonts w:ascii="Arial" w:hAnsi="Arial" w:cs="Arial"/>
                <w:noProof/>
                <w:webHidden/>
                <w:color w:val="000000" w:themeColor="text1"/>
              </w:rPr>
              <w:fldChar w:fldCharType="separate"/>
            </w:r>
            <w:r w:rsidR="002D0395" w:rsidRPr="00412823">
              <w:rPr>
                <w:rFonts w:ascii="Arial" w:hAnsi="Arial" w:cs="Arial"/>
                <w:noProof/>
                <w:webHidden/>
                <w:color w:val="000000" w:themeColor="text1"/>
              </w:rPr>
              <w:t>26</w:t>
            </w:r>
            <w:r w:rsidR="002D0395" w:rsidRPr="00412823">
              <w:rPr>
                <w:rFonts w:ascii="Arial" w:hAnsi="Arial" w:cs="Arial"/>
                <w:noProof/>
                <w:webHidden/>
                <w:color w:val="000000" w:themeColor="text1"/>
              </w:rPr>
              <w:fldChar w:fldCharType="end"/>
            </w:r>
          </w:hyperlink>
        </w:p>
        <w:p w14:paraId="24B67A1B" w14:textId="77777777" w:rsidR="009C021B" w:rsidRPr="00412823" w:rsidRDefault="009C021B">
          <w:pPr>
            <w:rPr>
              <w:rFonts w:ascii="Arial" w:hAnsi="Arial" w:cs="Arial"/>
              <w:color w:val="000000" w:themeColor="text1"/>
              <w:sz w:val="24"/>
              <w:szCs w:val="24"/>
            </w:rPr>
          </w:pPr>
          <w:r w:rsidRPr="00412823">
            <w:rPr>
              <w:rFonts w:ascii="Arial" w:hAnsi="Arial" w:cs="Arial"/>
              <w:bCs/>
              <w:noProof/>
              <w:color w:val="000000" w:themeColor="text1"/>
              <w:sz w:val="24"/>
              <w:szCs w:val="24"/>
            </w:rPr>
            <w:fldChar w:fldCharType="end"/>
          </w:r>
        </w:p>
      </w:sdtContent>
    </w:sdt>
    <w:p w14:paraId="24B67A1C" w14:textId="77777777" w:rsidR="009C021B" w:rsidRPr="00412823" w:rsidRDefault="009C021B" w:rsidP="009C021B">
      <w:pPr>
        <w:spacing w:line="480" w:lineRule="auto"/>
        <w:jc w:val="center"/>
        <w:rPr>
          <w:rFonts w:ascii="Arial" w:hAnsi="Arial" w:cs="Arial"/>
          <w:color w:val="000000" w:themeColor="text1"/>
          <w:sz w:val="24"/>
          <w:szCs w:val="24"/>
        </w:rPr>
      </w:pPr>
    </w:p>
    <w:p w14:paraId="24B67A1D" w14:textId="77777777" w:rsidR="009C021B" w:rsidRPr="00412823" w:rsidRDefault="009C021B" w:rsidP="009C021B">
      <w:pPr>
        <w:spacing w:line="480" w:lineRule="auto"/>
        <w:jc w:val="center"/>
        <w:rPr>
          <w:rFonts w:ascii="Arial" w:hAnsi="Arial" w:cs="Arial"/>
          <w:color w:val="000000" w:themeColor="text1"/>
          <w:sz w:val="24"/>
          <w:szCs w:val="24"/>
        </w:rPr>
      </w:pPr>
    </w:p>
    <w:p w14:paraId="24B67A1E" w14:textId="77777777" w:rsidR="009C021B" w:rsidRPr="00412823" w:rsidRDefault="009C021B" w:rsidP="00F14D6C">
      <w:pPr>
        <w:spacing w:line="480" w:lineRule="auto"/>
        <w:rPr>
          <w:rFonts w:ascii="Arial" w:hAnsi="Arial" w:cs="Arial"/>
          <w:color w:val="000000" w:themeColor="text1"/>
          <w:sz w:val="24"/>
          <w:szCs w:val="24"/>
        </w:rPr>
      </w:pPr>
    </w:p>
    <w:p w14:paraId="24B67A1F" w14:textId="77777777" w:rsidR="009C021B" w:rsidRPr="00412823" w:rsidRDefault="009C021B" w:rsidP="009C021B">
      <w:pPr>
        <w:spacing w:line="480" w:lineRule="auto"/>
        <w:jc w:val="center"/>
        <w:rPr>
          <w:rFonts w:ascii="Arial" w:hAnsi="Arial" w:cs="Arial"/>
          <w:color w:val="000000" w:themeColor="text1"/>
          <w:sz w:val="24"/>
          <w:szCs w:val="24"/>
        </w:rPr>
      </w:pPr>
    </w:p>
    <w:p w14:paraId="24B67A20" w14:textId="77777777" w:rsidR="009C021B" w:rsidRPr="00412823" w:rsidRDefault="009C021B" w:rsidP="009C021B">
      <w:pPr>
        <w:spacing w:line="480" w:lineRule="auto"/>
        <w:jc w:val="center"/>
        <w:rPr>
          <w:rFonts w:ascii="Arial" w:hAnsi="Arial" w:cs="Arial"/>
          <w:color w:val="000000" w:themeColor="text1"/>
          <w:sz w:val="24"/>
          <w:szCs w:val="24"/>
        </w:rPr>
      </w:pPr>
    </w:p>
    <w:p w14:paraId="24B67A21" w14:textId="77777777" w:rsidR="00A50796" w:rsidRPr="00412823" w:rsidRDefault="00A50796" w:rsidP="009C021B">
      <w:pPr>
        <w:pStyle w:val="Heading1"/>
        <w:spacing w:line="480" w:lineRule="auto"/>
        <w:jc w:val="center"/>
        <w:rPr>
          <w:rFonts w:ascii="Arial" w:hAnsi="Arial" w:cs="Arial"/>
          <w:b/>
          <w:color w:val="000000" w:themeColor="text1"/>
          <w:sz w:val="24"/>
          <w:szCs w:val="24"/>
        </w:rPr>
      </w:pPr>
      <w:bookmarkStart w:id="1" w:name="_Toc509426057"/>
      <w:r w:rsidRPr="00412823">
        <w:rPr>
          <w:rFonts w:ascii="Arial" w:hAnsi="Arial" w:cs="Arial"/>
          <w:b/>
          <w:color w:val="000000" w:themeColor="text1"/>
          <w:sz w:val="24"/>
          <w:szCs w:val="24"/>
        </w:rPr>
        <w:lastRenderedPageBreak/>
        <w:t>Executive summary of international business plan</w:t>
      </w:r>
      <w:bookmarkEnd w:id="1"/>
    </w:p>
    <w:p w14:paraId="24B67A22" w14:textId="77777777" w:rsidR="00382E4D" w:rsidRPr="00412823" w:rsidRDefault="00382E4D"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Gazprom is a globally renowned organization for providing high quality natural gas supply to commercial and private consumers in more than 100 countries. </w:t>
      </w:r>
      <w:r w:rsidR="000C746E" w:rsidRPr="00412823">
        <w:rPr>
          <w:rFonts w:ascii="Arial" w:hAnsi="Arial" w:cs="Arial"/>
          <w:color w:val="000000" w:themeColor="text1"/>
          <w:sz w:val="24"/>
          <w:szCs w:val="24"/>
        </w:rPr>
        <w:t>The</w:t>
      </w:r>
      <w:r w:rsidRPr="00412823">
        <w:rPr>
          <w:rFonts w:ascii="Arial" w:hAnsi="Arial" w:cs="Arial"/>
          <w:color w:val="000000" w:themeColor="text1"/>
          <w:sz w:val="24"/>
          <w:szCs w:val="24"/>
        </w:rPr>
        <w:t xml:space="preserve"> company is known as one of key market players in global gas industry. </w:t>
      </w:r>
      <w:r w:rsidR="000C746E" w:rsidRPr="00412823">
        <w:rPr>
          <w:rFonts w:ascii="Arial" w:hAnsi="Arial" w:cs="Arial"/>
          <w:color w:val="000000" w:themeColor="text1"/>
          <w:sz w:val="24"/>
          <w:szCs w:val="24"/>
        </w:rPr>
        <w:t>Apart</w:t>
      </w:r>
      <w:r w:rsidRPr="00412823">
        <w:rPr>
          <w:rFonts w:ascii="Arial" w:hAnsi="Arial" w:cs="Arial"/>
          <w:color w:val="000000" w:themeColor="text1"/>
          <w:sz w:val="24"/>
          <w:szCs w:val="24"/>
        </w:rPr>
        <w:t xml:space="preserve"> from gas, Gazprom also deals with petrochemicals and petroleum products. </w:t>
      </w:r>
      <w:r w:rsidR="000C746E" w:rsidRPr="00412823">
        <w:rPr>
          <w:rFonts w:ascii="Arial" w:hAnsi="Arial" w:cs="Arial"/>
          <w:color w:val="000000" w:themeColor="text1"/>
          <w:sz w:val="24"/>
          <w:szCs w:val="24"/>
        </w:rPr>
        <w:t>In</w:t>
      </w:r>
      <w:r w:rsidRPr="00412823">
        <w:rPr>
          <w:rFonts w:ascii="Arial" w:hAnsi="Arial" w:cs="Arial"/>
          <w:color w:val="000000" w:themeColor="text1"/>
          <w:sz w:val="24"/>
          <w:szCs w:val="24"/>
        </w:rPr>
        <w:t xml:space="preserve"> this report, a foreign market plan is established for Gazprom for UK in order to expand the business. </w:t>
      </w:r>
      <w:r w:rsidR="00CA0DAC" w:rsidRPr="00412823">
        <w:rPr>
          <w:rFonts w:ascii="Arial" w:hAnsi="Arial" w:cs="Arial"/>
          <w:color w:val="000000" w:themeColor="text1"/>
          <w:sz w:val="24"/>
          <w:szCs w:val="24"/>
        </w:rPr>
        <w:t>Different</w:t>
      </w:r>
      <w:r w:rsidR="000C746E" w:rsidRPr="00412823">
        <w:rPr>
          <w:rFonts w:ascii="Arial" w:hAnsi="Arial" w:cs="Arial"/>
          <w:color w:val="000000" w:themeColor="text1"/>
          <w:sz w:val="24"/>
          <w:szCs w:val="24"/>
        </w:rPr>
        <w:t xml:space="preserve"> analytical tools and frameworks are used to assess the internal and </w:t>
      </w:r>
      <w:r w:rsidR="00CA0DAC" w:rsidRPr="00412823">
        <w:rPr>
          <w:rFonts w:ascii="Arial" w:hAnsi="Arial" w:cs="Arial"/>
          <w:color w:val="000000" w:themeColor="text1"/>
          <w:sz w:val="24"/>
          <w:szCs w:val="24"/>
        </w:rPr>
        <w:t>external</w:t>
      </w:r>
      <w:r w:rsidR="000C746E" w:rsidRPr="00412823">
        <w:rPr>
          <w:rFonts w:ascii="Arial" w:hAnsi="Arial" w:cs="Arial"/>
          <w:color w:val="000000" w:themeColor="text1"/>
          <w:sz w:val="24"/>
          <w:szCs w:val="24"/>
        </w:rPr>
        <w:t xml:space="preserve"> environment of Gazprom and UK and test feasibility of one for another. SWOT, TOWS, QUEST, PEST, Porter’s diamond and porter’s five forces model along with 8Ps of market entry plan and a thorough country analysis of UK is also included in the paper. </w:t>
      </w:r>
      <w:r w:rsidR="00AB046F" w:rsidRPr="00412823">
        <w:rPr>
          <w:rFonts w:ascii="Arial" w:hAnsi="Arial" w:cs="Arial"/>
          <w:color w:val="000000" w:themeColor="text1"/>
          <w:sz w:val="24"/>
          <w:szCs w:val="24"/>
        </w:rPr>
        <w:t>It</w:t>
      </w:r>
      <w:r w:rsidR="00CA0DAC" w:rsidRPr="00412823">
        <w:rPr>
          <w:rFonts w:ascii="Arial" w:hAnsi="Arial" w:cs="Arial"/>
          <w:color w:val="000000" w:themeColor="text1"/>
          <w:sz w:val="24"/>
          <w:szCs w:val="24"/>
        </w:rPr>
        <w:t xml:space="preserve"> is concluded that Gazprom can enter the market by adopting subsidiary performance approach i.e. the monitoring of existing GM&amp;T subsidiary </w:t>
      </w:r>
      <w:r w:rsidR="00AB046F" w:rsidRPr="00412823">
        <w:rPr>
          <w:rFonts w:ascii="Arial" w:hAnsi="Arial" w:cs="Arial"/>
          <w:color w:val="000000" w:themeColor="text1"/>
          <w:sz w:val="24"/>
          <w:szCs w:val="24"/>
        </w:rPr>
        <w:t>and then launchi</w:t>
      </w:r>
      <w:r w:rsidR="00CA0DAC" w:rsidRPr="00412823">
        <w:rPr>
          <w:rFonts w:ascii="Arial" w:hAnsi="Arial" w:cs="Arial"/>
          <w:color w:val="000000" w:themeColor="text1"/>
          <w:sz w:val="24"/>
          <w:szCs w:val="24"/>
        </w:rPr>
        <w:t>n</w:t>
      </w:r>
      <w:r w:rsidR="00AB046F" w:rsidRPr="00412823">
        <w:rPr>
          <w:rFonts w:ascii="Arial" w:hAnsi="Arial" w:cs="Arial"/>
          <w:color w:val="000000" w:themeColor="text1"/>
          <w:sz w:val="24"/>
          <w:szCs w:val="24"/>
        </w:rPr>
        <w:t>g</w:t>
      </w:r>
      <w:r w:rsidR="00CA0DAC" w:rsidRPr="00412823">
        <w:rPr>
          <w:rFonts w:ascii="Arial" w:hAnsi="Arial" w:cs="Arial"/>
          <w:color w:val="000000" w:themeColor="text1"/>
          <w:sz w:val="24"/>
          <w:szCs w:val="24"/>
        </w:rPr>
        <w:t xml:space="preserve"> the main business unit. </w:t>
      </w:r>
      <w:r w:rsidR="00AB046F" w:rsidRPr="00412823">
        <w:rPr>
          <w:rFonts w:ascii="Arial" w:hAnsi="Arial" w:cs="Arial"/>
          <w:color w:val="000000" w:themeColor="text1"/>
          <w:sz w:val="24"/>
          <w:szCs w:val="24"/>
        </w:rPr>
        <w:t xml:space="preserve">Market penetration strategy should be adopted to conduct marketing for the launched business. </w:t>
      </w:r>
      <w:r w:rsidR="00A66FF7" w:rsidRPr="00412823">
        <w:rPr>
          <w:rFonts w:ascii="Arial" w:hAnsi="Arial" w:cs="Arial"/>
          <w:color w:val="000000" w:themeColor="text1"/>
          <w:sz w:val="24"/>
          <w:szCs w:val="24"/>
        </w:rPr>
        <w:t>A</w:t>
      </w:r>
      <w:r w:rsidR="00AB046F" w:rsidRPr="00412823">
        <w:rPr>
          <w:rFonts w:ascii="Arial" w:hAnsi="Arial" w:cs="Arial"/>
          <w:color w:val="000000" w:themeColor="text1"/>
          <w:sz w:val="24"/>
          <w:szCs w:val="24"/>
        </w:rPr>
        <w:t xml:space="preserve"> well-researched homework before taking the implementation decision of launch will minimize the risk and </w:t>
      </w:r>
      <w:r w:rsidR="00A66FF7" w:rsidRPr="00412823">
        <w:rPr>
          <w:rFonts w:ascii="Arial" w:hAnsi="Arial" w:cs="Arial"/>
          <w:color w:val="000000" w:themeColor="text1"/>
          <w:sz w:val="24"/>
          <w:szCs w:val="24"/>
        </w:rPr>
        <w:t xml:space="preserve">increase chances of business success in the foreign market. </w:t>
      </w:r>
    </w:p>
    <w:p w14:paraId="24B67A23" w14:textId="77777777" w:rsidR="009C021B" w:rsidRPr="00412823" w:rsidRDefault="009C021B" w:rsidP="009C021B">
      <w:pPr>
        <w:spacing w:line="480" w:lineRule="auto"/>
        <w:rPr>
          <w:rFonts w:ascii="Arial" w:hAnsi="Arial" w:cs="Arial"/>
          <w:color w:val="000000" w:themeColor="text1"/>
          <w:sz w:val="24"/>
          <w:szCs w:val="24"/>
        </w:rPr>
      </w:pPr>
    </w:p>
    <w:p w14:paraId="24B67A24" w14:textId="77777777" w:rsidR="009C021B" w:rsidRPr="00412823" w:rsidRDefault="009C021B" w:rsidP="009C021B">
      <w:pPr>
        <w:spacing w:line="480" w:lineRule="auto"/>
        <w:rPr>
          <w:rFonts w:ascii="Arial" w:hAnsi="Arial" w:cs="Arial"/>
          <w:color w:val="000000" w:themeColor="text1"/>
          <w:sz w:val="24"/>
          <w:szCs w:val="24"/>
        </w:rPr>
      </w:pPr>
    </w:p>
    <w:p w14:paraId="24B67A25" w14:textId="77777777" w:rsidR="009C021B" w:rsidRPr="00412823" w:rsidRDefault="009C021B" w:rsidP="009C021B">
      <w:pPr>
        <w:spacing w:line="480" w:lineRule="auto"/>
        <w:rPr>
          <w:rFonts w:ascii="Arial" w:hAnsi="Arial" w:cs="Arial"/>
          <w:color w:val="000000" w:themeColor="text1"/>
          <w:sz w:val="24"/>
          <w:szCs w:val="24"/>
        </w:rPr>
      </w:pPr>
    </w:p>
    <w:p w14:paraId="24B67A26" w14:textId="77777777" w:rsidR="009C021B" w:rsidRPr="00412823" w:rsidRDefault="009C021B" w:rsidP="009C021B">
      <w:pPr>
        <w:spacing w:line="480" w:lineRule="auto"/>
        <w:rPr>
          <w:rFonts w:ascii="Arial" w:hAnsi="Arial" w:cs="Arial"/>
          <w:color w:val="000000" w:themeColor="text1"/>
          <w:sz w:val="24"/>
          <w:szCs w:val="24"/>
        </w:rPr>
      </w:pPr>
    </w:p>
    <w:p w14:paraId="24B67A27" w14:textId="77777777" w:rsidR="009C021B" w:rsidRPr="00412823" w:rsidRDefault="009C021B" w:rsidP="009C021B">
      <w:pPr>
        <w:spacing w:line="480" w:lineRule="auto"/>
        <w:rPr>
          <w:rFonts w:ascii="Arial" w:hAnsi="Arial" w:cs="Arial"/>
          <w:color w:val="000000" w:themeColor="text1"/>
          <w:sz w:val="24"/>
          <w:szCs w:val="24"/>
        </w:rPr>
      </w:pPr>
    </w:p>
    <w:p w14:paraId="24B67A28" w14:textId="77777777" w:rsidR="009C021B" w:rsidRPr="00412823" w:rsidRDefault="009C021B" w:rsidP="009C021B">
      <w:pPr>
        <w:spacing w:line="480" w:lineRule="auto"/>
        <w:rPr>
          <w:rFonts w:ascii="Arial" w:hAnsi="Arial" w:cs="Arial"/>
          <w:color w:val="000000" w:themeColor="text1"/>
          <w:sz w:val="24"/>
          <w:szCs w:val="24"/>
        </w:rPr>
      </w:pPr>
    </w:p>
    <w:p w14:paraId="24B67A2C" w14:textId="77777777" w:rsidR="00A50796" w:rsidRPr="00412823" w:rsidRDefault="00A50796" w:rsidP="009C021B">
      <w:pPr>
        <w:keepNext/>
        <w:keepLines/>
        <w:spacing w:before="240" w:after="0" w:line="480" w:lineRule="auto"/>
        <w:jc w:val="center"/>
        <w:outlineLvl w:val="0"/>
        <w:rPr>
          <w:rFonts w:ascii="Arial" w:eastAsiaTheme="majorEastAsia" w:hAnsi="Arial" w:cs="Arial"/>
          <w:b/>
          <w:color w:val="000000" w:themeColor="text1"/>
          <w:sz w:val="24"/>
          <w:szCs w:val="24"/>
        </w:rPr>
      </w:pPr>
      <w:bookmarkStart w:id="2" w:name="_Toc509426058"/>
      <w:r w:rsidRPr="00412823">
        <w:rPr>
          <w:rFonts w:ascii="Arial" w:eastAsiaTheme="majorEastAsia" w:hAnsi="Arial" w:cs="Arial"/>
          <w:b/>
          <w:color w:val="000000" w:themeColor="text1"/>
          <w:sz w:val="24"/>
          <w:szCs w:val="24"/>
        </w:rPr>
        <w:lastRenderedPageBreak/>
        <w:t>Introduction</w:t>
      </w:r>
      <w:bookmarkEnd w:id="2"/>
    </w:p>
    <w:p w14:paraId="24B67A2D"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Gazprom is a Russian company that was found in 1989. It is one of leading companies in gas and energy sector that manufactures, refines, sells and trade the gas supply all over the world. Gazprom is led by Victor </w:t>
      </w:r>
      <w:proofErr w:type="spellStart"/>
      <w:r w:rsidRPr="00412823">
        <w:rPr>
          <w:rFonts w:ascii="Arial" w:hAnsi="Arial" w:cs="Arial"/>
          <w:color w:val="000000" w:themeColor="text1"/>
          <w:sz w:val="24"/>
          <w:szCs w:val="24"/>
        </w:rPr>
        <w:t>Zubkov</w:t>
      </w:r>
      <w:proofErr w:type="spellEnd"/>
      <w:r w:rsidRPr="00412823">
        <w:rPr>
          <w:rFonts w:ascii="Arial" w:hAnsi="Arial" w:cs="Arial"/>
          <w:color w:val="000000" w:themeColor="text1"/>
          <w:sz w:val="24"/>
          <w:szCs w:val="24"/>
        </w:rPr>
        <w:t xml:space="preserve"> and is run by dedicated and committed workforce of 462,400 employees. The total revenue of Gazprom is US$91.1 billion (2016). Key products of Gazprom are natural gas, petroleum products, and petrochemicals. Gazprom contributes to world’s 17% gas production with 517.3 billion cubic meters production on daily basis. The following illustration shows some key facts about Gazprom</w:t>
      </w:r>
      <w:sdt>
        <w:sdtPr>
          <w:rPr>
            <w:rFonts w:ascii="Arial" w:hAnsi="Arial" w:cs="Arial"/>
            <w:color w:val="000000" w:themeColor="text1"/>
            <w:sz w:val="24"/>
            <w:szCs w:val="24"/>
          </w:rPr>
          <w:id w:val="1402870315"/>
          <w:citation/>
        </w:sdtPr>
        <w:sdtEndPr/>
        <w:sdtContent>
          <w:r w:rsidRPr="00412823">
            <w:rPr>
              <w:rFonts w:ascii="Arial" w:hAnsi="Arial" w:cs="Arial"/>
              <w:color w:val="000000" w:themeColor="text1"/>
              <w:sz w:val="24"/>
              <w:szCs w:val="24"/>
            </w:rPr>
            <w:fldChar w:fldCharType="begin"/>
          </w:r>
          <w:r w:rsidRPr="00412823">
            <w:rPr>
              <w:rFonts w:ascii="Arial" w:hAnsi="Arial" w:cs="Arial"/>
              <w:color w:val="000000" w:themeColor="text1"/>
              <w:sz w:val="24"/>
              <w:szCs w:val="24"/>
            </w:rPr>
            <w:instrText xml:space="preserve"> CITATION Hel171 \l 1033 </w:instrText>
          </w:r>
          <w:r w:rsidRPr="00412823">
            <w:rPr>
              <w:rFonts w:ascii="Arial" w:hAnsi="Arial" w:cs="Arial"/>
              <w:color w:val="000000" w:themeColor="text1"/>
              <w:sz w:val="24"/>
              <w:szCs w:val="24"/>
            </w:rPr>
            <w:fldChar w:fldCharType="separate"/>
          </w:r>
          <w:r w:rsidRPr="00412823">
            <w:rPr>
              <w:rFonts w:ascii="Arial" w:hAnsi="Arial" w:cs="Arial"/>
              <w:noProof/>
              <w:color w:val="000000" w:themeColor="text1"/>
              <w:sz w:val="24"/>
              <w:szCs w:val="24"/>
            </w:rPr>
            <w:t xml:space="preserve"> (Deresky, 2017)</w:t>
          </w:r>
          <w:r w:rsidRPr="00412823">
            <w:rPr>
              <w:rFonts w:ascii="Arial" w:hAnsi="Arial" w:cs="Arial"/>
              <w:color w:val="000000" w:themeColor="text1"/>
              <w:sz w:val="24"/>
              <w:szCs w:val="24"/>
            </w:rPr>
            <w:fldChar w:fldCharType="end"/>
          </w:r>
        </w:sdtContent>
      </w:sdt>
      <w:r w:rsidRPr="00412823">
        <w:rPr>
          <w:rFonts w:ascii="Arial" w:hAnsi="Arial" w:cs="Arial"/>
          <w:color w:val="000000" w:themeColor="text1"/>
          <w:sz w:val="24"/>
          <w:szCs w:val="24"/>
        </w:rPr>
        <w:t xml:space="preserve">. </w:t>
      </w:r>
    </w:p>
    <w:p w14:paraId="24B67A2E"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noProof/>
          <w:color w:val="000000" w:themeColor="text1"/>
          <w:sz w:val="24"/>
          <w:szCs w:val="24"/>
        </w:rPr>
        <w:drawing>
          <wp:inline distT="0" distB="0" distL="0" distR="0" wp14:anchorId="24B67B10" wp14:editId="24B67B11">
            <wp:extent cx="6391275" cy="3475888"/>
            <wp:effectExtent l="0" t="0" r="0" b="0"/>
            <wp:docPr id="4" name="Picture 4" descr="Image result for org structure of gazp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g structure of gazpr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04976" cy="3483339"/>
                    </a:xfrm>
                    <a:prstGeom prst="rect">
                      <a:avLst/>
                    </a:prstGeom>
                    <a:noFill/>
                    <a:ln>
                      <a:noFill/>
                    </a:ln>
                  </pic:spPr>
                </pic:pic>
              </a:graphicData>
            </a:graphic>
          </wp:inline>
        </w:drawing>
      </w:r>
    </w:p>
    <w:p w14:paraId="24B67A2F"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In this report, a foreign market entry plan for UK is prepared for Gazprom through a thorough and detailed analysis. The report entails the analysis tools, strategies, and </w:t>
      </w:r>
      <w:r w:rsidRPr="00412823">
        <w:rPr>
          <w:rFonts w:ascii="Arial" w:hAnsi="Arial" w:cs="Arial"/>
          <w:color w:val="000000" w:themeColor="text1"/>
          <w:sz w:val="24"/>
          <w:szCs w:val="24"/>
        </w:rPr>
        <w:lastRenderedPageBreak/>
        <w:t xml:space="preserve">assessments that helps to conclude the appropriate market entry strategy for Gazprom with least risk of failure. </w:t>
      </w:r>
    </w:p>
    <w:p w14:paraId="24B67A30"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bookmarkStart w:id="3" w:name="_Toc509426059"/>
      <w:r w:rsidRPr="00412823">
        <w:rPr>
          <w:rFonts w:ascii="Arial" w:eastAsiaTheme="majorEastAsia" w:hAnsi="Arial" w:cs="Arial"/>
          <w:b/>
          <w:color w:val="000000" w:themeColor="text1"/>
          <w:sz w:val="24"/>
          <w:szCs w:val="24"/>
        </w:rPr>
        <w:t>Corporate global vision and goals</w:t>
      </w:r>
      <w:bookmarkEnd w:id="3"/>
    </w:p>
    <w:p w14:paraId="24B67A31"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The vision of Gazprom is to compete with global energy companies in terms of trading, supply, and marketing </w:t>
      </w:r>
    </w:p>
    <w:p w14:paraId="24B67A32"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The mission of Gazprom is to ensure high quality energy resource supply to customer, to fairly conduct the business, take care of employees, and maintain their position with continuous quest for improvement in the energy and gas sector. </w:t>
      </w:r>
    </w:p>
    <w:p w14:paraId="24B67A33" w14:textId="77777777" w:rsidR="00A50796" w:rsidRPr="00412823" w:rsidRDefault="00A50796" w:rsidP="009C021B">
      <w:pPr>
        <w:keepNext/>
        <w:keepLines/>
        <w:spacing w:before="240" w:after="0" w:line="480" w:lineRule="auto"/>
        <w:outlineLvl w:val="0"/>
        <w:rPr>
          <w:rFonts w:ascii="Arial" w:eastAsiaTheme="majorEastAsia" w:hAnsi="Arial" w:cs="Arial"/>
          <w:b/>
          <w:color w:val="000000" w:themeColor="text1"/>
          <w:sz w:val="24"/>
          <w:szCs w:val="24"/>
        </w:rPr>
      </w:pPr>
      <w:bookmarkStart w:id="4" w:name="_Toc509426060"/>
      <w:r w:rsidRPr="00412823">
        <w:rPr>
          <w:rFonts w:ascii="Arial" w:eastAsiaTheme="majorEastAsia" w:hAnsi="Arial" w:cs="Arial"/>
          <w:b/>
          <w:color w:val="000000" w:themeColor="text1"/>
          <w:sz w:val="24"/>
          <w:szCs w:val="24"/>
        </w:rPr>
        <w:t>International business/ organizational structure</w:t>
      </w:r>
      <w:bookmarkEnd w:id="4"/>
    </w:p>
    <w:p w14:paraId="24B67A34"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Gazprom is conducting business successfully in more than 100 countries of the world that involves developed, developing and under developed countries. The organizational structure of Gazprom is therefore, designed in semi-flat manner in order to adhere to all requirements of decision making, problem solving and strategic goal achievement. In order to begin with the international plan development, it is essential to look into key business factor analysis by using analytical tools and models. </w:t>
      </w:r>
    </w:p>
    <w:p w14:paraId="24B67A35"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bookmarkStart w:id="5" w:name="_Toc509426061"/>
      <w:r w:rsidRPr="00412823">
        <w:rPr>
          <w:rFonts w:ascii="Arial" w:eastAsiaTheme="majorEastAsia" w:hAnsi="Arial" w:cs="Arial"/>
          <w:b/>
          <w:color w:val="000000" w:themeColor="text1"/>
          <w:sz w:val="24"/>
          <w:szCs w:val="24"/>
        </w:rPr>
        <w:t>PEST (Political, Economic, Social and Technological)</w:t>
      </w:r>
      <w:bookmarkEnd w:id="5"/>
    </w:p>
    <w:p w14:paraId="24B67A36"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Political: Gazprom conducts business operations in more than 100 countries of the world with gas exploration and refining activities in all continents. The political influence is evident that affect the business of Gazprom. Tax, regulations, rules, and export laws for international companies vary in every country that are determined by ruling political officials. Hence, Gazprom establish business strategy according to host country’s political scenario. </w:t>
      </w:r>
    </w:p>
    <w:p w14:paraId="24B67A37"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lastRenderedPageBreak/>
        <w:t xml:space="preserve">Economical: Gazprom is financially established company and minor setbacks do not put impact on the organization’s business scenario. The downfall of energy sector since 2015 did not put any effect on the operations of Gazprom. However, change in oil prices are considered closely by the company to take feasible decisions. </w:t>
      </w:r>
    </w:p>
    <w:p w14:paraId="24B67A38"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Social: Gazprom remains unaffected by the change in social trend because of business product nature and service necessity for citizens. Gas and petroleum products are necessities of life and the social change or unrest does not create negative impact on the company. However, the $497 million fine on ExxonMobil was a damaging experience for company’s moral standing in the industry. </w:t>
      </w:r>
    </w:p>
    <w:p w14:paraId="24B67A39"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Technological: Technological changes urge Gazprom to indulge in advanced field practices i.e. refining, exploration, production and supply handling. Gazprom invest on latest oil exploration techniques and establish technology based databases that record, retrieve, and secure information in all regional offices of the company. </w:t>
      </w:r>
    </w:p>
    <w:p w14:paraId="24B67A3A"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bookmarkStart w:id="6" w:name="_Toc509426062"/>
      <w:r w:rsidRPr="00412823">
        <w:rPr>
          <w:rFonts w:ascii="Arial" w:eastAsiaTheme="majorEastAsia" w:hAnsi="Arial" w:cs="Arial"/>
          <w:b/>
          <w:color w:val="000000" w:themeColor="text1"/>
          <w:sz w:val="24"/>
          <w:szCs w:val="24"/>
        </w:rPr>
        <w:t>SWOT (Strengths, Weaknesses, Opportunities and Threats)</w:t>
      </w:r>
      <w:bookmarkEnd w:id="6"/>
    </w:p>
    <w:p w14:paraId="24B67A3B" w14:textId="77777777" w:rsidR="00A50796" w:rsidRPr="00412823" w:rsidRDefault="00A50796" w:rsidP="009C021B">
      <w:pPr>
        <w:spacing w:line="480" w:lineRule="auto"/>
        <w:rPr>
          <w:rFonts w:ascii="Arial" w:hAnsi="Arial" w:cs="Arial"/>
          <w:color w:val="000000" w:themeColor="text1"/>
          <w:sz w:val="24"/>
          <w:szCs w:val="24"/>
        </w:rPr>
      </w:pPr>
    </w:p>
    <w:tbl>
      <w:tblPr>
        <w:tblStyle w:val="TableGrid"/>
        <w:tblW w:w="0" w:type="auto"/>
        <w:tblLook w:val="04A0" w:firstRow="1" w:lastRow="0" w:firstColumn="1" w:lastColumn="0" w:noHBand="0" w:noVBand="1"/>
      </w:tblPr>
      <w:tblGrid>
        <w:gridCol w:w="3920"/>
        <w:gridCol w:w="5430"/>
      </w:tblGrid>
      <w:tr w:rsidR="00412823" w:rsidRPr="00412823" w14:paraId="24B67A44" w14:textId="77777777" w:rsidTr="00046747">
        <w:tc>
          <w:tcPr>
            <w:tcW w:w="0" w:type="auto"/>
          </w:tcPr>
          <w:p w14:paraId="24B67A3C" w14:textId="77777777" w:rsidR="00A50796" w:rsidRPr="00412823" w:rsidRDefault="00A50796" w:rsidP="009C021B">
            <w:pPr>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t>Strengths</w:t>
            </w:r>
          </w:p>
          <w:p w14:paraId="24B67A3D"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Established and leading market position in natural gas production </w:t>
            </w:r>
          </w:p>
          <w:p w14:paraId="24B67A3E"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Financial stability </w:t>
            </w:r>
          </w:p>
          <w:p w14:paraId="24B67A3F"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Expertise in supplier and in-field services </w:t>
            </w:r>
          </w:p>
          <w:p w14:paraId="24B67A40"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lastRenderedPageBreak/>
              <w:t xml:space="preserve">Well-maintained gas transport service network </w:t>
            </w:r>
          </w:p>
        </w:tc>
        <w:tc>
          <w:tcPr>
            <w:tcW w:w="0" w:type="auto"/>
          </w:tcPr>
          <w:p w14:paraId="24B67A41" w14:textId="77777777" w:rsidR="00A50796" w:rsidRPr="00412823" w:rsidRDefault="00A50796" w:rsidP="009C021B">
            <w:pPr>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lastRenderedPageBreak/>
              <w:t>Weaknesses</w:t>
            </w:r>
          </w:p>
          <w:p w14:paraId="24B67A42"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softHyphen/>
              <w:t>maturing field of gas exploration and supply</w:t>
            </w:r>
          </w:p>
          <w:p w14:paraId="24B67A43"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Growing need of gas and petroleum is challenging for Gazprom to keep its position in the industry with prompt policies and customer market demand </w:t>
            </w:r>
          </w:p>
        </w:tc>
      </w:tr>
      <w:tr w:rsidR="00412823" w:rsidRPr="00412823" w14:paraId="24B67A4D" w14:textId="77777777" w:rsidTr="00046747">
        <w:tc>
          <w:tcPr>
            <w:tcW w:w="0" w:type="auto"/>
          </w:tcPr>
          <w:p w14:paraId="24B67A45" w14:textId="77777777" w:rsidR="00A50796" w:rsidRPr="00412823" w:rsidRDefault="00A50796" w:rsidP="009C021B">
            <w:pPr>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lastRenderedPageBreak/>
              <w:t xml:space="preserve">Opportunities </w:t>
            </w:r>
          </w:p>
          <w:p w14:paraId="24B67A46"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softHyphen/>
              <w:t xml:space="preserve">advancement in technology that facilitate less cost and high efficiency business </w:t>
            </w:r>
          </w:p>
          <w:p w14:paraId="24B67A47"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Methane gas extraction investment opportunity </w:t>
            </w:r>
          </w:p>
          <w:p w14:paraId="24B67A48"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Latest agreements between science and technology companies </w:t>
            </w:r>
          </w:p>
        </w:tc>
        <w:tc>
          <w:tcPr>
            <w:tcW w:w="0" w:type="auto"/>
          </w:tcPr>
          <w:p w14:paraId="24B67A49" w14:textId="77777777" w:rsidR="00A50796" w:rsidRPr="00412823" w:rsidRDefault="00A50796" w:rsidP="009C021B">
            <w:pPr>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t xml:space="preserve">Threats </w:t>
            </w:r>
          </w:p>
          <w:p w14:paraId="24B67A4A"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Changing laws and rules of countries to allow foreign business activities </w:t>
            </w:r>
          </w:p>
          <w:p w14:paraId="24B67A4B"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Changing weather conditions change the working time and duration too</w:t>
            </w:r>
          </w:p>
          <w:p w14:paraId="24B67A4C"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Unexpected changes in crude oil and natural gas prices </w:t>
            </w:r>
          </w:p>
        </w:tc>
      </w:tr>
    </w:tbl>
    <w:p w14:paraId="24B67A4E" w14:textId="77777777" w:rsidR="00A50796" w:rsidRPr="00412823" w:rsidRDefault="00A50796" w:rsidP="009C021B">
      <w:pPr>
        <w:spacing w:line="480" w:lineRule="auto"/>
        <w:rPr>
          <w:rFonts w:ascii="Arial" w:hAnsi="Arial" w:cs="Arial"/>
          <w:color w:val="000000" w:themeColor="text1"/>
          <w:sz w:val="24"/>
          <w:szCs w:val="24"/>
        </w:rPr>
      </w:pPr>
    </w:p>
    <w:p w14:paraId="24B67A4F"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r w:rsidRPr="00412823">
        <w:rPr>
          <w:rFonts w:ascii="Arial" w:eastAsiaTheme="majorEastAsia" w:hAnsi="Arial" w:cs="Arial"/>
          <w:b/>
          <w:color w:val="000000" w:themeColor="text1"/>
          <w:sz w:val="24"/>
          <w:szCs w:val="24"/>
        </w:rPr>
        <w:t xml:space="preserve"> </w:t>
      </w:r>
      <w:bookmarkStart w:id="7" w:name="_Toc509426063"/>
      <w:r w:rsidRPr="00412823">
        <w:rPr>
          <w:rFonts w:ascii="Arial" w:eastAsiaTheme="majorEastAsia" w:hAnsi="Arial" w:cs="Arial"/>
          <w:b/>
          <w:color w:val="000000" w:themeColor="text1"/>
          <w:sz w:val="24"/>
          <w:szCs w:val="24"/>
        </w:rPr>
        <w:t>TOWS</w:t>
      </w:r>
      <w:bookmarkEnd w:id="7"/>
      <w:r w:rsidRPr="00412823">
        <w:rPr>
          <w:rFonts w:ascii="Arial" w:eastAsiaTheme="majorEastAsia" w:hAnsi="Arial" w:cs="Arial"/>
          <w:b/>
          <w:color w:val="000000" w:themeColor="text1"/>
          <w:sz w:val="24"/>
          <w:szCs w:val="24"/>
        </w:rPr>
        <w:t xml:space="preserve"> </w:t>
      </w:r>
    </w:p>
    <w:p w14:paraId="24B67A50" w14:textId="77777777" w:rsidR="00A50796" w:rsidRPr="00412823" w:rsidRDefault="00A50796" w:rsidP="009C021B">
      <w:pPr>
        <w:spacing w:line="480" w:lineRule="auto"/>
        <w:rPr>
          <w:rFonts w:ascii="Arial" w:hAnsi="Arial" w:cs="Arial"/>
          <w:color w:val="000000" w:themeColor="text1"/>
          <w:sz w:val="24"/>
          <w:szCs w:val="24"/>
        </w:rPr>
      </w:pPr>
    </w:p>
    <w:tbl>
      <w:tblPr>
        <w:tblStyle w:val="TableGrid"/>
        <w:tblW w:w="0" w:type="auto"/>
        <w:tblLook w:val="04A0" w:firstRow="1" w:lastRow="0" w:firstColumn="1" w:lastColumn="0" w:noHBand="0" w:noVBand="1"/>
      </w:tblPr>
      <w:tblGrid>
        <w:gridCol w:w="4675"/>
        <w:gridCol w:w="4675"/>
      </w:tblGrid>
      <w:tr w:rsidR="00412823" w:rsidRPr="00412823" w14:paraId="24B67A57" w14:textId="77777777" w:rsidTr="00046747">
        <w:tc>
          <w:tcPr>
            <w:tcW w:w="4675" w:type="dxa"/>
          </w:tcPr>
          <w:p w14:paraId="24B67A51" w14:textId="77777777" w:rsidR="00A50796" w:rsidRPr="00412823" w:rsidRDefault="00A50796" w:rsidP="009C021B">
            <w:pPr>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t xml:space="preserve">Strength/opportunity </w:t>
            </w:r>
          </w:p>
          <w:p w14:paraId="24B67A52"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Introduce new technologies to company’s business operations and achieve new milestones </w:t>
            </w:r>
          </w:p>
          <w:p w14:paraId="24B67A53"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The methane gas extraction should be seen as an opportunity to strengthen position in the </w:t>
            </w:r>
            <w:r w:rsidRPr="00412823">
              <w:rPr>
                <w:rFonts w:ascii="Arial" w:hAnsi="Arial" w:cs="Arial"/>
                <w:color w:val="000000" w:themeColor="text1"/>
                <w:sz w:val="24"/>
                <w:szCs w:val="24"/>
              </w:rPr>
              <w:lastRenderedPageBreak/>
              <w:t>industry with distinct business activity</w:t>
            </w:r>
          </w:p>
        </w:tc>
        <w:tc>
          <w:tcPr>
            <w:tcW w:w="4675" w:type="dxa"/>
          </w:tcPr>
          <w:p w14:paraId="24B67A54" w14:textId="77777777" w:rsidR="00A50796" w:rsidRPr="00412823" w:rsidRDefault="00A50796" w:rsidP="009C021B">
            <w:pPr>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lastRenderedPageBreak/>
              <w:t>Weakness/opportunity</w:t>
            </w:r>
          </w:p>
          <w:p w14:paraId="24B67A55"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In order to mitigate the oil price change, growing need of customers, the company should increase the market share in global business </w:t>
            </w:r>
          </w:p>
          <w:p w14:paraId="24B67A56"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lastRenderedPageBreak/>
              <w:t xml:space="preserve">The gas transport and network system can used as a tool to fight weather conditions </w:t>
            </w:r>
          </w:p>
        </w:tc>
      </w:tr>
      <w:tr w:rsidR="00412823" w:rsidRPr="00412823" w14:paraId="24B67A5D" w14:textId="77777777" w:rsidTr="00046747">
        <w:tc>
          <w:tcPr>
            <w:tcW w:w="4675" w:type="dxa"/>
          </w:tcPr>
          <w:p w14:paraId="24B67A58" w14:textId="77777777" w:rsidR="00A50796" w:rsidRPr="00412823" w:rsidRDefault="00A50796" w:rsidP="009C021B">
            <w:pPr>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lastRenderedPageBreak/>
              <w:t>Strength/threats</w:t>
            </w:r>
          </w:p>
          <w:p w14:paraId="24B67A59"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Decrease the dependence on natural gas field and divide the emphasis on other business areas too</w:t>
            </w:r>
          </w:p>
          <w:p w14:paraId="24B67A5A"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Investment for R&amp;D (Research &amp; Development) activities </w:t>
            </w:r>
          </w:p>
        </w:tc>
        <w:tc>
          <w:tcPr>
            <w:tcW w:w="4675" w:type="dxa"/>
          </w:tcPr>
          <w:p w14:paraId="24B67A5B" w14:textId="77777777" w:rsidR="00A50796" w:rsidRPr="00412823" w:rsidRDefault="00A50796" w:rsidP="009C021B">
            <w:pPr>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t xml:space="preserve">Weakness/threats </w:t>
            </w:r>
          </w:p>
          <w:p w14:paraId="24B67A5C"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New technology and increased market share can mitigate the risk of market share loss and shortage of Gazprom demand in the market </w:t>
            </w:r>
          </w:p>
        </w:tc>
      </w:tr>
    </w:tbl>
    <w:p w14:paraId="24B67A5E" w14:textId="77777777" w:rsidR="00A50796" w:rsidRPr="00412823" w:rsidRDefault="00A50796" w:rsidP="009C021B">
      <w:pPr>
        <w:spacing w:line="480" w:lineRule="auto"/>
        <w:rPr>
          <w:rFonts w:ascii="Arial" w:hAnsi="Arial" w:cs="Arial"/>
          <w:color w:val="000000" w:themeColor="text1"/>
          <w:sz w:val="24"/>
          <w:szCs w:val="24"/>
        </w:rPr>
      </w:pPr>
    </w:p>
    <w:p w14:paraId="24B67A5F"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bookmarkStart w:id="8" w:name="_Toc509426064"/>
      <w:r w:rsidRPr="00412823">
        <w:rPr>
          <w:rFonts w:ascii="Arial" w:eastAsiaTheme="majorEastAsia" w:hAnsi="Arial" w:cs="Arial"/>
          <w:b/>
          <w:color w:val="000000" w:themeColor="text1"/>
          <w:sz w:val="24"/>
          <w:szCs w:val="24"/>
        </w:rPr>
        <w:t>QUEST (Quick Environmental Scanning Technique)</w:t>
      </w:r>
      <w:bookmarkEnd w:id="8"/>
    </w:p>
    <w:p w14:paraId="24B67A60" w14:textId="77777777" w:rsidR="00A50796" w:rsidRPr="00412823" w:rsidRDefault="00A50796" w:rsidP="009C021B">
      <w:pPr>
        <w:spacing w:line="480" w:lineRule="auto"/>
        <w:rPr>
          <w:rFonts w:ascii="Arial" w:hAnsi="Arial" w:cs="Arial"/>
          <w:color w:val="000000" w:themeColor="text1"/>
          <w:sz w:val="24"/>
          <w:szCs w:val="24"/>
        </w:rPr>
      </w:pPr>
    </w:p>
    <w:p w14:paraId="24B67A61"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The internal and external environmental scanning of Gazprom conducted through SWOT analysis show the feasibility for organization to grow and develop in the industry. </w:t>
      </w:r>
    </w:p>
    <w:p w14:paraId="24B67A62"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The QUEST Analysis determine the high feasibility for firm to be compatible with the change in external environment i.e. industry and direct customer market, in order to change the organizational strategy and plan accordingly. </w:t>
      </w:r>
    </w:p>
    <w:p w14:paraId="24B67A63"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Example: The change in oil prices affect the business of Gazprom but due to financial strength, the organization is capable of fighting the issue and prepare contingency plan to meet customer demands and market expectations. </w:t>
      </w:r>
    </w:p>
    <w:p w14:paraId="24B67A64"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lastRenderedPageBreak/>
        <w:t xml:space="preserve">QUEST also points out towards the globally expanded business of Gazprom that helps company to increase reliability and dependability on more than one country’s internal and external market conditions. Moreover, the versatile fields of natural gas and petroleum widens the business of Gazprom and increase their product line offerings. </w:t>
      </w:r>
    </w:p>
    <w:p w14:paraId="24B67A65"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bookmarkStart w:id="9" w:name="_Toc509426065"/>
      <w:r w:rsidRPr="00412823">
        <w:rPr>
          <w:rFonts w:ascii="Arial" w:eastAsiaTheme="majorEastAsia" w:hAnsi="Arial" w:cs="Arial"/>
          <w:b/>
          <w:color w:val="000000" w:themeColor="text1"/>
          <w:sz w:val="24"/>
          <w:szCs w:val="24"/>
        </w:rPr>
        <w:t>Porter’s five forces analysis</w:t>
      </w:r>
      <w:bookmarkEnd w:id="9"/>
      <w:r w:rsidRPr="00412823">
        <w:rPr>
          <w:rFonts w:ascii="Arial" w:eastAsiaTheme="majorEastAsia" w:hAnsi="Arial" w:cs="Arial"/>
          <w:b/>
          <w:color w:val="000000" w:themeColor="text1"/>
          <w:sz w:val="24"/>
          <w:szCs w:val="24"/>
        </w:rPr>
        <w:t xml:space="preserve"> </w:t>
      </w:r>
    </w:p>
    <w:p w14:paraId="24B67A66"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Bargaining power of suppliers: Moderate </w:t>
      </w:r>
    </w:p>
    <w:p w14:paraId="24B67A67"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Government regulations hinder the bargaining power of suppliers to become very high. However, license to explore natural gas resources are helpful to achieve the company’s supplier goals. </w:t>
      </w:r>
    </w:p>
    <w:p w14:paraId="24B67A68"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Bargaining power of customers: Low </w:t>
      </w:r>
    </w:p>
    <w:p w14:paraId="24B67A69"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Consumers need to buy natural gas sources due to which countries need to establish strategic contact with companies that can provide natural and refined gas sources to their system. </w:t>
      </w:r>
    </w:p>
    <w:p w14:paraId="24B67A6A"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Threat of new entrant: Low</w:t>
      </w:r>
    </w:p>
    <w:p w14:paraId="24B67A6B"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Huge financial investment is needed to launch a business of natural gas exploration, refinement, and supply. The threat of new entrant is also low as legal obligations, requirements, formalities and permissions are required in the form of agreements, license, terms of trade, etc. all these processes need not only financial investment but also require workforce of expert and dedicated people who are competent and capable of company launch in the market. </w:t>
      </w:r>
    </w:p>
    <w:p w14:paraId="24B67A6C"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Threat of substitute: Moderate </w:t>
      </w:r>
    </w:p>
    <w:p w14:paraId="24B67A6D"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lastRenderedPageBreak/>
        <w:t>Nuclear energy, solar energy system, coal, hydropower and wind energy are some substitute to gas product line of Gazprom</w:t>
      </w:r>
    </w:p>
    <w:p w14:paraId="24B67A6E"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Rivalry within the industry: High</w:t>
      </w:r>
    </w:p>
    <w:p w14:paraId="24B67A6F"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Saudi Arabian Oil Company with revenue of $3458 billion, national Iranian oil $154 billion, ExxonMobil $467 billion are some major competitors of Gazprom. The rivalry within the industry (in global scenario) is very high </w:t>
      </w:r>
    </w:p>
    <w:p w14:paraId="24B67A70"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bookmarkStart w:id="10" w:name="_Toc509426066"/>
      <w:r w:rsidRPr="00412823">
        <w:rPr>
          <w:rFonts w:ascii="Arial" w:eastAsiaTheme="majorEastAsia" w:hAnsi="Arial" w:cs="Arial"/>
          <w:b/>
          <w:color w:val="000000" w:themeColor="text1"/>
          <w:sz w:val="24"/>
          <w:szCs w:val="24"/>
        </w:rPr>
        <w:t>Porter’s diamond</w:t>
      </w:r>
      <w:bookmarkEnd w:id="10"/>
      <w:r w:rsidRPr="00412823">
        <w:rPr>
          <w:rFonts w:ascii="Arial" w:eastAsiaTheme="majorEastAsia" w:hAnsi="Arial" w:cs="Arial"/>
          <w:b/>
          <w:color w:val="000000" w:themeColor="text1"/>
          <w:sz w:val="24"/>
          <w:szCs w:val="24"/>
        </w:rPr>
        <w:t xml:space="preserve"> </w:t>
      </w:r>
    </w:p>
    <w:p w14:paraId="24B67A71" w14:textId="77777777" w:rsidR="000D34A9" w:rsidRPr="00412823" w:rsidRDefault="00A50796" w:rsidP="009C021B">
      <w:pPr>
        <w:spacing w:line="480" w:lineRule="auto"/>
        <w:jc w:val="center"/>
        <w:rPr>
          <w:rFonts w:ascii="Arial" w:hAnsi="Arial" w:cs="Arial"/>
          <w:color w:val="000000" w:themeColor="text1"/>
          <w:sz w:val="24"/>
          <w:szCs w:val="24"/>
        </w:rPr>
      </w:pPr>
      <w:r w:rsidRPr="00412823">
        <w:rPr>
          <w:rFonts w:ascii="Arial" w:hAnsi="Arial" w:cs="Arial"/>
          <w:noProof/>
          <w:color w:val="000000" w:themeColor="text1"/>
          <w:sz w:val="24"/>
          <w:szCs w:val="24"/>
        </w:rPr>
        <w:drawing>
          <wp:inline distT="0" distB="0" distL="0" distR="0" wp14:anchorId="24B67B12" wp14:editId="24B67B13">
            <wp:extent cx="4762500" cy="2095500"/>
            <wp:effectExtent l="0" t="0" r="0" b="0"/>
            <wp:docPr id="5" name="Picture 5" descr="http://dl.groovygecko.net/anon.groovy/clients/kaplan/AlexILS/ACCAWIKI/ACCA_P3_HTML/Images/BUSINESSCH2ACCAP3_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l.groovygecko.net/anon.groovy/clients/kaplan/AlexILS/ACCAWIKI/ACCA_P3_HTML/Images/BUSINESSCH2ACCAP3_020.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2095500"/>
                    </a:xfrm>
                    <a:prstGeom prst="rect">
                      <a:avLst/>
                    </a:prstGeom>
                    <a:noFill/>
                    <a:ln>
                      <a:noFill/>
                    </a:ln>
                  </pic:spPr>
                </pic:pic>
              </a:graphicData>
            </a:graphic>
          </wp:inline>
        </w:drawing>
      </w:r>
    </w:p>
    <w:p w14:paraId="24B67A72" w14:textId="1341352B" w:rsidR="000D34A9" w:rsidRPr="00412823" w:rsidRDefault="006B6B33" w:rsidP="009C021B">
      <w:pPr>
        <w:spacing w:line="480" w:lineRule="auto"/>
        <w:jc w:val="center"/>
        <w:rPr>
          <w:rFonts w:ascii="Arial" w:hAnsi="Arial" w:cs="Arial"/>
          <w:color w:val="000000" w:themeColor="text1"/>
          <w:sz w:val="24"/>
          <w:szCs w:val="24"/>
        </w:rPr>
      </w:pPr>
      <w:r>
        <w:rPr>
          <w:rFonts w:ascii="Arial" w:hAnsi="Arial" w:cs="Arial"/>
          <w:color w:val="000000" w:themeColor="text1"/>
          <w:sz w:val="24"/>
          <w:szCs w:val="24"/>
        </w:rPr>
        <w:t>Adapted from</w:t>
      </w:r>
      <w:r w:rsidR="000D34A9" w:rsidRPr="00412823">
        <w:rPr>
          <w:rFonts w:ascii="Arial" w:hAnsi="Arial" w:cs="Arial"/>
          <w:color w:val="000000" w:themeColor="text1"/>
          <w:sz w:val="24"/>
          <w:szCs w:val="24"/>
        </w:rPr>
        <w:t xml:space="preserve"> </w:t>
      </w:r>
      <w:sdt>
        <w:sdtPr>
          <w:rPr>
            <w:rFonts w:ascii="Arial" w:hAnsi="Arial" w:cs="Arial"/>
            <w:color w:val="000000" w:themeColor="text1"/>
            <w:sz w:val="24"/>
            <w:szCs w:val="24"/>
          </w:rPr>
          <w:id w:val="-163401283"/>
          <w:citation/>
        </w:sdtPr>
        <w:sdtEndPr/>
        <w:sdtContent>
          <w:r w:rsidR="000D34A9" w:rsidRPr="00412823">
            <w:rPr>
              <w:rFonts w:ascii="Arial" w:hAnsi="Arial" w:cs="Arial"/>
              <w:color w:val="000000" w:themeColor="text1"/>
              <w:sz w:val="24"/>
              <w:szCs w:val="24"/>
            </w:rPr>
            <w:fldChar w:fldCharType="begin"/>
          </w:r>
          <w:r w:rsidR="000D34A9" w:rsidRPr="00412823">
            <w:rPr>
              <w:rFonts w:ascii="Arial" w:hAnsi="Arial" w:cs="Arial"/>
              <w:color w:val="000000" w:themeColor="text1"/>
              <w:sz w:val="24"/>
              <w:szCs w:val="24"/>
            </w:rPr>
            <w:instrText xml:space="preserve"> CITATION Mic114 \l 1033 </w:instrText>
          </w:r>
          <w:r w:rsidR="000D34A9" w:rsidRPr="00412823">
            <w:rPr>
              <w:rFonts w:ascii="Arial" w:hAnsi="Arial" w:cs="Arial"/>
              <w:color w:val="000000" w:themeColor="text1"/>
              <w:sz w:val="24"/>
              <w:szCs w:val="24"/>
            </w:rPr>
            <w:fldChar w:fldCharType="separate"/>
          </w:r>
          <w:r w:rsidR="000D34A9" w:rsidRPr="00412823">
            <w:rPr>
              <w:rFonts w:ascii="Arial" w:hAnsi="Arial" w:cs="Arial"/>
              <w:noProof/>
              <w:color w:val="000000" w:themeColor="text1"/>
              <w:sz w:val="24"/>
              <w:szCs w:val="24"/>
            </w:rPr>
            <w:t>(Porter, 2011)</w:t>
          </w:r>
          <w:r w:rsidR="000D34A9" w:rsidRPr="00412823">
            <w:rPr>
              <w:rFonts w:ascii="Arial" w:hAnsi="Arial" w:cs="Arial"/>
              <w:color w:val="000000" w:themeColor="text1"/>
              <w:sz w:val="24"/>
              <w:szCs w:val="24"/>
            </w:rPr>
            <w:fldChar w:fldCharType="end"/>
          </w:r>
        </w:sdtContent>
      </w:sdt>
    </w:p>
    <w:p w14:paraId="24B67A73"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Factor conditions: physical resources such as land, weather, and minerals are influential on the business of Gazprom. For example, bad weather conditions can decrease the oil exploration activities and other field jobs. Very high temperature can reduce productivity rate and cause health issues among workers. Therefore, the working hours are limited by the company in those days or the work is completely shut off. </w:t>
      </w:r>
    </w:p>
    <w:p w14:paraId="24B67A74"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Demand conditions: Demand conditions are perfect for Gazprom. Natural gas is needed as a basic life necessity and its demand can never be completely alleviate from the </w:t>
      </w:r>
      <w:r w:rsidRPr="00412823">
        <w:rPr>
          <w:rFonts w:ascii="Arial" w:hAnsi="Arial" w:cs="Arial"/>
          <w:color w:val="000000" w:themeColor="text1"/>
          <w:sz w:val="24"/>
          <w:szCs w:val="24"/>
        </w:rPr>
        <w:lastRenderedPageBreak/>
        <w:t xml:space="preserve">market even in the presence of aforementioned substitutes (please see threat of substitutes in porter’s five forces analysis). </w:t>
      </w:r>
    </w:p>
    <w:p w14:paraId="24B67A75"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Related and supporting industries: The working of Gazprom is not on a single source rather it is a combination of multiple resources such as international laws of business outsourcing, supplier network in all continents, legislative structure to conduct research and development activities, financial resources, roads and infrastructure, etc. therefore, the impact of related and supporting industries is high. </w:t>
      </w:r>
    </w:p>
    <w:p w14:paraId="24B67A76"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Firm strategy, structure, and rivalry: Firm strategy, structure, and rivalry are vital to company’s success. The strategy of Gazprom to continuously expand the business is working efficiently. the rivalry within the industry is very high as there are key leading companies such as ADNOC (UAE), Iranian national oil company (Iran), Saudi Arabian oil company (Saudi Arabia), etc. </w:t>
      </w:r>
    </w:p>
    <w:p w14:paraId="24B67A77" w14:textId="77777777" w:rsidR="00A50796" w:rsidRPr="00412823" w:rsidRDefault="00A50796" w:rsidP="009C021B">
      <w:pPr>
        <w:keepNext/>
        <w:keepLines/>
        <w:spacing w:before="240" w:after="0" w:line="480" w:lineRule="auto"/>
        <w:outlineLvl w:val="0"/>
        <w:rPr>
          <w:rFonts w:ascii="Arial" w:eastAsiaTheme="majorEastAsia" w:hAnsi="Arial" w:cs="Arial"/>
          <w:b/>
          <w:color w:val="000000" w:themeColor="text1"/>
          <w:sz w:val="24"/>
          <w:szCs w:val="24"/>
        </w:rPr>
      </w:pPr>
      <w:bookmarkStart w:id="11" w:name="_Toc509426067"/>
      <w:r w:rsidRPr="00412823">
        <w:rPr>
          <w:rFonts w:ascii="Arial" w:eastAsiaTheme="majorEastAsia" w:hAnsi="Arial" w:cs="Arial"/>
          <w:b/>
          <w:color w:val="000000" w:themeColor="text1"/>
          <w:sz w:val="24"/>
          <w:szCs w:val="24"/>
        </w:rPr>
        <w:t>Foreign market research</w:t>
      </w:r>
      <w:bookmarkEnd w:id="11"/>
      <w:r w:rsidRPr="00412823">
        <w:rPr>
          <w:rFonts w:ascii="Arial" w:eastAsiaTheme="majorEastAsia" w:hAnsi="Arial" w:cs="Arial"/>
          <w:b/>
          <w:color w:val="000000" w:themeColor="text1"/>
          <w:sz w:val="24"/>
          <w:szCs w:val="24"/>
        </w:rPr>
        <w:t xml:space="preserve"> </w:t>
      </w:r>
    </w:p>
    <w:p w14:paraId="24B67A78"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The foreign market expansion plan for Gazprom is dependent on the “demand” of the product and services being offered by the company. If the specific demand is not present in the target market, the business can meet failure. Therefore, some key facts are collected to study the current situation of UK market of gas and petroleum products. </w:t>
      </w:r>
    </w:p>
    <w:p w14:paraId="24B67A79" w14:textId="77777777" w:rsidR="00A50796" w:rsidRPr="00412823" w:rsidRDefault="00A50796" w:rsidP="009C021B">
      <w:pPr>
        <w:spacing w:line="480" w:lineRule="auto"/>
        <w:jc w:val="center"/>
        <w:rPr>
          <w:rFonts w:ascii="Arial" w:hAnsi="Arial" w:cs="Arial"/>
          <w:color w:val="000000" w:themeColor="text1"/>
          <w:sz w:val="24"/>
          <w:szCs w:val="24"/>
        </w:rPr>
      </w:pPr>
      <w:r w:rsidRPr="00412823">
        <w:rPr>
          <w:rFonts w:ascii="Arial" w:hAnsi="Arial" w:cs="Arial"/>
          <w:noProof/>
          <w:color w:val="000000" w:themeColor="text1"/>
          <w:sz w:val="24"/>
          <w:szCs w:val="24"/>
        </w:rPr>
        <w:lastRenderedPageBreak/>
        <w:drawing>
          <wp:inline distT="0" distB="0" distL="0" distR="0" wp14:anchorId="24B67B14" wp14:editId="24B67B15">
            <wp:extent cx="4413271" cy="2554605"/>
            <wp:effectExtent l="0" t="0" r="6350" b="0"/>
            <wp:docPr id="6" name="Picture 2" descr="https://www.britishgas.co.uk/the-source/dam/jcr:4fb88c87-770a-4402-83c0-eb2d5b8096a0/uk_gas_570x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2" descr="https://www.britishgas.co.uk/the-source/dam/jcr:4fb88c87-770a-4402-83c0-eb2d5b8096a0/uk_gas_570x33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5532" cy="2555914"/>
                    </a:xfrm>
                    <a:prstGeom prst="rect">
                      <a:avLst/>
                    </a:prstGeom>
                    <a:noFill/>
                    <a:ln>
                      <a:noFill/>
                    </a:ln>
                    <a:extLst/>
                  </pic:spPr>
                </pic:pic>
              </a:graphicData>
            </a:graphic>
          </wp:inline>
        </w:drawing>
      </w:r>
    </w:p>
    <w:p w14:paraId="24B67A7A" w14:textId="77777777" w:rsidR="00A50796" w:rsidRPr="00412823" w:rsidRDefault="00A50796" w:rsidP="009C021B">
      <w:pPr>
        <w:spacing w:line="480" w:lineRule="auto"/>
        <w:jc w:val="center"/>
        <w:rPr>
          <w:rFonts w:ascii="Arial" w:hAnsi="Arial" w:cs="Arial"/>
          <w:color w:val="000000" w:themeColor="text1"/>
          <w:sz w:val="24"/>
          <w:szCs w:val="24"/>
        </w:rPr>
      </w:pPr>
      <w:r w:rsidRPr="00412823">
        <w:rPr>
          <w:rFonts w:ascii="Arial" w:hAnsi="Arial" w:cs="Arial"/>
          <w:color w:val="000000" w:themeColor="text1"/>
          <w:sz w:val="24"/>
          <w:szCs w:val="24"/>
        </w:rPr>
        <w:t xml:space="preserve">Source: </w:t>
      </w:r>
      <w:sdt>
        <w:sdtPr>
          <w:rPr>
            <w:rFonts w:ascii="Arial" w:hAnsi="Arial" w:cs="Arial"/>
            <w:color w:val="000000" w:themeColor="text1"/>
            <w:sz w:val="24"/>
            <w:szCs w:val="24"/>
          </w:rPr>
          <w:id w:val="1717231410"/>
          <w:citation/>
        </w:sdtPr>
        <w:sdtEndPr/>
        <w:sdtContent>
          <w:r w:rsidRPr="00412823">
            <w:rPr>
              <w:rFonts w:ascii="Arial" w:hAnsi="Arial" w:cs="Arial"/>
              <w:color w:val="000000" w:themeColor="text1"/>
              <w:sz w:val="24"/>
              <w:szCs w:val="24"/>
            </w:rPr>
            <w:fldChar w:fldCharType="begin"/>
          </w:r>
          <w:r w:rsidRPr="00412823">
            <w:rPr>
              <w:rFonts w:ascii="Arial" w:hAnsi="Arial" w:cs="Arial"/>
              <w:color w:val="000000" w:themeColor="text1"/>
              <w:sz w:val="24"/>
              <w:szCs w:val="24"/>
            </w:rPr>
            <w:instrText xml:space="preserve"> CITATION Bri18 \l 1033 </w:instrText>
          </w:r>
          <w:r w:rsidRPr="00412823">
            <w:rPr>
              <w:rFonts w:ascii="Arial" w:hAnsi="Arial" w:cs="Arial"/>
              <w:color w:val="000000" w:themeColor="text1"/>
              <w:sz w:val="24"/>
              <w:szCs w:val="24"/>
            </w:rPr>
            <w:fldChar w:fldCharType="separate"/>
          </w:r>
          <w:r w:rsidRPr="00412823">
            <w:rPr>
              <w:rFonts w:ascii="Arial" w:hAnsi="Arial" w:cs="Arial"/>
              <w:noProof/>
              <w:color w:val="000000" w:themeColor="text1"/>
              <w:sz w:val="24"/>
              <w:szCs w:val="24"/>
            </w:rPr>
            <w:t>(BritishGas, 2018)</w:t>
          </w:r>
          <w:r w:rsidRPr="00412823">
            <w:rPr>
              <w:rFonts w:ascii="Arial" w:hAnsi="Arial" w:cs="Arial"/>
              <w:color w:val="000000" w:themeColor="text1"/>
              <w:sz w:val="24"/>
              <w:szCs w:val="24"/>
            </w:rPr>
            <w:fldChar w:fldCharType="end"/>
          </w:r>
        </w:sdtContent>
      </w:sdt>
    </w:p>
    <w:p w14:paraId="24B67A7B"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t xml:space="preserve">25 million homes in UK i.e. 80% of total UK homes, are powered by natural gas supply. The country’s on quarter of electricity is produced by utilizing gas-fired power stations. The generation of electricity is made possible by using gas plants as one of most favorable source of renewable energy because of their fast sped of providing power during high demand periods. </w:t>
      </w:r>
    </w:p>
    <w:p w14:paraId="24B67A7C" w14:textId="77777777" w:rsidR="00A50796" w:rsidRPr="00412823" w:rsidRDefault="00A50796" w:rsidP="009C021B">
      <w:pPr>
        <w:spacing w:line="480" w:lineRule="auto"/>
        <w:ind w:left="360"/>
        <w:jc w:val="center"/>
        <w:rPr>
          <w:rFonts w:ascii="Arial" w:hAnsi="Arial" w:cs="Arial"/>
          <w:color w:val="000000" w:themeColor="text1"/>
          <w:sz w:val="24"/>
          <w:szCs w:val="24"/>
        </w:rPr>
      </w:pPr>
      <w:r w:rsidRPr="00412823">
        <w:rPr>
          <w:rFonts w:ascii="Arial" w:hAnsi="Arial" w:cs="Arial"/>
          <w:noProof/>
          <w:color w:val="000000" w:themeColor="text1"/>
          <w:sz w:val="24"/>
          <w:szCs w:val="24"/>
        </w:rPr>
        <w:drawing>
          <wp:inline distT="0" distB="0" distL="0" distR="0" wp14:anchorId="24B67B16" wp14:editId="24B67B17">
            <wp:extent cx="4788967" cy="2533650"/>
            <wp:effectExtent l="0" t="0" r="0" b="0"/>
            <wp:docPr id="7" name="Picture 2" descr="https://assets.bwbx.io/images/users/iqjWHBFdfxIU/iyXkkaZwXgHg/v1/-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2" descr="https://assets.bwbx.io/images/users/iqjWHBFdfxIU/iyXkkaZwXgHg/v1/-1x-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92875" cy="2535718"/>
                    </a:xfrm>
                    <a:prstGeom prst="rect">
                      <a:avLst/>
                    </a:prstGeom>
                    <a:noFill/>
                    <a:ln>
                      <a:noFill/>
                    </a:ln>
                    <a:extLst/>
                  </pic:spPr>
                </pic:pic>
              </a:graphicData>
            </a:graphic>
          </wp:inline>
        </w:drawing>
      </w:r>
    </w:p>
    <w:p w14:paraId="24B67A7D" w14:textId="77777777" w:rsidR="00A50796" w:rsidRPr="00412823" w:rsidRDefault="00A50796" w:rsidP="009C021B">
      <w:pPr>
        <w:spacing w:line="480" w:lineRule="auto"/>
        <w:ind w:left="360"/>
        <w:jc w:val="center"/>
        <w:rPr>
          <w:rFonts w:ascii="Arial" w:hAnsi="Arial" w:cs="Arial"/>
          <w:color w:val="000000" w:themeColor="text1"/>
          <w:sz w:val="24"/>
          <w:szCs w:val="24"/>
        </w:rPr>
      </w:pPr>
      <w:r w:rsidRPr="00412823">
        <w:rPr>
          <w:rFonts w:ascii="Arial" w:hAnsi="Arial" w:cs="Arial"/>
          <w:color w:val="000000" w:themeColor="text1"/>
          <w:sz w:val="24"/>
          <w:szCs w:val="24"/>
        </w:rPr>
        <w:t xml:space="preserve">Source: </w:t>
      </w:r>
      <w:sdt>
        <w:sdtPr>
          <w:rPr>
            <w:rFonts w:ascii="Arial" w:hAnsi="Arial" w:cs="Arial"/>
            <w:color w:val="000000" w:themeColor="text1"/>
            <w:sz w:val="24"/>
            <w:szCs w:val="24"/>
          </w:rPr>
          <w:id w:val="1073166520"/>
          <w:citation/>
        </w:sdtPr>
        <w:sdtEndPr/>
        <w:sdtContent>
          <w:r w:rsidRPr="00412823">
            <w:rPr>
              <w:rFonts w:ascii="Arial" w:hAnsi="Arial" w:cs="Arial"/>
              <w:color w:val="000000" w:themeColor="text1"/>
              <w:sz w:val="24"/>
              <w:szCs w:val="24"/>
            </w:rPr>
            <w:fldChar w:fldCharType="begin"/>
          </w:r>
          <w:r w:rsidRPr="00412823">
            <w:rPr>
              <w:rFonts w:ascii="Arial" w:hAnsi="Arial" w:cs="Arial"/>
              <w:color w:val="000000" w:themeColor="text1"/>
              <w:sz w:val="24"/>
              <w:szCs w:val="24"/>
            </w:rPr>
            <w:instrText xml:space="preserve"> CITATION Ann171 \l 1033 </w:instrText>
          </w:r>
          <w:r w:rsidRPr="00412823">
            <w:rPr>
              <w:rFonts w:ascii="Arial" w:hAnsi="Arial" w:cs="Arial"/>
              <w:color w:val="000000" w:themeColor="text1"/>
              <w:sz w:val="24"/>
              <w:szCs w:val="24"/>
            </w:rPr>
            <w:fldChar w:fldCharType="separate"/>
          </w:r>
          <w:r w:rsidRPr="00412823">
            <w:rPr>
              <w:rFonts w:ascii="Arial" w:hAnsi="Arial" w:cs="Arial"/>
              <w:noProof/>
              <w:color w:val="000000" w:themeColor="text1"/>
              <w:sz w:val="24"/>
              <w:szCs w:val="24"/>
            </w:rPr>
            <w:t>(Anna &amp; Kelly, 2017)</w:t>
          </w:r>
          <w:r w:rsidRPr="00412823">
            <w:rPr>
              <w:rFonts w:ascii="Arial" w:hAnsi="Arial" w:cs="Arial"/>
              <w:color w:val="000000" w:themeColor="text1"/>
              <w:sz w:val="24"/>
              <w:szCs w:val="24"/>
            </w:rPr>
            <w:fldChar w:fldCharType="end"/>
          </w:r>
        </w:sdtContent>
      </w:sdt>
    </w:p>
    <w:p w14:paraId="24B67A7E" w14:textId="77777777" w:rsidR="00A50796" w:rsidRPr="00412823" w:rsidRDefault="00A50796" w:rsidP="009C021B">
      <w:pPr>
        <w:spacing w:line="480" w:lineRule="auto"/>
        <w:ind w:left="360"/>
        <w:jc w:val="center"/>
        <w:rPr>
          <w:rFonts w:ascii="Arial" w:hAnsi="Arial" w:cs="Arial"/>
          <w:color w:val="000000" w:themeColor="text1"/>
          <w:sz w:val="24"/>
          <w:szCs w:val="24"/>
        </w:rPr>
      </w:pPr>
      <w:r w:rsidRPr="00412823">
        <w:rPr>
          <w:rFonts w:ascii="Arial" w:hAnsi="Arial" w:cs="Arial"/>
          <w:color w:val="000000" w:themeColor="text1"/>
          <w:sz w:val="24"/>
          <w:szCs w:val="24"/>
        </w:rPr>
        <w:lastRenderedPageBreak/>
        <w:t xml:space="preserve">Past, </w:t>
      </w:r>
      <w:r w:rsidR="009C021B" w:rsidRPr="00412823">
        <w:rPr>
          <w:rFonts w:ascii="Arial" w:hAnsi="Arial" w:cs="Arial"/>
          <w:color w:val="000000" w:themeColor="text1"/>
          <w:sz w:val="24"/>
          <w:szCs w:val="24"/>
        </w:rPr>
        <w:t>current,</w:t>
      </w:r>
      <w:r w:rsidRPr="00412823">
        <w:rPr>
          <w:rFonts w:ascii="Arial" w:hAnsi="Arial" w:cs="Arial"/>
          <w:color w:val="000000" w:themeColor="text1"/>
          <w:sz w:val="24"/>
          <w:szCs w:val="24"/>
        </w:rPr>
        <w:t xml:space="preserve"> and future demand of gas in UK</w:t>
      </w:r>
    </w:p>
    <w:p w14:paraId="24B67A7F" w14:textId="77777777" w:rsidR="00A50796" w:rsidRPr="00412823" w:rsidRDefault="00A50796" w:rsidP="009C021B">
      <w:pPr>
        <w:spacing w:line="480" w:lineRule="auto"/>
        <w:ind w:left="360"/>
        <w:jc w:val="center"/>
        <w:rPr>
          <w:rFonts w:ascii="Arial" w:hAnsi="Arial" w:cs="Arial"/>
          <w:color w:val="000000" w:themeColor="text1"/>
          <w:sz w:val="24"/>
          <w:szCs w:val="24"/>
        </w:rPr>
      </w:pPr>
      <w:r w:rsidRPr="00412823">
        <w:rPr>
          <w:rFonts w:ascii="Arial" w:hAnsi="Arial" w:cs="Arial"/>
          <w:noProof/>
          <w:color w:val="000000" w:themeColor="text1"/>
          <w:sz w:val="24"/>
          <w:szCs w:val="24"/>
        </w:rPr>
        <w:drawing>
          <wp:inline distT="0" distB="0" distL="0" distR="0" wp14:anchorId="24B67B18" wp14:editId="24B67B19">
            <wp:extent cx="3792701" cy="3810000"/>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0073" cy="3817406"/>
                    </a:xfrm>
                    <a:prstGeom prst="rect">
                      <a:avLst/>
                    </a:prstGeom>
                    <a:noFill/>
                    <a:ln>
                      <a:noFill/>
                    </a:ln>
                    <a:extLst/>
                  </pic:spPr>
                </pic:pic>
              </a:graphicData>
            </a:graphic>
          </wp:inline>
        </w:drawing>
      </w:r>
      <w:r w:rsidRPr="00412823">
        <w:rPr>
          <w:rFonts w:ascii="Arial" w:hAnsi="Arial" w:cs="Arial"/>
          <w:noProof/>
          <w:color w:val="000000" w:themeColor="text1"/>
          <w:sz w:val="24"/>
          <w:szCs w:val="24"/>
        </w:rPr>
        <w:drawing>
          <wp:inline distT="0" distB="0" distL="0" distR="0" wp14:anchorId="24B67B1A" wp14:editId="1C6F9B09">
            <wp:extent cx="2181225" cy="1265457"/>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4"/>
                    <pic:cNvPicPr>
                      <a:picLocks noChangeAspect="1" noChangeArrowheads="1"/>
                    </pic:cNvPicPr>
                  </pic:nvPicPr>
                  <pic:blipFill>
                    <a:blip r:embed="rId12">
                      <a:extLst>
                        <a:ext uri="{28A0092B-C50C-407E-A947-70E740481C1C}">
                          <a14:useLocalDpi xmlns:a14="http://schemas.microsoft.com/office/drawing/2010/main" val="0"/>
                        </a:ext>
                      </a:extLst>
                    </a:blip>
                    <a:srcRect t="26271"/>
                    <a:stretch>
                      <a:fillRect/>
                    </a:stretch>
                  </pic:blipFill>
                  <pic:spPr bwMode="auto">
                    <a:xfrm>
                      <a:off x="0" y="0"/>
                      <a:ext cx="2209584" cy="1281910"/>
                    </a:xfrm>
                    <a:prstGeom prst="rect">
                      <a:avLst/>
                    </a:prstGeom>
                    <a:noFill/>
                    <a:ln>
                      <a:noFill/>
                    </a:ln>
                    <a:extLst/>
                  </pic:spPr>
                </pic:pic>
              </a:graphicData>
            </a:graphic>
          </wp:inline>
        </w:drawing>
      </w:r>
    </w:p>
    <w:p w14:paraId="24B67A80" w14:textId="77777777" w:rsidR="00A50796" w:rsidRPr="00412823" w:rsidRDefault="00A50796" w:rsidP="009C021B">
      <w:pPr>
        <w:spacing w:line="480" w:lineRule="auto"/>
        <w:ind w:left="360"/>
        <w:jc w:val="center"/>
        <w:rPr>
          <w:rFonts w:ascii="Arial" w:hAnsi="Arial" w:cs="Arial"/>
          <w:color w:val="000000" w:themeColor="text1"/>
          <w:sz w:val="24"/>
          <w:szCs w:val="24"/>
        </w:rPr>
      </w:pPr>
      <w:r w:rsidRPr="00412823">
        <w:rPr>
          <w:rFonts w:ascii="Arial" w:hAnsi="Arial" w:cs="Arial"/>
          <w:color w:val="000000" w:themeColor="text1"/>
          <w:sz w:val="24"/>
          <w:szCs w:val="24"/>
          <w:lang w:val="en-GB"/>
        </w:rPr>
        <w:t xml:space="preserve">Based on </w:t>
      </w:r>
      <w:proofErr w:type="spellStart"/>
      <w:r w:rsidRPr="00412823">
        <w:rPr>
          <w:rFonts w:ascii="Arial" w:hAnsi="Arial" w:cs="Arial"/>
          <w:color w:val="000000" w:themeColor="text1"/>
          <w:sz w:val="24"/>
          <w:szCs w:val="24"/>
          <w:lang w:val="en-GB"/>
        </w:rPr>
        <w:t>Prognos</w:t>
      </w:r>
      <w:proofErr w:type="spellEnd"/>
      <w:r w:rsidRPr="00412823">
        <w:rPr>
          <w:rFonts w:ascii="Arial" w:hAnsi="Arial" w:cs="Arial"/>
          <w:color w:val="000000" w:themeColor="text1"/>
          <w:sz w:val="24"/>
          <w:szCs w:val="24"/>
          <w:lang w:val="en-GB"/>
        </w:rPr>
        <w:t>: Current Status and Perspectives of the European Gas Balance [</w:t>
      </w:r>
      <w:proofErr w:type="spellStart"/>
      <w:r w:rsidRPr="00412823">
        <w:rPr>
          <w:rFonts w:ascii="Arial" w:hAnsi="Arial" w:cs="Arial"/>
          <w:color w:val="000000" w:themeColor="text1"/>
          <w:sz w:val="24"/>
          <w:szCs w:val="24"/>
          <w:lang w:val="en-GB"/>
        </w:rPr>
        <w:t>Prognos</w:t>
      </w:r>
      <w:proofErr w:type="spellEnd"/>
      <w:r w:rsidRPr="00412823">
        <w:rPr>
          <w:rFonts w:ascii="Arial" w:hAnsi="Arial" w:cs="Arial"/>
          <w:color w:val="000000" w:themeColor="text1"/>
          <w:sz w:val="24"/>
          <w:szCs w:val="24"/>
          <w:lang w:val="en-GB"/>
        </w:rPr>
        <w:t xml:space="preserve"> 2017]</w:t>
      </w:r>
    </w:p>
    <w:p w14:paraId="24B67A81" w14:textId="77777777" w:rsidR="00A50796" w:rsidRPr="00412823" w:rsidRDefault="00A50796" w:rsidP="009C021B">
      <w:pPr>
        <w:spacing w:line="480" w:lineRule="auto"/>
        <w:ind w:left="360"/>
        <w:jc w:val="center"/>
        <w:rPr>
          <w:rFonts w:ascii="Arial" w:hAnsi="Arial" w:cs="Arial"/>
          <w:color w:val="000000" w:themeColor="text1"/>
          <w:sz w:val="24"/>
          <w:szCs w:val="24"/>
          <w:lang w:val="en-GB"/>
        </w:rPr>
      </w:pPr>
      <w:r w:rsidRPr="00412823">
        <w:rPr>
          <w:rFonts w:ascii="Arial" w:hAnsi="Arial" w:cs="Arial"/>
          <w:color w:val="000000" w:themeColor="text1"/>
          <w:sz w:val="24"/>
          <w:szCs w:val="24"/>
          <w:lang w:val="en-GB"/>
        </w:rPr>
        <w:t>[Adopted from NordStream2 2017]</w:t>
      </w:r>
    </w:p>
    <w:p w14:paraId="24B67A82" w14:textId="77777777" w:rsidR="00A50796" w:rsidRPr="00412823" w:rsidRDefault="00A50796" w:rsidP="009C021B">
      <w:pPr>
        <w:spacing w:line="480" w:lineRule="auto"/>
        <w:ind w:left="360"/>
        <w:jc w:val="center"/>
        <w:rPr>
          <w:rFonts w:ascii="Arial" w:hAnsi="Arial" w:cs="Arial"/>
          <w:color w:val="000000" w:themeColor="text1"/>
          <w:sz w:val="24"/>
          <w:szCs w:val="24"/>
        </w:rPr>
      </w:pPr>
    </w:p>
    <w:p w14:paraId="24B67A83" w14:textId="77777777" w:rsidR="00A50796" w:rsidRPr="00412823" w:rsidRDefault="00A50796" w:rsidP="009C021B">
      <w:pPr>
        <w:spacing w:line="480" w:lineRule="auto"/>
        <w:ind w:left="360"/>
        <w:rPr>
          <w:rFonts w:ascii="Arial" w:hAnsi="Arial" w:cs="Arial"/>
          <w:color w:val="000000" w:themeColor="text1"/>
          <w:sz w:val="24"/>
          <w:szCs w:val="24"/>
        </w:rPr>
      </w:pPr>
    </w:p>
    <w:p w14:paraId="24B67A84"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rPr>
        <w:lastRenderedPageBreak/>
        <w:t xml:space="preserve">In UK’s energy mix, wind, solar and nuclear energy are used in much lesser ratio than the use of gas in homes. </w:t>
      </w:r>
    </w:p>
    <w:p w14:paraId="24B67A85" w14:textId="77777777" w:rsidR="00A50796" w:rsidRPr="00412823" w:rsidRDefault="00A50796" w:rsidP="009C021B">
      <w:pPr>
        <w:numPr>
          <w:ilvl w:val="0"/>
          <w:numId w:val="1"/>
        </w:numPr>
        <w:spacing w:line="480" w:lineRule="auto"/>
        <w:contextualSpacing/>
        <w:rPr>
          <w:rFonts w:ascii="Arial" w:hAnsi="Arial" w:cs="Arial"/>
          <w:color w:val="000000" w:themeColor="text1"/>
          <w:sz w:val="24"/>
          <w:szCs w:val="24"/>
        </w:rPr>
      </w:pPr>
      <w:r w:rsidRPr="00412823">
        <w:rPr>
          <w:rFonts w:ascii="Arial" w:hAnsi="Arial" w:cs="Arial"/>
          <w:color w:val="000000" w:themeColor="text1"/>
          <w:sz w:val="24"/>
          <w:szCs w:val="24"/>
          <w:lang w:val="en-GB"/>
        </w:rPr>
        <w:t>The Western European market (including Turkey) consumes the bulk of Russian exports. In 2016, Gazprom Export delivered 146.2 billion cubic meters of gas to markets in the region</w:t>
      </w:r>
    </w:p>
    <w:p w14:paraId="24B67A86" w14:textId="77777777" w:rsidR="00A50796" w:rsidRPr="00412823" w:rsidRDefault="00A50796" w:rsidP="009C021B">
      <w:pPr>
        <w:spacing w:line="480" w:lineRule="auto"/>
        <w:jc w:val="center"/>
        <w:rPr>
          <w:rFonts w:ascii="Arial" w:hAnsi="Arial" w:cs="Arial"/>
          <w:color w:val="000000" w:themeColor="text1"/>
          <w:sz w:val="24"/>
          <w:szCs w:val="24"/>
        </w:rPr>
      </w:pPr>
      <w:r w:rsidRPr="00412823">
        <w:rPr>
          <w:rFonts w:ascii="Arial" w:hAnsi="Arial" w:cs="Arial"/>
          <w:noProof/>
          <w:color w:val="000000" w:themeColor="text1"/>
          <w:sz w:val="24"/>
          <w:szCs w:val="24"/>
        </w:rPr>
        <w:drawing>
          <wp:inline distT="0" distB="0" distL="0" distR="0" wp14:anchorId="24B67B1C" wp14:editId="24B67B1D">
            <wp:extent cx="5572228" cy="2143760"/>
            <wp:effectExtent l="0" t="0" r="9525" b="889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 name="Picture 3"/>
                    <pic:cNvPicPr>
                      <a:picLocks noChangeAspect="1" noChangeArrowheads="1"/>
                    </pic:cNvPicPr>
                  </pic:nvPicPr>
                  <pic:blipFill>
                    <a:blip r:embed="rId13">
                      <a:extLst>
                        <a:ext uri="{28A0092B-C50C-407E-A947-70E740481C1C}">
                          <a14:useLocalDpi xmlns:a14="http://schemas.microsoft.com/office/drawing/2010/main" val="0"/>
                        </a:ext>
                      </a:extLst>
                    </a:blip>
                    <a:srcRect t="749"/>
                    <a:stretch>
                      <a:fillRect/>
                    </a:stretch>
                  </pic:blipFill>
                  <pic:spPr bwMode="auto">
                    <a:xfrm>
                      <a:off x="0" y="0"/>
                      <a:ext cx="5573166" cy="2144121"/>
                    </a:xfrm>
                    <a:prstGeom prst="rect">
                      <a:avLst/>
                    </a:prstGeom>
                    <a:noFill/>
                    <a:ln>
                      <a:noFill/>
                    </a:ln>
                    <a:extLst/>
                  </pic:spPr>
                </pic:pic>
              </a:graphicData>
            </a:graphic>
          </wp:inline>
        </w:drawing>
      </w:r>
    </w:p>
    <w:p w14:paraId="24B67A87" w14:textId="77777777" w:rsidR="00A50796" w:rsidRPr="00412823" w:rsidRDefault="00A50796" w:rsidP="009C021B">
      <w:pPr>
        <w:spacing w:line="480" w:lineRule="auto"/>
        <w:jc w:val="center"/>
        <w:rPr>
          <w:rFonts w:ascii="Arial" w:hAnsi="Arial" w:cs="Arial"/>
          <w:color w:val="000000" w:themeColor="text1"/>
          <w:sz w:val="24"/>
          <w:szCs w:val="24"/>
        </w:rPr>
      </w:pPr>
      <w:r w:rsidRPr="00412823">
        <w:rPr>
          <w:rFonts w:ascii="Arial" w:hAnsi="Arial" w:cs="Arial"/>
          <w:color w:val="000000" w:themeColor="text1"/>
          <w:sz w:val="24"/>
          <w:szCs w:val="24"/>
        </w:rPr>
        <w:t>Consumption of gas supply in UK</w:t>
      </w:r>
    </w:p>
    <w:p w14:paraId="24B67A88" w14:textId="77777777" w:rsidR="00A50796" w:rsidRPr="00412823" w:rsidRDefault="00A50796" w:rsidP="009C021B">
      <w:pPr>
        <w:keepNext/>
        <w:keepLines/>
        <w:spacing w:before="240" w:after="0" w:line="480" w:lineRule="auto"/>
        <w:outlineLvl w:val="0"/>
        <w:rPr>
          <w:rFonts w:ascii="Arial" w:eastAsiaTheme="majorEastAsia" w:hAnsi="Arial" w:cs="Arial"/>
          <w:b/>
          <w:color w:val="000000" w:themeColor="text1"/>
          <w:sz w:val="24"/>
          <w:szCs w:val="24"/>
        </w:rPr>
      </w:pPr>
      <w:bookmarkStart w:id="12" w:name="_Toc509426068"/>
      <w:r w:rsidRPr="00412823">
        <w:rPr>
          <w:rFonts w:ascii="Arial" w:eastAsiaTheme="majorEastAsia" w:hAnsi="Arial" w:cs="Arial"/>
          <w:b/>
          <w:color w:val="000000" w:themeColor="text1"/>
          <w:sz w:val="24"/>
          <w:szCs w:val="24"/>
        </w:rPr>
        <w:t>Risk assessment</w:t>
      </w:r>
      <w:bookmarkEnd w:id="12"/>
    </w:p>
    <w:p w14:paraId="24B67A89"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In order to assess the level of risk prone by UK to Gazprom, it is important to have an insight to UK’s home conditions for the business of gas supply and petroleum products. The country analysis provides a comprehensive yet succinct outcome to understand the feasibility of UK for Gazprom business. </w:t>
      </w:r>
    </w:p>
    <w:p w14:paraId="24B67A8A"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bookmarkStart w:id="13" w:name="_Toc509426069"/>
      <w:r w:rsidRPr="00412823">
        <w:rPr>
          <w:rFonts w:ascii="Arial" w:eastAsiaTheme="majorEastAsia" w:hAnsi="Arial" w:cs="Arial"/>
          <w:b/>
          <w:color w:val="000000" w:themeColor="text1"/>
          <w:sz w:val="24"/>
          <w:szCs w:val="24"/>
        </w:rPr>
        <w:t>Country analysis dimensions for International Business</w:t>
      </w:r>
      <w:bookmarkEnd w:id="13"/>
    </w:p>
    <w:p w14:paraId="24B67A8B" w14:textId="77777777" w:rsidR="00A50796" w:rsidRPr="00412823" w:rsidRDefault="00A50796" w:rsidP="009C021B">
      <w:pPr>
        <w:spacing w:line="480" w:lineRule="auto"/>
        <w:rPr>
          <w:rFonts w:ascii="Arial" w:hAnsi="Arial" w:cs="Arial"/>
          <w:color w:val="000000" w:themeColor="text1"/>
          <w:sz w:val="24"/>
          <w:szCs w:val="24"/>
        </w:rPr>
      </w:pPr>
    </w:p>
    <w:tbl>
      <w:tblPr>
        <w:tblW w:w="10580" w:type="dxa"/>
        <w:tblCellMar>
          <w:left w:w="0" w:type="dxa"/>
          <w:right w:w="0" w:type="dxa"/>
        </w:tblCellMar>
        <w:tblLook w:val="0600" w:firstRow="0" w:lastRow="0" w:firstColumn="0" w:lastColumn="0" w:noHBand="1" w:noVBand="1"/>
      </w:tblPr>
      <w:tblGrid>
        <w:gridCol w:w="5270"/>
        <w:gridCol w:w="5310"/>
      </w:tblGrid>
      <w:tr w:rsidR="00412823" w:rsidRPr="00412823" w14:paraId="24B67AAC" w14:textId="77777777" w:rsidTr="00046747">
        <w:trPr>
          <w:trHeight w:val="3804"/>
        </w:trPr>
        <w:tc>
          <w:tcPr>
            <w:tcW w:w="52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4B67A8C"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b/>
                <w:bCs/>
                <w:color w:val="000000" w:themeColor="text1"/>
                <w:kern w:val="24"/>
                <w:sz w:val="24"/>
                <w:szCs w:val="24"/>
                <w:lang w:val="en-GB"/>
              </w:rPr>
              <w:lastRenderedPageBreak/>
              <w:t xml:space="preserve">Political Environment </w:t>
            </w:r>
          </w:p>
          <w:p w14:paraId="24B67A8D" w14:textId="77777777" w:rsidR="00A50796" w:rsidRPr="00412823" w:rsidRDefault="00A50796" w:rsidP="009C021B">
            <w:pPr>
              <w:numPr>
                <w:ilvl w:val="0"/>
                <w:numId w:val="1"/>
              </w:numPr>
              <w:spacing w:after="0" w:line="480" w:lineRule="auto"/>
              <w:contextualSpacing/>
              <w:rPr>
                <w:rFonts w:ascii="Arial" w:eastAsia="Times New Roman" w:hAnsi="Arial" w:cs="Arial"/>
                <w:color w:val="000000" w:themeColor="text1"/>
                <w:kern w:val="24"/>
                <w:sz w:val="24"/>
                <w:szCs w:val="24"/>
                <w:lang w:val="en-GB"/>
              </w:rPr>
            </w:pPr>
            <w:r w:rsidRPr="00412823">
              <w:rPr>
                <w:rFonts w:ascii="Arial" w:eastAsia="Times New Roman" w:hAnsi="Arial" w:cs="Arial"/>
                <w:color w:val="000000" w:themeColor="text1"/>
                <w:kern w:val="24"/>
                <w:sz w:val="24"/>
                <w:szCs w:val="24"/>
                <w:lang w:val="en-GB"/>
              </w:rPr>
              <w:t xml:space="preserve">Form of government </w:t>
            </w:r>
          </w:p>
          <w:p w14:paraId="24B67A8E"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UK has constitutional monarchy system which is headed by the Queen. The political situation is stable but the decision of Brexit has imposed some legal and foreign trading implications on UK market</w:t>
            </w:r>
            <w:sdt>
              <w:sdtPr>
                <w:rPr>
                  <w:rFonts w:ascii="Arial" w:eastAsia="Times New Roman" w:hAnsi="Arial" w:cs="Arial"/>
                  <w:color w:val="000000" w:themeColor="text1"/>
                  <w:kern w:val="24"/>
                  <w:sz w:val="24"/>
                  <w:szCs w:val="24"/>
                  <w:lang w:val="en-GB"/>
                </w:rPr>
                <w:id w:val="-1073653218"/>
                <w:citation/>
              </w:sdtPr>
              <w:sdtEndPr/>
              <w:sdtContent>
                <w:r w:rsidR="000D34A9" w:rsidRPr="00412823">
                  <w:rPr>
                    <w:rFonts w:ascii="Arial" w:eastAsia="Times New Roman" w:hAnsi="Arial" w:cs="Arial"/>
                    <w:color w:val="000000" w:themeColor="text1"/>
                    <w:kern w:val="24"/>
                    <w:sz w:val="24"/>
                    <w:szCs w:val="24"/>
                    <w:lang w:val="en-GB"/>
                  </w:rPr>
                  <w:fldChar w:fldCharType="begin"/>
                </w:r>
                <w:r w:rsidR="000D34A9" w:rsidRPr="00412823">
                  <w:rPr>
                    <w:rFonts w:ascii="Arial" w:eastAsia="Times New Roman" w:hAnsi="Arial" w:cs="Arial"/>
                    <w:color w:val="000000" w:themeColor="text1"/>
                    <w:kern w:val="24"/>
                    <w:sz w:val="24"/>
                    <w:szCs w:val="24"/>
                  </w:rPr>
                  <w:instrText xml:space="preserve"> CITATION Chr18 \l 1033 </w:instrText>
                </w:r>
                <w:r w:rsidR="000D34A9" w:rsidRPr="00412823">
                  <w:rPr>
                    <w:rFonts w:ascii="Arial" w:eastAsia="Times New Roman" w:hAnsi="Arial" w:cs="Arial"/>
                    <w:color w:val="000000" w:themeColor="text1"/>
                    <w:kern w:val="24"/>
                    <w:sz w:val="24"/>
                    <w:szCs w:val="24"/>
                    <w:lang w:val="en-GB"/>
                  </w:rPr>
                  <w:fldChar w:fldCharType="separate"/>
                </w:r>
                <w:r w:rsidR="000D34A9" w:rsidRPr="00412823">
                  <w:rPr>
                    <w:rFonts w:ascii="Arial" w:eastAsia="Times New Roman" w:hAnsi="Arial" w:cs="Arial"/>
                    <w:noProof/>
                    <w:color w:val="000000" w:themeColor="text1"/>
                    <w:kern w:val="24"/>
                    <w:sz w:val="24"/>
                    <w:szCs w:val="24"/>
                  </w:rPr>
                  <w:t xml:space="preserve"> (Bartlett &amp; Beamish, 2018)</w:t>
                </w:r>
                <w:r w:rsidR="000D34A9" w:rsidRPr="00412823">
                  <w:rPr>
                    <w:rFonts w:ascii="Arial" w:eastAsia="Times New Roman" w:hAnsi="Arial" w:cs="Arial"/>
                    <w:color w:val="000000" w:themeColor="text1"/>
                    <w:kern w:val="24"/>
                    <w:sz w:val="24"/>
                    <w:szCs w:val="24"/>
                    <w:lang w:val="en-GB"/>
                  </w:rPr>
                  <w:fldChar w:fldCharType="end"/>
                </w:r>
              </w:sdtContent>
            </w:sdt>
            <w:r w:rsidRPr="00412823">
              <w:rPr>
                <w:rFonts w:ascii="Arial" w:eastAsia="Times New Roman" w:hAnsi="Arial" w:cs="Arial"/>
                <w:color w:val="000000" w:themeColor="text1"/>
                <w:kern w:val="24"/>
                <w:sz w:val="24"/>
                <w:szCs w:val="24"/>
                <w:lang w:val="en-GB"/>
              </w:rPr>
              <w:t xml:space="preserve">. </w:t>
            </w:r>
          </w:p>
          <w:p w14:paraId="24B67A8F" w14:textId="77777777" w:rsidR="00A50796" w:rsidRPr="00412823" w:rsidRDefault="00A50796" w:rsidP="009C021B">
            <w:pPr>
              <w:numPr>
                <w:ilvl w:val="0"/>
                <w:numId w:val="3"/>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Political stability</w:t>
            </w:r>
          </w:p>
          <w:p w14:paraId="24B67A90"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The general stability in political system is a feasible condition for Gazprom to take the decision of company expansion. </w:t>
            </w:r>
          </w:p>
          <w:p w14:paraId="24B67A91" w14:textId="77777777" w:rsidR="00A50796" w:rsidRPr="00412823" w:rsidRDefault="00A50796" w:rsidP="009C021B">
            <w:pPr>
              <w:numPr>
                <w:ilvl w:val="0"/>
                <w:numId w:val="3"/>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Foreign policy</w:t>
            </w:r>
          </w:p>
          <w:p w14:paraId="24B67A92"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UK foreign policy has changed due to Brexit. Gazprom needs to analyze the foreign policy befor</w:t>
            </w:r>
            <w:r w:rsidR="000D34A9" w:rsidRPr="00412823">
              <w:rPr>
                <w:rFonts w:ascii="Arial" w:eastAsia="Times New Roman" w:hAnsi="Arial" w:cs="Arial"/>
                <w:color w:val="000000" w:themeColor="text1"/>
                <w:sz w:val="24"/>
                <w:szCs w:val="24"/>
              </w:rPr>
              <w:t>e taking the expansion decision</w:t>
            </w:r>
            <w:sdt>
              <w:sdtPr>
                <w:rPr>
                  <w:rFonts w:ascii="Arial" w:eastAsia="Times New Roman" w:hAnsi="Arial" w:cs="Arial"/>
                  <w:color w:val="000000" w:themeColor="text1"/>
                  <w:sz w:val="24"/>
                  <w:szCs w:val="24"/>
                </w:rPr>
                <w:id w:val="-1710950073"/>
                <w:citation/>
              </w:sdtPr>
              <w:sdtEndPr/>
              <w:sdtContent>
                <w:r w:rsidR="000D34A9" w:rsidRPr="00412823">
                  <w:rPr>
                    <w:rFonts w:ascii="Arial" w:eastAsia="Times New Roman" w:hAnsi="Arial" w:cs="Arial"/>
                    <w:color w:val="000000" w:themeColor="text1"/>
                    <w:sz w:val="24"/>
                    <w:szCs w:val="24"/>
                  </w:rPr>
                  <w:fldChar w:fldCharType="begin"/>
                </w:r>
                <w:r w:rsidR="000D34A9" w:rsidRPr="00412823">
                  <w:rPr>
                    <w:rFonts w:ascii="Arial" w:eastAsia="Times New Roman" w:hAnsi="Arial" w:cs="Arial"/>
                    <w:color w:val="000000" w:themeColor="text1"/>
                    <w:sz w:val="24"/>
                    <w:szCs w:val="24"/>
                  </w:rPr>
                  <w:instrText xml:space="preserve"> CITATION Pet072 \l 1033 </w:instrText>
                </w:r>
                <w:r w:rsidR="000D34A9" w:rsidRPr="00412823">
                  <w:rPr>
                    <w:rFonts w:ascii="Arial" w:eastAsia="Times New Roman" w:hAnsi="Arial" w:cs="Arial"/>
                    <w:color w:val="000000" w:themeColor="text1"/>
                    <w:sz w:val="24"/>
                    <w:szCs w:val="24"/>
                  </w:rPr>
                  <w:fldChar w:fldCharType="separate"/>
                </w:r>
                <w:r w:rsidR="000D34A9" w:rsidRPr="00412823">
                  <w:rPr>
                    <w:rFonts w:ascii="Arial" w:eastAsia="Times New Roman" w:hAnsi="Arial" w:cs="Arial"/>
                    <w:noProof/>
                    <w:color w:val="000000" w:themeColor="text1"/>
                    <w:sz w:val="24"/>
                    <w:szCs w:val="24"/>
                  </w:rPr>
                  <w:t xml:space="preserve"> (Buckley &amp; Casson, 2007)</w:t>
                </w:r>
                <w:r w:rsidR="000D34A9" w:rsidRPr="00412823">
                  <w:rPr>
                    <w:rFonts w:ascii="Arial" w:eastAsia="Times New Roman" w:hAnsi="Arial" w:cs="Arial"/>
                    <w:color w:val="000000" w:themeColor="text1"/>
                    <w:sz w:val="24"/>
                    <w:szCs w:val="24"/>
                  </w:rPr>
                  <w:fldChar w:fldCharType="end"/>
                </w:r>
              </w:sdtContent>
            </w:sdt>
            <w:r w:rsidRPr="00412823">
              <w:rPr>
                <w:rFonts w:ascii="Arial" w:eastAsia="Times New Roman" w:hAnsi="Arial" w:cs="Arial"/>
                <w:color w:val="000000" w:themeColor="text1"/>
                <w:sz w:val="24"/>
                <w:szCs w:val="24"/>
              </w:rPr>
              <w:t xml:space="preserve"> </w:t>
            </w:r>
          </w:p>
          <w:p w14:paraId="24B67A93" w14:textId="77777777" w:rsidR="00A50796" w:rsidRPr="00412823" w:rsidRDefault="00A50796" w:rsidP="009C021B">
            <w:pPr>
              <w:numPr>
                <w:ilvl w:val="0"/>
                <w:numId w:val="3"/>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State companies </w:t>
            </w:r>
          </w:p>
          <w:p w14:paraId="24B67A94"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 xml:space="preserve">UK is comprised of four countries i.e. England, wales, Scotland and north Ireland. The expansion decision is specific to wales that is </w:t>
            </w:r>
            <w:r w:rsidRPr="00412823">
              <w:rPr>
                <w:rFonts w:ascii="Arial" w:eastAsia="Times New Roman" w:hAnsi="Arial" w:cs="Arial"/>
                <w:color w:val="000000" w:themeColor="text1"/>
                <w:sz w:val="24"/>
                <w:szCs w:val="24"/>
              </w:rPr>
              <w:lastRenderedPageBreak/>
              <w:t xml:space="preserve">subjected to develop with the success in one country. </w:t>
            </w:r>
          </w:p>
          <w:p w14:paraId="24B67A95" w14:textId="77777777" w:rsidR="00A50796" w:rsidRPr="00412823" w:rsidRDefault="00A50796" w:rsidP="009C021B">
            <w:pPr>
              <w:numPr>
                <w:ilvl w:val="0"/>
                <w:numId w:val="3"/>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Role of military </w:t>
            </w:r>
          </w:p>
          <w:p w14:paraId="24B67A96"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 xml:space="preserve">The role of military is negligible to Gazprom since the company is not doing any business function that is risky for UK’s safety or dignity. </w:t>
            </w:r>
          </w:p>
          <w:p w14:paraId="24B67A97" w14:textId="77777777" w:rsidR="00A50796" w:rsidRPr="00412823" w:rsidRDefault="00A50796" w:rsidP="009C021B">
            <w:pPr>
              <w:numPr>
                <w:ilvl w:val="0"/>
                <w:numId w:val="3"/>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Level of terrorism </w:t>
            </w:r>
          </w:p>
          <w:p w14:paraId="24B67A98"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The wave of terrorism experienced by UK in past five years pose a threat for Gazprom. A damage to gas supply pipelines can cause loss of revenue to Gazp</w:t>
            </w:r>
            <w:r w:rsidR="000D34A9" w:rsidRPr="00412823">
              <w:rPr>
                <w:rFonts w:ascii="Arial" w:eastAsia="Times New Roman" w:hAnsi="Arial" w:cs="Arial"/>
                <w:color w:val="000000" w:themeColor="text1"/>
                <w:sz w:val="24"/>
                <w:szCs w:val="24"/>
              </w:rPr>
              <w:t>rom</w:t>
            </w:r>
            <w:sdt>
              <w:sdtPr>
                <w:rPr>
                  <w:rFonts w:ascii="Arial" w:eastAsia="Times New Roman" w:hAnsi="Arial" w:cs="Arial"/>
                  <w:color w:val="000000" w:themeColor="text1"/>
                  <w:sz w:val="24"/>
                  <w:szCs w:val="24"/>
                </w:rPr>
                <w:id w:val="-913473279"/>
                <w:citation/>
              </w:sdtPr>
              <w:sdtEndPr/>
              <w:sdtContent>
                <w:r w:rsidR="000D34A9" w:rsidRPr="00412823">
                  <w:rPr>
                    <w:rFonts w:ascii="Arial" w:eastAsia="Times New Roman" w:hAnsi="Arial" w:cs="Arial"/>
                    <w:color w:val="000000" w:themeColor="text1"/>
                    <w:sz w:val="24"/>
                    <w:szCs w:val="24"/>
                  </w:rPr>
                  <w:fldChar w:fldCharType="begin"/>
                </w:r>
                <w:r w:rsidR="000D34A9" w:rsidRPr="00412823">
                  <w:rPr>
                    <w:rFonts w:ascii="Arial" w:eastAsia="Times New Roman" w:hAnsi="Arial" w:cs="Arial"/>
                    <w:color w:val="000000" w:themeColor="text1"/>
                    <w:sz w:val="24"/>
                    <w:szCs w:val="24"/>
                  </w:rPr>
                  <w:instrText xml:space="preserve"> CITATION Alv14 \l 1033 </w:instrText>
                </w:r>
                <w:r w:rsidR="000D34A9" w:rsidRPr="00412823">
                  <w:rPr>
                    <w:rFonts w:ascii="Arial" w:eastAsia="Times New Roman" w:hAnsi="Arial" w:cs="Arial"/>
                    <w:color w:val="000000" w:themeColor="text1"/>
                    <w:sz w:val="24"/>
                    <w:szCs w:val="24"/>
                  </w:rPr>
                  <w:fldChar w:fldCharType="separate"/>
                </w:r>
                <w:r w:rsidR="000D34A9" w:rsidRPr="00412823">
                  <w:rPr>
                    <w:rFonts w:ascii="Arial" w:eastAsia="Times New Roman" w:hAnsi="Arial" w:cs="Arial"/>
                    <w:noProof/>
                    <w:color w:val="000000" w:themeColor="text1"/>
                    <w:sz w:val="24"/>
                    <w:szCs w:val="24"/>
                  </w:rPr>
                  <w:t xml:space="preserve"> (Cuervo-Cazurra &amp; Ramamurti, 2014)</w:t>
                </w:r>
                <w:r w:rsidR="000D34A9" w:rsidRPr="00412823">
                  <w:rPr>
                    <w:rFonts w:ascii="Arial" w:eastAsia="Times New Roman" w:hAnsi="Arial" w:cs="Arial"/>
                    <w:color w:val="000000" w:themeColor="text1"/>
                    <w:sz w:val="24"/>
                    <w:szCs w:val="24"/>
                  </w:rPr>
                  <w:fldChar w:fldCharType="end"/>
                </w:r>
              </w:sdtContent>
            </w:sdt>
            <w:r w:rsidR="000D34A9" w:rsidRPr="00412823">
              <w:rPr>
                <w:rFonts w:ascii="Arial" w:eastAsia="Times New Roman" w:hAnsi="Arial" w:cs="Arial"/>
                <w:color w:val="000000" w:themeColor="text1"/>
                <w:sz w:val="24"/>
                <w:szCs w:val="24"/>
              </w:rPr>
              <w:t>.</w:t>
            </w:r>
            <w:r w:rsidRPr="00412823">
              <w:rPr>
                <w:rFonts w:ascii="Arial" w:eastAsia="Times New Roman" w:hAnsi="Arial" w:cs="Arial"/>
                <w:color w:val="000000" w:themeColor="text1"/>
                <w:sz w:val="24"/>
                <w:szCs w:val="24"/>
              </w:rPr>
              <w:t xml:space="preserve"> </w:t>
            </w:r>
          </w:p>
          <w:p w14:paraId="24B67A99" w14:textId="77777777" w:rsidR="00A50796" w:rsidRPr="00412823" w:rsidRDefault="00A50796" w:rsidP="009C021B">
            <w:pPr>
              <w:numPr>
                <w:ilvl w:val="0"/>
                <w:numId w:val="3"/>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Restrictions on imports/exports </w:t>
            </w:r>
          </w:p>
          <w:p w14:paraId="24B67A9A"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 xml:space="preserve">Brexit has changed the trade and foreign direct investment for international companies. The change in taxation policy, visa policy, and regulatory compliance for multinational companies operating outside UK affects the Gazprom business launch in UK. </w:t>
            </w:r>
          </w:p>
        </w:tc>
        <w:tc>
          <w:tcPr>
            <w:tcW w:w="5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4B67A9B"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b/>
                <w:bCs/>
                <w:color w:val="000000" w:themeColor="text1"/>
                <w:kern w:val="24"/>
                <w:sz w:val="24"/>
                <w:szCs w:val="24"/>
                <w:lang w:val="en-GB"/>
              </w:rPr>
              <w:lastRenderedPageBreak/>
              <w:t xml:space="preserve">Economic Environment </w:t>
            </w:r>
          </w:p>
          <w:p w14:paraId="24B67A9C" w14:textId="77777777" w:rsidR="00A50796" w:rsidRPr="00412823" w:rsidRDefault="00A50796" w:rsidP="009C021B">
            <w:pPr>
              <w:numPr>
                <w:ilvl w:val="0"/>
                <w:numId w:val="3"/>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 Economic system </w:t>
            </w:r>
          </w:p>
          <w:p w14:paraId="24B67A9D" w14:textId="77777777" w:rsidR="00A50796" w:rsidRPr="00412823" w:rsidRDefault="00A50796" w:rsidP="009C021B">
            <w:p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 xml:space="preserve">UK’s economy is stable with GPD us$43,321. The economic system is feasible to incorporate a foreign national business to run operations. </w:t>
            </w:r>
          </w:p>
          <w:p w14:paraId="24B67A9E"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State of development </w:t>
            </w:r>
          </w:p>
          <w:p w14:paraId="24B67A9F"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The development system of economy has changed over the years. UK is becoming more dependent on tourism, development and other industries</w:t>
            </w:r>
            <w:sdt>
              <w:sdtPr>
                <w:rPr>
                  <w:rFonts w:ascii="Arial" w:eastAsia="Times New Roman" w:hAnsi="Arial" w:cs="Arial"/>
                  <w:color w:val="000000" w:themeColor="text1"/>
                  <w:sz w:val="24"/>
                  <w:szCs w:val="24"/>
                </w:rPr>
                <w:id w:val="1840184412"/>
                <w:citation/>
              </w:sdtPr>
              <w:sdtEndPr/>
              <w:sdtContent>
                <w:r w:rsidR="000D34A9" w:rsidRPr="00412823">
                  <w:rPr>
                    <w:rFonts w:ascii="Arial" w:eastAsia="Times New Roman" w:hAnsi="Arial" w:cs="Arial"/>
                    <w:color w:val="000000" w:themeColor="text1"/>
                    <w:sz w:val="24"/>
                    <w:szCs w:val="24"/>
                  </w:rPr>
                  <w:fldChar w:fldCharType="begin"/>
                </w:r>
                <w:r w:rsidR="000D34A9" w:rsidRPr="00412823">
                  <w:rPr>
                    <w:rFonts w:ascii="Arial" w:eastAsia="Times New Roman" w:hAnsi="Arial" w:cs="Arial"/>
                    <w:color w:val="000000" w:themeColor="text1"/>
                    <w:sz w:val="24"/>
                    <w:szCs w:val="24"/>
                  </w:rPr>
                  <w:instrText xml:space="preserve"> CITATION Pet18 \l 1033 </w:instrText>
                </w:r>
                <w:r w:rsidR="000D34A9" w:rsidRPr="00412823">
                  <w:rPr>
                    <w:rFonts w:ascii="Arial" w:eastAsia="Times New Roman" w:hAnsi="Arial" w:cs="Arial"/>
                    <w:color w:val="000000" w:themeColor="text1"/>
                    <w:sz w:val="24"/>
                    <w:szCs w:val="24"/>
                  </w:rPr>
                  <w:fldChar w:fldCharType="separate"/>
                </w:r>
                <w:r w:rsidR="000D34A9" w:rsidRPr="00412823">
                  <w:rPr>
                    <w:rFonts w:ascii="Arial" w:eastAsia="Times New Roman" w:hAnsi="Arial" w:cs="Arial"/>
                    <w:noProof/>
                    <w:color w:val="000000" w:themeColor="text1"/>
                    <w:sz w:val="24"/>
                    <w:szCs w:val="24"/>
                  </w:rPr>
                  <w:t xml:space="preserve"> (Buckley, et al., 2018)</w:t>
                </w:r>
                <w:r w:rsidR="000D34A9" w:rsidRPr="00412823">
                  <w:rPr>
                    <w:rFonts w:ascii="Arial" w:eastAsia="Times New Roman" w:hAnsi="Arial" w:cs="Arial"/>
                    <w:color w:val="000000" w:themeColor="text1"/>
                    <w:sz w:val="24"/>
                    <w:szCs w:val="24"/>
                  </w:rPr>
                  <w:fldChar w:fldCharType="end"/>
                </w:r>
              </w:sdtContent>
            </w:sdt>
            <w:r w:rsidRPr="00412823">
              <w:rPr>
                <w:rFonts w:ascii="Arial" w:eastAsia="Times New Roman" w:hAnsi="Arial" w:cs="Arial"/>
                <w:color w:val="000000" w:themeColor="text1"/>
                <w:sz w:val="24"/>
                <w:szCs w:val="24"/>
              </w:rPr>
              <w:t xml:space="preserve">. </w:t>
            </w:r>
          </w:p>
          <w:p w14:paraId="24B67AA0" w14:textId="77777777" w:rsidR="00A50796" w:rsidRPr="00412823" w:rsidRDefault="00A50796" w:rsidP="009C021B">
            <w:pPr>
              <w:spacing w:after="0" w:line="480" w:lineRule="auto"/>
              <w:ind w:left="2606"/>
              <w:rPr>
                <w:rFonts w:ascii="Arial" w:eastAsia="Times New Roman" w:hAnsi="Arial" w:cs="Arial"/>
                <w:color w:val="000000" w:themeColor="text1"/>
                <w:sz w:val="24"/>
                <w:szCs w:val="24"/>
              </w:rPr>
            </w:pPr>
          </w:p>
          <w:p w14:paraId="24B67AA1"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Economic stability</w:t>
            </w:r>
          </w:p>
          <w:p w14:paraId="24B67AA2"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Economic stability is guaranteed for the system of UK which depicts a feasible support to the Gazprom business.  </w:t>
            </w:r>
          </w:p>
          <w:p w14:paraId="24B67AA3" w14:textId="77777777" w:rsidR="00A50796" w:rsidRPr="00412823" w:rsidRDefault="00A50796" w:rsidP="009C021B">
            <w:pPr>
              <w:spacing w:after="0" w:line="480" w:lineRule="auto"/>
              <w:rPr>
                <w:rFonts w:ascii="Arial" w:eastAsia="Times New Roman" w:hAnsi="Arial" w:cs="Arial"/>
                <w:color w:val="000000" w:themeColor="text1"/>
                <w:sz w:val="24"/>
                <w:szCs w:val="24"/>
              </w:rPr>
            </w:pPr>
          </w:p>
          <w:p w14:paraId="24B67AA4"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GNP</w:t>
            </w:r>
          </w:p>
          <w:p w14:paraId="24B67AA5"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UK’s gross national product (GNP) is $2.763 trillion. This is an appropriate and feasible figure to operate an international business</w:t>
            </w:r>
            <w:sdt>
              <w:sdtPr>
                <w:rPr>
                  <w:rFonts w:ascii="Arial" w:eastAsia="Times New Roman" w:hAnsi="Arial" w:cs="Arial"/>
                  <w:color w:val="000000" w:themeColor="text1"/>
                  <w:sz w:val="24"/>
                  <w:szCs w:val="24"/>
                </w:rPr>
                <w:id w:val="-2738725"/>
                <w:citation/>
              </w:sdtPr>
              <w:sdtEndPr/>
              <w:sdtContent>
                <w:r w:rsidRPr="00412823">
                  <w:rPr>
                    <w:rFonts w:ascii="Arial" w:eastAsia="Times New Roman" w:hAnsi="Arial" w:cs="Arial"/>
                    <w:color w:val="000000" w:themeColor="text1"/>
                    <w:sz w:val="24"/>
                    <w:szCs w:val="24"/>
                  </w:rPr>
                  <w:fldChar w:fldCharType="begin"/>
                </w:r>
                <w:r w:rsidRPr="00412823">
                  <w:rPr>
                    <w:rFonts w:ascii="Arial" w:eastAsia="Times New Roman" w:hAnsi="Arial" w:cs="Arial"/>
                    <w:color w:val="000000" w:themeColor="text1"/>
                    <w:sz w:val="24"/>
                    <w:szCs w:val="24"/>
                  </w:rPr>
                  <w:instrText xml:space="preserve"> CITATION Har17 \l 1033 </w:instrText>
                </w:r>
                <w:r w:rsidRPr="00412823">
                  <w:rPr>
                    <w:rFonts w:ascii="Arial" w:eastAsia="Times New Roman" w:hAnsi="Arial" w:cs="Arial"/>
                    <w:color w:val="000000" w:themeColor="text1"/>
                    <w:sz w:val="24"/>
                    <w:szCs w:val="24"/>
                  </w:rPr>
                  <w:fldChar w:fldCharType="separate"/>
                </w:r>
                <w:r w:rsidRPr="00412823">
                  <w:rPr>
                    <w:rFonts w:ascii="Arial" w:eastAsia="Times New Roman" w:hAnsi="Arial" w:cs="Arial"/>
                    <w:noProof/>
                    <w:color w:val="000000" w:themeColor="text1"/>
                    <w:sz w:val="24"/>
                    <w:szCs w:val="24"/>
                  </w:rPr>
                  <w:t xml:space="preserve"> (HaroonMumtaza &amp; AngelikiTheophil, 2017)</w:t>
                </w:r>
                <w:r w:rsidRPr="00412823">
                  <w:rPr>
                    <w:rFonts w:ascii="Arial" w:eastAsia="Times New Roman" w:hAnsi="Arial" w:cs="Arial"/>
                    <w:color w:val="000000" w:themeColor="text1"/>
                    <w:sz w:val="24"/>
                    <w:szCs w:val="24"/>
                  </w:rPr>
                  <w:fldChar w:fldCharType="end"/>
                </w:r>
              </w:sdtContent>
            </w:sdt>
            <w:r w:rsidRPr="00412823">
              <w:rPr>
                <w:rFonts w:ascii="Arial" w:eastAsia="Times New Roman" w:hAnsi="Arial" w:cs="Arial"/>
                <w:color w:val="000000" w:themeColor="text1"/>
                <w:sz w:val="24"/>
                <w:szCs w:val="24"/>
              </w:rPr>
              <w:t xml:space="preserve">. </w:t>
            </w:r>
          </w:p>
          <w:p w14:paraId="24B67AA6"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lastRenderedPageBreak/>
              <w:t xml:space="preserve">International financial standing </w:t>
            </w:r>
          </w:p>
          <w:p w14:paraId="24B67AA7"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 xml:space="preserve">UK’ economy is a major economic contributor of world’s economic scenario. It is reflected by the post-Brexit and pre-Brexit reaction and responses given by other countries towards’ UK’s changing economic structure. </w:t>
            </w:r>
          </w:p>
          <w:p w14:paraId="24B67AA8"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Monetary/fiscal policies </w:t>
            </w:r>
          </w:p>
          <w:p w14:paraId="24B67AA9"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 xml:space="preserve">Monetary policy is designed to make conditions suitable for the new business. Fiscal policies are developed to ensure the achievement of long term and short term goals. </w:t>
            </w:r>
          </w:p>
          <w:p w14:paraId="24B67AAA"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Foreign investment</w:t>
            </w:r>
          </w:p>
          <w:p w14:paraId="24B67AAB"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Foreign investment in UK is still attractive for multinational companies due to undeniable position and stature (in political, trading, tourism fields) of UK in the continent as well as in the whole world.  </w:t>
            </w:r>
          </w:p>
        </w:tc>
      </w:tr>
      <w:tr w:rsidR="00412823" w:rsidRPr="00412823" w14:paraId="24B67AC9" w14:textId="77777777" w:rsidTr="00046747">
        <w:trPr>
          <w:trHeight w:val="3804"/>
        </w:trPr>
        <w:tc>
          <w:tcPr>
            <w:tcW w:w="52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4B67AAD"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b/>
                <w:bCs/>
                <w:color w:val="000000" w:themeColor="text1"/>
                <w:kern w:val="24"/>
                <w:sz w:val="24"/>
                <w:szCs w:val="24"/>
                <w:lang w:val="en-GB"/>
              </w:rPr>
              <w:lastRenderedPageBreak/>
              <w:t>Regulatory Environment</w:t>
            </w:r>
          </w:p>
          <w:p w14:paraId="24B67AAE"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kern w:val="24"/>
                <w:sz w:val="24"/>
                <w:szCs w:val="24"/>
                <w:lang w:val="en-GB"/>
              </w:rPr>
            </w:pPr>
            <w:r w:rsidRPr="00412823">
              <w:rPr>
                <w:rFonts w:ascii="Arial" w:eastAsia="Times New Roman" w:hAnsi="Arial" w:cs="Arial"/>
                <w:color w:val="000000" w:themeColor="text1"/>
                <w:kern w:val="24"/>
                <w:sz w:val="24"/>
                <w:szCs w:val="24"/>
                <w:lang w:val="en-GB"/>
              </w:rPr>
              <w:t xml:space="preserve">Legal system </w:t>
            </w:r>
          </w:p>
          <w:p w14:paraId="24B67AAF" w14:textId="77777777" w:rsidR="00A50796" w:rsidRPr="00412823" w:rsidRDefault="00A50796" w:rsidP="009C021B">
            <w:pPr>
              <w:spacing w:after="0" w:line="480" w:lineRule="auto"/>
              <w:rPr>
                <w:rFonts w:ascii="Arial" w:eastAsia="Times New Roman" w:hAnsi="Arial" w:cs="Arial"/>
                <w:color w:val="000000" w:themeColor="text1"/>
                <w:kern w:val="24"/>
                <w:sz w:val="24"/>
                <w:szCs w:val="24"/>
                <w:lang w:val="en-GB"/>
              </w:rPr>
            </w:pPr>
            <w:r w:rsidRPr="00412823">
              <w:rPr>
                <w:rFonts w:ascii="Arial" w:eastAsia="Times New Roman" w:hAnsi="Arial" w:cs="Arial"/>
                <w:color w:val="000000" w:themeColor="text1"/>
                <w:kern w:val="24"/>
                <w:sz w:val="24"/>
                <w:szCs w:val="24"/>
                <w:lang w:val="en-GB"/>
              </w:rPr>
              <w:t xml:space="preserve">Legal system of UK is based on home benefit. The rules, laws and taxation policies are designed to ensure that UK’s own benefit is kept at the optimal position. </w:t>
            </w:r>
          </w:p>
          <w:p w14:paraId="24B67AB0"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Prevailing international laws</w:t>
            </w:r>
          </w:p>
          <w:p w14:paraId="24B67AB1"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UK’s constitutional and international laws association govern the process of law implication and amendments in UK e.g. UK’s corporate governance code 2002 and international law of commerce</w:t>
            </w:r>
            <w:sdt>
              <w:sdtPr>
                <w:rPr>
                  <w:rFonts w:ascii="Arial" w:eastAsia="Times New Roman" w:hAnsi="Arial" w:cs="Arial"/>
                  <w:color w:val="000000" w:themeColor="text1"/>
                  <w:kern w:val="24"/>
                  <w:sz w:val="24"/>
                  <w:szCs w:val="24"/>
                  <w:lang w:val="en-GB"/>
                </w:rPr>
                <w:id w:val="-1904441221"/>
                <w:citation/>
              </w:sdtPr>
              <w:sdtEndPr/>
              <w:sdtContent>
                <w:r w:rsidRPr="00412823">
                  <w:rPr>
                    <w:rFonts w:ascii="Arial" w:eastAsia="Times New Roman" w:hAnsi="Arial" w:cs="Arial"/>
                    <w:color w:val="000000" w:themeColor="text1"/>
                    <w:kern w:val="24"/>
                    <w:sz w:val="24"/>
                    <w:szCs w:val="24"/>
                    <w:lang w:val="en-GB"/>
                  </w:rPr>
                  <w:fldChar w:fldCharType="begin"/>
                </w:r>
                <w:r w:rsidRPr="00412823">
                  <w:rPr>
                    <w:rFonts w:ascii="Arial" w:eastAsia="Times New Roman" w:hAnsi="Arial" w:cs="Arial"/>
                    <w:color w:val="000000" w:themeColor="text1"/>
                    <w:kern w:val="24"/>
                    <w:sz w:val="24"/>
                    <w:szCs w:val="24"/>
                  </w:rPr>
                  <w:instrText xml:space="preserve"> CITATION Kam17 \l 1033 </w:instrText>
                </w:r>
                <w:r w:rsidRPr="00412823">
                  <w:rPr>
                    <w:rFonts w:ascii="Arial" w:eastAsia="Times New Roman" w:hAnsi="Arial" w:cs="Arial"/>
                    <w:color w:val="000000" w:themeColor="text1"/>
                    <w:kern w:val="24"/>
                    <w:sz w:val="24"/>
                    <w:szCs w:val="24"/>
                    <w:lang w:val="en-GB"/>
                  </w:rPr>
                  <w:fldChar w:fldCharType="separate"/>
                </w:r>
                <w:r w:rsidRPr="00412823">
                  <w:rPr>
                    <w:rFonts w:ascii="Arial" w:eastAsia="Times New Roman" w:hAnsi="Arial" w:cs="Arial"/>
                    <w:noProof/>
                    <w:color w:val="000000" w:themeColor="text1"/>
                    <w:kern w:val="24"/>
                    <w:sz w:val="24"/>
                    <w:szCs w:val="24"/>
                  </w:rPr>
                  <w:t xml:space="preserve"> (Omesto &amp; Yusuf, 2017)</w:t>
                </w:r>
                <w:r w:rsidRPr="00412823">
                  <w:rPr>
                    <w:rFonts w:ascii="Arial" w:eastAsia="Times New Roman" w:hAnsi="Arial" w:cs="Arial"/>
                    <w:color w:val="000000" w:themeColor="text1"/>
                    <w:kern w:val="24"/>
                    <w:sz w:val="24"/>
                    <w:szCs w:val="24"/>
                    <w:lang w:val="en-GB"/>
                  </w:rPr>
                  <w:fldChar w:fldCharType="end"/>
                </w:r>
              </w:sdtContent>
            </w:sdt>
            <w:r w:rsidRPr="00412823">
              <w:rPr>
                <w:rFonts w:ascii="Arial" w:eastAsia="Times New Roman" w:hAnsi="Arial" w:cs="Arial"/>
                <w:color w:val="000000" w:themeColor="text1"/>
                <w:kern w:val="24"/>
                <w:sz w:val="24"/>
                <w:szCs w:val="24"/>
                <w:lang w:val="en-GB"/>
              </w:rPr>
              <w:t xml:space="preserve">. </w:t>
            </w:r>
          </w:p>
          <w:p w14:paraId="24B67AB2"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Protectionist laws</w:t>
            </w:r>
          </w:p>
          <w:p w14:paraId="24B67AB3"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Her majesty stationary office (HMSO) is the official entity of designing and implication of protectionist laws.  Tariffs, quotas, embargoes, subsidies and administrative systems are some administrative protectionist laws defined by UK. </w:t>
            </w:r>
          </w:p>
          <w:p w14:paraId="24B67AB4"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Tax laws </w:t>
            </w:r>
          </w:p>
          <w:p w14:paraId="24B67AB5"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lastRenderedPageBreak/>
              <w:t xml:space="preserve">The basic income tax rate is 20% on every earning of £0 to £32000 which makes £11000 or £43000 of total earned income. </w:t>
            </w:r>
          </w:p>
          <w:p w14:paraId="24B67AB6"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Role of contracts </w:t>
            </w:r>
          </w:p>
          <w:p w14:paraId="24B67AB7"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 xml:space="preserve">The role of contracts is monitored by UK contractor’s association. Legal support and guidance is provided to local people as well as expatriates to combat external difficulties. </w:t>
            </w:r>
          </w:p>
          <w:p w14:paraId="24B67AB8"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Protection for proprietary property </w:t>
            </w:r>
          </w:p>
          <w:p w14:paraId="24B67AB9"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 xml:space="preserve">Intellectual property act 2014 is the major law of protecting properties and provide assistance for dealing with legal issues. </w:t>
            </w:r>
          </w:p>
          <w:p w14:paraId="24B67ABA" w14:textId="77777777" w:rsidR="00A50796" w:rsidRPr="00412823" w:rsidRDefault="00A50796" w:rsidP="009C021B">
            <w:pPr>
              <w:numPr>
                <w:ilvl w:val="0"/>
                <w:numId w:val="4"/>
              </w:num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Environmental protection </w:t>
            </w:r>
          </w:p>
          <w:p w14:paraId="24B67ABB"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color w:val="000000" w:themeColor="text1"/>
                <w:sz w:val="24"/>
                <w:szCs w:val="24"/>
              </w:rPr>
              <w:t>Environment protection act 1990 is implied to ensure environmental sustainabil</w:t>
            </w:r>
            <w:r w:rsidR="000D34A9" w:rsidRPr="00412823">
              <w:rPr>
                <w:rFonts w:ascii="Arial" w:eastAsia="Times New Roman" w:hAnsi="Arial" w:cs="Arial"/>
                <w:color w:val="000000" w:themeColor="text1"/>
                <w:sz w:val="24"/>
                <w:szCs w:val="24"/>
              </w:rPr>
              <w:t>ity in all business operations</w:t>
            </w:r>
            <w:sdt>
              <w:sdtPr>
                <w:rPr>
                  <w:rFonts w:ascii="Arial" w:eastAsia="Times New Roman" w:hAnsi="Arial" w:cs="Arial"/>
                  <w:color w:val="000000" w:themeColor="text1"/>
                  <w:sz w:val="24"/>
                  <w:szCs w:val="24"/>
                </w:rPr>
                <w:id w:val="-1350788502"/>
                <w:citation/>
              </w:sdtPr>
              <w:sdtEndPr/>
              <w:sdtContent>
                <w:r w:rsidR="000D34A9" w:rsidRPr="00412823">
                  <w:rPr>
                    <w:rFonts w:ascii="Arial" w:eastAsia="Times New Roman" w:hAnsi="Arial" w:cs="Arial"/>
                    <w:color w:val="000000" w:themeColor="text1"/>
                    <w:sz w:val="24"/>
                    <w:szCs w:val="24"/>
                  </w:rPr>
                  <w:fldChar w:fldCharType="begin"/>
                </w:r>
                <w:r w:rsidR="000D34A9" w:rsidRPr="00412823">
                  <w:rPr>
                    <w:rFonts w:ascii="Arial" w:eastAsia="Times New Roman" w:hAnsi="Arial" w:cs="Arial"/>
                    <w:color w:val="000000" w:themeColor="text1"/>
                    <w:sz w:val="24"/>
                    <w:szCs w:val="24"/>
                  </w:rPr>
                  <w:instrText xml:space="preserve"> CITATION PNG13 \l 1033 </w:instrText>
                </w:r>
                <w:r w:rsidR="000D34A9" w:rsidRPr="00412823">
                  <w:rPr>
                    <w:rFonts w:ascii="Arial" w:eastAsia="Times New Roman" w:hAnsi="Arial" w:cs="Arial"/>
                    <w:color w:val="000000" w:themeColor="text1"/>
                    <w:sz w:val="24"/>
                    <w:szCs w:val="24"/>
                  </w:rPr>
                  <w:fldChar w:fldCharType="separate"/>
                </w:r>
                <w:r w:rsidR="000D34A9" w:rsidRPr="00412823">
                  <w:rPr>
                    <w:rFonts w:ascii="Arial" w:eastAsia="Times New Roman" w:hAnsi="Arial" w:cs="Arial"/>
                    <w:noProof/>
                    <w:color w:val="000000" w:themeColor="text1"/>
                    <w:sz w:val="24"/>
                    <w:szCs w:val="24"/>
                  </w:rPr>
                  <w:t xml:space="preserve"> (Gooderham, et al., 2013)</w:t>
                </w:r>
                <w:r w:rsidR="000D34A9" w:rsidRPr="00412823">
                  <w:rPr>
                    <w:rFonts w:ascii="Arial" w:eastAsia="Times New Roman" w:hAnsi="Arial" w:cs="Arial"/>
                    <w:color w:val="000000" w:themeColor="text1"/>
                    <w:sz w:val="24"/>
                    <w:szCs w:val="24"/>
                  </w:rPr>
                  <w:fldChar w:fldCharType="end"/>
                </w:r>
              </w:sdtContent>
            </w:sdt>
          </w:p>
        </w:tc>
        <w:tc>
          <w:tcPr>
            <w:tcW w:w="5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4B67ABC" w14:textId="77777777" w:rsidR="00A50796" w:rsidRPr="00412823" w:rsidRDefault="00A50796" w:rsidP="009C021B">
            <w:pPr>
              <w:spacing w:after="0" w:line="480" w:lineRule="auto"/>
              <w:rPr>
                <w:rFonts w:ascii="Arial" w:eastAsia="Times New Roman" w:hAnsi="Arial" w:cs="Arial"/>
                <w:color w:val="000000" w:themeColor="text1"/>
                <w:sz w:val="24"/>
                <w:szCs w:val="24"/>
              </w:rPr>
            </w:pPr>
            <w:r w:rsidRPr="00412823">
              <w:rPr>
                <w:rFonts w:ascii="Arial" w:eastAsia="Times New Roman" w:hAnsi="Arial" w:cs="Arial"/>
                <w:b/>
                <w:bCs/>
                <w:color w:val="000000" w:themeColor="text1"/>
                <w:kern w:val="24"/>
                <w:sz w:val="24"/>
                <w:szCs w:val="24"/>
                <w:lang w:val="en-GB"/>
              </w:rPr>
              <w:lastRenderedPageBreak/>
              <w:t xml:space="preserve">Technological Environment </w:t>
            </w:r>
          </w:p>
          <w:p w14:paraId="24B67ABD" w14:textId="77777777" w:rsidR="00A50796" w:rsidRPr="00412823" w:rsidRDefault="00A50796" w:rsidP="009C021B">
            <w:pPr>
              <w:numPr>
                <w:ilvl w:val="1"/>
                <w:numId w:val="2"/>
              </w:numPr>
              <w:spacing w:after="0" w:line="480" w:lineRule="auto"/>
              <w:ind w:left="2606"/>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Level of technology </w:t>
            </w:r>
          </w:p>
          <w:p w14:paraId="24B67ABE" w14:textId="77777777" w:rsidR="00A50796" w:rsidRPr="00412823" w:rsidRDefault="00A50796" w:rsidP="009C021B">
            <w:p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UK’s technological environment is advanced and up to date. Leading consumer electronics manufacturers such as Samsung, LG, Apple Inc. and Microsoft keep UK on the priority list to launch their products for the first time. </w:t>
            </w:r>
          </w:p>
          <w:p w14:paraId="24B67ABF" w14:textId="77777777" w:rsidR="00A50796" w:rsidRPr="00412823" w:rsidRDefault="00A50796" w:rsidP="009C021B">
            <w:pPr>
              <w:numPr>
                <w:ilvl w:val="1"/>
                <w:numId w:val="2"/>
              </w:numPr>
              <w:spacing w:after="0" w:line="480" w:lineRule="auto"/>
              <w:ind w:left="2606"/>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Availability of local technical skills </w:t>
            </w:r>
          </w:p>
          <w:p w14:paraId="24B67AC0" w14:textId="77777777" w:rsidR="00A50796" w:rsidRPr="00412823" w:rsidRDefault="00A50796" w:rsidP="009C021B">
            <w:p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Local technical skills are available. UK’s talent workforce in IT sector is growing at the rate of 16% every year</w:t>
            </w:r>
            <w:sdt>
              <w:sdtPr>
                <w:rPr>
                  <w:rFonts w:ascii="Arial" w:eastAsia="Times New Roman" w:hAnsi="Arial" w:cs="Arial"/>
                  <w:color w:val="000000" w:themeColor="text1"/>
                  <w:kern w:val="24"/>
                  <w:sz w:val="24"/>
                  <w:szCs w:val="24"/>
                  <w:lang w:val="en-GB"/>
                </w:rPr>
                <w:id w:val="-435447656"/>
                <w:citation/>
              </w:sdtPr>
              <w:sdtEndPr/>
              <w:sdtContent>
                <w:r w:rsidR="000D34A9" w:rsidRPr="00412823">
                  <w:rPr>
                    <w:rFonts w:ascii="Arial" w:eastAsia="Times New Roman" w:hAnsi="Arial" w:cs="Arial"/>
                    <w:color w:val="000000" w:themeColor="text1"/>
                    <w:kern w:val="24"/>
                    <w:sz w:val="24"/>
                    <w:szCs w:val="24"/>
                    <w:lang w:val="en-GB"/>
                  </w:rPr>
                  <w:fldChar w:fldCharType="begin"/>
                </w:r>
                <w:r w:rsidR="000D34A9" w:rsidRPr="00412823">
                  <w:rPr>
                    <w:rFonts w:ascii="Arial" w:eastAsia="Times New Roman" w:hAnsi="Arial" w:cs="Arial"/>
                    <w:color w:val="000000" w:themeColor="text1"/>
                    <w:kern w:val="24"/>
                    <w:sz w:val="24"/>
                    <w:szCs w:val="24"/>
                  </w:rPr>
                  <w:instrText xml:space="preserve"> CITATION Sim161 \l 1033 </w:instrText>
                </w:r>
                <w:r w:rsidR="000D34A9" w:rsidRPr="00412823">
                  <w:rPr>
                    <w:rFonts w:ascii="Arial" w:eastAsia="Times New Roman" w:hAnsi="Arial" w:cs="Arial"/>
                    <w:color w:val="000000" w:themeColor="text1"/>
                    <w:kern w:val="24"/>
                    <w:sz w:val="24"/>
                    <w:szCs w:val="24"/>
                    <w:lang w:val="en-GB"/>
                  </w:rPr>
                  <w:fldChar w:fldCharType="separate"/>
                </w:r>
                <w:r w:rsidR="000D34A9" w:rsidRPr="00412823">
                  <w:rPr>
                    <w:rFonts w:ascii="Arial" w:eastAsia="Times New Roman" w:hAnsi="Arial" w:cs="Arial"/>
                    <w:noProof/>
                    <w:color w:val="000000" w:themeColor="text1"/>
                    <w:kern w:val="24"/>
                    <w:sz w:val="24"/>
                    <w:szCs w:val="24"/>
                  </w:rPr>
                  <w:t xml:space="preserve"> (Collinson, et al., 2016)</w:t>
                </w:r>
                <w:r w:rsidR="000D34A9" w:rsidRPr="00412823">
                  <w:rPr>
                    <w:rFonts w:ascii="Arial" w:eastAsia="Times New Roman" w:hAnsi="Arial" w:cs="Arial"/>
                    <w:color w:val="000000" w:themeColor="text1"/>
                    <w:kern w:val="24"/>
                    <w:sz w:val="24"/>
                    <w:szCs w:val="24"/>
                    <w:lang w:val="en-GB"/>
                  </w:rPr>
                  <w:fldChar w:fldCharType="end"/>
                </w:r>
              </w:sdtContent>
            </w:sdt>
            <w:r w:rsidRPr="00412823">
              <w:rPr>
                <w:rFonts w:ascii="Arial" w:eastAsia="Times New Roman" w:hAnsi="Arial" w:cs="Arial"/>
                <w:color w:val="000000" w:themeColor="text1"/>
                <w:kern w:val="24"/>
                <w:sz w:val="24"/>
                <w:szCs w:val="24"/>
                <w:lang w:val="en-GB"/>
              </w:rPr>
              <w:t xml:space="preserve">. </w:t>
            </w:r>
          </w:p>
          <w:p w14:paraId="24B67AC1" w14:textId="77777777" w:rsidR="00A50796" w:rsidRPr="00412823" w:rsidRDefault="00A50796" w:rsidP="009C021B">
            <w:pPr>
              <w:numPr>
                <w:ilvl w:val="1"/>
                <w:numId w:val="2"/>
              </w:numPr>
              <w:spacing w:after="0" w:line="480" w:lineRule="auto"/>
              <w:ind w:left="2606"/>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Technical requirements of country </w:t>
            </w:r>
          </w:p>
          <w:p w14:paraId="24B67AC2" w14:textId="77777777" w:rsidR="00A50796" w:rsidRPr="00412823" w:rsidRDefault="00A50796" w:rsidP="009C021B">
            <w:p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Being a central location for tourism, business and political activities, UK’s technical requirements is very high. </w:t>
            </w:r>
          </w:p>
          <w:p w14:paraId="24B67AC3" w14:textId="77777777" w:rsidR="00A50796" w:rsidRPr="00412823" w:rsidRDefault="00A50796" w:rsidP="009C021B">
            <w:pPr>
              <w:numPr>
                <w:ilvl w:val="1"/>
                <w:numId w:val="2"/>
              </w:numPr>
              <w:spacing w:after="0" w:line="480" w:lineRule="auto"/>
              <w:ind w:left="2606"/>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Appropriability </w:t>
            </w:r>
          </w:p>
          <w:p w14:paraId="24B67AC4" w14:textId="77777777" w:rsidR="00A50796" w:rsidRPr="00412823" w:rsidRDefault="00A50796" w:rsidP="009C021B">
            <w:p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Gazprom’s appropriability for UK business is high as the country is enriched with feasible rudiments to launch the international business. </w:t>
            </w:r>
          </w:p>
          <w:p w14:paraId="24B67AC5" w14:textId="77777777" w:rsidR="00A50796" w:rsidRPr="00412823" w:rsidRDefault="00A50796" w:rsidP="009C021B">
            <w:pPr>
              <w:numPr>
                <w:ilvl w:val="1"/>
                <w:numId w:val="2"/>
              </w:numPr>
              <w:spacing w:after="0" w:line="480" w:lineRule="auto"/>
              <w:ind w:left="2606"/>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Transfer of technology </w:t>
            </w:r>
          </w:p>
          <w:p w14:paraId="24B67AC6" w14:textId="77777777" w:rsidR="00A50796" w:rsidRPr="00412823" w:rsidRDefault="00A50796" w:rsidP="009C021B">
            <w:p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lastRenderedPageBreak/>
              <w:t xml:space="preserve">The transfer of technology from UK is rapid. Big companies such as Apple Inc. and Microsoft have also established their direct sales locations in UK which is a show of UK’s ability to transfer technology. </w:t>
            </w:r>
          </w:p>
          <w:p w14:paraId="24B67AC7" w14:textId="77777777" w:rsidR="00A50796" w:rsidRPr="00412823" w:rsidRDefault="00A50796" w:rsidP="009C021B">
            <w:pPr>
              <w:numPr>
                <w:ilvl w:val="1"/>
                <w:numId w:val="2"/>
              </w:numPr>
              <w:spacing w:after="0" w:line="480" w:lineRule="auto"/>
              <w:ind w:left="2606"/>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Infrastructure</w:t>
            </w:r>
          </w:p>
          <w:p w14:paraId="24B67AC8" w14:textId="77777777" w:rsidR="00A50796" w:rsidRPr="00412823" w:rsidRDefault="00A50796" w:rsidP="009C021B">
            <w:pPr>
              <w:spacing w:after="0" w:line="480" w:lineRule="auto"/>
              <w:contextualSpacing/>
              <w:rPr>
                <w:rFonts w:ascii="Arial" w:eastAsia="Times New Roman" w:hAnsi="Arial" w:cs="Arial"/>
                <w:color w:val="000000" w:themeColor="text1"/>
                <w:sz w:val="24"/>
                <w:szCs w:val="24"/>
              </w:rPr>
            </w:pPr>
            <w:r w:rsidRPr="00412823">
              <w:rPr>
                <w:rFonts w:ascii="Arial" w:eastAsia="Times New Roman" w:hAnsi="Arial" w:cs="Arial"/>
                <w:color w:val="000000" w:themeColor="text1"/>
                <w:kern w:val="24"/>
                <w:sz w:val="24"/>
                <w:szCs w:val="24"/>
                <w:lang w:val="en-GB"/>
              </w:rPr>
              <w:t xml:space="preserve">UK is run by monarchy system that increases the power distance and maintain individualism. </w:t>
            </w:r>
          </w:p>
        </w:tc>
      </w:tr>
    </w:tbl>
    <w:p w14:paraId="24B67ACA" w14:textId="77777777" w:rsidR="00A50796" w:rsidRPr="00412823" w:rsidRDefault="00A50796" w:rsidP="009C021B">
      <w:pPr>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lastRenderedPageBreak/>
        <w:t xml:space="preserve"> </w:t>
      </w:r>
    </w:p>
    <w:p w14:paraId="24B67ACB"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bookmarkStart w:id="14" w:name="_Toc509426070"/>
      <w:r w:rsidRPr="00412823">
        <w:rPr>
          <w:rFonts w:ascii="Arial" w:eastAsiaTheme="majorEastAsia" w:hAnsi="Arial" w:cs="Arial"/>
          <w:b/>
          <w:color w:val="000000" w:themeColor="text1"/>
          <w:sz w:val="24"/>
          <w:szCs w:val="24"/>
        </w:rPr>
        <w:t>Risk summary</w:t>
      </w:r>
      <w:bookmarkEnd w:id="14"/>
      <w:r w:rsidRPr="00412823">
        <w:rPr>
          <w:rFonts w:ascii="Arial" w:eastAsiaTheme="majorEastAsia" w:hAnsi="Arial" w:cs="Arial"/>
          <w:b/>
          <w:color w:val="000000" w:themeColor="text1"/>
          <w:sz w:val="24"/>
          <w:szCs w:val="24"/>
        </w:rPr>
        <w:t xml:space="preserve"> </w:t>
      </w:r>
    </w:p>
    <w:p w14:paraId="24B67ACC"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Political concerns include possible sanctions pressure, however they do not affect deliveries of gas and payments for them. NHS and other state and private large </w:t>
      </w:r>
      <w:r w:rsidRPr="00412823">
        <w:rPr>
          <w:rFonts w:ascii="Arial" w:hAnsi="Arial" w:cs="Arial"/>
          <w:color w:val="000000" w:themeColor="text1"/>
          <w:sz w:val="24"/>
          <w:szCs w:val="24"/>
        </w:rPr>
        <w:lastRenderedPageBreak/>
        <w:t>organizations supplied almost entirely by Gazprom could cause concerns due to UK political attitudes towards Russia. Britain's energy and particularly gas security being a bit weaker due to large single supplier could cause concerns, but again mostly political, but UK could mitigate through pipeline suppliers such as Norway and also other suppliers of LNG deliveries. Green proponents can cause continuous pressure to substitute carbon fuels for greener and renewable sources</w:t>
      </w:r>
    </w:p>
    <w:p w14:paraId="24B67ACD" w14:textId="77777777" w:rsidR="00A50796" w:rsidRPr="00412823" w:rsidRDefault="00A50796" w:rsidP="009C021B">
      <w:pPr>
        <w:keepNext/>
        <w:keepLines/>
        <w:spacing w:before="240" w:after="0" w:line="480" w:lineRule="auto"/>
        <w:outlineLvl w:val="0"/>
        <w:rPr>
          <w:rFonts w:ascii="Arial" w:eastAsiaTheme="majorEastAsia" w:hAnsi="Arial" w:cs="Arial"/>
          <w:b/>
          <w:color w:val="000000" w:themeColor="text1"/>
          <w:sz w:val="24"/>
          <w:szCs w:val="24"/>
        </w:rPr>
      </w:pPr>
      <w:bookmarkStart w:id="15" w:name="_Toc509426071"/>
      <w:r w:rsidRPr="00412823">
        <w:rPr>
          <w:rFonts w:ascii="Arial" w:eastAsiaTheme="majorEastAsia" w:hAnsi="Arial" w:cs="Arial"/>
          <w:b/>
          <w:color w:val="000000" w:themeColor="text1"/>
          <w:sz w:val="24"/>
          <w:szCs w:val="24"/>
        </w:rPr>
        <w:t>International business strategy</w:t>
      </w:r>
      <w:bookmarkEnd w:id="15"/>
      <w:r w:rsidRPr="00412823">
        <w:rPr>
          <w:rFonts w:ascii="Arial" w:eastAsiaTheme="majorEastAsia" w:hAnsi="Arial" w:cs="Arial"/>
          <w:b/>
          <w:color w:val="000000" w:themeColor="text1"/>
          <w:sz w:val="24"/>
          <w:szCs w:val="24"/>
        </w:rPr>
        <w:t xml:space="preserve"> </w:t>
      </w:r>
    </w:p>
    <w:p w14:paraId="24B67ACE"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International business strategy selection is dependent on the type of business and its requirements in the host country. The selected business strategy to enter into foreign market, must adhere to the core mission and values of the company. There are following types of international business strategies for foreign market entry</w:t>
      </w:r>
      <w:sdt>
        <w:sdtPr>
          <w:rPr>
            <w:rFonts w:ascii="Arial" w:hAnsi="Arial" w:cs="Arial"/>
            <w:color w:val="000000" w:themeColor="text1"/>
            <w:sz w:val="24"/>
            <w:szCs w:val="24"/>
          </w:rPr>
          <w:id w:val="-1538891171"/>
          <w:citation/>
        </w:sdtPr>
        <w:sdtEndPr/>
        <w:sdtContent>
          <w:r w:rsidR="000D34A9" w:rsidRPr="00412823">
            <w:rPr>
              <w:rFonts w:ascii="Arial" w:hAnsi="Arial" w:cs="Arial"/>
              <w:color w:val="000000" w:themeColor="text1"/>
              <w:sz w:val="24"/>
              <w:szCs w:val="24"/>
            </w:rPr>
            <w:fldChar w:fldCharType="begin"/>
          </w:r>
          <w:r w:rsidR="000D34A9" w:rsidRPr="00412823">
            <w:rPr>
              <w:rFonts w:ascii="Arial" w:hAnsi="Arial" w:cs="Arial"/>
              <w:color w:val="000000" w:themeColor="text1"/>
              <w:sz w:val="24"/>
              <w:szCs w:val="24"/>
            </w:rPr>
            <w:instrText xml:space="preserve"> CITATION Joh171 \l 1033 </w:instrText>
          </w:r>
          <w:r w:rsidR="000D34A9" w:rsidRPr="00412823">
            <w:rPr>
              <w:rFonts w:ascii="Arial" w:hAnsi="Arial" w:cs="Arial"/>
              <w:color w:val="000000" w:themeColor="text1"/>
              <w:sz w:val="24"/>
              <w:szCs w:val="24"/>
            </w:rPr>
            <w:fldChar w:fldCharType="separate"/>
          </w:r>
          <w:r w:rsidR="000D34A9" w:rsidRPr="00412823">
            <w:rPr>
              <w:rFonts w:ascii="Arial" w:hAnsi="Arial" w:cs="Arial"/>
              <w:noProof/>
              <w:color w:val="000000" w:themeColor="text1"/>
              <w:sz w:val="24"/>
              <w:szCs w:val="24"/>
            </w:rPr>
            <w:t xml:space="preserve"> (Daniels, et al., 2017)</w:t>
          </w:r>
          <w:r w:rsidR="000D34A9" w:rsidRPr="00412823">
            <w:rPr>
              <w:rFonts w:ascii="Arial" w:hAnsi="Arial" w:cs="Arial"/>
              <w:color w:val="000000" w:themeColor="text1"/>
              <w:sz w:val="24"/>
              <w:szCs w:val="24"/>
            </w:rPr>
            <w:fldChar w:fldCharType="end"/>
          </w:r>
        </w:sdtContent>
      </w:sdt>
      <w:r w:rsidRPr="00412823">
        <w:rPr>
          <w:rFonts w:ascii="Arial" w:hAnsi="Arial" w:cs="Arial"/>
          <w:color w:val="000000" w:themeColor="text1"/>
          <w:sz w:val="24"/>
          <w:szCs w:val="24"/>
        </w:rPr>
        <w:t>.</w:t>
      </w:r>
    </w:p>
    <w:p w14:paraId="24B67ACF"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Licensing: Licensing is a way to enter foreign market by giving out the “license”, a legal permission to utilize the name of brand, company’s expertise, or technology without investing into set up of the business for tangible or intangible assets. </w:t>
      </w:r>
    </w:p>
    <w:p w14:paraId="24B67AD0"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Franchising: Franchising is the entry mode in which the company provides all sort of facilitation and expertise and manage all key facets of business to be done in another market. The management of the franchise is controlled by the franchise owner. The operations of franchise are ought to follow the standards of the organization</w:t>
      </w:r>
      <w:sdt>
        <w:sdtPr>
          <w:rPr>
            <w:rFonts w:ascii="Arial" w:hAnsi="Arial" w:cs="Arial"/>
            <w:color w:val="000000" w:themeColor="text1"/>
            <w:sz w:val="24"/>
            <w:szCs w:val="24"/>
          </w:rPr>
          <w:id w:val="2110380503"/>
          <w:citation/>
        </w:sdtPr>
        <w:sdtEndPr/>
        <w:sdtContent>
          <w:r w:rsidR="000D34A9" w:rsidRPr="00412823">
            <w:rPr>
              <w:rFonts w:ascii="Arial" w:hAnsi="Arial" w:cs="Arial"/>
              <w:color w:val="000000" w:themeColor="text1"/>
              <w:sz w:val="24"/>
              <w:szCs w:val="24"/>
            </w:rPr>
            <w:fldChar w:fldCharType="begin"/>
          </w:r>
          <w:r w:rsidR="000D34A9" w:rsidRPr="00412823">
            <w:rPr>
              <w:rFonts w:ascii="Arial" w:hAnsi="Arial" w:cs="Arial"/>
              <w:color w:val="000000" w:themeColor="text1"/>
              <w:sz w:val="24"/>
              <w:szCs w:val="24"/>
            </w:rPr>
            <w:instrText xml:space="preserve"> CITATION Alv141 \l 1033 </w:instrText>
          </w:r>
          <w:r w:rsidR="000D34A9" w:rsidRPr="00412823">
            <w:rPr>
              <w:rFonts w:ascii="Arial" w:hAnsi="Arial" w:cs="Arial"/>
              <w:color w:val="000000" w:themeColor="text1"/>
              <w:sz w:val="24"/>
              <w:szCs w:val="24"/>
            </w:rPr>
            <w:fldChar w:fldCharType="separate"/>
          </w:r>
          <w:r w:rsidR="000D34A9" w:rsidRPr="00412823">
            <w:rPr>
              <w:rFonts w:ascii="Arial" w:hAnsi="Arial" w:cs="Arial"/>
              <w:noProof/>
              <w:color w:val="000000" w:themeColor="text1"/>
              <w:sz w:val="24"/>
              <w:szCs w:val="24"/>
            </w:rPr>
            <w:t xml:space="preserve"> (Cuervo-Cazurra, et al., 2014)</w:t>
          </w:r>
          <w:r w:rsidR="000D34A9" w:rsidRPr="00412823">
            <w:rPr>
              <w:rFonts w:ascii="Arial" w:hAnsi="Arial" w:cs="Arial"/>
              <w:color w:val="000000" w:themeColor="text1"/>
              <w:sz w:val="24"/>
              <w:szCs w:val="24"/>
            </w:rPr>
            <w:fldChar w:fldCharType="end"/>
          </w:r>
        </w:sdtContent>
      </w:sdt>
      <w:r w:rsidRPr="00412823">
        <w:rPr>
          <w:rFonts w:ascii="Arial" w:hAnsi="Arial" w:cs="Arial"/>
          <w:color w:val="000000" w:themeColor="text1"/>
          <w:sz w:val="24"/>
          <w:szCs w:val="24"/>
        </w:rPr>
        <w:t xml:space="preserve">. </w:t>
      </w:r>
    </w:p>
    <w:p w14:paraId="24B67AD1" w14:textId="3E1E2DA8" w:rsidR="00A50796" w:rsidRPr="00412823" w:rsidRDefault="00A50796" w:rsidP="009C021B">
      <w:pPr>
        <w:spacing w:line="480" w:lineRule="auto"/>
        <w:rPr>
          <w:rFonts w:ascii="Arial" w:hAnsi="Arial" w:cs="Arial"/>
          <w:color w:val="000000" w:themeColor="text1"/>
          <w:sz w:val="24"/>
          <w:szCs w:val="24"/>
        </w:rPr>
      </w:pPr>
      <w:bookmarkStart w:id="16" w:name="_Hlk509657032"/>
      <w:r w:rsidRPr="00412823">
        <w:rPr>
          <w:rFonts w:ascii="Arial" w:hAnsi="Arial" w:cs="Arial"/>
          <w:color w:val="000000" w:themeColor="text1"/>
          <w:sz w:val="24"/>
          <w:szCs w:val="24"/>
        </w:rPr>
        <w:lastRenderedPageBreak/>
        <w:t>Tu</w:t>
      </w:r>
      <w:r w:rsidR="00E91107">
        <w:rPr>
          <w:rFonts w:ascii="Arial" w:hAnsi="Arial" w:cs="Arial"/>
          <w:color w:val="000000" w:themeColor="text1"/>
          <w:sz w:val="24"/>
          <w:szCs w:val="24"/>
        </w:rPr>
        <w:t>r</w:t>
      </w:r>
      <w:r w:rsidRPr="00412823">
        <w:rPr>
          <w:rFonts w:ascii="Arial" w:hAnsi="Arial" w:cs="Arial"/>
          <w:color w:val="000000" w:themeColor="text1"/>
          <w:sz w:val="24"/>
          <w:szCs w:val="24"/>
        </w:rPr>
        <w:t xml:space="preserve">nkey </w:t>
      </w:r>
      <w:bookmarkEnd w:id="16"/>
      <w:r w:rsidRPr="00412823">
        <w:rPr>
          <w:rFonts w:ascii="Arial" w:hAnsi="Arial" w:cs="Arial"/>
          <w:color w:val="000000" w:themeColor="text1"/>
          <w:sz w:val="24"/>
          <w:szCs w:val="24"/>
        </w:rPr>
        <w:t>contracts</w:t>
      </w:r>
      <w:r w:rsidRPr="00412823">
        <w:rPr>
          <w:rFonts w:ascii="Arial" w:hAnsi="Arial" w:cs="Arial"/>
          <w:b/>
          <w:color w:val="000000" w:themeColor="text1"/>
          <w:sz w:val="24"/>
          <w:szCs w:val="24"/>
        </w:rPr>
        <w:t xml:space="preserve">: </w:t>
      </w:r>
      <w:r w:rsidRPr="00412823">
        <w:rPr>
          <w:rFonts w:ascii="Arial" w:hAnsi="Arial" w:cs="Arial"/>
          <w:color w:val="000000" w:themeColor="text1"/>
          <w:sz w:val="24"/>
          <w:szCs w:val="24"/>
        </w:rPr>
        <w:t xml:space="preserve">This strategy is for large business activities such as launching a manufacturing unit. In </w:t>
      </w:r>
      <w:r w:rsidR="00E91107" w:rsidRPr="00E91107">
        <w:rPr>
          <w:rFonts w:ascii="Arial" w:hAnsi="Arial" w:cs="Arial"/>
          <w:color w:val="000000" w:themeColor="text1"/>
          <w:sz w:val="24"/>
          <w:szCs w:val="24"/>
        </w:rPr>
        <w:t xml:space="preserve">Turnkey </w:t>
      </w:r>
      <w:r w:rsidRPr="00412823">
        <w:rPr>
          <w:rFonts w:ascii="Arial" w:hAnsi="Arial" w:cs="Arial"/>
          <w:color w:val="000000" w:themeColor="text1"/>
          <w:sz w:val="24"/>
          <w:szCs w:val="24"/>
        </w:rPr>
        <w:t xml:space="preserve">contracts, the plant or business unit is not handed over to the owner. </w:t>
      </w:r>
    </w:p>
    <w:p w14:paraId="24B67AD2"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Strategic alliances: strategic alliances are usually made for shared business activities such as sharing research and development activities, distribution alliances, marketing agreements and shared manufacturing. These are non-equity based agreements in which the company remains individual and separate. </w:t>
      </w:r>
    </w:p>
    <w:p w14:paraId="24B67AD3"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Joint ventures: New Company is formed by joining a proportion of business with another company to enter into a new market. </w:t>
      </w:r>
    </w:p>
    <w:p w14:paraId="24B67AD4"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Exporting: Exporting is of two types i.e. direct and indirect exporting. The direct exporting is conducted by importing distributors and sales representatives.  Indirect exporting is conducted by export trading companies (ETCs), export management companies (EMCs), export merchants, conforming houses, and non-conforming purchasing agents. </w:t>
      </w:r>
    </w:p>
    <w:p w14:paraId="24B67AD5" w14:textId="77777777" w:rsidR="00A50796" w:rsidRPr="00412823" w:rsidRDefault="00A50796" w:rsidP="002D0395">
      <w:pPr>
        <w:pStyle w:val="Heading1"/>
        <w:rPr>
          <w:rFonts w:ascii="Arial" w:hAnsi="Arial" w:cs="Arial"/>
          <w:b/>
          <w:color w:val="000000" w:themeColor="text1"/>
          <w:sz w:val="24"/>
        </w:rPr>
      </w:pPr>
      <w:bookmarkStart w:id="17" w:name="_Toc509426072"/>
      <w:r w:rsidRPr="00412823">
        <w:rPr>
          <w:rFonts w:ascii="Arial" w:hAnsi="Arial" w:cs="Arial"/>
          <w:b/>
          <w:color w:val="000000" w:themeColor="text1"/>
          <w:sz w:val="24"/>
        </w:rPr>
        <w:t>International marketing plan</w:t>
      </w:r>
      <w:bookmarkEnd w:id="17"/>
    </w:p>
    <w:p w14:paraId="24B67AD6"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Gazprom has a strategic relation with Centrica. The acquisition of large corporate commodity is the most favorable option. However, the £10 billion investment of Centrica in 2006 is a depiction of uncontrolled system caused by political unrest in Westminster which caused the sale of a major domestic seller for energy supplier. A subsidiary of Gazprom, Gazprom marketing and trading (GM&amp;T) is a big interface for Gazprom’s major launch in UK</w:t>
      </w:r>
      <w:sdt>
        <w:sdtPr>
          <w:rPr>
            <w:rFonts w:ascii="Arial" w:hAnsi="Arial" w:cs="Arial"/>
            <w:color w:val="000000" w:themeColor="text1"/>
            <w:sz w:val="24"/>
            <w:szCs w:val="24"/>
          </w:rPr>
          <w:id w:val="712782194"/>
          <w:citation/>
        </w:sdtPr>
        <w:sdtEndPr/>
        <w:sdtContent>
          <w:r w:rsidR="000D34A9" w:rsidRPr="00412823">
            <w:rPr>
              <w:rFonts w:ascii="Arial" w:hAnsi="Arial" w:cs="Arial"/>
              <w:color w:val="000000" w:themeColor="text1"/>
              <w:sz w:val="24"/>
              <w:szCs w:val="24"/>
            </w:rPr>
            <w:fldChar w:fldCharType="begin"/>
          </w:r>
          <w:r w:rsidR="000D34A9" w:rsidRPr="00412823">
            <w:rPr>
              <w:rFonts w:ascii="Arial" w:hAnsi="Arial" w:cs="Arial"/>
              <w:color w:val="000000" w:themeColor="text1"/>
              <w:sz w:val="24"/>
              <w:szCs w:val="24"/>
            </w:rPr>
            <w:instrText xml:space="preserve"> CITATION Val14 \l 1033 </w:instrText>
          </w:r>
          <w:r w:rsidR="000D34A9" w:rsidRPr="00412823">
            <w:rPr>
              <w:rFonts w:ascii="Arial" w:hAnsi="Arial" w:cs="Arial"/>
              <w:color w:val="000000" w:themeColor="text1"/>
              <w:sz w:val="24"/>
              <w:szCs w:val="24"/>
            </w:rPr>
            <w:fldChar w:fldCharType="separate"/>
          </w:r>
          <w:r w:rsidR="000D34A9" w:rsidRPr="00412823">
            <w:rPr>
              <w:rFonts w:ascii="Arial" w:hAnsi="Arial" w:cs="Arial"/>
              <w:noProof/>
              <w:color w:val="000000" w:themeColor="text1"/>
              <w:sz w:val="24"/>
              <w:szCs w:val="24"/>
            </w:rPr>
            <w:t xml:space="preserve"> (Salygin &amp; Kaveshnikov, 2014)</w:t>
          </w:r>
          <w:r w:rsidR="000D34A9" w:rsidRPr="00412823">
            <w:rPr>
              <w:rFonts w:ascii="Arial" w:hAnsi="Arial" w:cs="Arial"/>
              <w:color w:val="000000" w:themeColor="text1"/>
              <w:sz w:val="24"/>
              <w:szCs w:val="24"/>
            </w:rPr>
            <w:fldChar w:fldCharType="end"/>
          </w:r>
        </w:sdtContent>
      </w:sdt>
      <w:r w:rsidRPr="00412823">
        <w:rPr>
          <w:rFonts w:ascii="Arial" w:hAnsi="Arial" w:cs="Arial"/>
          <w:color w:val="000000" w:themeColor="text1"/>
          <w:sz w:val="24"/>
          <w:szCs w:val="24"/>
        </w:rPr>
        <w:t xml:space="preserve">. This venture can be seen closely to know about the response rate of local market and business return on investment. The </w:t>
      </w:r>
      <w:r w:rsidRPr="00412823">
        <w:rPr>
          <w:rFonts w:ascii="Arial" w:hAnsi="Arial" w:cs="Arial"/>
          <w:color w:val="000000" w:themeColor="text1"/>
          <w:sz w:val="24"/>
          <w:szCs w:val="24"/>
        </w:rPr>
        <w:lastRenderedPageBreak/>
        <w:t xml:space="preserve">GM&amp;T’s Gazprom energy arm can be established in Manchester to ensure provision of services and products to private as well as commercial consumer market. </w:t>
      </w:r>
    </w:p>
    <w:p w14:paraId="24B67AD7"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The sales mode can be selected by brokers, partners, advantageous system of Gazprom that has undercut rivals on prices, the Gazprom energy customer market can also offer for flexibility in client for meeting business needs. The positioning on moderate rate of energy plan that can meet the customer’s buying decision expectations and add value to their money would be the key to success for Gazprom. The Gazprom energy must aim to become the pan-European leader by utilizing all opportunities in hand. The good performance in UK should be the settlement for the new progress and developmental opportunities for Gazprom. </w:t>
      </w:r>
    </w:p>
    <w:p w14:paraId="24B67AD8"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bookmarkStart w:id="18" w:name="_Toc509426073"/>
      <w:r w:rsidRPr="00412823">
        <w:rPr>
          <w:rFonts w:ascii="Arial" w:eastAsiaTheme="majorEastAsia" w:hAnsi="Arial" w:cs="Arial"/>
          <w:b/>
          <w:color w:val="000000" w:themeColor="text1"/>
          <w:sz w:val="24"/>
          <w:szCs w:val="24"/>
        </w:rPr>
        <w:t>Marketing strategy</w:t>
      </w:r>
      <w:bookmarkEnd w:id="18"/>
      <w:r w:rsidRPr="00412823">
        <w:rPr>
          <w:rFonts w:ascii="Arial" w:eastAsiaTheme="majorEastAsia" w:hAnsi="Arial" w:cs="Arial"/>
          <w:b/>
          <w:color w:val="000000" w:themeColor="text1"/>
          <w:sz w:val="24"/>
          <w:szCs w:val="24"/>
        </w:rPr>
        <w:t xml:space="preserve"> </w:t>
      </w:r>
    </w:p>
    <w:p w14:paraId="24B67AD9"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The selected market entry mode is based on market penetration strategy. Gazprom will penetrate in the existing market by using the extensive marketing technique on industrial basis. In order to do this, it is essential to have detailed data about local customer preference and the complete process of invading to existing customer market. The market penetration strategy is selected since the position of existing suppliers, industry leaders, and customer’s preferred organizations is hard to break. The GM&amp;T service would be used as a base to establish all marketing activities. The marketing strategy is based on the idea of slowly but steadily changing the buying trend and adopt a top to bottom approach for reaching customer market</w:t>
      </w:r>
      <w:sdt>
        <w:sdtPr>
          <w:rPr>
            <w:rFonts w:ascii="Arial" w:hAnsi="Arial" w:cs="Arial"/>
            <w:color w:val="000000" w:themeColor="text1"/>
            <w:sz w:val="24"/>
            <w:szCs w:val="24"/>
          </w:rPr>
          <w:id w:val="46351812"/>
          <w:citation/>
        </w:sdtPr>
        <w:sdtEndPr/>
        <w:sdtContent>
          <w:r w:rsidR="000D34A9" w:rsidRPr="00412823">
            <w:rPr>
              <w:rFonts w:ascii="Arial" w:hAnsi="Arial" w:cs="Arial"/>
              <w:color w:val="000000" w:themeColor="text1"/>
              <w:sz w:val="24"/>
              <w:szCs w:val="24"/>
            </w:rPr>
            <w:fldChar w:fldCharType="begin"/>
          </w:r>
          <w:r w:rsidR="000D34A9" w:rsidRPr="00412823">
            <w:rPr>
              <w:rFonts w:ascii="Arial" w:hAnsi="Arial" w:cs="Arial"/>
              <w:color w:val="000000" w:themeColor="text1"/>
              <w:sz w:val="24"/>
              <w:szCs w:val="24"/>
            </w:rPr>
            <w:instrText xml:space="preserve"> CITATION Mar171 \l 1033 </w:instrText>
          </w:r>
          <w:r w:rsidR="000D34A9" w:rsidRPr="00412823">
            <w:rPr>
              <w:rFonts w:ascii="Arial" w:hAnsi="Arial" w:cs="Arial"/>
              <w:color w:val="000000" w:themeColor="text1"/>
              <w:sz w:val="24"/>
              <w:szCs w:val="24"/>
            </w:rPr>
            <w:fldChar w:fldCharType="separate"/>
          </w:r>
          <w:r w:rsidR="000D34A9" w:rsidRPr="00412823">
            <w:rPr>
              <w:rFonts w:ascii="Arial" w:hAnsi="Arial" w:cs="Arial"/>
              <w:noProof/>
              <w:color w:val="000000" w:themeColor="text1"/>
              <w:sz w:val="24"/>
              <w:szCs w:val="24"/>
            </w:rPr>
            <w:t xml:space="preserve"> (Jong &amp; Warmelink, 2017)</w:t>
          </w:r>
          <w:r w:rsidR="000D34A9" w:rsidRPr="00412823">
            <w:rPr>
              <w:rFonts w:ascii="Arial" w:hAnsi="Arial" w:cs="Arial"/>
              <w:color w:val="000000" w:themeColor="text1"/>
              <w:sz w:val="24"/>
              <w:szCs w:val="24"/>
            </w:rPr>
            <w:fldChar w:fldCharType="end"/>
          </w:r>
        </w:sdtContent>
      </w:sdt>
      <w:r w:rsidRPr="00412823">
        <w:rPr>
          <w:rFonts w:ascii="Arial" w:hAnsi="Arial" w:cs="Arial"/>
          <w:color w:val="000000" w:themeColor="text1"/>
          <w:sz w:val="24"/>
          <w:szCs w:val="24"/>
        </w:rPr>
        <w:t xml:space="preserve">. </w:t>
      </w:r>
    </w:p>
    <w:p w14:paraId="24B67ADA" w14:textId="77777777" w:rsidR="00A50796" w:rsidRPr="00412823" w:rsidRDefault="00A50796" w:rsidP="009C021B">
      <w:pPr>
        <w:keepNext/>
        <w:keepLines/>
        <w:spacing w:before="40" w:after="0" w:line="480" w:lineRule="auto"/>
        <w:outlineLvl w:val="1"/>
        <w:rPr>
          <w:rFonts w:ascii="Arial" w:eastAsiaTheme="majorEastAsia" w:hAnsi="Arial" w:cs="Arial"/>
          <w:b/>
          <w:color w:val="000000" w:themeColor="text1"/>
          <w:sz w:val="24"/>
          <w:szCs w:val="24"/>
        </w:rPr>
      </w:pPr>
      <w:bookmarkStart w:id="19" w:name="_Toc509426074"/>
      <w:r w:rsidRPr="00412823">
        <w:rPr>
          <w:rFonts w:ascii="Arial" w:eastAsiaTheme="majorEastAsia" w:hAnsi="Arial" w:cs="Arial"/>
          <w:b/>
          <w:color w:val="000000" w:themeColor="text1"/>
          <w:sz w:val="24"/>
          <w:szCs w:val="24"/>
        </w:rPr>
        <w:t>Market entry plan and strategy</w:t>
      </w:r>
      <w:bookmarkEnd w:id="19"/>
      <w:r w:rsidRPr="00412823">
        <w:rPr>
          <w:rFonts w:ascii="Arial" w:eastAsiaTheme="majorEastAsia" w:hAnsi="Arial" w:cs="Arial"/>
          <w:b/>
          <w:color w:val="000000" w:themeColor="text1"/>
          <w:sz w:val="24"/>
          <w:szCs w:val="24"/>
        </w:rPr>
        <w:t xml:space="preserve"> </w:t>
      </w:r>
    </w:p>
    <w:p w14:paraId="24B67ADB"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The market entry plan and strategy is briefly planned according to 8 P’s framework. </w:t>
      </w:r>
    </w:p>
    <w:p w14:paraId="24B67ADC" w14:textId="77777777" w:rsidR="00A50796" w:rsidRPr="00412823" w:rsidRDefault="00A50796" w:rsidP="009C021B">
      <w:pPr>
        <w:spacing w:line="480" w:lineRule="auto"/>
        <w:jc w:val="center"/>
        <w:rPr>
          <w:rFonts w:ascii="Arial" w:hAnsi="Arial" w:cs="Arial"/>
          <w:color w:val="000000" w:themeColor="text1"/>
          <w:sz w:val="24"/>
          <w:szCs w:val="24"/>
        </w:rPr>
      </w:pPr>
      <w:r w:rsidRPr="00412823">
        <w:rPr>
          <w:rFonts w:ascii="Arial" w:hAnsi="Arial" w:cs="Arial"/>
          <w:noProof/>
          <w:color w:val="000000" w:themeColor="text1"/>
          <w:sz w:val="24"/>
          <w:szCs w:val="24"/>
        </w:rPr>
        <w:lastRenderedPageBreak/>
        <w:drawing>
          <wp:inline distT="0" distB="0" distL="0" distR="0" wp14:anchorId="24B67B1E" wp14:editId="24B67B1F">
            <wp:extent cx="4518000" cy="2719416"/>
            <wp:effectExtent l="0" t="0" r="0" b="5080"/>
            <wp:docPr id="11" name="Picture 11" descr="Image result for international market entry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ternational market entry pl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23749" cy="2722876"/>
                    </a:xfrm>
                    <a:prstGeom prst="rect">
                      <a:avLst/>
                    </a:prstGeom>
                    <a:noFill/>
                    <a:ln>
                      <a:noFill/>
                    </a:ln>
                  </pic:spPr>
                </pic:pic>
              </a:graphicData>
            </a:graphic>
          </wp:inline>
        </w:drawing>
      </w:r>
    </w:p>
    <w:p w14:paraId="24B67ADD" w14:textId="77777777" w:rsidR="000D34A9" w:rsidRPr="00412823" w:rsidRDefault="000D34A9" w:rsidP="009C021B">
      <w:pPr>
        <w:spacing w:line="480" w:lineRule="auto"/>
        <w:jc w:val="center"/>
        <w:rPr>
          <w:rFonts w:ascii="Arial" w:hAnsi="Arial" w:cs="Arial"/>
          <w:color w:val="000000" w:themeColor="text1"/>
          <w:sz w:val="24"/>
          <w:szCs w:val="24"/>
        </w:rPr>
      </w:pPr>
      <w:r w:rsidRPr="00412823">
        <w:rPr>
          <w:rFonts w:ascii="Arial" w:hAnsi="Arial" w:cs="Arial"/>
          <w:color w:val="000000" w:themeColor="text1"/>
          <w:sz w:val="24"/>
          <w:szCs w:val="24"/>
        </w:rPr>
        <w:t xml:space="preserve">Source: </w:t>
      </w:r>
      <w:sdt>
        <w:sdtPr>
          <w:rPr>
            <w:rFonts w:ascii="Arial" w:hAnsi="Arial" w:cs="Arial"/>
            <w:color w:val="000000" w:themeColor="text1"/>
            <w:sz w:val="24"/>
            <w:szCs w:val="24"/>
          </w:rPr>
          <w:id w:val="1156104097"/>
          <w:citation/>
        </w:sdtPr>
        <w:sdtEndPr/>
        <w:sdtContent>
          <w:r w:rsidRPr="00412823">
            <w:rPr>
              <w:rFonts w:ascii="Arial" w:hAnsi="Arial" w:cs="Arial"/>
              <w:color w:val="000000" w:themeColor="text1"/>
              <w:sz w:val="24"/>
              <w:szCs w:val="24"/>
            </w:rPr>
            <w:fldChar w:fldCharType="begin"/>
          </w:r>
          <w:r w:rsidRPr="00412823">
            <w:rPr>
              <w:rFonts w:ascii="Arial" w:hAnsi="Arial" w:cs="Arial"/>
              <w:color w:val="000000" w:themeColor="text1"/>
              <w:sz w:val="24"/>
              <w:szCs w:val="24"/>
            </w:rPr>
            <w:instrText xml:space="preserve"> CITATION Cat101 \l 1033 </w:instrText>
          </w:r>
          <w:r w:rsidRPr="00412823">
            <w:rPr>
              <w:rFonts w:ascii="Arial" w:hAnsi="Arial" w:cs="Arial"/>
              <w:color w:val="000000" w:themeColor="text1"/>
              <w:sz w:val="24"/>
              <w:szCs w:val="24"/>
            </w:rPr>
            <w:fldChar w:fldCharType="separate"/>
          </w:r>
          <w:r w:rsidRPr="00412823">
            <w:rPr>
              <w:rFonts w:ascii="Arial" w:hAnsi="Arial" w:cs="Arial"/>
              <w:noProof/>
              <w:color w:val="000000" w:themeColor="text1"/>
              <w:sz w:val="24"/>
              <w:szCs w:val="24"/>
            </w:rPr>
            <w:t>(Enz, 2010)</w:t>
          </w:r>
          <w:r w:rsidRPr="00412823">
            <w:rPr>
              <w:rFonts w:ascii="Arial" w:hAnsi="Arial" w:cs="Arial"/>
              <w:color w:val="000000" w:themeColor="text1"/>
              <w:sz w:val="24"/>
              <w:szCs w:val="24"/>
            </w:rPr>
            <w:fldChar w:fldCharType="end"/>
          </w:r>
        </w:sdtContent>
      </w:sdt>
    </w:p>
    <w:p w14:paraId="24B67ADE"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People: Gazprom will contribute to the UK unemployment rate of 16% by hiring local people in filed and outfield jobs. The market entry plan and strategy would be implied by hiring specialized and capable people from UK preferably in order to cut down the recruitment cost and other Human resource management features. </w:t>
      </w:r>
    </w:p>
    <w:p w14:paraId="24B67ADF"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Partner: Gazprom would make partnership with suppliers and transport officials in order to ensure the timely delivery of products to customers. </w:t>
      </w:r>
    </w:p>
    <w:p w14:paraId="24B67AE0"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Product registration: The product registration would be done according to UK tax, trade and selling laws i.e. both business and protectionist laws. </w:t>
      </w:r>
    </w:p>
    <w:p w14:paraId="24B67AE1"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Product segment: Product segment would be done on gas, chemical and petrochemical product lines as per the conventional practice of Gazprom. </w:t>
      </w:r>
    </w:p>
    <w:p w14:paraId="24B67AE2"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lastRenderedPageBreak/>
        <w:t xml:space="preserve">Products: Gazprom will mainly sell gas supply to UK homes and commercial sector. The establishment of business would lead towards business planning and launching of other product segments. </w:t>
      </w:r>
    </w:p>
    <w:p w14:paraId="24B67AE3"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Protection of IP: The intellectual property (IP) of Gazprom will be protected under UK law of multinational business investors. The legislative protection will be established in the initial stage of business launch</w:t>
      </w:r>
      <w:sdt>
        <w:sdtPr>
          <w:rPr>
            <w:rFonts w:ascii="Arial" w:hAnsi="Arial" w:cs="Arial"/>
            <w:color w:val="000000" w:themeColor="text1"/>
            <w:sz w:val="24"/>
            <w:szCs w:val="24"/>
          </w:rPr>
          <w:id w:val="-171107026"/>
          <w:citation/>
        </w:sdtPr>
        <w:sdtEndPr/>
        <w:sdtContent>
          <w:r w:rsidR="000D34A9" w:rsidRPr="00412823">
            <w:rPr>
              <w:rFonts w:ascii="Arial" w:hAnsi="Arial" w:cs="Arial"/>
              <w:color w:val="000000" w:themeColor="text1"/>
              <w:sz w:val="24"/>
              <w:szCs w:val="24"/>
            </w:rPr>
            <w:fldChar w:fldCharType="begin"/>
          </w:r>
          <w:r w:rsidR="000D34A9" w:rsidRPr="00412823">
            <w:rPr>
              <w:rFonts w:ascii="Arial" w:hAnsi="Arial" w:cs="Arial"/>
              <w:color w:val="000000" w:themeColor="text1"/>
              <w:sz w:val="24"/>
              <w:szCs w:val="24"/>
            </w:rPr>
            <w:instrText xml:space="preserve"> CITATION Ben142 \l 1033 </w:instrText>
          </w:r>
          <w:r w:rsidR="000D34A9" w:rsidRPr="00412823">
            <w:rPr>
              <w:rFonts w:ascii="Arial" w:hAnsi="Arial" w:cs="Arial"/>
              <w:color w:val="000000" w:themeColor="text1"/>
              <w:sz w:val="24"/>
              <w:szCs w:val="24"/>
            </w:rPr>
            <w:fldChar w:fldCharType="separate"/>
          </w:r>
          <w:r w:rsidR="000D34A9" w:rsidRPr="00412823">
            <w:rPr>
              <w:rFonts w:ascii="Arial" w:hAnsi="Arial" w:cs="Arial"/>
              <w:noProof/>
              <w:color w:val="000000" w:themeColor="text1"/>
              <w:sz w:val="24"/>
              <w:szCs w:val="24"/>
            </w:rPr>
            <w:t xml:space="preserve"> (Schneider &amp; Barbera, 2014)</w:t>
          </w:r>
          <w:r w:rsidR="000D34A9" w:rsidRPr="00412823">
            <w:rPr>
              <w:rFonts w:ascii="Arial" w:hAnsi="Arial" w:cs="Arial"/>
              <w:color w:val="000000" w:themeColor="text1"/>
              <w:sz w:val="24"/>
              <w:szCs w:val="24"/>
            </w:rPr>
            <w:fldChar w:fldCharType="end"/>
          </w:r>
        </w:sdtContent>
      </w:sdt>
      <w:r w:rsidRPr="00412823">
        <w:rPr>
          <w:rFonts w:ascii="Arial" w:hAnsi="Arial" w:cs="Arial"/>
          <w:color w:val="000000" w:themeColor="text1"/>
          <w:sz w:val="24"/>
          <w:szCs w:val="24"/>
        </w:rPr>
        <w:t xml:space="preserve">. </w:t>
      </w:r>
    </w:p>
    <w:p w14:paraId="24B67AE4"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Pricing: Gazprom will set reasonable price for customers. Household customers will not be charged more than the existing competitor market. The emphasis would be on the market capture but not through high price but by quality. </w:t>
      </w:r>
    </w:p>
    <w:p w14:paraId="24B67AE5"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Place: Placement is the most difficult stage for Gazprom since the existing UK market of gas supply is well-established and has a strong position in the industry. It is difficult for Gazprom to deal with the challenges of placement. Integrated product placement strategy is recommended to Gazprom in which all benefits of products are clearly delivered to customers so that brand identity is developed and the customer sustains the buying decision consistently</w:t>
      </w:r>
      <w:sdt>
        <w:sdtPr>
          <w:rPr>
            <w:rFonts w:ascii="Arial" w:hAnsi="Arial" w:cs="Arial"/>
            <w:color w:val="000000" w:themeColor="text1"/>
            <w:sz w:val="24"/>
            <w:szCs w:val="24"/>
          </w:rPr>
          <w:id w:val="-474067408"/>
          <w:citation/>
        </w:sdtPr>
        <w:sdtEndPr/>
        <w:sdtContent>
          <w:r w:rsidR="000D34A9" w:rsidRPr="00412823">
            <w:rPr>
              <w:rFonts w:ascii="Arial" w:hAnsi="Arial" w:cs="Arial"/>
              <w:color w:val="000000" w:themeColor="text1"/>
              <w:sz w:val="24"/>
              <w:szCs w:val="24"/>
            </w:rPr>
            <w:fldChar w:fldCharType="begin"/>
          </w:r>
          <w:r w:rsidR="000D34A9" w:rsidRPr="00412823">
            <w:rPr>
              <w:rFonts w:ascii="Arial" w:hAnsi="Arial" w:cs="Arial"/>
              <w:color w:val="000000" w:themeColor="text1"/>
              <w:sz w:val="24"/>
              <w:szCs w:val="24"/>
            </w:rPr>
            <w:instrText xml:space="preserve"> CITATION Sve16 \l 1033 </w:instrText>
          </w:r>
          <w:r w:rsidR="000D34A9" w:rsidRPr="00412823">
            <w:rPr>
              <w:rFonts w:ascii="Arial" w:hAnsi="Arial" w:cs="Arial"/>
              <w:color w:val="000000" w:themeColor="text1"/>
              <w:sz w:val="24"/>
              <w:szCs w:val="24"/>
            </w:rPr>
            <w:fldChar w:fldCharType="separate"/>
          </w:r>
          <w:r w:rsidR="000D34A9" w:rsidRPr="00412823">
            <w:rPr>
              <w:rFonts w:ascii="Arial" w:hAnsi="Arial" w:cs="Arial"/>
              <w:noProof/>
              <w:color w:val="000000" w:themeColor="text1"/>
              <w:sz w:val="24"/>
              <w:szCs w:val="24"/>
            </w:rPr>
            <w:t xml:space="preserve"> (Marinova, et al., 2016)</w:t>
          </w:r>
          <w:r w:rsidR="000D34A9" w:rsidRPr="00412823">
            <w:rPr>
              <w:rFonts w:ascii="Arial" w:hAnsi="Arial" w:cs="Arial"/>
              <w:color w:val="000000" w:themeColor="text1"/>
              <w:sz w:val="24"/>
              <w:szCs w:val="24"/>
            </w:rPr>
            <w:fldChar w:fldCharType="end"/>
          </w:r>
        </w:sdtContent>
      </w:sdt>
      <w:r w:rsidRPr="00412823">
        <w:rPr>
          <w:rFonts w:ascii="Arial" w:hAnsi="Arial" w:cs="Arial"/>
          <w:color w:val="000000" w:themeColor="text1"/>
          <w:sz w:val="24"/>
          <w:szCs w:val="24"/>
        </w:rPr>
        <w:t xml:space="preserve">. </w:t>
      </w:r>
    </w:p>
    <w:p w14:paraId="24B67AE6" w14:textId="77777777" w:rsidR="00A50796" w:rsidRPr="00412823" w:rsidRDefault="00A50796" w:rsidP="009C021B">
      <w:pPr>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t xml:space="preserve">Ethical approach </w:t>
      </w:r>
    </w:p>
    <w:p w14:paraId="24B67AE7"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The ethical approach contains following features:</w:t>
      </w:r>
    </w:p>
    <w:p w14:paraId="24B67AE8"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Customer treatment: Gazprom promises to treat customers fairly. Gazprom needs dedication and customer support to all business and energy sector customer market regardless of the business energy contracts or sale. </w:t>
      </w:r>
    </w:p>
    <w:p w14:paraId="24B67AE9"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lastRenderedPageBreak/>
        <w:t xml:space="preserve">Gazprom energy and the parent company is supporting the modern slavery act 2015. The slavery and human trafficking statements are official and maintain implication in all business endeavors. </w:t>
      </w:r>
    </w:p>
    <w:p w14:paraId="24B67AEA" w14:textId="77777777" w:rsidR="00A50796" w:rsidRPr="00412823" w:rsidRDefault="00A50796" w:rsidP="008D0360">
      <w:pPr>
        <w:pStyle w:val="Heading1"/>
        <w:rPr>
          <w:rFonts w:ascii="Arial" w:hAnsi="Arial" w:cs="Arial"/>
          <w:b/>
          <w:color w:val="000000" w:themeColor="text1"/>
          <w:sz w:val="24"/>
        </w:rPr>
      </w:pPr>
      <w:bookmarkStart w:id="20" w:name="_Toc509426075"/>
      <w:r w:rsidRPr="00412823">
        <w:rPr>
          <w:rFonts w:ascii="Arial" w:hAnsi="Arial" w:cs="Arial"/>
          <w:b/>
          <w:color w:val="000000" w:themeColor="text1"/>
          <w:sz w:val="24"/>
        </w:rPr>
        <w:t>Recommendations</w:t>
      </w:r>
      <w:bookmarkEnd w:id="20"/>
    </w:p>
    <w:p w14:paraId="24B67AEB"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In spite of wide spread business of Gazprom and various undeniable strengths held by the company, there are some recommendations that can work for company’s growth and success in UK market. </w:t>
      </w:r>
    </w:p>
    <w:p w14:paraId="24B67AEC"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Domestic competition is intensifying in all countries. Competitor companies are launching new policies and techniques to meet customer needs and respond to change in oil prices and other calamities. The main target to work on this recommendation should be to beat NOVATEK, Russia’s largest gas producer. </w:t>
      </w:r>
    </w:p>
    <w:p w14:paraId="24B67AED"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LNG (liquefied natural gas) is a new way to earn opportunities for business expansion. Gazprom can excel in the field of LNG by taking revolutionary measures to diversify business and improve market share. </w:t>
      </w:r>
    </w:p>
    <w:p w14:paraId="24B67AEE"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Western sanctions and low oil prices should be combat with the help of strategic pricing and intensified marketing strategies that should meet and exceed expectations of customers. The business should expand the horizon towards new dimensions by seeking sanctions as opportunities to maintain the business developmental progress in the industry. </w:t>
      </w:r>
    </w:p>
    <w:p w14:paraId="24B67AEF" w14:textId="77777777" w:rsidR="00A50796" w:rsidRPr="00412823" w:rsidRDefault="00A50796" w:rsidP="008D0360">
      <w:pPr>
        <w:pStyle w:val="Heading1"/>
        <w:rPr>
          <w:rFonts w:ascii="Arial" w:hAnsi="Arial" w:cs="Arial"/>
          <w:b/>
          <w:color w:val="000000" w:themeColor="text1"/>
          <w:sz w:val="24"/>
        </w:rPr>
      </w:pPr>
      <w:bookmarkStart w:id="21" w:name="_Toc509426076"/>
      <w:r w:rsidRPr="00412823">
        <w:rPr>
          <w:rFonts w:ascii="Arial" w:hAnsi="Arial" w:cs="Arial"/>
          <w:b/>
          <w:color w:val="000000" w:themeColor="text1"/>
          <w:sz w:val="24"/>
        </w:rPr>
        <w:t>Conclusion</w:t>
      </w:r>
      <w:bookmarkEnd w:id="21"/>
      <w:r w:rsidRPr="00412823">
        <w:rPr>
          <w:rFonts w:ascii="Arial" w:hAnsi="Arial" w:cs="Arial"/>
          <w:b/>
          <w:color w:val="000000" w:themeColor="text1"/>
          <w:sz w:val="24"/>
        </w:rPr>
        <w:t xml:space="preserve"> </w:t>
      </w:r>
    </w:p>
    <w:p w14:paraId="24B67AF0"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Gazprom is a renowned natural gas producer, manufacturer, the seller, and transporter for gas and petrochemical producers. The company intends to expand the business to UK in order to widen the business scale and explore new boundaries to earn profit. A </w:t>
      </w:r>
      <w:r w:rsidRPr="00412823">
        <w:rPr>
          <w:rFonts w:ascii="Arial" w:hAnsi="Arial" w:cs="Arial"/>
          <w:color w:val="000000" w:themeColor="text1"/>
          <w:sz w:val="24"/>
          <w:szCs w:val="24"/>
        </w:rPr>
        <w:lastRenderedPageBreak/>
        <w:t xml:space="preserve">subsidiary of Gazprom is already working in UK that is feasible to monitor for anticipating success chances in UK. The report has studied the UK market from various perspectives and analyzed the feasibility of country and company by using different analytical tools such as SWOT, TOWS, QUEST and others. </w:t>
      </w:r>
    </w:p>
    <w:p w14:paraId="24B67AF1" w14:textId="77777777" w:rsidR="00A50796" w:rsidRPr="00412823" w:rsidRDefault="00A50796" w:rsidP="009C021B">
      <w:pPr>
        <w:spacing w:line="480" w:lineRule="auto"/>
        <w:rPr>
          <w:rFonts w:ascii="Arial" w:hAnsi="Arial" w:cs="Arial"/>
          <w:color w:val="000000" w:themeColor="text1"/>
          <w:sz w:val="24"/>
          <w:szCs w:val="24"/>
        </w:rPr>
      </w:pPr>
      <w:r w:rsidRPr="00412823">
        <w:rPr>
          <w:rFonts w:ascii="Arial" w:hAnsi="Arial" w:cs="Arial"/>
          <w:color w:val="000000" w:themeColor="text1"/>
          <w:sz w:val="24"/>
          <w:szCs w:val="24"/>
        </w:rPr>
        <w:t xml:space="preserve">A brief study on foreign market entry mode settled the Gazprom’s main entrant strategy. The market penetration strategy is selected to conduct an extensive marketing plan and adhere to customer needs and existing competition with strategic approach. The market entry needs to follow all aspects of existing UK market in order to avoid failure of major expansion decision and establish a strong position in the market in a short time. The report has concluded that successful market entry strategy can lead to massive success or failure if the company adopts an appropriate approach towards the business expansion and rely on current feasibility information only. </w:t>
      </w:r>
    </w:p>
    <w:p w14:paraId="24B67AF2" w14:textId="77777777" w:rsidR="009C021B" w:rsidRPr="00412823" w:rsidRDefault="009C021B" w:rsidP="009C021B">
      <w:pPr>
        <w:spacing w:line="480" w:lineRule="auto"/>
        <w:rPr>
          <w:rFonts w:ascii="Arial" w:hAnsi="Arial" w:cs="Arial"/>
          <w:color w:val="000000" w:themeColor="text1"/>
          <w:sz w:val="24"/>
          <w:szCs w:val="24"/>
        </w:rPr>
      </w:pPr>
    </w:p>
    <w:p w14:paraId="24B67AF3" w14:textId="77777777" w:rsidR="009C021B" w:rsidRPr="00412823" w:rsidRDefault="009C021B" w:rsidP="009C021B">
      <w:pPr>
        <w:spacing w:line="480" w:lineRule="auto"/>
        <w:rPr>
          <w:rFonts w:ascii="Arial" w:hAnsi="Arial" w:cs="Arial"/>
          <w:color w:val="000000" w:themeColor="text1"/>
          <w:sz w:val="24"/>
          <w:szCs w:val="24"/>
        </w:rPr>
      </w:pPr>
    </w:p>
    <w:p w14:paraId="24B67AF4" w14:textId="77777777" w:rsidR="009C021B" w:rsidRPr="00412823" w:rsidRDefault="009C021B" w:rsidP="009C021B">
      <w:pPr>
        <w:spacing w:line="480" w:lineRule="auto"/>
        <w:rPr>
          <w:rFonts w:ascii="Arial" w:hAnsi="Arial" w:cs="Arial"/>
          <w:color w:val="000000" w:themeColor="text1"/>
          <w:sz w:val="24"/>
          <w:szCs w:val="24"/>
        </w:rPr>
      </w:pPr>
    </w:p>
    <w:p w14:paraId="24B67AF5" w14:textId="77777777" w:rsidR="009C021B" w:rsidRPr="00412823" w:rsidRDefault="009C021B" w:rsidP="009C021B">
      <w:pPr>
        <w:spacing w:line="480" w:lineRule="auto"/>
        <w:rPr>
          <w:rFonts w:ascii="Arial" w:hAnsi="Arial" w:cs="Arial"/>
          <w:color w:val="000000" w:themeColor="text1"/>
          <w:sz w:val="24"/>
          <w:szCs w:val="24"/>
        </w:rPr>
      </w:pPr>
    </w:p>
    <w:p w14:paraId="24B67AF6" w14:textId="77777777" w:rsidR="009C021B" w:rsidRPr="00412823" w:rsidRDefault="009C021B" w:rsidP="009C021B">
      <w:pPr>
        <w:spacing w:line="480" w:lineRule="auto"/>
        <w:rPr>
          <w:rFonts w:ascii="Arial" w:hAnsi="Arial" w:cs="Arial"/>
          <w:color w:val="000000" w:themeColor="text1"/>
          <w:sz w:val="24"/>
          <w:szCs w:val="24"/>
        </w:rPr>
      </w:pPr>
    </w:p>
    <w:p w14:paraId="24B67AF7" w14:textId="77777777" w:rsidR="009C021B" w:rsidRPr="00412823" w:rsidRDefault="009C021B" w:rsidP="009C021B">
      <w:pPr>
        <w:spacing w:line="480" w:lineRule="auto"/>
        <w:rPr>
          <w:rFonts w:ascii="Arial" w:hAnsi="Arial" w:cs="Arial"/>
          <w:color w:val="000000" w:themeColor="text1"/>
          <w:sz w:val="24"/>
          <w:szCs w:val="24"/>
        </w:rPr>
      </w:pPr>
    </w:p>
    <w:p w14:paraId="24B67AF8" w14:textId="77777777" w:rsidR="009C021B" w:rsidRPr="00412823" w:rsidRDefault="009C021B" w:rsidP="009C021B">
      <w:pPr>
        <w:spacing w:line="480" w:lineRule="auto"/>
        <w:rPr>
          <w:rFonts w:ascii="Arial" w:hAnsi="Arial" w:cs="Arial"/>
          <w:color w:val="000000" w:themeColor="text1"/>
          <w:sz w:val="24"/>
          <w:szCs w:val="24"/>
        </w:rPr>
      </w:pPr>
    </w:p>
    <w:p w14:paraId="24B67AF9" w14:textId="77777777" w:rsidR="009C021B" w:rsidRPr="00412823" w:rsidRDefault="009C021B" w:rsidP="009C021B">
      <w:pPr>
        <w:spacing w:line="480" w:lineRule="auto"/>
        <w:rPr>
          <w:rFonts w:ascii="Arial" w:hAnsi="Arial" w:cs="Arial"/>
          <w:color w:val="000000" w:themeColor="text1"/>
          <w:sz w:val="24"/>
          <w:szCs w:val="24"/>
        </w:rPr>
      </w:pPr>
    </w:p>
    <w:bookmarkStart w:id="22" w:name="_Toc509426077" w:displacedByCustomXml="next"/>
    <w:sdt>
      <w:sdtPr>
        <w:rPr>
          <w:rFonts w:ascii="Arial" w:eastAsiaTheme="minorHAnsi" w:hAnsi="Arial" w:cs="Arial"/>
          <w:b/>
          <w:color w:val="000000" w:themeColor="text1"/>
          <w:sz w:val="24"/>
          <w:szCs w:val="24"/>
        </w:rPr>
        <w:id w:val="530998716"/>
        <w:docPartObj>
          <w:docPartGallery w:val="Bibliographies"/>
          <w:docPartUnique/>
        </w:docPartObj>
      </w:sdtPr>
      <w:sdtEndPr>
        <w:rPr>
          <w:b w:val="0"/>
        </w:rPr>
      </w:sdtEndPr>
      <w:sdtContent>
        <w:p w14:paraId="24B67AFA" w14:textId="77777777" w:rsidR="000D34A9" w:rsidRPr="00412823" w:rsidRDefault="000D34A9" w:rsidP="009C021B">
          <w:pPr>
            <w:pStyle w:val="Heading1"/>
            <w:spacing w:line="480" w:lineRule="auto"/>
            <w:rPr>
              <w:rFonts w:ascii="Arial" w:hAnsi="Arial" w:cs="Arial"/>
              <w:b/>
              <w:color w:val="000000" w:themeColor="text1"/>
              <w:sz w:val="24"/>
              <w:szCs w:val="24"/>
            </w:rPr>
          </w:pPr>
          <w:r w:rsidRPr="00412823">
            <w:rPr>
              <w:rFonts w:ascii="Arial" w:hAnsi="Arial" w:cs="Arial"/>
              <w:b/>
              <w:color w:val="000000" w:themeColor="text1"/>
              <w:sz w:val="24"/>
              <w:szCs w:val="24"/>
            </w:rPr>
            <w:t>References</w:t>
          </w:r>
          <w:bookmarkEnd w:id="22"/>
        </w:p>
        <w:sdt>
          <w:sdtPr>
            <w:rPr>
              <w:rFonts w:ascii="Arial" w:hAnsi="Arial" w:cs="Arial"/>
              <w:color w:val="000000" w:themeColor="text1"/>
              <w:sz w:val="24"/>
              <w:szCs w:val="24"/>
            </w:rPr>
            <w:id w:val="-573587230"/>
            <w:bibliography/>
          </w:sdtPr>
          <w:sdtEndPr/>
          <w:sdtContent>
            <w:p w14:paraId="24B67AFB"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color w:val="000000" w:themeColor="text1"/>
                  <w:sz w:val="24"/>
                  <w:szCs w:val="24"/>
                </w:rPr>
                <w:fldChar w:fldCharType="begin"/>
              </w:r>
              <w:r w:rsidRPr="00412823">
                <w:rPr>
                  <w:rFonts w:ascii="Arial" w:hAnsi="Arial" w:cs="Arial"/>
                  <w:color w:val="000000" w:themeColor="text1"/>
                  <w:sz w:val="24"/>
                  <w:szCs w:val="24"/>
                </w:rPr>
                <w:instrText xml:space="preserve"> BIBLIOGRAPHY </w:instrText>
              </w:r>
              <w:r w:rsidRPr="00412823">
                <w:rPr>
                  <w:rFonts w:ascii="Arial" w:hAnsi="Arial" w:cs="Arial"/>
                  <w:color w:val="000000" w:themeColor="text1"/>
                  <w:sz w:val="24"/>
                  <w:szCs w:val="24"/>
                </w:rPr>
                <w:fldChar w:fldCharType="separate"/>
              </w:r>
              <w:r w:rsidRPr="00412823">
                <w:rPr>
                  <w:rFonts w:ascii="Arial" w:hAnsi="Arial" w:cs="Arial"/>
                  <w:noProof/>
                  <w:color w:val="000000" w:themeColor="text1"/>
                  <w:sz w:val="24"/>
                  <w:szCs w:val="24"/>
                </w:rPr>
                <w:t xml:space="preserve">Anna &amp; Kelly, 2017. </w:t>
              </w:r>
              <w:r w:rsidRPr="00412823">
                <w:rPr>
                  <w:rFonts w:ascii="Arial" w:hAnsi="Arial" w:cs="Arial"/>
                  <w:i/>
                  <w:iCs/>
                  <w:noProof/>
                  <w:color w:val="000000" w:themeColor="text1"/>
                  <w:sz w:val="24"/>
                  <w:szCs w:val="24"/>
                </w:rPr>
                <w:t xml:space="preserve">Why Britain Has to Be Really Nice to Norway and Russia. </w:t>
              </w:r>
              <w:r w:rsidRPr="00412823">
                <w:rPr>
                  <w:rFonts w:ascii="Arial" w:hAnsi="Arial" w:cs="Arial"/>
                  <w:noProof/>
                  <w:color w:val="000000" w:themeColor="text1"/>
                  <w:sz w:val="24"/>
                  <w:szCs w:val="24"/>
                </w:rPr>
                <w:t xml:space="preserve">[Online] </w:t>
              </w:r>
              <w:r w:rsidRPr="00412823">
                <w:rPr>
                  <w:rFonts w:ascii="Arial" w:hAnsi="Arial" w:cs="Arial"/>
                  <w:noProof/>
                  <w:color w:val="000000" w:themeColor="text1"/>
                  <w:sz w:val="24"/>
                  <w:szCs w:val="24"/>
                </w:rPr>
                <w:br/>
                <w:t xml:space="preserve">Available at: </w:t>
              </w:r>
              <w:r w:rsidRPr="00412823">
                <w:rPr>
                  <w:rFonts w:ascii="Arial" w:hAnsi="Arial" w:cs="Arial"/>
                  <w:noProof/>
                  <w:color w:val="000000" w:themeColor="text1"/>
                  <w:sz w:val="24"/>
                  <w:szCs w:val="24"/>
                  <w:u w:val="single"/>
                </w:rPr>
                <w:t>https://www.bloomberg.com/news/articles/2017-06-20/u-k-at-mercy-of-global-gas-market-as-giant-storage-site-shuts</w:t>
              </w:r>
              <w:r w:rsidRPr="00412823">
                <w:rPr>
                  <w:rFonts w:ascii="Arial" w:hAnsi="Arial" w:cs="Arial"/>
                  <w:noProof/>
                  <w:color w:val="000000" w:themeColor="text1"/>
                  <w:sz w:val="24"/>
                  <w:szCs w:val="24"/>
                </w:rPr>
                <w:br/>
                <w:t>[Accessed 21 March 2018].</w:t>
              </w:r>
            </w:p>
            <w:p w14:paraId="24B67AFC"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Bartlett, C. A. &amp; Beamish, P. W., 2018. </w:t>
              </w:r>
              <w:r w:rsidRPr="00412823">
                <w:rPr>
                  <w:rFonts w:ascii="Arial" w:hAnsi="Arial" w:cs="Arial"/>
                  <w:i/>
                  <w:iCs/>
                  <w:noProof/>
                  <w:color w:val="000000" w:themeColor="text1"/>
                  <w:sz w:val="24"/>
                  <w:szCs w:val="24"/>
                </w:rPr>
                <w:t xml:space="preserve">Transnational Management. </w:t>
              </w:r>
              <w:r w:rsidRPr="00412823">
                <w:rPr>
                  <w:rFonts w:ascii="Arial" w:hAnsi="Arial" w:cs="Arial"/>
                  <w:noProof/>
                  <w:color w:val="000000" w:themeColor="text1"/>
                  <w:sz w:val="24"/>
                  <w:szCs w:val="24"/>
                </w:rPr>
                <w:t>s.l.:Cambridge University Press.</w:t>
              </w:r>
            </w:p>
            <w:p w14:paraId="24B67AFD"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BritishGas, 2018. </w:t>
              </w:r>
              <w:r w:rsidRPr="00412823">
                <w:rPr>
                  <w:rFonts w:ascii="Arial" w:hAnsi="Arial" w:cs="Arial"/>
                  <w:i/>
                  <w:iCs/>
                  <w:noProof/>
                  <w:color w:val="000000" w:themeColor="text1"/>
                  <w:sz w:val="24"/>
                  <w:szCs w:val="24"/>
                </w:rPr>
                <w:t xml:space="preserve">Where does UK gas come from?. </w:t>
              </w:r>
              <w:r w:rsidRPr="00412823">
                <w:rPr>
                  <w:rFonts w:ascii="Arial" w:hAnsi="Arial" w:cs="Arial"/>
                  <w:noProof/>
                  <w:color w:val="000000" w:themeColor="text1"/>
                  <w:sz w:val="24"/>
                  <w:szCs w:val="24"/>
                </w:rPr>
                <w:t xml:space="preserve">[Online] </w:t>
              </w:r>
              <w:r w:rsidRPr="00412823">
                <w:rPr>
                  <w:rFonts w:ascii="Arial" w:hAnsi="Arial" w:cs="Arial"/>
                  <w:noProof/>
                  <w:color w:val="000000" w:themeColor="text1"/>
                  <w:sz w:val="24"/>
                  <w:szCs w:val="24"/>
                </w:rPr>
                <w:br/>
                <w:t xml:space="preserve">Available at: </w:t>
              </w:r>
              <w:r w:rsidRPr="00412823">
                <w:rPr>
                  <w:rFonts w:ascii="Arial" w:hAnsi="Arial" w:cs="Arial"/>
                  <w:noProof/>
                  <w:color w:val="000000" w:themeColor="text1"/>
                  <w:sz w:val="24"/>
                  <w:szCs w:val="24"/>
                  <w:u w:val="single"/>
                </w:rPr>
                <w:t>https://www.britishgas.co.uk/the-source/our-world-of-energy/energys-grand-journey/where-does-uk-gas-come-from</w:t>
              </w:r>
              <w:r w:rsidRPr="00412823">
                <w:rPr>
                  <w:rFonts w:ascii="Arial" w:hAnsi="Arial" w:cs="Arial"/>
                  <w:noProof/>
                  <w:color w:val="000000" w:themeColor="text1"/>
                  <w:sz w:val="24"/>
                  <w:szCs w:val="24"/>
                </w:rPr>
                <w:br/>
                <w:t>[Accessed 21 March 2018].</w:t>
              </w:r>
            </w:p>
            <w:p w14:paraId="24B67AFE"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Buckley, P. J. &amp; Casson, M., 2007. </w:t>
              </w:r>
              <w:r w:rsidRPr="00412823">
                <w:rPr>
                  <w:rFonts w:ascii="Arial" w:hAnsi="Arial" w:cs="Arial"/>
                  <w:i/>
                  <w:iCs/>
                  <w:noProof/>
                  <w:color w:val="000000" w:themeColor="text1"/>
                  <w:sz w:val="24"/>
                  <w:szCs w:val="24"/>
                </w:rPr>
                <w:t xml:space="preserve">The Future of the Multinational Enterprise, 2nd ed. </w:t>
              </w:r>
              <w:r w:rsidRPr="00412823">
                <w:rPr>
                  <w:rFonts w:ascii="Arial" w:hAnsi="Arial" w:cs="Arial"/>
                  <w:noProof/>
                  <w:color w:val="000000" w:themeColor="text1"/>
                  <w:sz w:val="24"/>
                  <w:szCs w:val="24"/>
                </w:rPr>
                <w:t>s.l.:s.n.</w:t>
              </w:r>
            </w:p>
            <w:p w14:paraId="24B67AFF"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Buckley, P. J., Enderwick, P. &amp; Cross, A. R., 2018. </w:t>
              </w:r>
              <w:r w:rsidRPr="00412823">
                <w:rPr>
                  <w:rFonts w:ascii="Arial" w:hAnsi="Arial" w:cs="Arial"/>
                  <w:i/>
                  <w:iCs/>
                  <w:noProof/>
                  <w:color w:val="000000" w:themeColor="text1"/>
                  <w:sz w:val="24"/>
                  <w:szCs w:val="24"/>
                </w:rPr>
                <w:t xml:space="preserve">International Business. </w:t>
              </w:r>
              <w:r w:rsidRPr="00412823">
                <w:rPr>
                  <w:rFonts w:ascii="Arial" w:hAnsi="Arial" w:cs="Arial"/>
                  <w:noProof/>
                  <w:color w:val="000000" w:themeColor="text1"/>
                  <w:sz w:val="24"/>
                  <w:szCs w:val="24"/>
                </w:rPr>
                <w:t>s.l.:Oxford University Press.</w:t>
              </w:r>
            </w:p>
            <w:p w14:paraId="24B67B00"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Collinson, S., Narula, R. &amp; Rugman, A. M., 2016. </w:t>
              </w:r>
              <w:r w:rsidRPr="00412823">
                <w:rPr>
                  <w:rFonts w:ascii="Arial" w:hAnsi="Arial" w:cs="Arial"/>
                  <w:i/>
                  <w:iCs/>
                  <w:noProof/>
                  <w:color w:val="000000" w:themeColor="text1"/>
                  <w:sz w:val="24"/>
                  <w:szCs w:val="24"/>
                </w:rPr>
                <w:t xml:space="preserve">International Business. </w:t>
              </w:r>
              <w:r w:rsidRPr="00412823">
                <w:rPr>
                  <w:rFonts w:ascii="Arial" w:hAnsi="Arial" w:cs="Arial"/>
                  <w:noProof/>
                  <w:color w:val="000000" w:themeColor="text1"/>
                  <w:sz w:val="24"/>
                  <w:szCs w:val="24"/>
                </w:rPr>
                <w:t>s.l.:Pearson Education Limited.</w:t>
              </w:r>
            </w:p>
            <w:p w14:paraId="24B67B01"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Cuervo-Cazurra, A., InkpenAldo, A., Musacchio &amp; Ramaswamy, K., 2014. Governments as owners: State-owned multinational companies. </w:t>
              </w:r>
              <w:r w:rsidRPr="00412823">
                <w:rPr>
                  <w:rFonts w:ascii="Arial" w:hAnsi="Arial" w:cs="Arial"/>
                  <w:i/>
                  <w:iCs/>
                  <w:noProof/>
                  <w:color w:val="000000" w:themeColor="text1"/>
                  <w:sz w:val="24"/>
                  <w:szCs w:val="24"/>
                </w:rPr>
                <w:t xml:space="preserve">Journal of International Business Studies, </w:t>
              </w:r>
              <w:r w:rsidRPr="00412823">
                <w:rPr>
                  <w:rFonts w:ascii="Arial" w:hAnsi="Arial" w:cs="Arial"/>
                  <w:noProof/>
                  <w:color w:val="000000" w:themeColor="text1"/>
                  <w:sz w:val="24"/>
                  <w:szCs w:val="24"/>
                </w:rPr>
                <w:t>45(8), pp. 919-429.</w:t>
              </w:r>
            </w:p>
            <w:p w14:paraId="24B67B02"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lastRenderedPageBreak/>
                <w:t xml:space="preserve">Cuervo-Cazurra, A. &amp; Ramamurti, R., 2014. </w:t>
              </w:r>
              <w:r w:rsidRPr="00412823">
                <w:rPr>
                  <w:rFonts w:ascii="Arial" w:hAnsi="Arial" w:cs="Arial"/>
                  <w:i/>
                  <w:iCs/>
                  <w:noProof/>
                  <w:color w:val="000000" w:themeColor="text1"/>
                  <w:sz w:val="24"/>
                  <w:szCs w:val="24"/>
                </w:rPr>
                <w:t xml:space="preserve">Understanding Multinationals from Emerging Markets. </w:t>
              </w:r>
              <w:r w:rsidRPr="00412823">
                <w:rPr>
                  <w:rFonts w:ascii="Arial" w:hAnsi="Arial" w:cs="Arial"/>
                  <w:noProof/>
                  <w:color w:val="000000" w:themeColor="text1"/>
                  <w:sz w:val="24"/>
                  <w:szCs w:val="24"/>
                </w:rPr>
                <w:t>s.l.:Cambridge University Press.</w:t>
              </w:r>
            </w:p>
            <w:p w14:paraId="24B67B03"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Daniels, J., Radebaugh, L. H. &amp; Sullivan, D. P., 2017. </w:t>
              </w:r>
              <w:r w:rsidRPr="00412823">
                <w:rPr>
                  <w:rFonts w:ascii="Arial" w:hAnsi="Arial" w:cs="Arial"/>
                  <w:i/>
                  <w:iCs/>
                  <w:noProof/>
                  <w:color w:val="000000" w:themeColor="text1"/>
                  <w:sz w:val="24"/>
                  <w:szCs w:val="24"/>
                </w:rPr>
                <w:t xml:space="preserve">International Business. </w:t>
              </w:r>
              <w:r w:rsidRPr="00412823">
                <w:rPr>
                  <w:rFonts w:ascii="Arial" w:hAnsi="Arial" w:cs="Arial"/>
                  <w:noProof/>
                  <w:color w:val="000000" w:themeColor="text1"/>
                  <w:sz w:val="24"/>
                  <w:szCs w:val="24"/>
                </w:rPr>
                <w:t>s.l.:Pearson .</w:t>
              </w:r>
            </w:p>
            <w:p w14:paraId="24B67B04"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Deresky, H., 2017. </w:t>
              </w:r>
              <w:r w:rsidRPr="00412823">
                <w:rPr>
                  <w:rFonts w:ascii="Arial" w:hAnsi="Arial" w:cs="Arial"/>
                  <w:i/>
                  <w:iCs/>
                  <w:noProof/>
                  <w:color w:val="000000" w:themeColor="text1"/>
                  <w:sz w:val="24"/>
                  <w:szCs w:val="24"/>
                </w:rPr>
                <w:t xml:space="preserve">International Management: Managing Across Borders and Cultures, Text and Cases (9th Edition) 9th Edition. </w:t>
              </w:r>
              <w:r w:rsidRPr="00412823">
                <w:rPr>
                  <w:rFonts w:ascii="Arial" w:hAnsi="Arial" w:cs="Arial"/>
                  <w:noProof/>
                  <w:color w:val="000000" w:themeColor="text1"/>
                  <w:sz w:val="24"/>
                  <w:szCs w:val="24"/>
                </w:rPr>
                <w:t>9th ed. s.l.:Pearson education .</w:t>
              </w:r>
            </w:p>
            <w:p w14:paraId="24B67B05"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Enz, C. A., 2010. </w:t>
              </w:r>
              <w:r w:rsidRPr="00412823">
                <w:rPr>
                  <w:rFonts w:ascii="Arial" w:hAnsi="Arial" w:cs="Arial"/>
                  <w:i/>
                  <w:iCs/>
                  <w:noProof/>
                  <w:color w:val="000000" w:themeColor="text1"/>
                  <w:sz w:val="24"/>
                  <w:szCs w:val="24"/>
                </w:rPr>
                <w:t xml:space="preserve">The Cornell School of Hotel Administration Handbook of Applied Hospitality Strategy. </w:t>
              </w:r>
              <w:r w:rsidRPr="00412823">
                <w:rPr>
                  <w:rFonts w:ascii="Arial" w:hAnsi="Arial" w:cs="Arial"/>
                  <w:noProof/>
                  <w:color w:val="000000" w:themeColor="text1"/>
                  <w:sz w:val="24"/>
                  <w:szCs w:val="24"/>
                </w:rPr>
                <w:t>s.l.:sage publications.</w:t>
              </w:r>
            </w:p>
            <w:p w14:paraId="24B67B06"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Gooderham, P., Gooderham, P. N. &amp; Grøgaard, B., 2013. </w:t>
              </w:r>
              <w:r w:rsidRPr="00412823">
                <w:rPr>
                  <w:rFonts w:ascii="Arial" w:hAnsi="Arial" w:cs="Arial"/>
                  <w:i/>
                  <w:iCs/>
                  <w:noProof/>
                  <w:color w:val="000000" w:themeColor="text1"/>
                  <w:sz w:val="24"/>
                  <w:szCs w:val="24"/>
                </w:rPr>
                <w:t xml:space="preserve">International Management: Theory and Practice. </w:t>
              </w:r>
              <w:r w:rsidRPr="00412823">
                <w:rPr>
                  <w:rFonts w:ascii="Arial" w:hAnsi="Arial" w:cs="Arial"/>
                  <w:noProof/>
                  <w:color w:val="000000" w:themeColor="text1"/>
                  <w:sz w:val="24"/>
                  <w:szCs w:val="24"/>
                </w:rPr>
                <w:t>s.l.:Edward Elgar Publishing.</w:t>
              </w:r>
            </w:p>
            <w:p w14:paraId="24B67B07"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Jong, M. d. &amp; Warmelink, H., 2017. An Intercultural Role-Playing Simulation Game to Recognize Cultural Dimensions. </w:t>
              </w:r>
              <w:r w:rsidRPr="00412823">
                <w:rPr>
                  <w:rFonts w:ascii="Arial" w:hAnsi="Arial" w:cs="Arial"/>
                  <w:i/>
                  <w:iCs/>
                  <w:noProof/>
                  <w:color w:val="000000" w:themeColor="text1"/>
                  <w:sz w:val="24"/>
                  <w:szCs w:val="24"/>
                </w:rPr>
                <w:t xml:space="preserve">Simulation &amp; Gaming, </w:t>
              </w:r>
              <w:r w:rsidRPr="00412823">
                <w:rPr>
                  <w:rFonts w:ascii="Arial" w:hAnsi="Arial" w:cs="Arial"/>
                  <w:noProof/>
                  <w:color w:val="000000" w:themeColor="text1"/>
                  <w:sz w:val="24"/>
                  <w:szCs w:val="24"/>
                </w:rPr>
                <w:t>48(2).</w:t>
              </w:r>
            </w:p>
            <w:p w14:paraId="24B67B08"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Marinova, S., Larimo, J. &amp; Nummela, N., 2016. </w:t>
              </w:r>
              <w:r w:rsidRPr="00412823">
                <w:rPr>
                  <w:rFonts w:ascii="Arial" w:hAnsi="Arial" w:cs="Arial"/>
                  <w:i/>
                  <w:iCs/>
                  <w:noProof/>
                  <w:color w:val="000000" w:themeColor="text1"/>
                  <w:sz w:val="24"/>
                  <w:szCs w:val="24"/>
                </w:rPr>
                <w:t xml:space="preserve">Value Creation in International Business: Volume 1: An MNC Perspective. </w:t>
              </w:r>
              <w:r w:rsidRPr="00412823">
                <w:rPr>
                  <w:rFonts w:ascii="Arial" w:hAnsi="Arial" w:cs="Arial"/>
                  <w:noProof/>
                  <w:color w:val="000000" w:themeColor="text1"/>
                  <w:sz w:val="24"/>
                  <w:szCs w:val="24"/>
                </w:rPr>
                <w:t>s.l.:Springer.</w:t>
              </w:r>
            </w:p>
            <w:p w14:paraId="24B67B09"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Porter, M. E., 2011. </w:t>
              </w:r>
              <w:r w:rsidRPr="00412823">
                <w:rPr>
                  <w:rFonts w:ascii="Arial" w:hAnsi="Arial" w:cs="Arial"/>
                  <w:i/>
                  <w:iCs/>
                  <w:noProof/>
                  <w:color w:val="000000" w:themeColor="text1"/>
                  <w:sz w:val="24"/>
                  <w:szCs w:val="24"/>
                </w:rPr>
                <w:t xml:space="preserve">Competitive Advantage of Nations: Creating and Sustaining Superior Performance. </w:t>
              </w:r>
              <w:r w:rsidRPr="00412823">
                <w:rPr>
                  <w:rFonts w:ascii="Arial" w:hAnsi="Arial" w:cs="Arial"/>
                  <w:noProof/>
                  <w:color w:val="000000" w:themeColor="text1"/>
                  <w:sz w:val="24"/>
                  <w:szCs w:val="24"/>
                </w:rPr>
                <w:t>s.l.:Simon and Schuster.</w:t>
              </w:r>
            </w:p>
            <w:p w14:paraId="24B67B0A"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Salygin, V. I. &amp; Kaveshnikov, N. Y., 2014. Gazprom on the European Market: in search of the balance between the principles of competition and energy security. 37(4).</w:t>
              </w:r>
            </w:p>
            <w:p w14:paraId="24B67B0B" w14:textId="77777777" w:rsidR="000D34A9" w:rsidRPr="00412823" w:rsidRDefault="000D34A9" w:rsidP="009C021B">
              <w:pPr>
                <w:pStyle w:val="Bibliography"/>
                <w:spacing w:line="480" w:lineRule="auto"/>
                <w:ind w:left="720" w:hanging="720"/>
                <w:rPr>
                  <w:rFonts w:ascii="Arial" w:hAnsi="Arial" w:cs="Arial"/>
                  <w:noProof/>
                  <w:color w:val="000000" w:themeColor="text1"/>
                  <w:sz w:val="24"/>
                  <w:szCs w:val="24"/>
                </w:rPr>
              </w:pPr>
              <w:r w:rsidRPr="00412823">
                <w:rPr>
                  <w:rFonts w:ascii="Arial" w:hAnsi="Arial" w:cs="Arial"/>
                  <w:noProof/>
                  <w:color w:val="000000" w:themeColor="text1"/>
                  <w:sz w:val="24"/>
                  <w:szCs w:val="24"/>
                </w:rPr>
                <w:t xml:space="preserve">Schneider, B. &amp; Barbera, K. M., 2014. </w:t>
              </w:r>
              <w:r w:rsidRPr="00412823">
                <w:rPr>
                  <w:rFonts w:ascii="Arial" w:hAnsi="Arial" w:cs="Arial"/>
                  <w:i/>
                  <w:iCs/>
                  <w:noProof/>
                  <w:color w:val="000000" w:themeColor="text1"/>
                  <w:sz w:val="24"/>
                  <w:szCs w:val="24"/>
                </w:rPr>
                <w:t xml:space="preserve">The Oxford Handbook of Organizational Climate and Culture. </w:t>
              </w:r>
              <w:r w:rsidRPr="00412823">
                <w:rPr>
                  <w:rFonts w:ascii="Arial" w:hAnsi="Arial" w:cs="Arial"/>
                  <w:noProof/>
                  <w:color w:val="000000" w:themeColor="text1"/>
                  <w:sz w:val="24"/>
                  <w:szCs w:val="24"/>
                </w:rPr>
                <w:t>s.l.:Oxford University Press.</w:t>
              </w:r>
            </w:p>
            <w:p w14:paraId="24B67B0D" w14:textId="51F53ACF" w:rsidR="00BD1CCD" w:rsidRPr="00EF1B1D" w:rsidRDefault="000D34A9" w:rsidP="00EF1B1D">
              <w:pPr>
                <w:spacing w:line="480" w:lineRule="auto"/>
                <w:ind w:left="720" w:hanging="720"/>
                <w:rPr>
                  <w:rFonts w:ascii="Arial" w:hAnsi="Arial" w:cs="Arial"/>
                  <w:color w:val="000000" w:themeColor="text1"/>
                  <w:sz w:val="24"/>
                  <w:szCs w:val="24"/>
                </w:rPr>
              </w:pPr>
              <w:r w:rsidRPr="00412823">
                <w:rPr>
                  <w:rFonts w:ascii="Arial" w:hAnsi="Arial" w:cs="Arial"/>
                  <w:b/>
                  <w:bCs/>
                  <w:noProof/>
                  <w:color w:val="000000" w:themeColor="text1"/>
                  <w:sz w:val="24"/>
                  <w:szCs w:val="24"/>
                </w:rPr>
                <w:fldChar w:fldCharType="end"/>
              </w:r>
            </w:p>
          </w:sdtContent>
        </w:sdt>
      </w:sdtContent>
    </w:sdt>
    <w:sectPr w:rsidR="00BD1CCD" w:rsidRPr="00EF1B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691320"/>
    <w:multiLevelType w:val="hybridMultilevel"/>
    <w:tmpl w:val="55669556"/>
    <w:lvl w:ilvl="0" w:tplc="52AE5116">
      <w:numFmt w:val="bullet"/>
      <w:lvlText w:val="-"/>
      <w:lvlJc w:val="left"/>
      <w:pPr>
        <w:ind w:left="1440" w:hanging="360"/>
      </w:pPr>
      <w:rPr>
        <w:rFonts w:ascii="Comic Sans MS" w:eastAsiaTheme="minorHAnsi" w:hAnsi="Comic Sans MS"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9495896"/>
    <w:multiLevelType w:val="hybridMultilevel"/>
    <w:tmpl w:val="55BC6308"/>
    <w:lvl w:ilvl="0" w:tplc="97F62BC6">
      <w:start w:val="1"/>
      <w:numFmt w:val="bullet"/>
      <w:lvlText w:val="•"/>
      <w:lvlJc w:val="left"/>
      <w:pPr>
        <w:tabs>
          <w:tab w:val="num" w:pos="720"/>
        </w:tabs>
        <w:ind w:left="720" w:hanging="360"/>
      </w:pPr>
      <w:rPr>
        <w:rFonts w:ascii="Arial" w:hAnsi="Arial" w:hint="default"/>
      </w:rPr>
    </w:lvl>
    <w:lvl w:ilvl="1" w:tplc="968861C0">
      <w:start w:val="1"/>
      <w:numFmt w:val="bullet"/>
      <w:lvlText w:val="•"/>
      <w:lvlJc w:val="left"/>
      <w:pPr>
        <w:tabs>
          <w:tab w:val="num" w:pos="1440"/>
        </w:tabs>
        <w:ind w:left="1440" w:hanging="360"/>
      </w:pPr>
      <w:rPr>
        <w:rFonts w:ascii="Arial" w:hAnsi="Arial" w:hint="default"/>
      </w:rPr>
    </w:lvl>
    <w:lvl w:ilvl="2" w:tplc="9F2836C8" w:tentative="1">
      <w:start w:val="1"/>
      <w:numFmt w:val="bullet"/>
      <w:lvlText w:val="•"/>
      <w:lvlJc w:val="left"/>
      <w:pPr>
        <w:tabs>
          <w:tab w:val="num" w:pos="2160"/>
        </w:tabs>
        <w:ind w:left="2160" w:hanging="360"/>
      </w:pPr>
      <w:rPr>
        <w:rFonts w:ascii="Arial" w:hAnsi="Arial" w:hint="default"/>
      </w:rPr>
    </w:lvl>
    <w:lvl w:ilvl="3" w:tplc="EC1A1F7A" w:tentative="1">
      <w:start w:val="1"/>
      <w:numFmt w:val="bullet"/>
      <w:lvlText w:val="•"/>
      <w:lvlJc w:val="left"/>
      <w:pPr>
        <w:tabs>
          <w:tab w:val="num" w:pos="2880"/>
        </w:tabs>
        <w:ind w:left="2880" w:hanging="360"/>
      </w:pPr>
      <w:rPr>
        <w:rFonts w:ascii="Arial" w:hAnsi="Arial" w:hint="default"/>
      </w:rPr>
    </w:lvl>
    <w:lvl w:ilvl="4" w:tplc="CEF63B86" w:tentative="1">
      <w:start w:val="1"/>
      <w:numFmt w:val="bullet"/>
      <w:lvlText w:val="•"/>
      <w:lvlJc w:val="left"/>
      <w:pPr>
        <w:tabs>
          <w:tab w:val="num" w:pos="3600"/>
        </w:tabs>
        <w:ind w:left="3600" w:hanging="360"/>
      </w:pPr>
      <w:rPr>
        <w:rFonts w:ascii="Arial" w:hAnsi="Arial" w:hint="default"/>
      </w:rPr>
    </w:lvl>
    <w:lvl w:ilvl="5" w:tplc="0F7A25B0" w:tentative="1">
      <w:start w:val="1"/>
      <w:numFmt w:val="bullet"/>
      <w:lvlText w:val="•"/>
      <w:lvlJc w:val="left"/>
      <w:pPr>
        <w:tabs>
          <w:tab w:val="num" w:pos="4320"/>
        </w:tabs>
        <w:ind w:left="4320" w:hanging="360"/>
      </w:pPr>
      <w:rPr>
        <w:rFonts w:ascii="Arial" w:hAnsi="Arial" w:hint="default"/>
      </w:rPr>
    </w:lvl>
    <w:lvl w:ilvl="6" w:tplc="19CCE944" w:tentative="1">
      <w:start w:val="1"/>
      <w:numFmt w:val="bullet"/>
      <w:lvlText w:val="•"/>
      <w:lvlJc w:val="left"/>
      <w:pPr>
        <w:tabs>
          <w:tab w:val="num" w:pos="5040"/>
        </w:tabs>
        <w:ind w:left="5040" w:hanging="360"/>
      </w:pPr>
      <w:rPr>
        <w:rFonts w:ascii="Arial" w:hAnsi="Arial" w:hint="default"/>
      </w:rPr>
    </w:lvl>
    <w:lvl w:ilvl="7" w:tplc="69ECFEA0" w:tentative="1">
      <w:start w:val="1"/>
      <w:numFmt w:val="bullet"/>
      <w:lvlText w:val="•"/>
      <w:lvlJc w:val="left"/>
      <w:pPr>
        <w:tabs>
          <w:tab w:val="num" w:pos="5760"/>
        </w:tabs>
        <w:ind w:left="5760" w:hanging="360"/>
      </w:pPr>
      <w:rPr>
        <w:rFonts w:ascii="Arial" w:hAnsi="Arial" w:hint="default"/>
      </w:rPr>
    </w:lvl>
    <w:lvl w:ilvl="8" w:tplc="FAC045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B170F5D"/>
    <w:multiLevelType w:val="hybridMultilevel"/>
    <w:tmpl w:val="0FD85896"/>
    <w:lvl w:ilvl="0" w:tplc="52AE5116">
      <w:numFmt w:val="bullet"/>
      <w:lvlText w:val="-"/>
      <w:lvlJc w:val="left"/>
      <w:pPr>
        <w:ind w:left="720" w:hanging="360"/>
      </w:pPr>
      <w:rPr>
        <w:rFonts w:ascii="Comic Sans MS" w:eastAsiaTheme="minorHAnsi" w:hAnsi="Comic Sans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441F8F"/>
    <w:multiLevelType w:val="hybridMultilevel"/>
    <w:tmpl w:val="79181F4A"/>
    <w:lvl w:ilvl="0" w:tplc="52AE5116">
      <w:numFmt w:val="bullet"/>
      <w:lvlText w:val="-"/>
      <w:lvlJc w:val="left"/>
      <w:pPr>
        <w:ind w:left="2966" w:hanging="360"/>
      </w:pPr>
      <w:rPr>
        <w:rFonts w:ascii="Comic Sans MS" w:eastAsiaTheme="minorHAnsi" w:hAnsi="Comic Sans MS" w:cstheme="minorBidi" w:hint="default"/>
      </w:rPr>
    </w:lvl>
    <w:lvl w:ilvl="1" w:tplc="04090019" w:tentative="1">
      <w:start w:val="1"/>
      <w:numFmt w:val="lowerLetter"/>
      <w:lvlText w:val="%2."/>
      <w:lvlJc w:val="left"/>
      <w:pPr>
        <w:ind w:left="3686" w:hanging="360"/>
      </w:pPr>
    </w:lvl>
    <w:lvl w:ilvl="2" w:tplc="0409001B" w:tentative="1">
      <w:start w:val="1"/>
      <w:numFmt w:val="lowerRoman"/>
      <w:lvlText w:val="%3."/>
      <w:lvlJc w:val="right"/>
      <w:pPr>
        <w:ind w:left="4406" w:hanging="180"/>
      </w:pPr>
    </w:lvl>
    <w:lvl w:ilvl="3" w:tplc="0409000F" w:tentative="1">
      <w:start w:val="1"/>
      <w:numFmt w:val="decimal"/>
      <w:lvlText w:val="%4."/>
      <w:lvlJc w:val="left"/>
      <w:pPr>
        <w:ind w:left="5126" w:hanging="360"/>
      </w:pPr>
    </w:lvl>
    <w:lvl w:ilvl="4" w:tplc="04090019" w:tentative="1">
      <w:start w:val="1"/>
      <w:numFmt w:val="lowerLetter"/>
      <w:lvlText w:val="%5."/>
      <w:lvlJc w:val="left"/>
      <w:pPr>
        <w:ind w:left="5846" w:hanging="360"/>
      </w:pPr>
    </w:lvl>
    <w:lvl w:ilvl="5" w:tplc="0409001B" w:tentative="1">
      <w:start w:val="1"/>
      <w:numFmt w:val="lowerRoman"/>
      <w:lvlText w:val="%6."/>
      <w:lvlJc w:val="right"/>
      <w:pPr>
        <w:ind w:left="6566" w:hanging="180"/>
      </w:pPr>
    </w:lvl>
    <w:lvl w:ilvl="6" w:tplc="0409000F" w:tentative="1">
      <w:start w:val="1"/>
      <w:numFmt w:val="decimal"/>
      <w:lvlText w:val="%7."/>
      <w:lvlJc w:val="left"/>
      <w:pPr>
        <w:ind w:left="7286" w:hanging="360"/>
      </w:pPr>
    </w:lvl>
    <w:lvl w:ilvl="7" w:tplc="04090019" w:tentative="1">
      <w:start w:val="1"/>
      <w:numFmt w:val="lowerLetter"/>
      <w:lvlText w:val="%8."/>
      <w:lvlJc w:val="left"/>
      <w:pPr>
        <w:ind w:left="8006" w:hanging="360"/>
      </w:pPr>
    </w:lvl>
    <w:lvl w:ilvl="8" w:tplc="0409001B" w:tentative="1">
      <w:start w:val="1"/>
      <w:numFmt w:val="lowerRoman"/>
      <w:lvlText w:val="%9."/>
      <w:lvlJc w:val="right"/>
      <w:pPr>
        <w:ind w:left="8726"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A2F"/>
    <w:rsid w:val="000C746E"/>
    <w:rsid w:val="000D34A9"/>
    <w:rsid w:val="0017325D"/>
    <w:rsid w:val="002D0395"/>
    <w:rsid w:val="00382E4D"/>
    <w:rsid w:val="00412823"/>
    <w:rsid w:val="0052365C"/>
    <w:rsid w:val="00671D69"/>
    <w:rsid w:val="006B6B33"/>
    <w:rsid w:val="00743A21"/>
    <w:rsid w:val="007506AF"/>
    <w:rsid w:val="00835D69"/>
    <w:rsid w:val="008D0360"/>
    <w:rsid w:val="00916A2F"/>
    <w:rsid w:val="009C021B"/>
    <w:rsid w:val="00A50796"/>
    <w:rsid w:val="00A66FF7"/>
    <w:rsid w:val="00AB046F"/>
    <w:rsid w:val="00B85A85"/>
    <w:rsid w:val="00BD1CCD"/>
    <w:rsid w:val="00BF1242"/>
    <w:rsid w:val="00C878D6"/>
    <w:rsid w:val="00CA0DAC"/>
    <w:rsid w:val="00D22657"/>
    <w:rsid w:val="00E91107"/>
    <w:rsid w:val="00EF1B1D"/>
    <w:rsid w:val="00F14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679F6"/>
  <w15:chartTrackingRefBased/>
  <w15:docId w15:val="{A5E14220-B78C-48A9-A807-FF717B085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4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0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D34A9"/>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0D34A9"/>
  </w:style>
  <w:style w:type="paragraph" w:styleId="TOCHeading">
    <w:name w:val="TOC Heading"/>
    <w:basedOn w:val="Heading1"/>
    <w:next w:val="Normal"/>
    <w:uiPriority w:val="39"/>
    <w:unhideWhenUsed/>
    <w:qFormat/>
    <w:rsid w:val="009C021B"/>
    <w:pPr>
      <w:outlineLvl w:val="9"/>
    </w:pPr>
  </w:style>
  <w:style w:type="paragraph" w:styleId="TOC1">
    <w:name w:val="toc 1"/>
    <w:basedOn w:val="Normal"/>
    <w:next w:val="Normal"/>
    <w:autoRedefine/>
    <w:uiPriority w:val="39"/>
    <w:unhideWhenUsed/>
    <w:rsid w:val="009C021B"/>
    <w:pPr>
      <w:spacing w:after="100"/>
    </w:pPr>
  </w:style>
  <w:style w:type="paragraph" w:styleId="TOC2">
    <w:name w:val="toc 2"/>
    <w:basedOn w:val="Normal"/>
    <w:next w:val="Normal"/>
    <w:autoRedefine/>
    <w:uiPriority w:val="39"/>
    <w:unhideWhenUsed/>
    <w:rsid w:val="009C021B"/>
    <w:pPr>
      <w:spacing w:after="100"/>
      <w:ind w:left="220"/>
    </w:pPr>
  </w:style>
  <w:style w:type="character" w:styleId="Hyperlink">
    <w:name w:val="Hyperlink"/>
    <w:basedOn w:val="DefaultParagraphFont"/>
    <w:uiPriority w:val="99"/>
    <w:unhideWhenUsed/>
    <w:rsid w:val="009C021B"/>
    <w:rPr>
      <w:color w:val="0563C1" w:themeColor="hyperlink"/>
      <w:u w:val="single"/>
    </w:rPr>
  </w:style>
  <w:style w:type="paragraph" w:styleId="NoSpacing">
    <w:name w:val="No Spacing"/>
    <w:link w:val="NoSpacingChar"/>
    <w:uiPriority w:val="1"/>
    <w:qFormat/>
    <w:rsid w:val="00835D69"/>
    <w:pPr>
      <w:spacing w:after="0" w:line="240" w:lineRule="auto"/>
    </w:pPr>
    <w:rPr>
      <w:rFonts w:eastAsiaTheme="minorEastAsia"/>
    </w:rPr>
  </w:style>
  <w:style w:type="character" w:customStyle="1" w:styleId="NoSpacingChar">
    <w:name w:val="No Spacing Char"/>
    <w:basedOn w:val="DefaultParagraphFont"/>
    <w:link w:val="NoSpacing"/>
    <w:uiPriority w:val="1"/>
    <w:rsid w:val="00835D6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64411">
      <w:bodyDiv w:val="1"/>
      <w:marLeft w:val="0"/>
      <w:marRight w:val="0"/>
      <w:marTop w:val="0"/>
      <w:marBottom w:val="0"/>
      <w:divBdr>
        <w:top w:val="none" w:sz="0" w:space="0" w:color="auto"/>
        <w:left w:val="none" w:sz="0" w:space="0" w:color="auto"/>
        <w:bottom w:val="none" w:sz="0" w:space="0" w:color="auto"/>
        <w:right w:val="none" w:sz="0" w:space="0" w:color="auto"/>
      </w:divBdr>
    </w:div>
    <w:div w:id="349066931">
      <w:bodyDiv w:val="1"/>
      <w:marLeft w:val="0"/>
      <w:marRight w:val="0"/>
      <w:marTop w:val="0"/>
      <w:marBottom w:val="0"/>
      <w:divBdr>
        <w:top w:val="none" w:sz="0" w:space="0" w:color="auto"/>
        <w:left w:val="none" w:sz="0" w:space="0" w:color="auto"/>
        <w:bottom w:val="none" w:sz="0" w:space="0" w:color="auto"/>
        <w:right w:val="none" w:sz="0" w:space="0" w:color="auto"/>
      </w:divBdr>
    </w:div>
    <w:div w:id="393479098">
      <w:bodyDiv w:val="1"/>
      <w:marLeft w:val="0"/>
      <w:marRight w:val="0"/>
      <w:marTop w:val="0"/>
      <w:marBottom w:val="0"/>
      <w:divBdr>
        <w:top w:val="none" w:sz="0" w:space="0" w:color="auto"/>
        <w:left w:val="none" w:sz="0" w:space="0" w:color="auto"/>
        <w:bottom w:val="none" w:sz="0" w:space="0" w:color="auto"/>
        <w:right w:val="none" w:sz="0" w:space="0" w:color="auto"/>
      </w:divBdr>
    </w:div>
    <w:div w:id="422265968">
      <w:bodyDiv w:val="1"/>
      <w:marLeft w:val="0"/>
      <w:marRight w:val="0"/>
      <w:marTop w:val="0"/>
      <w:marBottom w:val="0"/>
      <w:divBdr>
        <w:top w:val="none" w:sz="0" w:space="0" w:color="auto"/>
        <w:left w:val="none" w:sz="0" w:space="0" w:color="auto"/>
        <w:bottom w:val="none" w:sz="0" w:space="0" w:color="auto"/>
        <w:right w:val="none" w:sz="0" w:space="0" w:color="auto"/>
      </w:divBdr>
    </w:div>
    <w:div w:id="469058622">
      <w:bodyDiv w:val="1"/>
      <w:marLeft w:val="0"/>
      <w:marRight w:val="0"/>
      <w:marTop w:val="0"/>
      <w:marBottom w:val="0"/>
      <w:divBdr>
        <w:top w:val="none" w:sz="0" w:space="0" w:color="auto"/>
        <w:left w:val="none" w:sz="0" w:space="0" w:color="auto"/>
        <w:bottom w:val="none" w:sz="0" w:space="0" w:color="auto"/>
        <w:right w:val="none" w:sz="0" w:space="0" w:color="auto"/>
      </w:divBdr>
    </w:div>
    <w:div w:id="755398653">
      <w:bodyDiv w:val="1"/>
      <w:marLeft w:val="0"/>
      <w:marRight w:val="0"/>
      <w:marTop w:val="0"/>
      <w:marBottom w:val="0"/>
      <w:divBdr>
        <w:top w:val="none" w:sz="0" w:space="0" w:color="auto"/>
        <w:left w:val="none" w:sz="0" w:space="0" w:color="auto"/>
        <w:bottom w:val="none" w:sz="0" w:space="0" w:color="auto"/>
        <w:right w:val="none" w:sz="0" w:space="0" w:color="auto"/>
      </w:divBdr>
    </w:div>
    <w:div w:id="849370882">
      <w:bodyDiv w:val="1"/>
      <w:marLeft w:val="0"/>
      <w:marRight w:val="0"/>
      <w:marTop w:val="0"/>
      <w:marBottom w:val="0"/>
      <w:divBdr>
        <w:top w:val="none" w:sz="0" w:space="0" w:color="auto"/>
        <w:left w:val="none" w:sz="0" w:space="0" w:color="auto"/>
        <w:bottom w:val="none" w:sz="0" w:space="0" w:color="auto"/>
        <w:right w:val="none" w:sz="0" w:space="0" w:color="auto"/>
      </w:divBdr>
    </w:div>
    <w:div w:id="1125663404">
      <w:bodyDiv w:val="1"/>
      <w:marLeft w:val="0"/>
      <w:marRight w:val="0"/>
      <w:marTop w:val="0"/>
      <w:marBottom w:val="0"/>
      <w:divBdr>
        <w:top w:val="none" w:sz="0" w:space="0" w:color="auto"/>
        <w:left w:val="none" w:sz="0" w:space="0" w:color="auto"/>
        <w:bottom w:val="none" w:sz="0" w:space="0" w:color="auto"/>
        <w:right w:val="none" w:sz="0" w:space="0" w:color="auto"/>
      </w:divBdr>
    </w:div>
    <w:div w:id="1138574515">
      <w:bodyDiv w:val="1"/>
      <w:marLeft w:val="0"/>
      <w:marRight w:val="0"/>
      <w:marTop w:val="0"/>
      <w:marBottom w:val="0"/>
      <w:divBdr>
        <w:top w:val="none" w:sz="0" w:space="0" w:color="auto"/>
        <w:left w:val="none" w:sz="0" w:space="0" w:color="auto"/>
        <w:bottom w:val="none" w:sz="0" w:space="0" w:color="auto"/>
        <w:right w:val="none" w:sz="0" w:space="0" w:color="auto"/>
      </w:divBdr>
    </w:div>
    <w:div w:id="1140918948">
      <w:bodyDiv w:val="1"/>
      <w:marLeft w:val="0"/>
      <w:marRight w:val="0"/>
      <w:marTop w:val="0"/>
      <w:marBottom w:val="0"/>
      <w:divBdr>
        <w:top w:val="none" w:sz="0" w:space="0" w:color="auto"/>
        <w:left w:val="none" w:sz="0" w:space="0" w:color="auto"/>
        <w:bottom w:val="none" w:sz="0" w:space="0" w:color="auto"/>
        <w:right w:val="none" w:sz="0" w:space="0" w:color="auto"/>
      </w:divBdr>
    </w:div>
    <w:div w:id="1470972859">
      <w:bodyDiv w:val="1"/>
      <w:marLeft w:val="0"/>
      <w:marRight w:val="0"/>
      <w:marTop w:val="0"/>
      <w:marBottom w:val="0"/>
      <w:divBdr>
        <w:top w:val="none" w:sz="0" w:space="0" w:color="auto"/>
        <w:left w:val="none" w:sz="0" w:space="0" w:color="auto"/>
        <w:bottom w:val="none" w:sz="0" w:space="0" w:color="auto"/>
        <w:right w:val="none" w:sz="0" w:space="0" w:color="auto"/>
      </w:divBdr>
    </w:div>
    <w:div w:id="1501194504">
      <w:bodyDiv w:val="1"/>
      <w:marLeft w:val="0"/>
      <w:marRight w:val="0"/>
      <w:marTop w:val="0"/>
      <w:marBottom w:val="0"/>
      <w:divBdr>
        <w:top w:val="none" w:sz="0" w:space="0" w:color="auto"/>
        <w:left w:val="none" w:sz="0" w:space="0" w:color="auto"/>
        <w:bottom w:val="none" w:sz="0" w:space="0" w:color="auto"/>
        <w:right w:val="none" w:sz="0" w:space="0" w:color="auto"/>
      </w:divBdr>
    </w:div>
    <w:div w:id="1683894534">
      <w:bodyDiv w:val="1"/>
      <w:marLeft w:val="0"/>
      <w:marRight w:val="0"/>
      <w:marTop w:val="0"/>
      <w:marBottom w:val="0"/>
      <w:divBdr>
        <w:top w:val="none" w:sz="0" w:space="0" w:color="auto"/>
        <w:left w:val="none" w:sz="0" w:space="0" w:color="auto"/>
        <w:bottom w:val="none" w:sz="0" w:space="0" w:color="auto"/>
        <w:right w:val="none" w:sz="0" w:space="0" w:color="auto"/>
      </w:divBdr>
    </w:div>
    <w:div w:id="1810980384">
      <w:bodyDiv w:val="1"/>
      <w:marLeft w:val="0"/>
      <w:marRight w:val="0"/>
      <w:marTop w:val="0"/>
      <w:marBottom w:val="0"/>
      <w:divBdr>
        <w:top w:val="none" w:sz="0" w:space="0" w:color="auto"/>
        <w:left w:val="none" w:sz="0" w:space="0" w:color="auto"/>
        <w:bottom w:val="none" w:sz="0" w:space="0" w:color="auto"/>
        <w:right w:val="none" w:sz="0" w:space="0" w:color="auto"/>
      </w:divBdr>
    </w:div>
    <w:div w:id="1871987034">
      <w:bodyDiv w:val="1"/>
      <w:marLeft w:val="0"/>
      <w:marRight w:val="0"/>
      <w:marTop w:val="0"/>
      <w:marBottom w:val="0"/>
      <w:divBdr>
        <w:top w:val="none" w:sz="0" w:space="0" w:color="auto"/>
        <w:left w:val="none" w:sz="0" w:space="0" w:color="auto"/>
        <w:bottom w:val="none" w:sz="0" w:space="0" w:color="auto"/>
        <w:right w:val="none" w:sz="0" w:space="0" w:color="auto"/>
      </w:divBdr>
    </w:div>
    <w:div w:id="1888370847">
      <w:bodyDiv w:val="1"/>
      <w:marLeft w:val="0"/>
      <w:marRight w:val="0"/>
      <w:marTop w:val="0"/>
      <w:marBottom w:val="0"/>
      <w:divBdr>
        <w:top w:val="none" w:sz="0" w:space="0" w:color="auto"/>
        <w:left w:val="none" w:sz="0" w:space="0" w:color="auto"/>
        <w:bottom w:val="none" w:sz="0" w:space="0" w:color="auto"/>
        <w:right w:val="none" w:sz="0" w:space="0" w:color="auto"/>
      </w:divBdr>
    </w:div>
    <w:div w:id="1961649506">
      <w:bodyDiv w:val="1"/>
      <w:marLeft w:val="0"/>
      <w:marRight w:val="0"/>
      <w:marTop w:val="0"/>
      <w:marBottom w:val="0"/>
      <w:divBdr>
        <w:top w:val="none" w:sz="0" w:space="0" w:color="auto"/>
        <w:left w:val="none" w:sz="0" w:space="0" w:color="auto"/>
        <w:bottom w:val="none" w:sz="0" w:space="0" w:color="auto"/>
        <w:right w:val="none" w:sz="0" w:space="0" w:color="auto"/>
      </w:divBdr>
    </w:div>
    <w:div w:id="2004576773">
      <w:bodyDiv w:val="1"/>
      <w:marLeft w:val="0"/>
      <w:marRight w:val="0"/>
      <w:marTop w:val="0"/>
      <w:marBottom w:val="0"/>
      <w:divBdr>
        <w:top w:val="none" w:sz="0" w:space="0" w:color="auto"/>
        <w:left w:val="none" w:sz="0" w:space="0" w:color="auto"/>
        <w:bottom w:val="none" w:sz="0" w:space="0" w:color="auto"/>
        <w:right w:val="none" w:sz="0" w:space="0" w:color="auto"/>
      </w:divBdr>
    </w:div>
    <w:div w:id="213420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6537C303D384B79ADB55B036FEC8E8F"/>
        <w:category>
          <w:name w:val="General"/>
          <w:gallery w:val="placeholder"/>
        </w:category>
        <w:types>
          <w:type w:val="bbPlcHdr"/>
        </w:types>
        <w:behaviors>
          <w:behavior w:val="content"/>
        </w:behaviors>
        <w:guid w:val="{E9150AFB-FC61-4817-A835-BB1268901FA7}"/>
      </w:docPartPr>
      <w:docPartBody>
        <w:p w:rsidR="008A7390" w:rsidRDefault="00E350D0" w:rsidP="00E350D0">
          <w:pPr>
            <w:pStyle w:val="A6537C303D384B79ADB55B036FEC8E8F"/>
          </w:pPr>
          <w:r>
            <w:rPr>
              <w:color w:val="2F5496" w:themeColor="accent1" w:themeShade="BF"/>
              <w:sz w:val="24"/>
              <w:szCs w:val="24"/>
            </w:rPr>
            <w:t>[Company name]</w:t>
          </w:r>
        </w:p>
      </w:docPartBody>
    </w:docPart>
    <w:docPart>
      <w:docPartPr>
        <w:name w:val="E6CE91F91E0C416CADD08B4586069C4E"/>
        <w:category>
          <w:name w:val="General"/>
          <w:gallery w:val="placeholder"/>
        </w:category>
        <w:types>
          <w:type w:val="bbPlcHdr"/>
        </w:types>
        <w:behaviors>
          <w:behavior w:val="content"/>
        </w:behaviors>
        <w:guid w:val="{4731B9D3-DADC-44DE-9E6E-9612A4AC11DB}"/>
      </w:docPartPr>
      <w:docPartBody>
        <w:p w:rsidR="008A7390" w:rsidRDefault="00E350D0" w:rsidP="00E350D0">
          <w:pPr>
            <w:pStyle w:val="E6CE91F91E0C416CADD08B4586069C4E"/>
          </w:pPr>
          <w:r>
            <w:rPr>
              <w:color w:val="2F5496" w:themeColor="accent1" w:themeShade="BF"/>
              <w:sz w:val="24"/>
              <w:szCs w:val="24"/>
            </w:rPr>
            <w:t>[Document subtitle]</w:t>
          </w:r>
        </w:p>
      </w:docPartBody>
    </w:docPart>
    <w:docPart>
      <w:docPartPr>
        <w:name w:val="8191332A636E4FA2ABE66455F2FEF6FF"/>
        <w:category>
          <w:name w:val="General"/>
          <w:gallery w:val="placeholder"/>
        </w:category>
        <w:types>
          <w:type w:val="bbPlcHdr"/>
        </w:types>
        <w:behaviors>
          <w:behavior w:val="content"/>
        </w:behaviors>
        <w:guid w:val="{B8E213C3-50B6-482B-871F-0C32A0761BBD}"/>
      </w:docPartPr>
      <w:docPartBody>
        <w:p w:rsidR="008A7390" w:rsidRDefault="00E350D0" w:rsidP="00E350D0">
          <w:pPr>
            <w:pStyle w:val="8191332A636E4FA2ABE66455F2FEF6FF"/>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0D0"/>
    <w:rsid w:val="008A7390"/>
    <w:rsid w:val="00E35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537C303D384B79ADB55B036FEC8E8F">
    <w:name w:val="A6537C303D384B79ADB55B036FEC8E8F"/>
    <w:rsid w:val="00E350D0"/>
  </w:style>
  <w:style w:type="paragraph" w:customStyle="1" w:styleId="E6CE91F91E0C416CADD08B4586069C4E">
    <w:name w:val="E6CE91F91E0C416CADD08B4586069C4E"/>
    <w:rsid w:val="00E350D0"/>
  </w:style>
  <w:style w:type="paragraph" w:customStyle="1" w:styleId="8191332A636E4FA2ABE66455F2FEF6FF">
    <w:name w:val="8191332A636E4FA2ABE66455F2FEF6FF"/>
    <w:rsid w:val="00E350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Har17</b:Tag>
    <b:SourceType>JournalArticle</b:SourceType>
    <b:Guid>{5A985B0E-CA6E-43FE-ABF3-7967A64E0783}</b:Guid>
    <b:Title>The impact of monetary policy on inequality in the UK. An empirical analysis</b:Title>
    <b:Year>2017</b:Year>
    <b:Volume>97</b:Volume>
    <b:Pages>410-423</b:Pages>
    <b:YearAccessed>2018</b:YearAccessed>
    <b:MonthAccessed>March</b:MonthAccessed>
    <b:DayAccessed>20</b:DayAccessed>
    <b:URL>https://www.sciencedirect.com/science/article/pii/S0014292117301332</b:URL>
    <b:Author>
      <b:Author>
        <b:NameList>
          <b:Person>
            <b:Last>HaroonMumtaza</b:Last>
          </b:Person>
          <b:Person>
            <b:Last>AngelikiTheophil</b:Last>
          </b:Person>
        </b:NameList>
      </b:Author>
    </b:Author>
    <b:JournalName>European Economic Review</b:JournalName>
    <b:RefOrder>9</b:RefOrder>
  </b:Source>
  <b:Source>
    <b:Tag>Kam17</b:Tag>
    <b:SourceType>JournalArticle</b:SourceType>
    <b:Guid>{333D19B8-92C2-49E4-9A66-65D92FBBDB58}</b:Guid>
    <b:Title> "Accountability of transnational corporations in the developing world: The case for an enforceable international mechanism"</b:Title>
    <b:JournalName> critical perspectives on international business</b:JournalName>
    <b:Year>2017</b:Year>
    <b:Pages>54-71</b:Pages>
    <b:Volume>13</b:Volume>
    <b:Issue>1</b:Issue>
    <b:Author>
      <b:Author>
        <b:NameList>
          <b:Person>
            <b:Last>Omesto</b:Last>
            <b:First>Kamil</b:First>
          </b:Person>
          <b:Person>
            <b:Last>Yusuf</b:Last>
            <b:First>hakeem</b:First>
          </b:Person>
        </b:NameList>
      </b:Author>
    </b:Author>
    <b:YearAccessed>2018</b:YearAccessed>
    <b:MonthAccessed>March</b:MonthAccessed>
    <b:DayAccessed>20</b:DayAccessed>
    <b:URL>https://www.emeraldinsight.com/doi/full/10.1108/cpoib-08-2014-0040</b:URL>
    <b:RefOrder>10</b:RefOrder>
  </b:Source>
  <b:Source>
    <b:Tag>Hel171</b:Tag>
    <b:SourceType>Book</b:SourceType>
    <b:Guid>{A4B1E6F6-4636-44D0-A5FC-75302EFBA408}</b:Guid>
    <b:Title>International Management: Managing Across Borders and Cultures, Text and Cases (9th Edition) 9th Edition</b:Title>
    <b:Year>2017</b:Year>
    <b:Publisher>Pearson education </b:Publisher>
    <b:Edition>9th</b:Edition>
    <b:Author>
      <b:Author>
        <b:NameList>
          <b:Person>
            <b:Last>Deresky</b:Last>
            <b:First>Helen</b:First>
          </b:Person>
        </b:NameList>
      </b:Author>
    </b:Author>
    <b:YearAccessed>2018</b:YearAccessed>
    <b:MonthAccessed>March</b:MonthAccessed>
    <b:DayAccessed>21</b:DayAccessed>
    <b:URL>https://www.amazon.com/International-Management-Managing-Borders-Cultures/dp/0134376048</b:URL>
    <b:RefOrder>1</b:RefOrder>
  </b:Source>
  <b:Source>
    <b:Tag>Bri18</b:Tag>
    <b:SourceType>DocumentFromInternetSite</b:SourceType>
    <b:Guid>{1163A9B2-C7B2-40B7-BF79-1F4391ED6709}</b:Guid>
    <b:Title>Where does UK gas come from?</b:Title>
    <b:Year>2018</b:Year>
    <b:YearAccessed>2018</b:YearAccessed>
    <b:MonthAccessed>March</b:MonthAccessed>
    <b:DayAccessed>21</b:DayAccessed>
    <b:URL>https://www.britishgas.co.uk/the-source/our-world-of-energy/energys-grand-journey/where-does-uk-gas-come-from</b:URL>
    <b:Author>
      <b:Author>
        <b:Corporate>BritishGas</b:Corporate>
      </b:Author>
    </b:Author>
    <b:InternetSiteTitle>https://www.britishgas.co.uk/</b:InternetSiteTitle>
    <b:RefOrder>3</b:RefOrder>
  </b:Source>
  <b:Source>
    <b:Tag>Ann171</b:Tag>
    <b:SourceType>DocumentFromInternetSite</b:SourceType>
    <b:Guid>{177B2C04-DE59-4FAB-89FA-0636562F12B1}</b:Guid>
    <b:Author>
      <b:Author>
        <b:NameList>
          <b:Person>
            <b:Last>Anna</b:Last>
          </b:Person>
          <b:Person>
            <b:Last>Kelly</b:Last>
          </b:Person>
        </b:NameList>
      </b:Author>
    </b:Author>
    <b:Title>Why Britain Has to Be Really Nice to Norway and Russia</b:Title>
    <b:Year>2017</b:Year>
    <b:Month>July</b:Month>
    <b:Day>27</b:Day>
    <b:YearAccessed>2018</b:YearAccessed>
    <b:MonthAccessed>March</b:MonthAccessed>
    <b:DayAccessed>21</b:DayAccessed>
    <b:URL>https://www.bloomberg.com/news/articles/2017-06-20/u-k-at-mercy-of-global-gas-market-as-giant-storage-site-shuts</b:URL>
    <b:RefOrder>4</b:RefOrder>
  </b:Source>
  <b:Source>
    <b:Tag>Chr18</b:Tag>
    <b:SourceType>Book</b:SourceType>
    <b:Guid>{FB949E48-7B20-42FB-9880-9C24C1EA5E0C}</b:Guid>
    <b:Title>Transnational Management</b:Title>
    <b:Year>2018</b:Year>
    <b:YearAccessed>2018</b:YearAccessed>
    <b:MonthAccessed>March</b:MonthAccessed>
    <b:DayAccessed>21</b:DayAccessed>
    <b:URL>https://books.google.com.pk/books?id=SYJIDwAAQBAJ&amp;printsec=frontcover&amp;dq=bartlett,+c.+and+beamish,+p.+(2011).+transnational+management:+texts,+cases+and+readings+in+cross-border+management,+13th+ed.,+mcgraw-hill+higher+education.&amp;hl=en&amp;sa=X&amp;ved=0ahUKEwjnt</b:URL>
    <b:Author>
      <b:Author>
        <b:NameList>
          <b:Person>
            <b:Last>Bartlett</b:Last>
            <b:First>Christopher</b:First>
            <b:Middle>A.</b:Middle>
          </b:Person>
          <b:Person>
            <b:Last>Beamish</b:Last>
            <b:First>Paul</b:First>
            <b:Middle>W.</b:Middle>
          </b:Person>
        </b:NameList>
      </b:Author>
    </b:Author>
    <b:Publisher>Cambridge University Press</b:Publisher>
    <b:RefOrder>5</b:RefOrder>
  </b:Source>
  <b:Source>
    <b:Tag>Pet18</b:Tag>
    <b:SourceType>Book</b:SourceType>
    <b:Guid>{8B780A97-0959-4B4B-8104-DB5B027372D3}</b:Guid>
    <b:Title>International Business</b:Title>
    <b:Year>2018</b:Year>
    <b:Publisher>Oxford University Press</b:Publisher>
    <b:Author>
      <b:Author>
        <b:NameList>
          <b:Person>
            <b:Last>Buckley</b:Last>
            <b:First>Peter</b:First>
            <b:Middle>J.</b:Middle>
          </b:Person>
          <b:Person>
            <b:Last>Enderwick</b:Last>
            <b:First>Peter</b:First>
          </b:Person>
          <b:Person>
            <b:Last>Cross</b:Last>
            <b:First>Adam</b:First>
            <b:Middle>R.</b:Middle>
          </b:Person>
        </b:NameList>
      </b:Author>
    </b:Author>
    <b:YearAccessed>2018</b:YearAccessed>
    <b:MonthAccessed>March</b:MonthAccessed>
    <b:DayAccessed>21</b:DayAccessed>
    <b:URL>https://books.google.com.pk/books?id=IZRODwAAQBAJ&amp;pg=PA55&amp;dq=buckley,+p.+(2016)+the+future+of+the+multinational+enterprise,+palgrave+macmillan.&amp;hl=en&amp;sa=X&amp;ved=0ahUKEwjz7d6Zs_zZAhWSyKQKHf7gDksQ6AEINjAD#v=onepage&amp;q=buckley%2C%20p.%20(2016)%20the%20future%20</b:URL>
    <b:RefOrder>8</b:RefOrder>
  </b:Source>
  <b:Source>
    <b:Tag>Pet072</b:Tag>
    <b:SourceType>Book</b:SourceType>
    <b:Guid>{1848CC5E-599C-45B2-AD06-9F87B5DF9A74}</b:Guid>
    <b:Title>The Future of the Multinational Enterprise, 2nd ed</b:Title>
    <b:Year>2007</b:Year>
    <b:Author>
      <b:Author>
        <b:NameList>
          <b:Person>
            <b:Last>Buckley</b:Last>
            <b:First>Peter</b:First>
            <b:Middle>J.</b:Middle>
          </b:Person>
          <b:Person>
            <b:Last>Casson</b:Last>
            <b:First>Mark</b:First>
          </b:Person>
        </b:NameList>
      </b:Author>
      <b:Editor>
        <b:NameList>
          <b:Person>
            <b:Last>Pearso</b:Last>
          </b:Person>
        </b:NameList>
      </b:Editor>
    </b:Author>
    <b:YearAccessed>2018</b:YearAccessed>
    <b:MonthAccessed>March</b:MonthAccessed>
    <b:DayAccessed>21</b:DayAccessed>
    <b:URL>https://books.google.com.pk/books?id=g-q-DAAAQBAJ&amp;printsec=frontcover&amp;dq=buckley,+p.+and+casson,+m.+(2014):+the+multinational+enterprise:+theory+and+applications,+1st+ed.&amp;hl=en&amp;sa=X&amp;ved=0ahUKEwiPt9qks_zZAhVH2KQKHQH7CgEQ6AEIJjAA#v=onepage&amp;q&amp;f=false</b:URL>
    <b:RefOrder>6</b:RefOrder>
  </b:Source>
  <b:Source>
    <b:Tag>Alv14</b:Tag>
    <b:SourceType>Book</b:SourceType>
    <b:Guid>{506CFDAB-DA18-4E6C-AB0E-C4580396508F}</b:Guid>
    <b:Title>Understanding Multinationals from Emerging Markets</b:Title>
    <b:Year>2014</b:Year>
    <b:Publisher>Cambridge University Press</b:Publisher>
    <b:Author>
      <b:Author>
        <b:NameList>
          <b:Person>
            <b:Last>Cuervo-Cazurra</b:Last>
            <b:First>Alvaro</b:First>
          </b:Person>
          <b:Person>
            <b:Last>Ramamurti</b:Last>
            <b:First>Ravi</b:First>
          </b:Person>
        </b:NameList>
      </b:Author>
    </b:Author>
    <b:YearAccessed>2018</b:YearAccessed>
    <b:MonthAccessed>March</b:MonthAccessed>
    <b:DayAccessed>21</b:DayAccessed>
    <b:URL>https://books.google.com.pk/books?id=LjizAwAAQBAJ&amp;pg=PA77&amp;dq=palgrave+macmillan.+buckley,+p.+and+clegg,+j.+(2014):+multinational+enterprises+in+less+developed+countries,+palgrave+macmillan.&amp;hl=en&amp;sa=X&amp;ved=0ahUKEwjT6M2ss_zZAhVR6KQKHZhLAQAQ6AEIJjAA#v=onepag</b:URL>
    <b:RefOrder>7</b:RefOrder>
  </b:Source>
  <b:Source>
    <b:Tag>Sim161</b:Tag>
    <b:SourceType>Book</b:SourceType>
    <b:Guid>{B83D7BE0-3548-4560-BBF8-78E77F6BBBE4}</b:Guid>
    <b:Title>International Business</b:Title>
    <b:Year>2016</b:Year>
    <b:Publisher>Pearson Education Limited</b:Publisher>
    <b:Author>
      <b:Author>
        <b:NameList>
          <b:Person>
            <b:Last>Collinson</b:Last>
            <b:First>Simon</b:First>
          </b:Person>
          <b:Person>
            <b:Last>Narula</b:Last>
            <b:First>Rajneesh</b:First>
          </b:Person>
          <b:Person>
            <b:Last>Rugman</b:Last>
            <b:First>Alan</b:First>
            <b:Middle>M.</b:Middle>
          </b:Person>
        </b:NameList>
      </b:Author>
    </b:Author>
    <b:YearAccessed>2018</b:YearAccessed>
    <b:MonthAccessed>March</b:MonthAccessed>
    <b:DayAccessed>21</b:DayAccessed>
    <b:URL>https://books.google.com.pk/books?id=DgypDQAAQBAJ&amp;dq=collinson,+s.,+narula,+r.+and+rugman,+al.+(2016):+international+business,+pearson,+7th+ed.&amp;hl=en&amp;sa=X&amp;ved=0ahUKEwj7grWzs_zZAhUS2aQKHbI-AAYQ6AEIJjAA</b:URL>
    <b:RefOrder>12</b:RefOrder>
  </b:Source>
  <b:Source>
    <b:Tag>PNG13</b:Tag>
    <b:SourceType>Book</b:SourceType>
    <b:Guid>{D9E4F36C-2121-4B85-BB41-E7ED9131A49D}</b:Guid>
    <b:Title>International Management: Theory and Practice</b:Title>
    <b:Year>2013</b:Year>
    <b:Publisher>Edward Elgar Publishing</b:Publisher>
    <b:Author>
      <b:Author>
        <b:NameList>
          <b:Person>
            <b:Last>Gooderham</b:Last>
            <b:First>P.N.</b:First>
          </b:Person>
          <b:Person>
            <b:Last>Gooderham</b:Last>
            <b:First>Paul</b:First>
            <b:Middle>N.</b:Middle>
          </b:Person>
          <b:Person>
            <b:Last>Grøgaard</b:Last>
            <b:First>Birgitte</b:First>
          </b:Person>
        </b:NameList>
      </b:Author>
    </b:Author>
    <b:YearAccessed>2018</b:YearAccessed>
    <b:MonthAccessed>March</b:MonthAccessed>
    <b:DayAccessed>21</b:DayAccessed>
    <b:URL>https://books.google.com.pk/books?id=Fa0wnCHNmGoC&amp;printsec=frontcover&amp;dq=p.,+grogaard,+b.+and+nordhaug,+o.+(2013):+international+management:+theory+and+practice,+edward+elgar+publishing+ltd.&amp;hl=en&amp;sa=X&amp;ved=0ahUKEwisgtHHs_zZAhVJ_qQKHfgUCVUQ6AEILTAB#v=onepa</b:URL>
    <b:RefOrder>11</b:RefOrder>
  </b:Source>
  <b:Source>
    <b:Tag>Joh171</b:Tag>
    <b:SourceType>Book</b:SourceType>
    <b:Guid>{19F82D8A-7724-43A6-A93E-AD2BF868EA81}</b:Guid>
    <b:Title>International Business</b:Title>
    <b:Year>2017</b:Year>
    <b:Publisher>Pearson </b:Publisher>
    <b:Author>
      <b:Author>
        <b:NameList>
          <b:Person>
            <b:Last>Daniels</b:Last>
            <b:First>John</b:First>
          </b:Person>
          <b:Person>
            <b:Last>Radebaugh</b:Last>
            <b:First>Lee</b:First>
            <b:Middle>H.</b:Middle>
          </b:Person>
          <b:Person>
            <b:Last>Sullivan</b:Last>
            <b:First>Daniel</b:First>
            <b:Middle>P.</b:Middle>
          </b:Person>
        </b:NameList>
      </b:Author>
    </b:Author>
    <b:YearAccessed>2018</b:YearAccessed>
    <b:MonthAccessed>March</b:MonthAccessed>
    <b:DayAccessed>21</b:DayAccessed>
    <b:URL>https://books.google.com.pk/books?id=ZYBLvgAACAAJ&amp;dq=daniels,+j.,+radebaugh,+l.+and+sullivan,+d.+(2014)+international+business,+15th+ed.+pearson.&amp;hl=en&amp;sa=X&amp;ved=0ahUKEwiRsJrPs_zZAhVIr6QKHa6rAC8Q6AEILTAB</b:URL>
    <b:RefOrder>13</b:RefOrder>
  </b:Source>
  <b:Source>
    <b:Tag>Alv141</b:Tag>
    <b:SourceType>JournalArticle</b:SourceType>
    <b:Guid>{17C8BB18-C0AE-468B-B8D5-631D84D859C6}</b:Guid>
    <b:Title>Governments as owners: State-owned multinational companies</b:Title>
    <b:Year>2014</b:Year>
    <b:Volume>45</b:Volume>
    <b:Pages>919-429</b:Pages>
    <b:YearAccessed>2018</b:YearAccessed>
    <b:MonthAccessed>March</b:MonthAccessed>
    <b:DayAccessed>21</b:DayAccessed>
    <b:URL>https://link.springer.com/article/10.1057/jibs.2014.43</b:URL>
    <b:Author>
      <b:Author>
        <b:NameList>
          <b:Person>
            <b:Last>Cuervo-Cazurra</b:Last>
            <b:First>Alvaro</b:First>
          </b:Person>
          <b:Person>
            <b:Last>InkpenAldo</b:Last>
            <b:First>Andrew</b:First>
          </b:Person>
          <b:Person>
            <b:Last>Musacchio</b:Last>
          </b:Person>
          <b:Person>
            <b:Last>Ramaswamy</b:Last>
            <b:First>Kannan</b:First>
          </b:Person>
        </b:NameList>
      </b:Author>
    </b:Author>
    <b:JournalName>Journal of International Business Studies</b:JournalName>
    <b:Issue>8</b:Issue>
    <b:RefOrder>14</b:RefOrder>
  </b:Source>
  <b:Source>
    <b:Tag>Val14</b:Tag>
    <b:SourceType>JournalArticle</b:SourceType>
    <b:Guid>{4A41BEBB-0BED-4495-B4AC-AF1772EB44B4}</b:Guid>
    <b:Title>Gazprom on the European Market: in search of the balance between the principles of competition and energy security</b:Title>
    <b:Year>2014</b:Year>
    <b:Volume>37</b:Volume>
    <b:Issue>4</b:Issue>
    <b:Author>
      <b:Author>
        <b:NameList>
          <b:Person>
            <b:Last>Salygin</b:Last>
            <b:First>Valery</b:First>
            <b:Middle>I.</b:Middle>
          </b:Person>
          <b:Person>
            <b:Last>Kaveshnikov</b:Last>
            <b:First>Nikolay</b:First>
            <b:Middle>Y.</b:Middle>
          </b:Person>
        </b:NameList>
      </b:Author>
    </b:Author>
    <b:YearAccessed>2018</b:YearAccessed>
    <b:MonthAccessed>March</b:MonthAccessed>
    <b:DayAccessed>21</b:DayAccessed>
    <b:URL>http://www.vestnik.mgimo.ru/en/razdely/international-relations/gazprom-european-market-search-balance-between-principles</b:URL>
    <b:RefOrder>15</b:RefOrder>
  </b:Source>
  <b:Source>
    <b:Tag>Mar171</b:Tag>
    <b:SourceType>JournalArticle</b:SourceType>
    <b:Guid>{7043653D-381D-45EA-8C7B-554245103EE6}</b:Guid>
    <b:Title>An Intercultural Role-Playing Simulation Game to Recognize Cultural Dimensions</b:Title>
    <b:JournalName>Simulation &amp; Gaming</b:JournalName>
    <b:Year>2017</b:Year>
    <b:Volume>48</b:Volume>
    <b:Issue>2</b:Issue>
    <b:Author>
      <b:Author>
        <b:NameList>
          <b:Person>
            <b:Last>Jong</b:Last>
            <b:First>Martin</b:First>
            <b:Middle>de</b:Middle>
          </b:Person>
          <b:Person>
            <b:Last>Warmelink</b:Last>
            <b:First>Harald</b:First>
          </b:Person>
        </b:NameList>
      </b:Author>
    </b:Author>
    <b:YearAccessed>2018</b:YearAccessed>
    <b:MonthAccessed>March</b:MonthAccessed>
    <b:DayAccessed>21</b:DayAccessed>
    <b:URL>http://journals.sagepub.com/doi/full/10.1177/1046878117691076</b:URL>
    <b:RefOrder>16</b:RefOrder>
  </b:Source>
  <b:Source>
    <b:Tag>Ben142</b:Tag>
    <b:SourceType>Book</b:SourceType>
    <b:Guid>{4944CC15-D997-43D3-8DBE-BCCC50C50CE6}</b:Guid>
    <b:Title>The Oxford Handbook of Organizational Climate and Culture</b:Title>
    <b:Year>2014</b:Year>
    <b:Publisher>Oxford University Press</b:Publisher>
    <b:YearAccessed>2018</b:YearAccessed>
    <b:MonthAccessed>March</b:MonthAccessed>
    <b:DayAccessed>21</b:DayAccessed>
    <b:URL>https://books.google.com.pk/books?id=7zVjAwAAQBAJ&amp;pg=PA291&amp;lpg=PA291&amp;dq=academy+of+management+review+gazprom&amp;source=bl&amp;ots=s5LyB0UFUi&amp;sig=etKgGX8Y67mK6gnG3XN7BrqF2x0&amp;hl=en&amp;sa=X&amp;ved=0ahUKEwjx58fJtfzZAhWFUhQKHdyoA60Q6AEIQTAD#v=onepage&amp;q=academy%20of%20manag</b:URL>
    <b:Author>
      <b:Author>
        <b:NameList>
          <b:Person>
            <b:Last>Schneider</b:Last>
            <b:First>Benjamin</b:First>
          </b:Person>
          <b:Person>
            <b:Last>Barbera</b:Last>
            <b:First>Karen</b:First>
            <b:Middle>M.</b:Middle>
          </b:Person>
        </b:NameList>
      </b:Author>
    </b:Author>
    <b:RefOrder>18</b:RefOrder>
  </b:Source>
  <b:Source>
    <b:Tag>Sve16</b:Tag>
    <b:SourceType>Book</b:SourceType>
    <b:Guid>{EF633F89-323D-4B3F-90B1-AB83B4841290}</b:Guid>
    <b:Title>Value Creation in International Business: Volume 1: An MNC Perspective</b:Title>
    <b:Year>2016</b:Year>
    <b:Publisher>Springer</b:Publisher>
    <b:Author>
      <b:Author>
        <b:NameList>
          <b:Person>
            <b:Last>Marinova</b:Last>
            <b:First>Svetla</b:First>
          </b:Person>
          <b:Person>
            <b:Last>Larimo</b:Last>
            <b:First>Jorma</b:First>
          </b:Person>
          <b:Person>
            <b:Last>Nummela</b:Last>
            <b:First>Niina</b:First>
          </b:Person>
        </b:NameList>
      </b:Author>
    </b:Author>
    <b:YearAccessed>2018</b:YearAccessed>
    <b:MonthAccessed>March</b:MonthAccessed>
    <b:DayAccessed>21</b:DayAccessed>
    <b:URL>https://books.google.com.pk/books?id=-p1xDQAAQBAJ&amp;pg=PA404&amp;lpg=PA404&amp;dq=s+the+international+journal+of+human+resource+management+gazprom&amp;source=bl&amp;ots=jI_90VZ-Ut&amp;sig=Aeod3NAcSnziGlUhkAUxtggEe9I&amp;hl=en&amp;sa=X&amp;ved=0ahUKEwjE_9bjtfzZAhVE6RQKHcDOB4cQ6AEIMzAB#v=on</b:URL>
    <b:RefOrder>19</b:RefOrder>
  </b:Source>
  <b:Source>
    <b:Tag>Mic114</b:Tag>
    <b:SourceType>Book</b:SourceType>
    <b:Guid>{3606219A-DE9C-47A3-AC5D-9F5A7AA57ADA}</b:Guid>
    <b:Title>Competitive Advantage of Nations: Creating and Sustaining Superior Performance</b:Title>
    <b:Year>2011</b:Year>
    <b:Publisher>Simon and Schuster</b:Publisher>
    <b:Author>
      <b:Author>
        <b:NameList>
          <b:Person>
            <b:Last>Porter</b:Last>
            <b:First>Michael</b:First>
            <b:Middle>E.</b:Middle>
          </b:Person>
        </b:NameList>
      </b:Author>
    </b:Author>
    <b:YearAccessed>2018</b:YearAccessed>
    <b:MonthAccessed>March</b:MonthAccessed>
    <b:DayAccessed>21</b:DayAccessed>
    <b:URL>https://books.google.com.pk/books?id=CqZzxAxBpfEC&amp;printsec=frontcover&amp;dq=porter%27s+diamond&amp;hl=en&amp;sa=X&amp;ved=0ahUKEwj2wMiwt_zZAhVEqI8KHfdHAJ8Q6AEILjAB#v=onepage&amp;q&amp;f=false</b:URL>
    <b:RefOrder>2</b:RefOrder>
  </b:Source>
  <b:Source>
    <b:Tag>Cat101</b:Tag>
    <b:SourceType>Book</b:SourceType>
    <b:Guid>{ED506DAB-2174-42C4-8371-6C651FC315D7}</b:Guid>
    <b:Title>The Cornell School of Hotel Administration Handbook of Applied Hospitality Strategy</b:Title>
    <b:Year>2010</b:Year>
    <b:Publisher>sage publications</b:Publisher>
    <b:Author>
      <b:Author>
        <b:NameList>
          <b:Person>
            <b:Last>Enz</b:Last>
            <b:First>Cathy</b:First>
            <b:Middle>A.</b:Middle>
          </b:Person>
        </b:NameList>
      </b:Author>
    </b:Author>
    <b:YearAccessed>2018</b:YearAccessed>
    <b:MonthAccessed>March</b:MonthAccessed>
    <b:DayAccessed>21</b:DayAccessed>
    <b:URL>https://books.google.com.pk/books?id=lJdoJTcmBFwC&amp;pg=PA988&amp;dq=8+Ps+of+market+entry&amp;hl=en&amp;sa=X&amp;ved=0ahUKEwjiy-Pat_zZAhXBrI8KHckCBr8Q6AEILDAB#v=onepage&amp;q=8%20Ps%20of%20market%20entry&amp;f=false</b:URL>
    <b:RefOrder>17</b:RefOrder>
  </b:Source>
</b:Sources>
</file>

<file path=customXml/itemProps1.xml><?xml version="1.0" encoding="utf-8"?>
<ds:datastoreItem xmlns:ds="http://schemas.openxmlformats.org/officeDocument/2006/customXml" ds:itemID="{426C5D3C-8309-4B4F-8ACC-CF24D31AB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4776</Words>
  <Characters>27228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International Business (SBMA7122D)</Company>
  <LinksUpToDate>false</LinksUpToDate>
  <CharactersWithSpaces>31941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2</dc:subject>
  <dc:creator>Daina Veprauskiene</dc:creator>
  <cp:keywords/>
  <dc:description/>
  <cp:lastModifiedBy>Daina Veprauskiene</cp:lastModifiedBy>
  <cp:revision>4</cp:revision>
  <dcterms:created xsi:type="dcterms:W3CDTF">2018-04-29T15:33:00Z</dcterms:created>
  <dcterms:modified xsi:type="dcterms:W3CDTF">2018-04-29T16:19:00Z</dcterms:modified>
</cp:coreProperties>
</file>