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B098A" w14:textId="35A9ED30" w:rsidR="000E462F" w:rsidRDefault="000E462F" w:rsidP="00F74265">
      <w:pPr>
        <w:spacing w:line="360" w:lineRule="auto"/>
        <w:rPr>
          <w:rFonts w:ascii="Arial" w:hAnsi="Arial" w:cs="Arial"/>
        </w:rPr>
      </w:pPr>
    </w:p>
    <w:p w14:paraId="27EC49BD" w14:textId="13C05563" w:rsidR="000E462F" w:rsidRDefault="001E02CF" w:rsidP="00F74265">
      <w:pPr>
        <w:spacing w:line="360" w:lineRule="auto"/>
        <w:rPr>
          <w:rFonts w:ascii="Arial" w:hAnsi="Arial" w:cs="Arial"/>
        </w:rPr>
      </w:pPr>
      <w:r>
        <w:rPr>
          <w:rFonts w:ascii="Arial" w:hAnsi="Arial" w:cs="Arial"/>
        </w:rPr>
        <w:t xml:space="preserve">Name - </w:t>
      </w:r>
      <w:r w:rsidR="000E462F">
        <w:rPr>
          <w:rFonts w:ascii="Arial" w:hAnsi="Arial" w:cs="Arial"/>
        </w:rPr>
        <w:t>Shazia Purveen Hussain</w:t>
      </w:r>
    </w:p>
    <w:p w14:paraId="6CE8A546" w14:textId="2EDE799D" w:rsidR="005B0EA5" w:rsidRDefault="008332EC" w:rsidP="00F74265">
      <w:pPr>
        <w:spacing w:line="360" w:lineRule="auto"/>
        <w:rPr>
          <w:rFonts w:ascii="Arial" w:hAnsi="Arial" w:cs="Arial"/>
        </w:rPr>
      </w:pPr>
      <w:r>
        <w:rPr>
          <w:rFonts w:ascii="Arial" w:hAnsi="Arial" w:cs="Arial"/>
        </w:rPr>
        <w:t>LCHS 4008</w:t>
      </w:r>
    </w:p>
    <w:p w14:paraId="3E7BC587" w14:textId="687C8509" w:rsidR="008332EC" w:rsidRDefault="000E462F" w:rsidP="00F74265">
      <w:pPr>
        <w:spacing w:line="360" w:lineRule="auto"/>
        <w:rPr>
          <w:rFonts w:ascii="Arial" w:hAnsi="Arial" w:cs="Arial"/>
        </w:rPr>
      </w:pPr>
      <w:r>
        <w:rPr>
          <w:rFonts w:ascii="Arial" w:hAnsi="Arial" w:cs="Arial"/>
        </w:rPr>
        <w:t>Assignment Title</w:t>
      </w:r>
    </w:p>
    <w:p w14:paraId="3E3112CD" w14:textId="1E781644" w:rsidR="000E462F" w:rsidRPr="008332EC" w:rsidRDefault="000E462F" w:rsidP="00F74265">
      <w:pPr>
        <w:spacing w:line="360" w:lineRule="auto"/>
        <w:rPr>
          <w:rFonts w:ascii="Arial" w:hAnsi="Arial" w:cs="Arial"/>
        </w:rPr>
      </w:pPr>
      <w:r>
        <w:rPr>
          <w:rFonts w:ascii="Arial" w:hAnsi="Arial" w:cs="Arial"/>
        </w:rPr>
        <w:t xml:space="preserve">Module – Introduction </w:t>
      </w:r>
      <w:r w:rsidR="0005300D">
        <w:rPr>
          <w:rFonts w:ascii="Arial" w:hAnsi="Arial" w:cs="Arial"/>
        </w:rPr>
        <w:t>to</w:t>
      </w:r>
      <w:r>
        <w:rPr>
          <w:rFonts w:ascii="Arial" w:hAnsi="Arial" w:cs="Arial"/>
        </w:rPr>
        <w:t xml:space="preserve"> Public Health</w:t>
      </w:r>
    </w:p>
    <w:p w14:paraId="4CB6659E" w14:textId="70741110" w:rsidR="005B0EA5" w:rsidRPr="0005300D" w:rsidRDefault="0005300D" w:rsidP="00F74265">
      <w:pPr>
        <w:spacing w:line="360" w:lineRule="auto"/>
        <w:rPr>
          <w:rFonts w:ascii="Arial" w:hAnsi="Arial" w:cs="Arial"/>
        </w:rPr>
      </w:pPr>
      <w:r w:rsidRPr="0005300D">
        <w:rPr>
          <w:rFonts w:ascii="Arial" w:hAnsi="Arial" w:cs="Arial"/>
        </w:rPr>
        <w:t>Student Number</w:t>
      </w:r>
      <w:r>
        <w:rPr>
          <w:rFonts w:ascii="Arial" w:hAnsi="Arial" w:cs="Arial"/>
        </w:rPr>
        <w:t xml:space="preserve"> - 2530125</w:t>
      </w:r>
    </w:p>
    <w:p w14:paraId="606435A2" w14:textId="4CD82B9D" w:rsidR="0005300D" w:rsidRPr="00F600E1" w:rsidRDefault="001E02CF" w:rsidP="00F74265">
      <w:pPr>
        <w:spacing w:line="360" w:lineRule="auto"/>
        <w:rPr>
          <w:rFonts w:ascii="Arial" w:hAnsi="Arial" w:cs="Arial"/>
        </w:rPr>
      </w:pPr>
      <w:r w:rsidRPr="00F600E1">
        <w:rPr>
          <w:rFonts w:ascii="Arial" w:hAnsi="Arial" w:cs="Arial"/>
        </w:rPr>
        <w:t xml:space="preserve">Lecturers Name </w:t>
      </w:r>
      <w:r w:rsidR="00F600E1" w:rsidRPr="00F600E1">
        <w:rPr>
          <w:rFonts w:ascii="Arial" w:hAnsi="Arial" w:cs="Arial"/>
        </w:rPr>
        <w:t>–</w:t>
      </w:r>
      <w:r w:rsidRPr="00F600E1">
        <w:rPr>
          <w:rFonts w:ascii="Arial" w:hAnsi="Arial" w:cs="Arial"/>
        </w:rPr>
        <w:t xml:space="preserve"> B</w:t>
      </w:r>
      <w:r w:rsidR="00F600E1" w:rsidRPr="00F600E1">
        <w:rPr>
          <w:rFonts w:ascii="Arial" w:hAnsi="Arial" w:cs="Arial"/>
        </w:rPr>
        <w:t>ernice Ejiogu</w:t>
      </w:r>
    </w:p>
    <w:p w14:paraId="365F14DF" w14:textId="77777777" w:rsidR="00C83AE9" w:rsidRDefault="00C83AE9" w:rsidP="00F74265">
      <w:pPr>
        <w:spacing w:line="360" w:lineRule="auto"/>
        <w:rPr>
          <w:rFonts w:ascii="Arial" w:hAnsi="Arial" w:cs="Arial"/>
          <w:b/>
          <w:bCs/>
          <w:u w:val="single"/>
        </w:rPr>
      </w:pPr>
    </w:p>
    <w:p w14:paraId="7D9263B3" w14:textId="42BF0CE9" w:rsidR="007552E9" w:rsidRPr="00AF579D" w:rsidRDefault="007552E9" w:rsidP="00F74265">
      <w:pPr>
        <w:spacing w:line="360" w:lineRule="auto"/>
        <w:rPr>
          <w:rFonts w:ascii="Arial" w:hAnsi="Arial" w:cs="Arial"/>
          <w:b/>
          <w:bCs/>
          <w:u w:val="single"/>
        </w:rPr>
      </w:pPr>
      <w:r w:rsidRPr="00AF579D">
        <w:rPr>
          <w:rFonts w:ascii="Arial" w:hAnsi="Arial" w:cs="Arial"/>
          <w:b/>
          <w:bCs/>
          <w:u w:val="single"/>
        </w:rPr>
        <w:t>LCHS4008 Component 2: Written Report</w:t>
      </w:r>
    </w:p>
    <w:p w14:paraId="67F7A16C" w14:textId="77777777" w:rsidR="007552E9" w:rsidRPr="00AF579D" w:rsidRDefault="007552E9" w:rsidP="00F74265">
      <w:pPr>
        <w:spacing w:line="360" w:lineRule="auto"/>
        <w:rPr>
          <w:rFonts w:ascii="Arial" w:hAnsi="Arial" w:cs="Arial"/>
        </w:rPr>
      </w:pPr>
    </w:p>
    <w:p w14:paraId="158960DB" w14:textId="79ADFE96" w:rsidR="007552E9" w:rsidRPr="00AF579D" w:rsidRDefault="00020E85" w:rsidP="00F74265">
      <w:pPr>
        <w:spacing w:after="30" w:line="360" w:lineRule="auto"/>
        <w:rPr>
          <w:rFonts w:ascii="Arial" w:hAnsi="Arial" w:cs="Arial"/>
        </w:rPr>
      </w:pPr>
      <w:r w:rsidRPr="00AF579D">
        <w:rPr>
          <w:rFonts w:ascii="Arial" w:hAnsi="Arial" w:cs="Arial"/>
        </w:rPr>
        <w:t>Depression, formally known as major depressive disorder (MDD), is a common but serious mental health condition characterised by persistent low mood, loss of interest in previously enjoyed activities and a range of physical and cognitive changes that significantly impair daily functioning</w:t>
      </w:r>
      <w:r w:rsidR="007552E9" w:rsidRPr="00AF579D">
        <w:rPr>
          <w:rFonts w:ascii="Arial" w:hAnsi="Arial" w:cs="Arial"/>
        </w:rPr>
        <w:t xml:space="preserve">. Unlike temporary feelings of sadness or grief, depression lasts for at least two weeks and often continues for months and years without intervention. Key signs and symptoms include feelings of hopelessness or worthlessness, fatigue, changes in appetite or sleep patterns, difficulty concentrating, and recurrent thoughts of death or self-harm. Globally, the World Health Organization (WHO, 2023) estimates that 280 million people – 3.8% of the global population – live with depression, with rates rising to 5.0% among adults and 5.7% among adults over 60. In the UK, NHS Digital (2024) reports that 1 in 6 people aged 16 and over experience symptoms of </w:t>
      </w:r>
      <w:r w:rsidR="007A5250" w:rsidRPr="00AF579D">
        <w:rPr>
          <w:rFonts w:ascii="Arial" w:hAnsi="Arial" w:cs="Arial"/>
        </w:rPr>
        <w:t>depression and</w:t>
      </w:r>
      <w:r w:rsidR="00B7766A" w:rsidRPr="00AF579D">
        <w:rPr>
          <w:rFonts w:ascii="Arial" w:hAnsi="Arial" w:cs="Arial"/>
        </w:rPr>
        <w:t xml:space="preserve"> mental health issues </w:t>
      </w:r>
      <w:r w:rsidR="007552E9" w:rsidRPr="00AF579D">
        <w:rPr>
          <w:rFonts w:ascii="Arial" w:hAnsi="Arial" w:cs="Arial"/>
        </w:rPr>
        <w:t>in any given week, with prevalence higher in women, young adults aged 16–24, and those living in deprived areas</w:t>
      </w:r>
      <w:r w:rsidR="00B7766A" w:rsidRPr="00AF579D">
        <w:rPr>
          <w:rFonts w:ascii="Arial" w:hAnsi="Arial" w:cs="Arial"/>
        </w:rPr>
        <w:t xml:space="preserve"> and</w:t>
      </w:r>
      <w:r w:rsidR="007A5250" w:rsidRPr="00AF579D">
        <w:rPr>
          <w:rFonts w:ascii="Arial" w:hAnsi="Arial" w:cs="Arial"/>
        </w:rPr>
        <w:t xml:space="preserve"> unlively places</w:t>
      </w:r>
      <w:r w:rsidR="007552E9" w:rsidRPr="00AF579D">
        <w:rPr>
          <w:rFonts w:ascii="Arial" w:hAnsi="Arial" w:cs="Arial"/>
        </w:rPr>
        <w:t>. These figures confirm depression as one of the most pressing public health challenges of our time.</w:t>
      </w:r>
    </w:p>
    <w:p w14:paraId="770066E0" w14:textId="77777777" w:rsidR="007552E9" w:rsidRPr="00AF579D" w:rsidRDefault="007552E9" w:rsidP="00F74265">
      <w:pPr>
        <w:spacing w:after="30" w:line="360" w:lineRule="auto"/>
        <w:rPr>
          <w:rFonts w:ascii="Arial" w:hAnsi="Arial" w:cs="Arial"/>
        </w:rPr>
      </w:pPr>
    </w:p>
    <w:p w14:paraId="58AAAA00" w14:textId="2DE44C22" w:rsidR="007552E9" w:rsidRPr="00AF579D" w:rsidRDefault="007552E9" w:rsidP="00F74265">
      <w:pPr>
        <w:spacing w:after="30" w:line="360" w:lineRule="auto"/>
        <w:rPr>
          <w:rFonts w:ascii="Arial" w:hAnsi="Arial" w:cs="Arial"/>
        </w:rPr>
      </w:pPr>
      <w:r w:rsidRPr="00AF579D">
        <w:rPr>
          <w:rFonts w:ascii="Arial" w:hAnsi="Arial" w:cs="Arial"/>
        </w:rPr>
        <w:t>Accurate measurement and monitoring are critical to understanding depression’s spread, identifying at-risk groups, and evaluating the impact of public health interventions. Standardised clinical assessment tools form the foundation of diagnosis and monitoring in healthcare settings</w:t>
      </w:r>
      <w:r w:rsidR="00AF304B" w:rsidRPr="00AF579D">
        <w:rPr>
          <w:rFonts w:ascii="Arial" w:hAnsi="Arial" w:cs="Arial"/>
        </w:rPr>
        <w:t xml:space="preserve"> ensuring that people are </w:t>
      </w:r>
      <w:r w:rsidR="00B066CF" w:rsidRPr="00AF579D">
        <w:rPr>
          <w:rFonts w:ascii="Arial" w:hAnsi="Arial" w:cs="Arial"/>
        </w:rPr>
        <w:t xml:space="preserve">helped and cared to the max capability. </w:t>
      </w:r>
      <w:r w:rsidRPr="00AF579D">
        <w:rPr>
          <w:rFonts w:ascii="Arial" w:hAnsi="Arial" w:cs="Arial"/>
        </w:rPr>
        <w:t xml:space="preserve">The Patient Health Questionnaire-9 (PHQ-9) is the most widely used screening tool in UK primary care: it asks patients to rate nine core symptoms over the previous two weeks, with scores of 10 or more indicating probable depression and higher scores reflecting greater </w:t>
      </w:r>
      <w:r w:rsidRPr="00AF579D">
        <w:rPr>
          <w:rFonts w:ascii="Arial" w:hAnsi="Arial" w:cs="Arial"/>
        </w:rPr>
        <w:lastRenderedPageBreak/>
        <w:t xml:space="preserve">severity. The Beck Depression Inventory-II (BDI-II) is another validated tool, used by mental health specialists to assess symptom severity and track changes over the course of treatment. Population-level monitoring relies on national and international surveys that track prevalence over time. The UK’s Adult Psychiatric Morbidity Survey (APMS), conducted every seven years, uses structured interviews and standardised questionnaires to measure depression </w:t>
      </w:r>
      <w:r w:rsidR="00853929" w:rsidRPr="00AF579D">
        <w:rPr>
          <w:rFonts w:ascii="Arial" w:hAnsi="Arial" w:cs="Arial"/>
        </w:rPr>
        <w:t xml:space="preserve">and mental health crisis </w:t>
      </w:r>
      <w:r w:rsidRPr="00AF579D">
        <w:rPr>
          <w:rFonts w:ascii="Arial" w:hAnsi="Arial" w:cs="Arial"/>
        </w:rPr>
        <w:t>alongside other mental health conditions across representative samples of the population</w:t>
      </w:r>
      <w:r w:rsidR="00853929" w:rsidRPr="00AF579D">
        <w:rPr>
          <w:rFonts w:ascii="Arial" w:hAnsi="Arial" w:cs="Arial"/>
        </w:rPr>
        <w:t xml:space="preserve"> and across the globe</w:t>
      </w:r>
      <w:r w:rsidRPr="00AF579D">
        <w:rPr>
          <w:rFonts w:ascii="Arial" w:hAnsi="Arial" w:cs="Arial"/>
        </w:rPr>
        <w:t>. The WHO’s World Mental Health Surveys use consistent methodologies across countries to enable global comparisons of prevalence and service access. Administrative data sources, including NHS hospital admissions, GP consultation records, and mental health service referral statistics, also provide ongoing insights into how many people are seeking support, treatment types used, and regional variations in prevalence. Surveillance systems such as the UK’s Mental Health Surveillance Network monitor trends in depression alongside risk factors including poverty, social isolation, and economic instability. During the COVID-19 pandemic, these systems detected a 25% rise in reported depression symptoms in the UK within six months, linked to lockdowns, financial uncertainty, and disrupted social connections (Public Health England, 2021).</w:t>
      </w:r>
      <w:r w:rsidR="008A1694" w:rsidRPr="00AF579D">
        <w:rPr>
          <w:rFonts w:ascii="Arial" w:hAnsi="Arial" w:cs="Arial"/>
        </w:rPr>
        <w:t xml:space="preserve"> </w:t>
      </w:r>
      <w:r w:rsidRPr="00AF579D">
        <w:rPr>
          <w:rFonts w:ascii="Arial" w:hAnsi="Arial" w:cs="Arial"/>
        </w:rPr>
        <w:t>Controlling depression requires a multi-layered approach spanning individual clinical care, public health policy, and community action, as there is no single cause or cure. Clinical interventions are central to managing the condition: NICE (2022) guidelines recommend cognitive behavioural therapy (CBT) as the first-line treatment for mild-to-moderate depression, alongside other talking therapies such as interpersonal therapy (IPT) and counselling. For moderate-to-severe cases, these therapies are often combined with antidepressant medication – most commonly selective serotonin reuptake inhibitors (SSRIs) – which balance brain chemicals linked to mood regulation</w:t>
      </w:r>
      <w:r w:rsidR="008D2EC7" w:rsidRPr="00AF579D">
        <w:rPr>
          <w:rFonts w:ascii="Arial" w:hAnsi="Arial" w:cs="Arial"/>
        </w:rPr>
        <w:t xml:space="preserve"> and internal regulatory systems</w:t>
      </w:r>
      <w:r w:rsidR="00332531" w:rsidRPr="00AF579D">
        <w:rPr>
          <w:rFonts w:ascii="Arial" w:hAnsi="Arial" w:cs="Arial"/>
        </w:rPr>
        <w:t xml:space="preserve"> mainly the brain</w:t>
      </w:r>
      <w:r w:rsidRPr="00AF579D">
        <w:rPr>
          <w:rFonts w:ascii="Arial" w:hAnsi="Arial" w:cs="Arial"/>
        </w:rPr>
        <w:t>. Severe or treatment-resistant cases may require specialist interventions such as electroconvulsive therapy (ECT) or newer treatments like ketamine, delivered under close psychiatric supervision. Public health strategies focus on prevention and early intervention to reduce incidence and severity</w:t>
      </w:r>
      <w:r w:rsidR="00332531" w:rsidRPr="00AF579D">
        <w:rPr>
          <w:rFonts w:ascii="Arial" w:hAnsi="Arial" w:cs="Arial"/>
        </w:rPr>
        <w:t xml:space="preserve"> of these cases</w:t>
      </w:r>
      <w:r w:rsidRPr="00AF579D">
        <w:rPr>
          <w:rFonts w:ascii="Arial" w:hAnsi="Arial" w:cs="Arial"/>
        </w:rPr>
        <w:t>. This includes national awareness campaigns such as the UK’s Every Mind Matters initiative, which works to reduce stigma around mental health and encourage people to seek help early</w:t>
      </w:r>
      <w:r w:rsidR="009F7367" w:rsidRPr="00AF579D">
        <w:rPr>
          <w:rFonts w:ascii="Arial" w:hAnsi="Arial" w:cs="Arial"/>
        </w:rPr>
        <w:t xml:space="preserve"> which also decreases national recorded depression cases</w:t>
      </w:r>
      <w:r w:rsidRPr="00AF579D">
        <w:rPr>
          <w:rFonts w:ascii="Arial" w:hAnsi="Arial" w:cs="Arial"/>
        </w:rPr>
        <w:t>. Universal mental health education in schools and workplaces builds understanding of depression and teaches coping skills to prevent its onset</w:t>
      </w:r>
      <w:r w:rsidR="009F7367" w:rsidRPr="00AF579D">
        <w:rPr>
          <w:rFonts w:ascii="Arial" w:hAnsi="Arial" w:cs="Arial"/>
        </w:rPr>
        <w:t xml:space="preserve"> benefiting people earlier</w:t>
      </w:r>
      <w:r w:rsidRPr="00AF579D">
        <w:rPr>
          <w:rFonts w:ascii="Arial" w:hAnsi="Arial" w:cs="Arial"/>
        </w:rPr>
        <w:t xml:space="preserve">. Addressing social determinants of health – such as poverty, poor housing, domestic abuse, and discrimination – is also critical, as these factors are strongly linked to higher depression risk. For example, the UK government’s Levelling Up agenda includes measures to reduce regional deprivation, which could reduce depression in disadvantaged communities. Community-based control </w:t>
      </w:r>
      <w:r w:rsidRPr="00AF579D">
        <w:rPr>
          <w:rFonts w:ascii="Arial" w:hAnsi="Arial" w:cs="Arial"/>
        </w:rPr>
        <w:lastRenderedPageBreak/>
        <w:t>measures include peer support groups, mental health first aid training, and suicide prevention programmes</w:t>
      </w:r>
      <w:r w:rsidR="0057186B" w:rsidRPr="00AF579D">
        <w:rPr>
          <w:rFonts w:ascii="Arial" w:hAnsi="Arial" w:cs="Arial"/>
        </w:rPr>
        <w:t xml:space="preserve"> decreasing major depression and increasing awareness around the globe</w:t>
      </w:r>
      <w:r w:rsidRPr="00AF579D">
        <w:rPr>
          <w:rFonts w:ascii="Arial" w:hAnsi="Arial" w:cs="Arial"/>
        </w:rPr>
        <w:t>. Self-management support, such as access to digital mental health tools, mindfulness resources, and advice on physical activity and sleep hygiene, also helps people manage symptoms and prevent relapse.</w:t>
      </w:r>
      <w:r w:rsidR="008A1694" w:rsidRPr="00AF579D">
        <w:rPr>
          <w:rFonts w:ascii="Arial" w:hAnsi="Arial" w:cs="Arial"/>
        </w:rPr>
        <w:t xml:space="preserve"> </w:t>
      </w:r>
      <w:r w:rsidRPr="00AF579D">
        <w:rPr>
          <w:rFonts w:ascii="Arial" w:hAnsi="Arial" w:cs="Arial"/>
        </w:rPr>
        <w:t xml:space="preserve">Depression has far-reaching impacts on individuals, their families, and wider society. For individuals, the condition often reduces quality of life, limiting ability to work, study, maintain relationships, or carry out routine daily tasks. Untreated depression is strongly linked to physical health problems: it increases the risk of cardiovascular disease, diabetes, chronic pain, and weakened immune function, creating a cycle of poor health. It is also the leading mental health risk factor for suicide, with 1 in 5 people with severe depression reporting suicidal thoughts (NHS Digital, 2024). For families and carers, supporting someone with depression can cause emotional distress, financial strain, and social isolation, as carers may reduce work hours or give up employment entirely to provide support. Children growing up with a parent with depression are more likely to experience emotional, behavioural, and educational difficulties, and have a higher risk of developing mental health conditions themselves in adulthood. At a community level, depression creates significant economic costs: the UK Department of Health and Social Care (2023) estimates that depression costs the UK economy over £12 billion annually in lost productivity, sick leave, and early retirement. It widens health inequalities, as prevalence is highest among already marginalised groups including people on low incomes, those from minority ethnic backgrounds, and people with disabilities. Depression also places additional pressure on public services, including primary care, emergency services, and social care, as well as reducing community participation and social </w:t>
      </w:r>
      <w:r w:rsidR="0018022A" w:rsidRPr="00AF579D">
        <w:rPr>
          <w:rFonts w:ascii="Arial" w:hAnsi="Arial" w:cs="Arial"/>
        </w:rPr>
        <w:t>cohesion. A</w:t>
      </w:r>
      <w:r w:rsidRPr="00AF579D">
        <w:rPr>
          <w:rFonts w:ascii="Arial" w:hAnsi="Arial" w:cs="Arial"/>
        </w:rPr>
        <w:t xml:space="preserve"> coordinated network of health and social care services is required to meet the diverse needs of people living with depression</w:t>
      </w:r>
      <w:r w:rsidR="0081329D" w:rsidRPr="00AF579D">
        <w:rPr>
          <w:rFonts w:ascii="Arial" w:hAnsi="Arial" w:cs="Arial"/>
        </w:rPr>
        <w:t xml:space="preserve"> and to make sure that the people are supported and treated in the correct order and manner in</w:t>
      </w:r>
      <w:r w:rsidRPr="00AF579D">
        <w:rPr>
          <w:rFonts w:ascii="Arial" w:hAnsi="Arial" w:cs="Arial"/>
        </w:rPr>
        <w:t xml:space="preserve"> the UK, access usually begins with primary care: GPs provide initial assessment, diagnosis, and access to low-intensity interventions such as guided self-help and refer people to specialist services where needed. The NHS Improving Access to Psychological Therapies (IAPT) programme provides free, evidence-based talking therapies to people of all ages, with local services offering face-to-face, telephone, or digital appointments. Specialist secondary mental health services offer support for people with severe or complex depression, including psychiatric assessment, medication management, and crisis care. Community mental health teams bring together psychiatrists, psychologists, mental health nurses, social workers, and occupational therapists to provide holistic support, including help with employment, housing, and social inclusion. For people at immediate risk of harm, 24/7 crisis support is available via NHS mental health crisis lines, accident and emergency departments, and specialist crisis teams. Social care services complement </w:t>
      </w:r>
      <w:r w:rsidRPr="00AF579D">
        <w:rPr>
          <w:rFonts w:ascii="Arial" w:hAnsi="Arial" w:cs="Arial"/>
        </w:rPr>
        <w:lastRenderedPageBreak/>
        <w:t>clinical treatment: social workers provide practical support with housing, benefits, and family relationships, while care workers support people who struggle with daily tasks due to severe symptoms. Voluntary and community sector organisations – including Mind, Rethink Mental Illness, and local peer support groups – offer free advocacy, peer support, and advice on navigating services, often filling gaps in statutory</w:t>
      </w:r>
      <w:r w:rsidR="008A1694" w:rsidRPr="00AF579D">
        <w:rPr>
          <w:rFonts w:ascii="Arial" w:hAnsi="Arial" w:cs="Arial"/>
        </w:rPr>
        <w:t xml:space="preserve"> </w:t>
      </w:r>
      <w:r w:rsidRPr="00AF579D">
        <w:rPr>
          <w:rFonts w:ascii="Arial" w:hAnsi="Arial" w:cs="Arial"/>
        </w:rPr>
        <w:t>provision. Young people can access specialist support via NHS Child and Adolescent Mental Health Services (CAMHS)</w:t>
      </w:r>
      <w:r w:rsidR="00C46D47" w:rsidRPr="00AF579D">
        <w:rPr>
          <w:rFonts w:ascii="Arial" w:hAnsi="Arial" w:cs="Arial"/>
        </w:rPr>
        <w:t xml:space="preserve"> and online support groups </w:t>
      </w:r>
      <w:r w:rsidRPr="00AF579D">
        <w:rPr>
          <w:rFonts w:ascii="Arial" w:hAnsi="Arial" w:cs="Arial"/>
        </w:rPr>
        <w:t>while older adults may receive tailored support from specialist old age psychiatry teams</w:t>
      </w:r>
      <w:r w:rsidR="00C46D47" w:rsidRPr="00AF579D">
        <w:rPr>
          <w:rFonts w:ascii="Arial" w:hAnsi="Arial" w:cs="Arial"/>
        </w:rPr>
        <w:t xml:space="preserve"> </w:t>
      </w:r>
      <w:r w:rsidR="00B7766A" w:rsidRPr="00AF579D">
        <w:rPr>
          <w:rFonts w:ascii="Arial" w:hAnsi="Arial" w:cs="Arial"/>
        </w:rPr>
        <w:t>widespread online and in person</w:t>
      </w:r>
      <w:r w:rsidRPr="00AF579D">
        <w:rPr>
          <w:rFonts w:ascii="Arial" w:hAnsi="Arial" w:cs="Arial"/>
        </w:rPr>
        <w:t>.</w:t>
      </w:r>
    </w:p>
    <w:p w14:paraId="4CCB5F0A" w14:textId="77777777" w:rsidR="007552E9" w:rsidRPr="00AF579D" w:rsidRDefault="007552E9" w:rsidP="00F74265">
      <w:pPr>
        <w:spacing w:after="30" w:line="360" w:lineRule="auto"/>
        <w:rPr>
          <w:rFonts w:ascii="Arial" w:hAnsi="Arial" w:cs="Arial"/>
        </w:rPr>
      </w:pPr>
    </w:p>
    <w:p w14:paraId="4DB674A8" w14:textId="40A04277" w:rsidR="007552E9" w:rsidRPr="00AF579D" w:rsidRDefault="007552E9" w:rsidP="00F74265">
      <w:pPr>
        <w:spacing w:after="30" w:line="360" w:lineRule="auto"/>
        <w:rPr>
          <w:rFonts w:ascii="Arial" w:hAnsi="Arial" w:cs="Arial"/>
        </w:rPr>
      </w:pPr>
      <w:r w:rsidRPr="00AF579D">
        <w:rPr>
          <w:rFonts w:ascii="Arial" w:hAnsi="Arial" w:cs="Arial"/>
        </w:rPr>
        <w:t>Depression is a widespread, debilitating condition with profound impacts on individuals, communities, and public services, yet it is often treatable with the right support. Robust measurement and monitoring systems are essential to track trends, identify vulnerable groups, and ensure interventions are effective, while control requires integrated action across clinical care, public health, and social policy. Addressing the social roots of depression – including poverty and inequality – is as important as providing medical treatment, to reduce both incidence and long-term harm. While the UK has made progress in expanding access to talking therapies and reducing stigma, gaps remain in service provision, particularly for marginalised groups and those living in rural areas. Sustained investment in mental health services, early intervention, and prevention is needed to ensure all people affected by depression can access the support they need to recover and participate fully in community life.</w:t>
      </w:r>
    </w:p>
    <w:p w14:paraId="4D2D86B2" w14:textId="77777777" w:rsidR="008A1694" w:rsidRPr="00AF579D" w:rsidRDefault="008A1694" w:rsidP="00F74265">
      <w:pPr>
        <w:spacing w:after="30" w:line="360" w:lineRule="auto"/>
        <w:rPr>
          <w:rFonts w:ascii="Arial" w:hAnsi="Arial" w:cs="Arial"/>
          <w:b/>
          <w:bCs/>
          <w:u w:val="single"/>
        </w:rPr>
      </w:pPr>
    </w:p>
    <w:p w14:paraId="5F5D4EFA" w14:textId="500A5569" w:rsidR="007552E9" w:rsidRPr="00AF579D" w:rsidRDefault="007552E9" w:rsidP="00F74265">
      <w:pPr>
        <w:spacing w:after="30" w:line="360" w:lineRule="auto"/>
        <w:rPr>
          <w:rFonts w:ascii="Arial" w:hAnsi="Arial" w:cs="Arial"/>
          <w:b/>
          <w:bCs/>
          <w:u w:val="single"/>
        </w:rPr>
      </w:pPr>
      <w:r w:rsidRPr="00AF579D">
        <w:rPr>
          <w:rFonts w:ascii="Arial" w:hAnsi="Arial" w:cs="Arial"/>
          <w:b/>
          <w:bCs/>
          <w:u w:val="single"/>
        </w:rPr>
        <w:t>References</w:t>
      </w:r>
      <w:r w:rsidR="00AF304B" w:rsidRPr="00AF579D">
        <w:rPr>
          <w:rFonts w:ascii="Arial" w:hAnsi="Arial" w:cs="Arial"/>
          <w:b/>
          <w:bCs/>
          <w:u w:val="single"/>
        </w:rPr>
        <w:t xml:space="preserve"> – citations list (5)</w:t>
      </w:r>
    </w:p>
    <w:p w14:paraId="6C27D068" w14:textId="7DC327EF" w:rsidR="007552E9" w:rsidRPr="00AF579D" w:rsidRDefault="003169AE" w:rsidP="00F74265">
      <w:pPr>
        <w:spacing w:after="30" w:line="360" w:lineRule="auto"/>
        <w:rPr>
          <w:rFonts w:ascii="Arial" w:hAnsi="Arial" w:cs="Arial"/>
        </w:rPr>
      </w:pPr>
      <w:r w:rsidRPr="00AF579D">
        <w:rPr>
          <w:rFonts w:ascii="Arial" w:hAnsi="Arial" w:cs="Arial"/>
        </w:rPr>
        <w:t>Number 1</w:t>
      </w:r>
      <w:r w:rsidR="007552E9" w:rsidRPr="00AF579D">
        <w:rPr>
          <w:rFonts w:ascii="Arial" w:hAnsi="Arial" w:cs="Arial"/>
        </w:rPr>
        <w:t>• Department of Health and Social Care. (2023). Mental Health and Wellbeing Economics Report. London: DHSC.</w:t>
      </w:r>
    </w:p>
    <w:p w14:paraId="2DEA7B52" w14:textId="675226F1" w:rsidR="007552E9" w:rsidRPr="00AF579D" w:rsidRDefault="003169AE" w:rsidP="00F74265">
      <w:pPr>
        <w:spacing w:after="30" w:line="360" w:lineRule="auto"/>
        <w:rPr>
          <w:rFonts w:ascii="Arial" w:hAnsi="Arial" w:cs="Arial"/>
        </w:rPr>
      </w:pPr>
      <w:r w:rsidRPr="00AF579D">
        <w:rPr>
          <w:rFonts w:ascii="Arial" w:hAnsi="Arial" w:cs="Arial"/>
        </w:rPr>
        <w:t>Number 2</w:t>
      </w:r>
      <w:r w:rsidR="007552E9" w:rsidRPr="00AF579D">
        <w:rPr>
          <w:rFonts w:ascii="Arial" w:hAnsi="Arial" w:cs="Arial"/>
        </w:rPr>
        <w:t>• National Institute for Health and Care Excellence. (2022). Depression in Adults: Treatment and Management (CG90). London: NICE.</w:t>
      </w:r>
    </w:p>
    <w:p w14:paraId="18DBD048" w14:textId="2B9F9F3A" w:rsidR="007552E9" w:rsidRPr="00AF579D" w:rsidRDefault="003169AE" w:rsidP="00F74265">
      <w:pPr>
        <w:spacing w:after="30" w:line="360" w:lineRule="auto"/>
        <w:rPr>
          <w:rFonts w:ascii="Arial" w:hAnsi="Arial" w:cs="Arial"/>
        </w:rPr>
      </w:pPr>
      <w:r w:rsidRPr="00AF579D">
        <w:rPr>
          <w:rFonts w:ascii="Arial" w:hAnsi="Arial" w:cs="Arial"/>
        </w:rPr>
        <w:t>Number 3</w:t>
      </w:r>
      <w:r w:rsidR="007552E9" w:rsidRPr="00AF579D">
        <w:rPr>
          <w:rFonts w:ascii="Arial" w:hAnsi="Arial" w:cs="Arial"/>
        </w:rPr>
        <w:t>• NHS Digital. (2024). Mental Health Statistics: Adults in England 2023/24. Leeds: NHS Digital.</w:t>
      </w:r>
    </w:p>
    <w:p w14:paraId="6DFCDF07" w14:textId="0A34A398" w:rsidR="007552E9" w:rsidRPr="00AF579D" w:rsidRDefault="003169AE" w:rsidP="00F74265">
      <w:pPr>
        <w:spacing w:after="30" w:line="360" w:lineRule="auto"/>
        <w:rPr>
          <w:rFonts w:ascii="Arial" w:hAnsi="Arial" w:cs="Arial"/>
        </w:rPr>
      </w:pPr>
      <w:r w:rsidRPr="00AF579D">
        <w:rPr>
          <w:rFonts w:ascii="Arial" w:hAnsi="Arial" w:cs="Arial"/>
        </w:rPr>
        <w:t>Number 4</w:t>
      </w:r>
      <w:r w:rsidR="007552E9" w:rsidRPr="00AF579D">
        <w:rPr>
          <w:rFonts w:ascii="Arial" w:hAnsi="Arial" w:cs="Arial"/>
        </w:rPr>
        <w:t>• Public Health England. (2021). Mental Health Impacts of the COVID-19 Pandemic. London: PHE.</w:t>
      </w:r>
    </w:p>
    <w:p w14:paraId="19050170" w14:textId="2C5A4F57" w:rsidR="007552E9" w:rsidRPr="00AF579D" w:rsidRDefault="003169AE" w:rsidP="00F74265">
      <w:pPr>
        <w:spacing w:after="30" w:line="360" w:lineRule="auto"/>
        <w:rPr>
          <w:rFonts w:ascii="Arial" w:hAnsi="Arial" w:cs="Arial"/>
        </w:rPr>
      </w:pPr>
      <w:r w:rsidRPr="00AF579D">
        <w:rPr>
          <w:rFonts w:ascii="Arial" w:hAnsi="Arial" w:cs="Arial"/>
        </w:rPr>
        <w:t>Number 5</w:t>
      </w:r>
      <w:r w:rsidR="007552E9" w:rsidRPr="00AF579D">
        <w:rPr>
          <w:rFonts w:ascii="Arial" w:hAnsi="Arial" w:cs="Arial"/>
        </w:rPr>
        <w:t>• World Health Organization. (2023). Depression and Other Common Mental Disorders: Global Health Estimates. Geneva: W</w:t>
      </w:r>
      <w:r w:rsidR="00DA0D9B" w:rsidRPr="00AF579D">
        <w:rPr>
          <w:rFonts w:ascii="Arial" w:hAnsi="Arial" w:cs="Arial"/>
        </w:rPr>
        <w:t xml:space="preserve">OH / </w:t>
      </w:r>
      <w:r w:rsidR="0057186B" w:rsidRPr="00AF579D">
        <w:rPr>
          <w:rFonts w:ascii="Arial" w:hAnsi="Arial" w:cs="Arial"/>
        </w:rPr>
        <w:t>(WHO)</w:t>
      </w:r>
    </w:p>
    <w:p w14:paraId="6B65EBB8" w14:textId="77777777" w:rsidR="007552E9" w:rsidRPr="00AF579D" w:rsidRDefault="007552E9" w:rsidP="00F74265">
      <w:pPr>
        <w:spacing w:after="30" w:line="360" w:lineRule="auto"/>
        <w:rPr>
          <w:rFonts w:ascii="Arial" w:hAnsi="Arial" w:cs="Arial"/>
        </w:rPr>
      </w:pPr>
    </w:p>
    <w:p w14:paraId="7C6DFC50" w14:textId="5E7DD4FD" w:rsidR="00092096" w:rsidRPr="00AF579D" w:rsidRDefault="00092096" w:rsidP="00F74265">
      <w:pPr>
        <w:spacing w:after="30" w:line="360" w:lineRule="auto"/>
        <w:rPr>
          <w:rFonts w:ascii="Arial" w:hAnsi="Arial" w:cs="Arial"/>
        </w:rPr>
      </w:pPr>
    </w:p>
    <w:sectPr w:rsidR="00092096" w:rsidRPr="00AF57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96"/>
    <w:rsid w:val="00020E85"/>
    <w:rsid w:val="0005300D"/>
    <w:rsid w:val="00092096"/>
    <w:rsid w:val="000E462F"/>
    <w:rsid w:val="0018022A"/>
    <w:rsid w:val="001E02CF"/>
    <w:rsid w:val="003169AE"/>
    <w:rsid w:val="00332531"/>
    <w:rsid w:val="0057186B"/>
    <w:rsid w:val="00591616"/>
    <w:rsid w:val="005B0EA5"/>
    <w:rsid w:val="005F7CA8"/>
    <w:rsid w:val="00720A9C"/>
    <w:rsid w:val="007552E9"/>
    <w:rsid w:val="007A5250"/>
    <w:rsid w:val="0081329D"/>
    <w:rsid w:val="008332EC"/>
    <w:rsid w:val="00853929"/>
    <w:rsid w:val="008A1694"/>
    <w:rsid w:val="008D2EC7"/>
    <w:rsid w:val="00902E54"/>
    <w:rsid w:val="009F7367"/>
    <w:rsid w:val="00AA1A37"/>
    <w:rsid w:val="00AF304B"/>
    <w:rsid w:val="00AF579D"/>
    <w:rsid w:val="00B066CF"/>
    <w:rsid w:val="00B7766A"/>
    <w:rsid w:val="00C46D47"/>
    <w:rsid w:val="00C83AE9"/>
    <w:rsid w:val="00DA0D9B"/>
    <w:rsid w:val="00F600E1"/>
    <w:rsid w:val="00F74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7498B"/>
  <w15:chartTrackingRefBased/>
  <w15:docId w15:val="{9CD960C2-1E44-46B4-A05C-B1C13809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096"/>
    <w:rPr>
      <w:rFonts w:eastAsiaTheme="majorEastAsia" w:cstheme="majorBidi"/>
      <w:color w:val="272727" w:themeColor="text1" w:themeTint="D8"/>
    </w:rPr>
  </w:style>
  <w:style w:type="paragraph" w:styleId="Title">
    <w:name w:val="Title"/>
    <w:basedOn w:val="Normal"/>
    <w:next w:val="Normal"/>
    <w:link w:val="TitleChar"/>
    <w:uiPriority w:val="10"/>
    <w:qFormat/>
    <w:rsid w:val="00092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096"/>
    <w:pPr>
      <w:spacing w:before="160"/>
      <w:jc w:val="center"/>
    </w:pPr>
    <w:rPr>
      <w:i/>
      <w:iCs/>
      <w:color w:val="404040" w:themeColor="text1" w:themeTint="BF"/>
    </w:rPr>
  </w:style>
  <w:style w:type="character" w:customStyle="1" w:styleId="QuoteChar">
    <w:name w:val="Quote Char"/>
    <w:basedOn w:val="DefaultParagraphFont"/>
    <w:link w:val="Quote"/>
    <w:uiPriority w:val="29"/>
    <w:rsid w:val="00092096"/>
    <w:rPr>
      <w:i/>
      <w:iCs/>
      <w:color w:val="404040" w:themeColor="text1" w:themeTint="BF"/>
    </w:rPr>
  </w:style>
  <w:style w:type="paragraph" w:styleId="ListParagraph">
    <w:name w:val="List Paragraph"/>
    <w:basedOn w:val="Normal"/>
    <w:uiPriority w:val="34"/>
    <w:qFormat/>
    <w:rsid w:val="00092096"/>
    <w:pPr>
      <w:ind w:left="720"/>
      <w:contextualSpacing/>
    </w:pPr>
  </w:style>
  <w:style w:type="character" w:styleId="IntenseEmphasis">
    <w:name w:val="Intense Emphasis"/>
    <w:basedOn w:val="DefaultParagraphFont"/>
    <w:uiPriority w:val="21"/>
    <w:qFormat/>
    <w:rsid w:val="00092096"/>
    <w:rPr>
      <w:i/>
      <w:iCs/>
      <w:color w:val="0F4761" w:themeColor="accent1" w:themeShade="BF"/>
    </w:rPr>
  </w:style>
  <w:style w:type="paragraph" w:styleId="IntenseQuote">
    <w:name w:val="Intense Quote"/>
    <w:basedOn w:val="Normal"/>
    <w:next w:val="Normal"/>
    <w:link w:val="IntenseQuoteChar"/>
    <w:uiPriority w:val="30"/>
    <w:qFormat/>
    <w:rsid w:val="00092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096"/>
    <w:rPr>
      <w:i/>
      <w:iCs/>
      <w:color w:val="0F4761" w:themeColor="accent1" w:themeShade="BF"/>
    </w:rPr>
  </w:style>
  <w:style w:type="character" w:styleId="IntenseReference">
    <w:name w:val="Intense Reference"/>
    <w:basedOn w:val="DefaultParagraphFont"/>
    <w:uiPriority w:val="32"/>
    <w:qFormat/>
    <w:rsid w:val="000920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4</Pages>
  <Words>1626</Words>
  <Characters>9270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Shazia Purveen Hussain (2530125)</dc:creator>
  <cp:keywords/>
  <dc:description/>
  <cp:lastModifiedBy>Shazia Purveen Hussain (2530125)</cp:lastModifiedBy>
  <cp:revision>26</cp:revision>
  <dcterms:created xsi:type="dcterms:W3CDTF">2026-07-13T10:32:00Z</dcterms:created>
  <dcterms:modified xsi:type="dcterms:W3CDTF">2026-07-20T17:21:00Z</dcterms:modified>
</cp:coreProperties>
</file>