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346E4" w14:textId="77777777" w:rsidR="00B33A11" w:rsidRDefault="00B33A11" w:rsidP="00B33A11">
      <w:pPr>
        <w:spacing w:line="480" w:lineRule="auto"/>
        <w:jc w:val="center"/>
        <w:rPr>
          <w:b/>
          <w:bCs/>
        </w:rPr>
      </w:pPr>
    </w:p>
    <w:p w14:paraId="02FBF1B6" w14:textId="77777777" w:rsidR="00B33A11" w:rsidRDefault="00B33A11" w:rsidP="00B33A11">
      <w:pPr>
        <w:spacing w:line="480" w:lineRule="auto"/>
        <w:jc w:val="center"/>
        <w:rPr>
          <w:b/>
          <w:bCs/>
        </w:rPr>
      </w:pPr>
    </w:p>
    <w:p w14:paraId="10399CF0" w14:textId="77777777" w:rsidR="00B33A11" w:rsidRDefault="00B33A11" w:rsidP="00B33A11">
      <w:pPr>
        <w:spacing w:line="480" w:lineRule="auto"/>
        <w:jc w:val="center"/>
        <w:rPr>
          <w:b/>
          <w:bCs/>
        </w:rPr>
      </w:pPr>
    </w:p>
    <w:p w14:paraId="6049347A" w14:textId="77777777" w:rsidR="00B33A11" w:rsidRDefault="00B33A11" w:rsidP="00B33A11">
      <w:pPr>
        <w:spacing w:line="480" w:lineRule="auto"/>
        <w:jc w:val="center"/>
        <w:rPr>
          <w:b/>
          <w:bCs/>
        </w:rPr>
      </w:pPr>
    </w:p>
    <w:p w14:paraId="08AA7DC6" w14:textId="77777777" w:rsidR="00B33A11" w:rsidRDefault="00B33A11" w:rsidP="00B33A11">
      <w:pPr>
        <w:spacing w:line="480" w:lineRule="auto"/>
        <w:jc w:val="center"/>
        <w:rPr>
          <w:b/>
          <w:bCs/>
        </w:rPr>
      </w:pPr>
    </w:p>
    <w:p w14:paraId="419D8083" w14:textId="5A2D3EA0" w:rsidR="00B33A11" w:rsidRDefault="000C75FC" w:rsidP="00B33A11">
      <w:pPr>
        <w:jc w:val="center"/>
        <w:rPr>
          <w:b/>
          <w:bCs/>
        </w:rPr>
      </w:pPr>
      <w:r w:rsidRPr="000C75FC">
        <w:rPr>
          <w:b/>
          <w:bCs/>
        </w:rPr>
        <w:t>Module: Community Engagement</w:t>
      </w:r>
    </w:p>
    <w:p w14:paraId="14C8783D" w14:textId="0C4C036E" w:rsidR="000C75FC" w:rsidRDefault="000C75FC" w:rsidP="00B33A11">
      <w:pPr>
        <w:jc w:val="center"/>
        <w:rPr>
          <w:b/>
          <w:bCs/>
        </w:rPr>
      </w:pPr>
      <w:r w:rsidRPr="000C75FC">
        <w:rPr>
          <w:b/>
          <w:bCs/>
        </w:rPr>
        <w:t>Module code: LCBB4002</w:t>
      </w:r>
    </w:p>
    <w:p w14:paraId="5B2C38E0" w14:textId="17CC20AA" w:rsidR="000C75FC" w:rsidRDefault="000C75FC" w:rsidP="00B33A11">
      <w:pPr>
        <w:jc w:val="center"/>
        <w:rPr>
          <w:b/>
          <w:bCs/>
        </w:rPr>
      </w:pPr>
      <w:r>
        <w:rPr>
          <w:b/>
          <w:bCs/>
        </w:rPr>
        <w:t xml:space="preserve">Assessment-2 </w:t>
      </w:r>
    </w:p>
    <w:p w14:paraId="3DDBB6CE" w14:textId="46B6C628" w:rsidR="00B33A11" w:rsidRDefault="00B33A11" w:rsidP="00B33A11">
      <w:pPr>
        <w:spacing w:line="480" w:lineRule="auto"/>
        <w:jc w:val="center"/>
        <w:rPr>
          <w:b/>
          <w:bCs/>
        </w:rPr>
      </w:pPr>
      <w:r w:rsidRPr="00B33A11">
        <w:rPr>
          <w:b/>
          <w:bCs/>
        </w:rPr>
        <w:t>Submitted By</w:t>
      </w:r>
      <w:r w:rsidR="00C94059">
        <w:rPr>
          <w:b/>
          <w:bCs/>
        </w:rPr>
        <w:t xml:space="preserve">: Iulian </w:t>
      </w:r>
      <w:proofErr w:type="spellStart"/>
      <w:r w:rsidR="00C94059">
        <w:rPr>
          <w:b/>
          <w:bCs/>
        </w:rPr>
        <w:t>Neagu</w:t>
      </w:r>
      <w:proofErr w:type="spellEnd"/>
    </w:p>
    <w:p w14:paraId="48FD57D1" w14:textId="4E8184BE" w:rsidR="00B33A11" w:rsidRDefault="00C94059" w:rsidP="00C94059">
      <w:pPr>
        <w:spacing w:line="480" w:lineRule="auto"/>
        <w:jc w:val="center"/>
        <w:rPr>
          <w:b/>
          <w:bCs/>
        </w:rPr>
      </w:pPr>
      <w:r>
        <w:rPr>
          <w:b/>
          <w:bCs/>
        </w:rPr>
        <w:t>Student ID: 2107401</w:t>
      </w:r>
    </w:p>
    <w:p w14:paraId="248F87D7" w14:textId="39AE93DB" w:rsidR="00FC1202" w:rsidRPr="00B33A11" w:rsidRDefault="00FC1202" w:rsidP="00C94059">
      <w:pPr>
        <w:spacing w:line="480" w:lineRule="auto"/>
        <w:jc w:val="center"/>
        <w:rPr>
          <w:b/>
          <w:bCs/>
        </w:rPr>
      </w:pPr>
      <w:r>
        <w:rPr>
          <w:b/>
          <w:bCs/>
        </w:rPr>
        <w:t xml:space="preserve">Lecturer: Zahra </w:t>
      </w:r>
      <w:proofErr w:type="spellStart"/>
      <w:r>
        <w:rPr>
          <w:b/>
          <w:bCs/>
        </w:rPr>
        <w:t>Moham</w:t>
      </w:r>
      <w:r w:rsidR="00EB4859">
        <w:rPr>
          <w:b/>
          <w:bCs/>
        </w:rPr>
        <w:t>madnazari</w:t>
      </w:r>
      <w:proofErr w:type="spellEnd"/>
    </w:p>
    <w:p w14:paraId="6196008B" w14:textId="77777777" w:rsidR="00B33A11" w:rsidRDefault="00B33A11">
      <w:pPr>
        <w:rPr>
          <w:rFonts w:eastAsiaTheme="majorEastAsia" w:cstheme="majorBidi"/>
          <w:b/>
          <w:color w:val="000000" w:themeColor="text1"/>
          <w:sz w:val="28"/>
          <w:szCs w:val="32"/>
        </w:rPr>
      </w:pPr>
      <w:r>
        <w:br w:type="page"/>
      </w:r>
    </w:p>
    <w:sdt>
      <w:sdtPr>
        <w:rPr>
          <w:rFonts w:ascii="Times New Roman" w:eastAsiaTheme="minorHAnsi" w:hAnsi="Times New Roman" w:cstheme="minorBidi"/>
          <w:color w:val="auto"/>
          <w:sz w:val="24"/>
          <w:szCs w:val="22"/>
          <w:lang w:val="en-GB"/>
          <w14:ligatures w14:val="standardContextual"/>
        </w:rPr>
        <w:id w:val="-1126853197"/>
        <w:docPartObj>
          <w:docPartGallery w:val="Table of Contents"/>
          <w:docPartUnique/>
        </w:docPartObj>
      </w:sdtPr>
      <w:sdtEndPr>
        <w:rPr>
          <w:b/>
          <w:bCs/>
          <w:noProof/>
        </w:rPr>
      </w:sdtEndPr>
      <w:sdtContent>
        <w:p w14:paraId="41E0D43F" w14:textId="382CD43E" w:rsidR="001B1E0E" w:rsidRDefault="001B1E0E">
          <w:pPr>
            <w:pStyle w:val="TOCHeading"/>
          </w:pPr>
          <w:r>
            <w:t>Contents</w:t>
          </w:r>
        </w:p>
        <w:p w14:paraId="7F4979B7" w14:textId="7D3F42AC" w:rsidR="001B1E0E" w:rsidRDefault="001B1E0E">
          <w:pPr>
            <w:pStyle w:val="TOC1"/>
            <w:tabs>
              <w:tab w:val="right" w:leader="dot" w:pos="9016"/>
            </w:tabs>
            <w:rPr>
              <w:rFonts w:asciiTheme="minorHAnsi" w:eastAsiaTheme="minorEastAsia" w:hAnsiTheme="minorHAnsi"/>
              <w:noProof/>
              <w:sz w:val="22"/>
              <w:lang w:val="en-US"/>
              <w14:ligatures w14:val="none"/>
            </w:rPr>
          </w:pPr>
          <w:r>
            <w:fldChar w:fldCharType="begin"/>
          </w:r>
          <w:r>
            <w:instrText xml:space="preserve"> TOC \o "1-3" \h \z \u </w:instrText>
          </w:r>
          <w:r>
            <w:fldChar w:fldCharType="separate"/>
          </w:r>
          <w:hyperlink w:anchor="_Toc150994570" w:history="1">
            <w:r w:rsidRPr="007C4623">
              <w:rPr>
                <w:rStyle w:val="Hyperlink"/>
                <w:noProof/>
              </w:rPr>
              <w:t>Introduction</w:t>
            </w:r>
            <w:r>
              <w:rPr>
                <w:noProof/>
                <w:webHidden/>
              </w:rPr>
              <w:tab/>
            </w:r>
            <w:r>
              <w:rPr>
                <w:noProof/>
                <w:webHidden/>
              </w:rPr>
              <w:fldChar w:fldCharType="begin"/>
            </w:r>
            <w:r>
              <w:rPr>
                <w:noProof/>
                <w:webHidden/>
              </w:rPr>
              <w:instrText xml:space="preserve"> PAGEREF _Toc150994570 \h </w:instrText>
            </w:r>
            <w:r>
              <w:rPr>
                <w:noProof/>
                <w:webHidden/>
              </w:rPr>
            </w:r>
            <w:r>
              <w:rPr>
                <w:noProof/>
                <w:webHidden/>
              </w:rPr>
              <w:fldChar w:fldCharType="separate"/>
            </w:r>
            <w:r>
              <w:rPr>
                <w:noProof/>
                <w:webHidden/>
              </w:rPr>
              <w:t>3</w:t>
            </w:r>
            <w:r>
              <w:rPr>
                <w:noProof/>
                <w:webHidden/>
              </w:rPr>
              <w:fldChar w:fldCharType="end"/>
            </w:r>
          </w:hyperlink>
        </w:p>
        <w:p w14:paraId="40CF55FF" w14:textId="0E0F11BC"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1" w:history="1">
            <w:r w:rsidR="001B1E0E" w:rsidRPr="007C4623">
              <w:rPr>
                <w:rStyle w:val="Hyperlink"/>
                <w:noProof/>
              </w:rPr>
              <w:t>Main Body</w:t>
            </w:r>
            <w:r w:rsidR="001B1E0E">
              <w:rPr>
                <w:noProof/>
                <w:webHidden/>
              </w:rPr>
              <w:tab/>
            </w:r>
            <w:r w:rsidR="001B1E0E">
              <w:rPr>
                <w:noProof/>
                <w:webHidden/>
              </w:rPr>
              <w:fldChar w:fldCharType="begin"/>
            </w:r>
            <w:r w:rsidR="001B1E0E">
              <w:rPr>
                <w:noProof/>
                <w:webHidden/>
              </w:rPr>
              <w:instrText xml:space="preserve"> PAGEREF _Toc150994571 \h </w:instrText>
            </w:r>
            <w:r w:rsidR="001B1E0E">
              <w:rPr>
                <w:noProof/>
                <w:webHidden/>
              </w:rPr>
            </w:r>
            <w:r w:rsidR="001B1E0E">
              <w:rPr>
                <w:noProof/>
                <w:webHidden/>
              </w:rPr>
              <w:fldChar w:fldCharType="separate"/>
            </w:r>
            <w:r w:rsidR="001B1E0E">
              <w:rPr>
                <w:noProof/>
                <w:webHidden/>
              </w:rPr>
              <w:t>3</w:t>
            </w:r>
            <w:r w:rsidR="001B1E0E">
              <w:rPr>
                <w:noProof/>
                <w:webHidden/>
              </w:rPr>
              <w:fldChar w:fldCharType="end"/>
            </w:r>
          </w:hyperlink>
        </w:p>
        <w:p w14:paraId="6D22DC7E" w14:textId="40F010CD"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2" w:history="1">
            <w:r w:rsidR="001B1E0E" w:rsidRPr="007C4623">
              <w:rPr>
                <w:rStyle w:val="Hyperlink"/>
                <w:noProof/>
              </w:rPr>
              <w:t>Community Engagement Approaches</w:t>
            </w:r>
            <w:r w:rsidR="001B1E0E">
              <w:rPr>
                <w:noProof/>
                <w:webHidden/>
              </w:rPr>
              <w:tab/>
            </w:r>
            <w:r w:rsidR="001B1E0E">
              <w:rPr>
                <w:noProof/>
                <w:webHidden/>
              </w:rPr>
              <w:fldChar w:fldCharType="begin"/>
            </w:r>
            <w:r w:rsidR="001B1E0E">
              <w:rPr>
                <w:noProof/>
                <w:webHidden/>
              </w:rPr>
              <w:instrText xml:space="preserve"> PAGEREF _Toc150994572 \h </w:instrText>
            </w:r>
            <w:r w:rsidR="001B1E0E">
              <w:rPr>
                <w:noProof/>
                <w:webHidden/>
              </w:rPr>
            </w:r>
            <w:r w:rsidR="001B1E0E">
              <w:rPr>
                <w:noProof/>
                <w:webHidden/>
              </w:rPr>
              <w:fldChar w:fldCharType="separate"/>
            </w:r>
            <w:r w:rsidR="001B1E0E">
              <w:rPr>
                <w:noProof/>
                <w:webHidden/>
              </w:rPr>
              <w:t>3</w:t>
            </w:r>
            <w:r w:rsidR="001B1E0E">
              <w:rPr>
                <w:noProof/>
                <w:webHidden/>
              </w:rPr>
              <w:fldChar w:fldCharType="end"/>
            </w:r>
          </w:hyperlink>
        </w:p>
        <w:p w14:paraId="6D71CB33" w14:textId="1696F39C"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3" w:history="1">
            <w:r w:rsidR="001B1E0E" w:rsidRPr="007C4623">
              <w:rPr>
                <w:rStyle w:val="Hyperlink"/>
                <w:noProof/>
              </w:rPr>
              <w:t>Research and Community Mapping</w:t>
            </w:r>
            <w:r w:rsidR="001B1E0E">
              <w:rPr>
                <w:noProof/>
                <w:webHidden/>
              </w:rPr>
              <w:tab/>
            </w:r>
            <w:r w:rsidR="001B1E0E">
              <w:rPr>
                <w:noProof/>
                <w:webHidden/>
              </w:rPr>
              <w:fldChar w:fldCharType="begin"/>
            </w:r>
            <w:r w:rsidR="001B1E0E">
              <w:rPr>
                <w:noProof/>
                <w:webHidden/>
              </w:rPr>
              <w:instrText xml:space="preserve"> PAGEREF _Toc150994573 \h </w:instrText>
            </w:r>
            <w:r w:rsidR="001B1E0E">
              <w:rPr>
                <w:noProof/>
                <w:webHidden/>
              </w:rPr>
            </w:r>
            <w:r w:rsidR="001B1E0E">
              <w:rPr>
                <w:noProof/>
                <w:webHidden/>
              </w:rPr>
              <w:fldChar w:fldCharType="separate"/>
            </w:r>
            <w:r w:rsidR="001B1E0E">
              <w:rPr>
                <w:noProof/>
                <w:webHidden/>
              </w:rPr>
              <w:t>4</w:t>
            </w:r>
            <w:r w:rsidR="001B1E0E">
              <w:rPr>
                <w:noProof/>
                <w:webHidden/>
              </w:rPr>
              <w:fldChar w:fldCharType="end"/>
            </w:r>
          </w:hyperlink>
        </w:p>
        <w:p w14:paraId="418D666D" w14:textId="7E3BF6FF"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4" w:history="1">
            <w:r w:rsidR="001B1E0E" w:rsidRPr="007C4623">
              <w:rPr>
                <w:rStyle w:val="Hyperlink"/>
                <w:noProof/>
              </w:rPr>
              <w:t>Platforms for Engagement</w:t>
            </w:r>
            <w:r w:rsidR="001B1E0E">
              <w:rPr>
                <w:noProof/>
                <w:webHidden/>
              </w:rPr>
              <w:tab/>
            </w:r>
            <w:r w:rsidR="001B1E0E">
              <w:rPr>
                <w:noProof/>
                <w:webHidden/>
              </w:rPr>
              <w:fldChar w:fldCharType="begin"/>
            </w:r>
            <w:r w:rsidR="001B1E0E">
              <w:rPr>
                <w:noProof/>
                <w:webHidden/>
              </w:rPr>
              <w:instrText xml:space="preserve"> PAGEREF _Toc150994574 \h </w:instrText>
            </w:r>
            <w:r w:rsidR="001B1E0E">
              <w:rPr>
                <w:noProof/>
                <w:webHidden/>
              </w:rPr>
            </w:r>
            <w:r w:rsidR="001B1E0E">
              <w:rPr>
                <w:noProof/>
                <w:webHidden/>
              </w:rPr>
              <w:fldChar w:fldCharType="separate"/>
            </w:r>
            <w:r w:rsidR="001B1E0E">
              <w:rPr>
                <w:noProof/>
                <w:webHidden/>
              </w:rPr>
              <w:t>5</w:t>
            </w:r>
            <w:r w:rsidR="001B1E0E">
              <w:rPr>
                <w:noProof/>
                <w:webHidden/>
              </w:rPr>
              <w:fldChar w:fldCharType="end"/>
            </w:r>
          </w:hyperlink>
        </w:p>
        <w:p w14:paraId="689F4A06" w14:textId="7507DFAF"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5" w:history="1">
            <w:r w:rsidR="001B1E0E" w:rsidRPr="007C4623">
              <w:rPr>
                <w:rStyle w:val="Hyperlink"/>
                <w:noProof/>
              </w:rPr>
              <w:t>Impact Analysis and Evaluation</w:t>
            </w:r>
            <w:r w:rsidR="001B1E0E">
              <w:rPr>
                <w:noProof/>
                <w:webHidden/>
              </w:rPr>
              <w:tab/>
            </w:r>
            <w:r w:rsidR="001B1E0E">
              <w:rPr>
                <w:noProof/>
                <w:webHidden/>
              </w:rPr>
              <w:fldChar w:fldCharType="begin"/>
            </w:r>
            <w:r w:rsidR="001B1E0E">
              <w:rPr>
                <w:noProof/>
                <w:webHidden/>
              </w:rPr>
              <w:instrText xml:space="preserve"> PAGEREF _Toc150994575 \h </w:instrText>
            </w:r>
            <w:r w:rsidR="001B1E0E">
              <w:rPr>
                <w:noProof/>
                <w:webHidden/>
              </w:rPr>
            </w:r>
            <w:r w:rsidR="001B1E0E">
              <w:rPr>
                <w:noProof/>
                <w:webHidden/>
              </w:rPr>
              <w:fldChar w:fldCharType="separate"/>
            </w:r>
            <w:r w:rsidR="001B1E0E">
              <w:rPr>
                <w:noProof/>
                <w:webHidden/>
              </w:rPr>
              <w:t>6</w:t>
            </w:r>
            <w:r w:rsidR="001B1E0E">
              <w:rPr>
                <w:noProof/>
                <w:webHidden/>
              </w:rPr>
              <w:fldChar w:fldCharType="end"/>
            </w:r>
          </w:hyperlink>
        </w:p>
        <w:p w14:paraId="41E7ADA2" w14:textId="7DDDA69E"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6" w:history="1">
            <w:r w:rsidR="001B1E0E" w:rsidRPr="007C4623">
              <w:rPr>
                <w:rStyle w:val="Hyperlink"/>
                <w:noProof/>
              </w:rPr>
              <w:t>Conclusion</w:t>
            </w:r>
            <w:r w:rsidR="001B1E0E">
              <w:rPr>
                <w:noProof/>
                <w:webHidden/>
              </w:rPr>
              <w:tab/>
            </w:r>
            <w:r w:rsidR="001B1E0E">
              <w:rPr>
                <w:noProof/>
                <w:webHidden/>
              </w:rPr>
              <w:fldChar w:fldCharType="begin"/>
            </w:r>
            <w:r w:rsidR="001B1E0E">
              <w:rPr>
                <w:noProof/>
                <w:webHidden/>
              </w:rPr>
              <w:instrText xml:space="preserve"> PAGEREF _Toc150994576 \h </w:instrText>
            </w:r>
            <w:r w:rsidR="001B1E0E">
              <w:rPr>
                <w:noProof/>
                <w:webHidden/>
              </w:rPr>
            </w:r>
            <w:r w:rsidR="001B1E0E">
              <w:rPr>
                <w:noProof/>
                <w:webHidden/>
              </w:rPr>
              <w:fldChar w:fldCharType="separate"/>
            </w:r>
            <w:r w:rsidR="001B1E0E">
              <w:rPr>
                <w:noProof/>
                <w:webHidden/>
              </w:rPr>
              <w:t>7</w:t>
            </w:r>
            <w:r w:rsidR="001B1E0E">
              <w:rPr>
                <w:noProof/>
                <w:webHidden/>
              </w:rPr>
              <w:fldChar w:fldCharType="end"/>
            </w:r>
          </w:hyperlink>
        </w:p>
        <w:p w14:paraId="6FFCF771" w14:textId="703C2506" w:rsidR="001B1E0E" w:rsidRDefault="00033804">
          <w:pPr>
            <w:pStyle w:val="TOC1"/>
            <w:tabs>
              <w:tab w:val="right" w:leader="dot" w:pos="9016"/>
            </w:tabs>
            <w:rPr>
              <w:rFonts w:asciiTheme="minorHAnsi" w:eastAsiaTheme="minorEastAsia" w:hAnsiTheme="minorHAnsi"/>
              <w:noProof/>
              <w:sz w:val="22"/>
              <w:lang w:val="en-US"/>
              <w14:ligatures w14:val="none"/>
            </w:rPr>
          </w:pPr>
          <w:hyperlink w:anchor="_Toc150994577" w:history="1">
            <w:r w:rsidR="001B1E0E" w:rsidRPr="007C4623">
              <w:rPr>
                <w:rStyle w:val="Hyperlink"/>
                <w:noProof/>
              </w:rPr>
              <w:t>References</w:t>
            </w:r>
            <w:r w:rsidR="001B1E0E">
              <w:rPr>
                <w:noProof/>
                <w:webHidden/>
              </w:rPr>
              <w:tab/>
            </w:r>
            <w:r w:rsidR="001B1E0E">
              <w:rPr>
                <w:noProof/>
                <w:webHidden/>
              </w:rPr>
              <w:fldChar w:fldCharType="begin"/>
            </w:r>
            <w:r w:rsidR="001B1E0E">
              <w:rPr>
                <w:noProof/>
                <w:webHidden/>
              </w:rPr>
              <w:instrText xml:space="preserve"> PAGEREF _Toc150994577 \h </w:instrText>
            </w:r>
            <w:r w:rsidR="001B1E0E">
              <w:rPr>
                <w:noProof/>
                <w:webHidden/>
              </w:rPr>
            </w:r>
            <w:r w:rsidR="001B1E0E">
              <w:rPr>
                <w:noProof/>
                <w:webHidden/>
              </w:rPr>
              <w:fldChar w:fldCharType="separate"/>
            </w:r>
            <w:r w:rsidR="001B1E0E">
              <w:rPr>
                <w:noProof/>
                <w:webHidden/>
              </w:rPr>
              <w:t>9</w:t>
            </w:r>
            <w:r w:rsidR="001B1E0E">
              <w:rPr>
                <w:noProof/>
                <w:webHidden/>
              </w:rPr>
              <w:fldChar w:fldCharType="end"/>
            </w:r>
          </w:hyperlink>
        </w:p>
        <w:p w14:paraId="693B4522" w14:textId="47180375" w:rsidR="001B1E0E" w:rsidRDefault="001B1E0E">
          <w:r>
            <w:rPr>
              <w:b/>
              <w:bCs/>
              <w:noProof/>
            </w:rPr>
            <w:fldChar w:fldCharType="end"/>
          </w:r>
        </w:p>
      </w:sdtContent>
    </w:sdt>
    <w:p w14:paraId="7F590C11" w14:textId="77777777" w:rsidR="001B1E0E" w:rsidRDefault="001B1E0E">
      <w:pPr>
        <w:rPr>
          <w:rFonts w:eastAsiaTheme="majorEastAsia" w:cstheme="majorBidi"/>
          <w:b/>
          <w:color w:val="000000" w:themeColor="text1"/>
          <w:sz w:val="28"/>
          <w:szCs w:val="32"/>
        </w:rPr>
      </w:pPr>
      <w:r>
        <w:br w:type="page"/>
      </w:r>
    </w:p>
    <w:p w14:paraId="07E8FB63" w14:textId="204B2F0F" w:rsidR="0071347A" w:rsidRDefault="0071347A" w:rsidP="0071347A">
      <w:pPr>
        <w:pStyle w:val="Heading1"/>
      </w:pPr>
      <w:bookmarkStart w:id="0" w:name="_Toc150994570"/>
      <w:r>
        <w:lastRenderedPageBreak/>
        <w:t>Introduction</w:t>
      </w:r>
      <w:bookmarkEnd w:id="0"/>
    </w:p>
    <w:p w14:paraId="4D166E82" w14:textId="77777777" w:rsidR="0071347A" w:rsidRDefault="0071347A" w:rsidP="0071347A">
      <w:r>
        <w:t xml:space="preserve">All the fundamental ideas, guiding principles, and practical approaches to community participation were covered in depth throughout this module. By shedding light on deeper facets of community engagement, these resources provided me with invaluable knowledge for effectively encouraging participation in my local community. So, I am interested in starting a future initiative that uses this information to make a significant contribution to society. My plan is to create a community-wide initiative to teach seniors how to use digital technologies. My motivation for starting this project comes from seeing how people in this demographic are ill-equipped to deal with the ever-changing digital landscape. </w:t>
      </w:r>
    </w:p>
    <w:p w14:paraId="71AFFEBA" w14:textId="2544C9C1" w:rsidR="0071347A" w:rsidRDefault="0071347A" w:rsidP="0071347A">
      <w:r>
        <w:t>The primary objective of this work is to increase their proficiency with digital technologies so that they may have a more secure and satisfying experience when interacting with the internet. The idea is to provide elders with an encouraging learning environment to acquire useful digital skills. Our goal is to strengthen the self-assurance and resiliency of older folks so they can successfully navigate the digital world despite the inevitable hurdles they will face. By participating in this initiative, I wish to help create a more connected and equitable society for all people.</w:t>
      </w:r>
    </w:p>
    <w:p w14:paraId="2C11A633" w14:textId="79E745FD" w:rsidR="0071347A" w:rsidRDefault="0071347A" w:rsidP="0071347A">
      <w:pPr>
        <w:pStyle w:val="Heading1"/>
      </w:pPr>
      <w:bookmarkStart w:id="1" w:name="_Toc150994571"/>
      <w:r>
        <w:t>Main Body</w:t>
      </w:r>
      <w:bookmarkEnd w:id="1"/>
    </w:p>
    <w:p w14:paraId="29C56E8F" w14:textId="635CEBF2" w:rsidR="00C33F1E" w:rsidRDefault="0071347A" w:rsidP="00C33F1E">
      <w:pPr>
        <w:pStyle w:val="Heading1"/>
      </w:pPr>
      <w:bookmarkStart w:id="2" w:name="_Toc150994572"/>
      <w:r w:rsidRPr="0071347A">
        <w:t>Community Engagement Approaches</w:t>
      </w:r>
      <w:bookmarkEnd w:id="2"/>
    </w:p>
    <w:p w14:paraId="162A402A" w14:textId="2A2DB62C" w:rsidR="00C33F1E" w:rsidRDefault="00C33F1E" w:rsidP="00C33F1E">
      <w:r>
        <w:t>To effectively reach our intended demographic of older folks, we must develop a community involvement plan based on values of acceptance, appreciation, and self-determination. According to the idea of inclusion, people of all degrees of comfort with technology should be made to feel that they have a place in our Digital Literacy Programme</w:t>
      </w:r>
      <w:r w:rsidR="00D04AF5">
        <w:t xml:space="preserve"> </w:t>
      </w:r>
      <w:r w:rsidR="00D04AF5" w:rsidRPr="00DF57C5">
        <w:t>(O’Meara &amp; Jaeger, 2019)</w:t>
      </w:r>
      <w:r>
        <w:t>. As a result, we'll be sure to highlight the fact that people who aren't tech savvy aren't an afterthought in our advertising and hiring practises; they're one of our top priorities. Closely connected to inclusion is the notion of respect. Respect requires that we focus on what our audience has to offer rather than what they don't</w:t>
      </w:r>
      <w:r w:rsidR="00D04AF5">
        <w:t xml:space="preserve"> </w:t>
      </w:r>
      <w:r w:rsidR="00D04AF5" w:rsidRPr="00DF57C5">
        <w:t>(Line et al., 2022)</w:t>
      </w:r>
      <w:r>
        <w:t xml:space="preserve">. </w:t>
      </w:r>
    </w:p>
    <w:p w14:paraId="196F2CD5" w14:textId="4FEF392D" w:rsidR="00C33F1E" w:rsidRDefault="00C33F1E" w:rsidP="00C33F1E">
      <w:r>
        <w:t>This includes their expertise, viewpoint, and life experience. Our seasoned members must constantly know that their opinions matter. Accordingly, we want to include the community's older adults in the planning and development process via surveys, focus groups, and maybe even a steering committee</w:t>
      </w:r>
      <w:r w:rsidR="00D04AF5">
        <w:t xml:space="preserve"> </w:t>
      </w:r>
      <w:r w:rsidR="00D04AF5" w:rsidRPr="00DF57C5">
        <w:t>(Line et al., 2022)</w:t>
      </w:r>
      <w:r>
        <w:t xml:space="preserve">. We may tailor the programming to their specific requirements and tastes if we hear them out. Our third and last guiding concept is empowerment, which implies doing more than just providing information and training. Our </w:t>
      </w:r>
      <w:r>
        <w:lastRenderedPageBreak/>
        <w:t>goal is to encourage seniors to believe in their own abilities to learn and solve problems in the digital world by providing them with the tools they need to do so</w:t>
      </w:r>
      <w:r w:rsidR="00D04AF5">
        <w:t xml:space="preserve"> </w:t>
      </w:r>
      <w:r w:rsidR="00D04AF5" w:rsidRPr="00DF57C5">
        <w:t>(Hands, 2023)</w:t>
      </w:r>
      <w:r>
        <w:t xml:space="preserve">. </w:t>
      </w:r>
    </w:p>
    <w:p w14:paraId="16746BD6" w14:textId="010B1B1B" w:rsidR="00C33F1E" w:rsidRDefault="00C33F1E" w:rsidP="00C33F1E">
      <w:r>
        <w:t>A facilitative, rather than informative, approach would be employed to offer chances for children to learn, explore, and acquire confidence. Utilising community engagement approaches like Asset-Based Community Development (ABCD) and the Strength-Based Approach would be an integral aspect of our program's engagement strategy</w:t>
      </w:r>
      <w:r w:rsidR="00B33A11">
        <w:t xml:space="preserve"> </w:t>
      </w:r>
      <w:r w:rsidR="00B33A11" w:rsidRPr="00DF57C5">
        <w:t>(Shahid Satar, 2019)</w:t>
      </w:r>
      <w:r>
        <w:t>. While the Strength-Based Approach places an emphasis on an individual's potential for growth and development, the ABCD approach prioritises the discovery and use of already existent communal assets</w:t>
      </w:r>
      <w:r w:rsidR="00D04AF5">
        <w:t xml:space="preserve"> </w:t>
      </w:r>
      <w:r w:rsidR="00D04AF5" w:rsidRPr="00DF57C5">
        <w:t>(O’Meara &amp; Jaeger, 2019)</w:t>
      </w:r>
      <w:r>
        <w:t xml:space="preserve">. </w:t>
      </w:r>
    </w:p>
    <w:p w14:paraId="307210D6" w14:textId="0A56BA80" w:rsidR="0071347A" w:rsidRDefault="00C33F1E" w:rsidP="00C33F1E">
      <w:pPr>
        <w:pStyle w:val="Heading1"/>
      </w:pPr>
      <w:bookmarkStart w:id="3" w:name="_Toc150994573"/>
      <w:r w:rsidRPr="00C33F1E">
        <w:t>Research and Community Mapping</w:t>
      </w:r>
      <w:bookmarkEnd w:id="3"/>
    </w:p>
    <w:p w14:paraId="7902BAF9" w14:textId="444E5235" w:rsidR="00C33F1E" w:rsidRDefault="00C33F1E" w:rsidP="00C33F1E">
      <w:r>
        <w:t>Prior to commencing our Digital Literacy Programme, it is essential to engage in comprehensive research and community mapping in order to appropriately customise our initiative to address the unique requirements of our intended beneficiaries, namely the elderly population. There exist a number of crucial measures to guarantee that our preparations accurately include the distinct traits, needs, and ambitions of these elderly individuals</w:t>
      </w:r>
      <w:r w:rsidR="00D04AF5">
        <w:t xml:space="preserve"> </w:t>
      </w:r>
      <w:r w:rsidR="00D04AF5" w:rsidRPr="00DF57C5">
        <w:t>(Hands, 2023)</w:t>
      </w:r>
      <w:r>
        <w:t>. First and foremost, it is crucial to ascertain the present skill levels and degree of technological familiarity among the elderly population. This objective may be accomplished by the use of various research methods, such as surveys, focus groups, or interviews, targeting the elderly population within the community</w:t>
      </w:r>
      <w:r w:rsidR="00D04AF5">
        <w:t xml:space="preserve"> </w:t>
      </w:r>
      <w:r w:rsidR="00D04AF5" w:rsidRPr="00DF57C5">
        <w:t>(Roach &amp; Fritz, 2022)</w:t>
      </w:r>
      <w:r>
        <w:t xml:space="preserve">. </w:t>
      </w:r>
    </w:p>
    <w:p w14:paraId="77031344" w14:textId="281079AA" w:rsidR="00C33F1E" w:rsidRDefault="00C33F1E" w:rsidP="00C33F1E">
      <w:r>
        <w:t>In order to tailor course material to varying degrees of skill, it is crucial to ascertain the participants' existing capabilities, such as their familiarity with smartphones or access to computers. One additional objective pertains to comprehending the digital competencies of seniors, while another objective involves discerning the distinctive obstacles and impediments encountered by this demographic in their digital progression</w:t>
      </w:r>
      <w:r w:rsidR="00B33A11">
        <w:t xml:space="preserve"> </w:t>
      </w:r>
      <w:r w:rsidR="00B33A11" w:rsidRPr="00DF57C5">
        <w:t>(Lockey et al., 2019)</w:t>
      </w:r>
      <w:r>
        <w:t>. When building training modules, it is important to carefully examine several factors that may impact individuals' ability to effectively engage with the material. These factors include physical or cognitive impairments, limited access to technology, and digital fear</w:t>
      </w:r>
      <w:r w:rsidR="00D04AF5">
        <w:t xml:space="preserve"> </w:t>
      </w:r>
      <w:r w:rsidR="00D04AF5" w:rsidRPr="00DF57C5">
        <w:t>(Hands, 2023)</w:t>
      </w:r>
      <w:r>
        <w:t xml:space="preserve">. </w:t>
      </w:r>
    </w:p>
    <w:p w14:paraId="225D778C" w14:textId="08BDBFC6" w:rsidR="00C33F1E" w:rsidRDefault="00C33F1E" w:rsidP="00C33F1E">
      <w:r>
        <w:t>Additionally, it would be beneficial to investigate potential collaborations with healthcare practitioners and support organisations within the local community in order to get valuable insights and knowledge about the effective accommodation of these issues</w:t>
      </w:r>
      <w:r w:rsidR="00B33A11">
        <w:t xml:space="preserve"> </w:t>
      </w:r>
      <w:r w:rsidR="00B33A11" w:rsidRPr="00DF57C5">
        <w:t>(Lockey et al., 2019)</w:t>
      </w:r>
      <w:r>
        <w:t xml:space="preserve">. After acquiring a comprehensive understanding of the capabilities, inclinations, and distinct requirements of the elderly population, the subsequent phase is the implementation of </w:t>
      </w:r>
      <w:r>
        <w:lastRenderedPageBreak/>
        <w:t>community mapping</w:t>
      </w:r>
      <w:r w:rsidR="00D04AF5">
        <w:t xml:space="preserve"> </w:t>
      </w:r>
      <w:r w:rsidR="00D04AF5" w:rsidRPr="00DF57C5">
        <w:t>(Green et al., 2020)</w:t>
      </w:r>
      <w:r>
        <w:t>. The main objective of this phase is to identify and involve crucial community resources that may contribute to the successful execution and results of our Digital Literacy Programme. These assets may include pre-existing educational facilities, libraries, community organisations, or digital materials available on the internet</w:t>
      </w:r>
      <w:r w:rsidR="00D04AF5">
        <w:t xml:space="preserve"> </w:t>
      </w:r>
      <w:r w:rsidR="00D04AF5" w:rsidRPr="00DF57C5">
        <w:t>(Roach &amp; Fritz, 2022)</w:t>
      </w:r>
      <w:r>
        <w:t>.</w:t>
      </w:r>
    </w:p>
    <w:p w14:paraId="3D589D99" w14:textId="1E09CBCD" w:rsidR="00C33F1E" w:rsidRDefault="00C33F1E" w:rsidP="00C33F1E">
      <w:r>
        <w:t>In addition, we would seek out prospective community collaborators, including educational institutions, technology firms, and other local entities with a vested interest in digital literacy. These possible partners may be amenable to providing their knowledge, resources, or assistance</w:t>
      </w:r>
      <w:r w:rsidR="00D04AF5">
        <w:t xml:space="preserve"> </w:t>
      </w:r>
      <w:r w:rsidR="00D04AF5" w:rsidRPr="00DF57C5">
        <w:t>(Green et al., 2020)</w:t>
      </w:r>
      <w:r>
        <w:t>. In addition to collaborating with institutional partners, it is possible to include community volunteers who possess relevant expertise and a strong commitment to educate older adults. These volunteers may serve as facilitators or mentors. During the community mapping phase, it is important to identify platforms that may be used for the promotion of our programme</w:t>
      </w:r>
      <w:r w:rsidR="00B33A11">
        <w:t xml:space="preserve"> </w:t>
      </w:r>
      <w:r w:rsidR="00B33A11" w:rsidRPr="00DF57C5">
        <w:t>(Miller et al., 2021)</w:t>
      </w:r>
      <w:r>
        <w:t xml:space="preserve">. </w:t>
      </w:r>
    </w:p>
    <w:p w14:paraId="4A9790C9" w14:textId="5E9DAF36" w:rsidR="00C33F1E" w:rsidRDefault="00C33F1E" w:rsidP="00C33F1E">
      <w:r>
        <w:t>Various local community centres, houses of worship, senior centres, or strategically placed flyers in popular locations frequented by older folks may serve as useful means to successfully engage with our intended demographic. Through the implementation of extensive research and thorough community mapping, our ability to customise the Digital Literacy Programme to effectively address the distinct requirements of elderly adults will be significantly enhanced</w:t>
      </w:r>
      <w:r w:rsidR="00D04AF5">
        <w:t xml:space="preserve"> </w:t>
      </w:r>
      <w:r w:rsidR="00D04AF5" w:rsidRPr="00DF57C5">
        <w:t>(Roach &amp; Fritz, 2022)</w:t>
      </w:r>
      <w:r>
        <w:t>.</w:t>
      </w:r>
    </w:p>
    <w:p w14:paraId="1DCA8EEE" w14:textId="1961A963" w:rsidR="00C33F1E" w:rsidRDefault="00C33F1E" w:rsidP="00C33F1E">
      <w:pPr>
        <w:pStyle w:val="Heading1"/>
      </w:pPr>
      <w:bookmarkStart w:id="4" w:name="_Toc150994574"/>
      <w:r>
        <w:t>Platforms for Engagement</w:t>
      </w:r>
      <w:bookmarkEnd w:id="4"/>
    </w:p>
    <w:p w14:paraId="1DB64863" w14:textId="2657C821" w:rsidR="00C33F1E" w:rsidRDefault="00C33F1E" w:rsidP="00C33F1E">
      <w:r>
        <w:t>The success of our Digital Literacy Programme for the Elderly depends heavily on our ability to correctly identify the most appropriate interaction platforms. Our strategy should seek for a mix between classic, more recognisable means of communication and current digital platforms to fit the distinct demands and preferences of our target audience</w:t>
      </w:r>
      <w:r w:rsidR="00D04AF5">
        <w:t xml:space="preserve"> </w:t>
      </w:r>
      <w:r w:rsidR="00D04AF5" w:rsidRPr="00DF57C5">
        <w:t>(Green et al., 2020)</w:t>
      </w:r>
      <w:r>
        <w:t>. The first stage is to spread the word about our programmes via senior-friendly mediums of communication including newspapers, radio, and community television. Senior centres, retirement homes, churches, and community centres may all play a role in spreading the word about our initiative and providing a welcoming environment for the elders to get to know one another</w:t>
      </w:r>
      <w:r w:rsidR="00D04AF5">
        <w:t xml:space="preserve"> </w:t>
      </w:r>
      <w:r w:rsidR="00D04AF5" w:rsidRPr="00DF57C5">
        <w:t>(Cunningham &amp; Smith, 2020)</w:t>
      </w:r>
      <w:r>
        <w:t>.</w:t>
      </w:r>
    </w:p>
    <w:p w14:paraId="734FC799" w14:textId="60BB7FC7" w:rsidR="00C33F1E" w:rsidRDefault="00C33F1E" w:rsidP="00C33F1E">
      <w:r>
        <w:t>We also want to collaborate with organisations like schools and libraries that may provide a physical location for elderly persons to access digital training programmes. Anxiety over using new technologies may be mitigated in such settings, allowing for more productive study</w:t>
      </w:r>
      <w:r w:rsidR="00D04AF5">
        <w:t xml:space="preserve"> </w:t>
      </w:r>
      <w:r w:rsidR="00D04AF5" w:rsidRPr="00DF57C5">
        <w:t>(Meurer et al., 2020)</w:t>
      </w:r>
      <w:r>
        <w:t xml:space="preserve">. After these foundational points of contact have been established, </w:t>
      </w:r>
      <w:r>
        <w:lastRenderedPageBreak/>
        <w:t>it will be important to add senior-friendly digital platforms into our continuing engagement effort. Workshop advertising, follow-up, and content sharing might all benefit from a deeper dive into the online communities that many seniors are already familiar with and used to using. This could include anything from email and Facebook to video conferencing services</w:t>
      </w:r>
      <w:r w:rsidR="00D04AF5">
        <w:t xml:space="preserve"> </w:t>
      </w:r>
      <w:r w:rsidR="00D04AF5" w:rsidRPr="00DF57C5">
        <w:t>(Cunningham &amp; Smith, 2020)</w:t>
      </w:r>
      <w:r>
        <w:t>.</w:t>
      </w:r>
    </w:p>
    <w:p w14:paraId="52D73928" w14:textId="63E9B682" w:rsidR="00C33F1E" w:rsidRDefault="00C33F1E" w:rsidP="00C33F1E">
      <w:r>
        <w:t>A website that is easy to use, has just necessary information, and uses plain language may be an efficient means of participation. The website may serve as a centre where seniors can go to get information about workshops, get in touch with their instructors, and talk to other seniors in the forums</w:t>
      </w:r>
      <w:r w:rsidR="00D04AF5">
        <w:t xml:space="preserve"> </w:t>
      </w:r>
      <w:r w:rsidR="00D04AF5" w:rsidRPr="00DF57C5">
        <w:t>(Skill et al., 2020)</w:t>
      </w:r>
      <w:r>
        <w:t>. Participants in the Digital Literacy Programme are likely to gain confidence in using a wide range of digital tools as the course develops. This gives a chance to gradually expose elderly adults to new platforms that will enrich their time spent online</w:t>
      </w:r>
      <w:r w:rsidR="00D04AF5">
        <w:t xml:space="preserve"> </w:t>
      </w:r>
      <w:r w:rsidR="00D04AF5" w:rsidRPr="00DF57C5">
        <w:t>(Meurer et al., 2020)</w:t>
      </w:r>
      <w:r>
        <w:t>.</w:t>
      </w:r>
    </w:p>
    <w:p w14:paraId="1D26C907" w14:textId="0B249B06" w:rsidR="00C33F1E" w:rsidRDefault="00C33F1E" w:rsidP="00C33F1E">
      <w:r>
        <w:t>Finally, we should include frequent check-ins into our engagement strategy by scheduling phone conversations, video chats, or in-person meetings. These meetings, which are best run by volunteers, ensure that we always have someone to talk to and provide us the chance to address any questions or problems as soon as they arise</w:t>
      </w:r>
      <w:r w:rsidR="00D04AF5">
        <w:t xml:space="preserve"> </w:t>
      </w:r>
      <w:r w:rsidR="00D04AF5" w:rsidRPr="00DF57C5">
        <w:t>(Skill et al., 2020)</w:t>
      </w:r>
      <w:r>
        <w:t>.</w:t>
      </w:r>
    </w:p>
    <w:p w14:paraId="5B1C69FA" w14:textId="49E05E9F" w:rsidR="00C33F1E" w:rsidRDefault="00C33F1E" w:rsidP="00C33F1E">
      <w:pPr>
        <w:pStyle w:val="Heading1"/>
      </w:pPr>
      <w:bookmarkStart w:id="5" w:name="_Toc150994575"/>
      <w:r>
        <w:t>Impact Analysis and Evaluation</w:t>
      </w:r>
      <w:bookmarkEnd w:id="5"/>
    </w:p>
    <w:p w14:paraId="0DE41C32" w14:textId="01D1B2C1" w:rsidR="00C33F1E" w:rsidRDefault="00C33F1E" w:rsidP="00C33F1E">
      <w:r>
        <w:t>We can't stress enough how crucial it is to do impact analysis and evaluation as we roll out our Digital Literacy Programme. Analysing the initiative's impact on seniors in the real world enables constant monitoring of the program's efficacy, drives changes, and gives invaluable insights</w:t>
      </w:r>
      <w:r w:rsidR="00D04AF5">
        <w:t xml:space="preserve"> </w:t>
      </w:r>
      <w:r w:rsidR="00D04AF5" w:rsidRPr="00DF57C5">
        <w:t xml:space="preserve">(Roy &amp; </w:t>
      </w:r>
      <w:proofErr w:type="spellStart"/>
      <w:r w:rsidR="00D04AF5" w:rsidRPr="00DF57C5">
        <w:t>Uekusa</w:t>
      </w:r>
      <w:proofErr w:type="spellEnd"/>
      <w:r w:rsidR="00D04AF5" w:rsidRPr="00DF57C5">
        <w:t>, 2020)</w:t>
      </w:r>
      <w:r>
        <w:t>. Quantitative and qualitative methodologies should be used together in an all-encompassing assessment of our plan if we are to fully grasp its breadth and depth. Quantitative tools, such as pre- and post-programme surveys or quizzes, may be used to comprehend the observable skill-based learnings and gains. This might contain questions concerning the seniors' confidence, comfort, and attitude towards technology, in addition to measuring their digital ability</w:t>
      </w:r>
      <w:r w:rsidR="00D04AF5">
        <w:t xml:space="preserve"> </w:t>
      </w:r>
      <w:r w:rsidR="00D04AF5" w:rsidRPr="00DF57C5">
        <w:t xml:space="preserve">(Roy &amp; </w:t>
      </w:r>
      <w:proofErr w:type="spellStart"/>
      <w:r w:rsidR="00D04AF5" w:rsidRPr="00DF57C5">
        <w:t>Uekusa</w:t>
      </w:r>
      <w:proofErr w:type="spellEnd"/>
      <w:r w:rsidR="00D04AF5" w:rsidRPr="00DF57C5">
        <w:t>, 2020)</w:t>
      </w:r>
      <w:r>
        <w:t xml:space="preserve">. </w:t>
      </w:r>
    </w:p>
    <w:p w14:paraId="12420C60" w14:textId="1BD951AA" w:rsidR="00C33F1E" w:rsidRDefault="00C33F1E" w:rsidP="00C33F1E">
      <w:r>
        <w:t>Participant attendance and activity tracking, such as online platform use or job completion rates, might potentially provide useful information. The whole effect of the curriculum can't be captured with only statistics; it's also important to get insight into the participants' individual experiences</w:t>
      </w:r>
      <w:r w:rsidR="00D04AF5">
        <w:t xml:space="preserve"> </w:t>
      </w:r>
      <w:r w:rsidR="00D04AF5" w:rsidRPr="00DF57C5">
        <w:t>(Adhikari et al., 2020)</w:t>
      </w:r>
      <w:r>
        <w:t xml:space="preserve">. In order to better understand the program's less apparent but no less important consequences, qualitative approaches such as open-ended surveys, individual interviews, or focus group discussions may be quite useful. It would be </w:t>
      </w:r>
      <w:r>
        <w:lastRenderedPageBreak/>
        <w:t>important to collect and record participants' accounts of their own learning and adjustment processes</w:t>
      </w:r>
      <w:r w:rsidR="00D04AF5">
        <w:t xml:space="preserve"> </w:t>
      </w:r>
      <w:r w:rsidR="00D04AF5" w:rsidRPr="00DF57C5">
        <w:t>(Cunningham &amp; Smith, 2020)</w:t>
      </w:r>
      <w:r>
        <w:t xml:space="preserve">. </w:t>
      </w:r>
    </w:p>
    <w:p w14:paraId="33739B01" w14:textId="619F4F7E" w:rsidR="00C33F1E" w:rsidRDefault="00C33F1E" w:rsidP="00C33F1E">
      <w:r>
        <w:t>Insights into the wider life benefits of the curriculum may be gained by observing how participants employ their acquired digital abilities outside of the programme, such as in their interactions with family and friends online, their use of online services, and their participation in digital communities</w:t>
      </w:r>
      <w:r w:rsidR="00D04AF5">
        <w:t xml:space="preserve"> </w:t>
      </w:r>
      <w:r w:rsidR="00D04AF5" w:rsidRPr="00DF57C5">
        <w:t>(Adhikari et al., 2020)</w:t>
      </w:r>
      <w:r>
        <w:t>. It could also highlight common challenges, requirements, or gaps that our plan might fill. Participants' input on the program's format, timing, location, etc., might be gathered via surveys and focus groups. The program's efficacy and potential for enhancement might also be gleaned by hearing from the facilitators and volunteers who were instrumental in its delivery</w:t>
      </w:r>
      <w:r w:rsidR="00D04AF5">
        <w:t xml:space="preserve"> </w:t>
      </w:r>
      <w:r w:rsidR="00D04AF5" w:rsidRPr="00DF57C5">
        <w:t>(Line et al., 2022)</w:t>
      </w:r>
      <w:r>
        <w:t>.</w:t>
      </w:r>
    </w:p>
    <w:p w14:paraId="3EB1436A" w14:textId="5B3204F1" w:rsidR="00C33F1E" w:rsidRDefault="00C33F1E" w:rsidP="00C33F1E">
      <w:r>
        <w:t>Our assessment methodology would be based on the Quality Standards for Community Engagement. These norms promote transparency in planning and execution, as well as open dialogue and the participation of all stakeholders. By adhering to these guidelines, we can be certain that our assessments will be thorough and reliable, while also being considerate of participants and their experiences</w:t>
      </w:r>
      <w:r w:rsidR="00D04AF5">
        <w:t xml:space="preserve"> </w:t>
      </w:r>
      <w:r w:rsidR="00D04AF5" w:rsidRPr="00DF57C5">
        <w:t>(Shahid Satar, 2019)</w:t>
      </w:r>
      <w:r>
        <w:t xml:space="preserve">. </w:t>
      </w:r>
    </w:p>
    <w:p w14:paraId="49EA8DF6" w14:textId="6C2BFD5E" w:rsidR="00C33F1E" w:rsidRDefault="00C33F1E" w:rsidP="00C33F1E">
      <w:pPr>
        <w:pStyle w:val="Heading1"/>
      </w:pPr>
      <w:bookmarkStart w:id="6" w:name="_Toc150994576"/>
      <w:r>
        <w:t>Conclusion</w:t>
      </w:r>
      <w:bookmarkEnd w:id="6"/>
    </w:p>
    <w:p w14:paraId="06AD7502" w14:textId="45F1FC25" w:rsidR="00C33F1E" w:rsidRDefault="00C33F1E" w:rsidP="00C33F1E">
      <w:r>
        <w:t>Overcoming the digital gap, especially among the elderly, is a complex task that calls for teamwork, creativity, and compassion. Our method builds on the tenets of appreciation, acceptance, and agency to cater to the specific requirements and strengths of the elderly rather than focusing on their weaknesses. This effort relies heavily on research and community mapping to ensure that the Digital Literacy Programme is adapted to the seniors' individual needs, interests, and obstacles. This method also guarantees that we make the most of community resources and collaborations, ensuring the program's long-term viability and solid incorporation into the community's fabric.</w:t>
      </w:r>
    </w:p>
    <w:p w14:paraId="2EFADCD3" w14:textId="11B58175" w:rsidR="00C33F1E" w:rsidRDefault="00C33F1E" w:rsidP="00C33F1E">
      <w:r>
        <w:t>We suggested a hybrid of offline and online engagement strategies, tailoring each to the needs and preferences of the elderly. By employing familiar venues and channels of communication and progressively integrating digital platforms, we may promote a seamless transition to the digital domain that respects individual learning paces and preferences. The programme's concrete and intangible effects on our participants will be understood via analysis and assessment. This study will provide light on shifts in self-efficacy, attitude, and the practical application of newly acquired information and abilities, feeding into the development of our strategy as a whole.</w:t>
      </w:r>
    </w:p>
    <w:p w14:paraId="31920E2C" w14:textId="4DD74051" w:rsidR="00C33F1E" w:rsidRDefault="00C33F1E" w:rsidP="00C33F1E">
      <w:r>
        <w:t>Our Digital Literacy Programme will be successful if it helps elderly persons become independent users of digital technologies, active members of online communities, and grateful recipients of the efficiencies made possible by the digital age. Given the scope of the problem, it's clear that teaching seniors new skills isn't enough; we need a community-wide effort that takes special care to address the needs of the elderly as we help them realise their full potential in the digital era.</w:t>
      </w:r>
    </w:p>
    <w:p w14:paraId="55CB4F65" w14:textId="77777777" w:rsidR="00C33F1E" w:rsidRDefault="00C33F1E">
      <w:r>
        <w:br w:type="page"/>
      </w:r>
    </w:p>
    <w:p w14:paraId="2BE6BC6C" w14:textId="6364DC5C" w:rsidR="00C33F1E" w:rsidRDefault="00C33F1E" w:rsidP="00C33F1E">
      <w:pPr>
        <w:pStyle w:val="Heading1"/>
      </w:pPr>
      <w:bookmarkStart w:id="7" w:name="_Toc150994577"/>
      <w:r>
        <w:t>References</w:t>
      </w:r>
      <w:bookmarkEnd w:id="7"/>
    </w:p>
    <w:sdt>
      <w:sdtPr>
        <w:tag w:val="MENDELEY_BIBLIOGRAPHY"/>
        <w:id w:val="1776446387"/>
        <w:placeholder>
          <w:docPart w:val="AD927173CF774B98B7BD4033A710695C"/>
        </w:placeholder>
      </w:sdtPr>
      <w:sdtEndPr/>
      <w:sdtContent>
        <w:p w14:paraId="392EEFF3" w14:textId="77777777" w:rsidR="00B33A11" w:rsidRDefault="00B33A11" w:rsidP="00B33A11">
          <w:pPr>
            <w:rPr>
              <w:rFonts w:eastAsia="Times New Roman"/>
              <w:szCs w:val="24"/>
              <w14:ligatures w14:val="none"/>
            </w:rPr>
          </w:pPr>
          <w:r>
            <w:rPr>
              <w:rFonts w:eastAsia="Times New Roman"/>
            </w:rPr>
            <w:t xml:space="preserve">Adhikari, B., Pell, C. and Cheah, P.Y. (2020) ‘Community engagement and ethical global health research’, </w:t>
          </w:r>
          <w:r>
            <w:rPr>
              <w:rFonts w:eastAsia="Times New Roman"/>
              <w:i/>
              <w:iCs/>
            </w:rPr>
            <w:t>Global Bioethics</w:t>
          </w:r>
          <w:r>
            <w:rPr>
              <w:rFonts w:eastAsia="Times New Roman"/>
            </w:rPr>
            <w:t>, 31(1), pp. 1–12.</w:t>
          </w:r>
        </w:p>
        <w:p w14:paraId="58B8176A" w14:textId="77777777" w:rsidR="00B33A11" w:rsidRDefault="00B33A11" w:rsidP="00B33A11">
          <w:pPr>
            <w:rPr>
              <w:rFonts w:eastAsia="Times New Roman"/>
            </w:rPr>
          </w:pPr>
          <w:r>
            <w:rPr>
              <w:rFonts w:eastAsia="Times New Roman"/>
            </w:rPr>
            <w:t xml:space="preserve">Cunningham, H.R. and Smith, P. (2020) ‘Community engagement plans: A tool for institutionalizing community engagement’, </w:t>
          </w:r>
          <w:r>
            <w:rPr>
              <w:rFonts w:eastAsia="Times New Roman"/>
              <w:i/>
              <w:iCs/>
            </w:rPr>
            <w:t>Journal of Higher Education Outreach and Engagement</w:t>
          </w:r>
          <w:r>
            <w:rPr>
              <w:rFonts w:eastAsia="Times New Roman"/>
            </w:rPr>
            <w:t>, 24(2), pp. 53–68.</w:t>
          </w:r>
        </w:p>
        <w:p w14:paraId="29672B0E" w14:textId="77777777" w:rsidR="00B33A11" w:rsidRDefault="00B33A11" w:rsidP="00B33A11">
          <w:pPr>
            <w:rPr>
              <w:rFonts w:eastAsia="Times New Roman"/>
            </w:rPr>
          </w:pPr>
          <w:r>
            <w:rPr>
              <w:rFonts w:eastAsia="Times New Roman"/>
            </w:rPr>
            <w:t xml:space="preserve">Green, J.J. </w:t>
          </w:r>
          <w:r>
            <w:rPr>
              <w:rFonts w:eastAsia="Times New Roman"/>
              <w:i/>
              <w:iCs/>
            </w:rPr>
            <w:t>et al.</w:t>
          </w:r>
          <w:r>
            <w:rPr>
              <w:rFonts w:eastAsia="Times New Roman"/>
            </w:rPr>
            <w:t xml:space="preserve"> (2020) ‘Using community engagement approaches to bolster 2020 census participation’, </w:t>
          </w:r>
          <w:r>
            <w:rPr>
              <w:rFonts w:eastAsia="Times New Roman"/>
              <w:i/>
              <w:iCs/>
            </w:rPr>
            <w:t>Choices</w:t>
          </w:r>
          <w:r>
            <w:rPr>
              <w:rFonts w:eastAsia="Times New Roman"/>
            </w:rPr>
            <w:t>, 35(1), pp. 1–6.</w:t>
          </w:r>
        </w:p>
        <w:p w14:paraId="75EB80FD" w14:textId="77777777" w:rsidR="00B33A11" w:rsidRDefault="00B33A11" w:rsidP="00B33A11">
          <w:pPr>
            <w:rPr>
              <w:rFonts w:eastAsia="Times New Roman"/>
            </w:rPr>
          </w:pPr>
          <w:r>
            <w:rPr>
              <w:rFonts w:eastAsia="Times New Roman"/>
            </w:rPr>
            <w:t xml:space="preserve">Hands, C.M. (2023) </w:t>
          </w:r>
          <w:r>
            <w:rPr>
              <w:rFonts w:eastAsia="Times New Roman"/>
              <w:i/>
              <w:iCs/>
            </w:rPr>
            <w:t>Pathways to community engagement in education: Collaboration in diverse, urban neighbourhoods</w:t>
          </w:r>
          <w:r>
            <w:rPr>
              <w:rFonts w:eastAsia="Times New Roman"/>
            </w:rPr>
            <w:t>. Springer Nature.</w:t>
          </w:r>
        </w:p>
        <w:p w14:paraId="66C05FFF" w14:textId="77777777" w:rsidR="00B33A11" w:rsidRDefault="00B33A11" w:rsidP="00B33A11">
          <w:pPr>
            <w:rPr>
              <w:rFonts w:eastAsia="Times New Roman"/>
            </w:rPr>
          </w:pPr>
          <w:r>
            <w:rPr>
              <w:rFonts w:eastAsia="Times New Roman"/>
            </w:rPr>
            <w:t xml:space="preserve">Line, D., Kohlmeier, P. and Mount, S. (2022) ‘Community Engagement through Contact tracing training’, </w:t>
          </w:r>
          <w:r>
            <w:rPr>
              <w:rFonts w:eastAsia="Times New Roman"/>
              <w:i/>
              <w:iCs/>
            </w:rPr>
            <w:t>Metropolitan Universities</w:t>
          </w:r>
          <w:r>
            <w:rPr>
              <w:rFonts w:eastAsia="Times New Roman"/>
            </w:rPr>
            <w:t>, 33(3), pp. 23–38.</w:t>
          </w:r>
        </w:p>
        <w:p w14:paraId="7D2F9DAA" w14:textId="77777777" w:rsidR="00B33A11" w:rsidRDefault="00B33A11" w:rsidP="00B33A11">
          <w:pPr>
            <w:rPr>
              <w:rFonts w:eastAsia="Times New Roman"/>
            </w:rPr>
          </w:pPr>
          <w:r>
            <w:rPr>
              <w:rFonts w:eastAsia="Times New Roman"/>
            </w:rPr>
            <w:t xml:space="preserve">Lockey, S. </w:t>
          </w:r>
          <w:r>
            <w:rPr>
              <w:rFonts w:eastAsia="Times New Roman"/>
              <w:i/>
              <w:iCs/>
            </w:rPr>
            <w:t>et al.</w:t>
          </w:r>
          <w:r>
            <w:rPr>
              <w:rFonts w:eastAsia="Times New Roman"/>
            </w:rPr>
            <w:t xml:space="preserve"> (2019) ‘The impact of a local community engagement intervention on residents’ fear of crime and perceptions of the police’, </w:t>
          </w:r>
          <w:r>
            <w:rPr>
              <w:rFonts w:eastAsia="Times New Roman"/>
              <w:i/>
              <w:iCs/>
            </w:rPr>
            <w:t>International Journal of Police Science &amp; Management</w:t>
          </w:r>
          <w:r>
            <w:rPr>
              <w:rFonts w:eastAsia="Times New Roman"/>
            </w:rPr>
            <w:t>, 21(3), pp. 168–180.</w:t>
          </w:r>
        </w:p>
        <w:p w14:paraId="26C06F68" w14:textId="77777777" w:rsidR="00B33A11" w:rsidRDefault="00B33A11" w:rsidP="00B33A11">
          <w:pPr>
            <w:rPr>
              <w:rFonts w:eastAsia="Times New Roman"/>
            </w:rPr>
          </w:pPr>
          <w:r>
            <w:rPr>
              <w:rFonts w:eastAsia="Times New Roman"/>
            </w:rPr>
            <w:t xml:space="preserve">Meurer, L.N. </w:t>
          </w:r>
          <w:r>
            <w:rPr>
              <w:rFonts w:eastAsia="Times New Roman"/>
              <w:i/>
              <w:iCs/>
            </w:rPr>
            <w:t>et al.</w:t>
          </w:r>
          <w:r>
            <w:rPr>
              <w:rFonts w:eastAsia="Times New Roman"/>
            </w:rPr>
            <w:t xml:space="preserve"> (2020) ‘Incorporating community engagement in primary care research training: Eleven-year outcomes’, </w:t>
          </w:r>
          <w:r>
            <w:rPr>
              <w:rFonts w:eastAsia="Times New Roman"/>
              <w:i/>
              <w:iCs/>
            </w:rPr>
            <w:t>Progress in community health partnerships: research, education, and action</w:t>
          </w:r>
          <w:r>
            <w:rPr>
              <w:rFonts w:eastAsia="Times New Roman"/>
            </w:rPr>
            <w:t>, 14(1), pp. 63–74.</w:t>
          </w:r>
        </w:p>
        <w:p w14:paraId="3F7EAAF1" w14:textId="77777777" w:rsidR="00B33A11" w:rsidRDefault="00B33A11" w:rsidP="00B33A11">
          <w:pPr>
            <w:rPr>
              <w:rFonts w:eastAsia="Times New Roman"/>
            </w:rPr>
          </w:pPr>
          <w:r>
            <w:rPr>
              <w:rFonts w:eastAsia="Times New Roman"/>
            </w:rPr>
            <w:t xml:space="preserve">Miller, M.L. </w:t>
          </w:r>
          <w:r>
            <w:rPr>
              <w:rFonts w:eastAsia="Times New Roman"/>
              <w:i/>
              <w:iCs/>
            </w:rPr>
            <w:t>et al.</w:t>
          </w:r>
          <w:r>
            <w:rPr>
              <w:rFonts w:eastAsia="Times New Roman"/>
            </w:rPr>
            <w:t xml:space="preserve"> (2021) ‘Global service learning: A unique educational pathway for community engagement and student scholarship development’, </w:t>
          </w:r>
          <w:r>
            <w:rPr>
              <w:rFonts w:eastAsia="Times New Roman"/>
              <w:i/>
              <w:iCs/>
            </w:rPr>
            <w:t>Journal of the American College of Clinical Pharmacy</w:t>
          </w:r>
          <w:r>
            <w:rPr>
              <w:rFonts w:eastAsia="Times New Roman"/>
            </w:rPr>
            <w:t>, 4(2), pp. 203–210.</w:t>
          </w:r>
        </w:p>
        <w:p w14:paraId="7970C84C" w14:textId="77777777" w:rsidR="00B33A11" w:rsidRDefault="00B33A11" w:rsidP="00B33A11">
          <w:pPr>
            <w:rPr>
              <w:rFonts w:eastAsia="Times New Roman"/>
            </w:rPr>
          </w:pPr>
          <w:r>
            <w:rPr>
              <w:rFonts w:eastAsia="Times New Roman"/>
            </w:rPr>
            <w:t xml:space="preserve">O’Meara, K. and Jaeger, A.J. (2019) ‘Preparing future faculty for community engagement: Barriers, facilitators, models, and recommendations’, </w:t>
          </w:r>
          <w:r>
            <w:rPr>
              <w:rFonts w:eastAsia="Times New Roman"/>
              <w:i/>
              <w:iCs/>
            </w:rPr>
            <w:t>Building the Field of Higher Education Engagement</w:t>
          </w:r>
          <w:r>
            <w:rPr>
              <w:rFonts w:eastAsia="Times New Roman"/>
            </w:rPr>
            <w:t>, pp. 111–131.</w:t>
          </w:r>
        </w:p>
        <w:p w14:paraId="76C10943" w14:textId="77777777" w:rsidR="00B33A11" w:rsidRDefault="00B33A11" w:rsidP="00B33A11">
          <w:pPr>
            <w:rPr>
              <w:rFonts w:eastAsia="Times New Roman"/>
            </w:rPr>
          </w:pPr>
          <w:r>
            <w:rPr>
              <w:rFonts w:eastAsia="Times New Roman"/>
            </w:rPr>
            <w:t xml:space="preserve">Roach, M. and Fritz, J. (2022) ‘Breaking barriers and building bridges: Increasing community engagement in program evaluation’, </w:t>
          </w:r>
          <w:r>
            <w:rPr>
              <w:rFonts w:eastAsia="Times New Roman"/>
              <w:i/>
              <w:iCs/>
            </w:rPr>
            <w:t>Evaluation and Program Planning</w:t>
          </w:r>
          <w:r>
            <w:rPr>
              <w:rFonts w:eastAsia="Times New Roman"/>
            </w:rPr>
            <w:t>, 90, p. 101997.</w:t>
          </w:r>
        </w:p>
        <w:p w14:paraId="668D40B4" w14:textId="77777777" w:rsidR="00B33A11" w:rsidRDefault="00B33A11" w:rsidP="00B33A11">
          <w:pPr>
            <w:rPr>
              <w:rFonts w:eastAsia="Times New Roman"/>
            </w:rPr>
          </w:pPr>
          <w:r>
            <w:rPr>
              <w:rFonts w:eastAsia="Times New Roman"/>
            </w:rPr>
            <w:t xml:space="preserve">Roy, R. and </w:t>
          </w:r>
          <w:proofErr w:type="spellStart"/>
          <w:r>
            <w:rPr>
              <w:rFonts w:eastAsia="Times New Roman"/>
            </w:rPr>
            <w:t>Uekusa</w:t>
          </w:r>
          <w:proofErr w:type="spellEnd"/>
          <w:r>
            <w:rPr>
              <w:rFonts w:eastAsia="Times New Roman"/>
            </w:rPr>
            <w:t xml:space="preserve">, S. (2020) ‘Collaborative </w:t>
          </w:r>
          <w:proofErr w:type="spellStart"/>
          <w:r>
            <w:rPr>
              <w:rFonts w:eastAsia="Times New Roman"/>
            </w:rPr>
            <w:t>autoethnography</w:t>
          </w:r>
          <w:proofErr w:type="spellEnd"/>
          <w:r>
            <w:rPr>
              <w:rFonts w:eastAsia="Times New Roman"/>
            </w:rPr>
            <w:t xml:space="preserve">:“Self-reflection” as a timely alternative research approach during the global pandemic’, </w:t>
          </w:r>
          <w:r>
            <w:rPr>
              <w:rFonts w:eastAsia="Times New Roman"/>
              <w:i/>
              <w:iCs/>
            </w:rPr>
            <w:t>Qualitative Research Journal</w:t>
          </w:r>
          <w:r>
            <w:rPr>
              <w:rFonts w:eastAsia="Times New Roman"/>
            </w:rPr>
            <w:t>, 20(4), pp. 383–392.</w:t>
          </w:r>
        </w:p>
        <w:p w14:paraId="53F832D9" w14:textId="77777777" w:rsidR="00B33A11" w:rsidRDefault="00B33A11" w:rsidP="00B33A11">
          <w:pPr>
            <w:rPr>
              <w:rFonts w:eastAsia="Times New Roman"/>
            </w:rPr>
          </w:pPr>
          <w:r>
            <w:rPr>
              <w:rFonts w:eastAsia="Times New Roman"/>
            </w:rPr>
            <w:t xml:space="preserve">Shahid Satar, M. (2019) ‘Towards developing a comprehensive model for describing the phenomenon of community engagement in social enterprises’, </w:t>
          </w:r>
          <w:r>
            <w:rPr>
              <w:rFonts w:eastAsia="Times New Roman"/>
              <w:i/>
              <w:iCs/>
            </w:rPr>
            <w:t>Journal of Enterprising Communities: People and Places in the Global Economy</w:t>
          </w:r>
          <w:r>
            <w:rPr>
              <w:rFonts w:eastAsia="Times New Roman"/>
            </w:rPr>
            <w:t>, 13(4), pp. 472–488.</w:t>
          </w:r>
        </w:p>
        <w:p w14:paraId="73C39987" w14:textId="77777777" w:rsidR="00B33A11" w:rsidRDefault="00B33A11" w:rsidP="00B33A11">
          <w:pPr>
            <w:rPr>
              <w:rFonts w:eastAsia="Times New Roman"/>
            </w:rPr>
          </w:pPr>
          <w:r>
            <w:rPr>
              <w:rFonts w:eastAsia="Times New Roman"/>
            </w:rPr>
            <w:t xml:space="preserve">Skill, E.E., Stafford, E.R. and Brain McCann, R.G.H. (2020) ‘Community engagement strategies to achieve 100 percent net-renewable electricity resolutions’, </w:t>
          </w:r>
          <w:r>
            <w:rPr>
              <w:rFonts w:eastAsia="Times New Roman"/>
              <w:i/>
              <w:iCs/>
            </w:rPr>
            <w:t>Sustainability: The Journal of Record</w:t>
          </w:r>
          <w:r>
            <w:rPr>
              <w:rFonts w:eastAsia="Times New Roman"/>
            </w:rPr>
            <w:t>, 13(5), pp. 225–241.</w:t>
          </w:r>
        </w:p>
        <w:p w14:paraId="31E5C30F" w14:textId="77777777" w:rsidR="00B33A11" w:rsidRDefault="00B33A11" w:rsidP="00B33A11">
          <w:r>
            <w:rPr>
              <w:rFonts w:eastAsia="Times New Roman"/>
            </w:rPr>
            <w:t> </w:t>
          </w:r>
        </w:p>
      </w:sdtContent>
    </w:sdt>
    <w:p w14:paraId="347EFA63" w14:textId="77777777" w:rsidR="00B33A11" w:rsidRPr="00B33A11" w:rsidRDefault="00B33A11" w:rsidP="00B33A11"/>
    <w:sectPr w:rsidR="00B33A11" w:rsidRPr="00B33A11" w:rsidSect="000211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61A"/>
    <w:rsid w:val="00021161"/>
    <w:rsid w:val="00033804"/>
    <w:rsid w:val="000C75FC"/>
    <w:rsid w:val="000F4E7D"/>
    <w:rsid w:val="001B1E0E"/>
    <w:rsid w:val="006E4F81"/>
    <w:rsid w:val="0071347A"/>
    <w:rsid w:val="00B33A11"/>
    <w:rsid w:val="00BE2470"/>
    <w:rsid w:val="00C33F1E"/>
    <w:rsid w:val="00C94059"/>
    <w:rsid w:val="00D04AF5"/>
    <w:rsid w:val="00DB2530"/>
    <w:rsid w:val="00E8161A"/>
    <w:rsid w:val="00EB4859"/>
    <w:rsid w:val="00FC1202"/>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2535F8"/>
  <w15:chartTrackingRefBased/>
  <w15:docId w15:val="{9D725AD8-7C3B-42C3-AFD4-E10EB210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F8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F4E7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next w:val="Normal"/>
    <w:link w:val="Heading3Char"/>
    <w:uiPriority w:val="9"/>
    <w:unhideWhenUsed/>
    <w:qFormat/>
    <w:rsid w:val="000F4E7D"/>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F81"/>
    <w:rPr>
      <w:rFonts w:eastAsiaTheme="majorEastAsia" w:cstheme="majorBidi"/>
      <w:b/>
      <w:color w:val="000000" w:themeColor="text1"/>
      <w:sz w:val="28"/>
      <w:szCs w:val="32"/>
    </w:rPr>
  </w:style>
  <w:style w:type="character" w:customStyle="1" w:styleId="Heading3Char">
    <w:name w:val="Heading 3 Char"/>
    <w:basedOn w:val="DefaultParagraphFont"/>
    <w:link w:val="Heading3"/>
    <w:uiPriority w:val="9"/>
    <w:rsid w:val="000F4E7D"/>
    <w:rPr>
      <w:rFonts w:eastAsiaTheme="majorEastAsia" w:cstheme="majorBidi"/>
      <w:b/>
      <w:szCs w:val="24"/>
    </w:rPr>
  </w:style>
  <w:style w:type="character" w:customStyle="1" w:styleId="Heading2Char">
    <w:name w:val="Heading 2 Char"/>
    <w:basedOn w:val="DefaultParagraphFont"/>
    <w:link w:val="Heading2"/>
    <w:uiPriority w:val="9"/>
    <w:rsid w:val="000F4E7D"/>
    <w:rPr>
      <w:rFonts w:eastAsiaTheme="majorEastAsia" w:cstheme="majorBidi"/>
      <w:b/>
      <w:i/>
      <w:color w:val="2F5496" w:themeColor="accent1" w:themeShade="BF"/>
      <w:sz w:val="26"/>
      <w:szCs w:val="26"/>
    </w:rPr>
  </w:style>
  <w:style w:type="paragraph" w:styleId="TOCHeading">
    <w:name w:val="TOC Heading"/>
    <w:basedOn w:val="Heading1"/>
    <w:next w:val="Normal"/>
    <w:uiPriority w:val="39"/>
    <w:unhideWhenUsed/>
    <w:qFormat/>
    <w:rsid w:val="001B1E0E"/>
    <w:pPr>
      <w:spacing w:line="259" w:lineRule="auto"/>
      <w:outlineLvl w:val="9"/>
    </w:pPr>
    <w:rPr>
      <w:rFonts w:asciiTheme="majorHAnsi" w:hAnsiTheme="majorHAnsi"/>
      <w:b w:val="0"/>
      <w:color w:val="2F5496" w:themeColor="accent1" w:themeShade="BF"/>
      <w:sz w:val="32"/>
      <w:lang w:val="en-US"/>
      <w14:ligatures w14:val="none"/>
    </w:rPr>
  </w:style>
  <w:style w:type="paragraph" w:styleId="TOC1">
    <w:name w:val="toc 1"/>
    <w:basedOn w:val="Normal"/>
    <w:next w:val="Normal"/>
    <w:autoRedefine/>
    <w:uiPriority w:val="39"/>
    <w:unhideWhenUsed/>
    <w:rsid w:val="001B1E0E"/>
    <w:pPr>
      <w:spacing w:after="100"/>
    </w:pPr>
  </w:style>
  <w:style w:type="character" w:styleId="Hyperlink">
    <w:name w:val="Hyperlink"/>
    <w:basedOn w:val="DefaultParagraphFont"/>
    <w:uiPriority w:val="99"/>
    <w:unhideWhenUsed/>
    <w:rsid w:val="001B1E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glossaryDocument" Target="glossary/document.xml" /><Relationship Id="rId5" Type="http://schemas.openxmlformats.org/officeDocument/2006/relationships/fontTable" Target="fontTable.xml" /><Relationship Id="rId4" Type="http://schemas.openxmlformats.org/officeDocument/2006/relationships/webSettings" Target="webSettings.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D927173CF774B98B7BD4033A710695C"/>
        <w:category>
          <w:name w:val="General"/>
          <w:gallery w:val="placeholder"/>
        </w:category>
        <w:types>
          <w:type w:val="bbPlcHdr"/>
        </w:types>
        <w:behaviors>
          <w:behavior w:val="content"/>
        </w:behaviors>
        <w:guid w:val="{16E53247-DF61-4148-B6D4-A74F2B642E81}"/>
      </w:docPartPr>
      <w:docPartBody>
        <w:p w:rsidR="009A7726" w:rsidRDefault="009A7726" w:rsidP="009A7726">
          <w:pPr>
            <w:pStyle w:val="AD927173CF774B98B7BD4033A710695C"/>
          </w:pPr>
          <w:r w:rsidRPr="00CD6EB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726"/>
    <w:rsid w:val="008A1AA8"/>
    <w:rsid w:val="009A772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7726"/>
    <w:rPr>
      <w:color w:val="666666"/>
    </w:rPr>
  </w:style>
  <w:style w:type="paragraph" w:customStyle="1" w:styleId="AD927173CF774B98B7BD4033A710695C">
    <w:name w:val="AD927173CF774B98B7BD4033A710695C"/>
    <w:rsid w:val="009A77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53766E-4D00-4C60-8A28-BE7492E283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2448</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julian alpha</cp:lastModifiedBy>
  <cp:revision>2</cp:revision>
  <dcterms:created xsi:type="dcterms:W3CDTF">2023-11-27T10:08:00Z</dcterms:created>
  <dcterms:modified xsi:type="dcterms:W3CDTF">2023-11-27T10:08:00Z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29fe6f7f-a33b-4897-8707-816fb9b8c863</vt:lpwstr>
  </property>
</Properties>
</file>