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228D5" w14:textId="77777777" w:rsidR="009F6769" w:rsidRPr="008970B0" w:rsidRDefault="009F6769" w:rsidP="000947D6">
      <w:pPr>
        <w:spacing w:line="360" w:lineRule="auto"/>
        <w:jc w:val="center"/>
        <w:rPr>
          <w:rFonts w:ascii="Arial" w:hAnsi="Arial" w:cs="Arial"/>
          <w:color w:val="44546A" w:themeColor="text2"/>
          <w:kern w:val="0"/>
          <w14:ligatures w14:val="none"/>
        </w:rPr>
      </w:pPr>
      <w:r w:rsidRPr="008970B0">
        <w:rPr>
          <w:rFonts w:ascii="Arial" w:hAnsi="Arial" w:cs="Arial"/>
          <w:color w:val="44546A" w:themeColor="text2"/>
          <w:kern w:val="0"/>
          <w14:ligatures w14:val="none"/>
        </w:rPr>
        <w:t>University of Wales</w:t>
      </w:r>
    </w:p>
    <w:p w14:paraId="1C3568F2" w14:textId="77777777" w:rsidR="009F6769" w:rsidRPr="008970B0" w:rsidRDefault="009F6769" w:rsidP="000947D6">
      <w:pPr>
        <w:spacing w:line="360" w:lineRule="auto"/>
        <w:jc w:val="center"/>
        <w:rPr>
          <w:rFonts w:ascii="Arial" w:hAnsi="Arial" w:cs="Arial"/>
          <w:color w:val="44546A" w:themeColor="text2"/>
          <w:kern w:val="0"/>
          <w14:ligatures w14:val="none"/>
        </w:rPr>
      </w:pPr>
      <w:r w:rsidRPr="008970B0">
        <w:rPr>
          <w:rFonts w:ascii="Arial" w:hAnsi="Arial" w:cs="Arial"/>
          <w:color w:val="44546A" w:themeColor="text2"/>
          <w:kern w:val="0"/>
          <w14:ligatures w14:val="none"/>
        </w:rPr>
        <w:t>Trinity Saint David</w:t>
      </w:r>
    </w:p>
    <w:p w14:paraId="4807BF2A" w14:textId="77777777" w:rsidR="009F6769" w:rsidRPr="008970B0" w:rsidRDefault="009F6769" w:rsidP="000947D6">
      <w:pPr>
        <w:spacing w:line="360" w:lineRule="auto"/>
        <w:jc w:val="center"/>
        <w:rPr>
          <w:rFonts w:ascii="Arial" w:hAnsi="Arial" w:cs="Arial"/>
          <w:color w:val="44546A" w:themeColor="text2"/>
          <w:kern w:val="0"/>
          <w14:ligatures w14:val="none"/>
        </w:rPr>
      </w:pPr>
      <w:r w:rsidRPr="008970B0">
        <w:rPr>
          <w:rFonts w:ascii="Arial" w:hAnsi="Arial" w:cs="Arial"/>
          <w:color w:val="44546A" w:themeColor="text2"/>
          <w:kern w:val="0"/>
          <w14:ligatures w14:val="none"/>
        </w:rPr>
        <w:t>Campus London</w:t>
      </w:r>
    </w:p>
    <w:p w14:paraId="6C3D9163" w14:textId="77777777" w:rsidR="009F6769" w:rsidRPr="008970B0" w:rsidRDefault="009F6769" w:rsidP="000947D6">
      <w:pPr>
        <w:spacing w:line="360" w:lineRule="auto"/>
        <w:jc w:val="center"/>
        <w:rPr>
          <w:rFonts w:ascii="Arial" w:hAnsi="Arial" w:cs="Arial"/>
          <w:color w:val="44546A" w:themeColor="text2"/>
          <w:kern w:val="0"/>
          <w14:ligatures w14:val="none"/>
        </w:rPr>
      </w:pPr>
    </w:p>
    <w:p w14:paraId="10FF68B8" w14:textId="77777777" w:rsidR="009F6769" w:rsidRPr="008970B0" w:rsidRDefault="009F6769" w:rsidP="000947D6">
      <w:pPr>
        <w:spacing w:line="360" w:lineRule="auto"/>
        <w:jc w:val="center"/>
        <w:rPr>
          <w:rFonts w:ascii="Arial" w:hAnsi="Arial" w:cs="Arial"/>
          <w:color w:val="44546A" w:themeColor="text2"/>
          <w:kern w:val="0"/>
          <w14:ligatures w14:val="none"/>
        </w:rPr>
      </w:pPr>
    </w:p>
    <w:p w14:paraId="31612819" w14:textId="77777777" w:rsidR="009F6769" w:rsidRPr="008970B0" w:rsidRDefault="009F6769" w:rsidP="000947D6">
      <w:pPr>
        <w:spacing w:line="360" w:lineRule="auto"/>
        <w:jc w:val="center"/>
        <w:rPr>
          <w:rFonts w:ascii="Arial" w:hAnsi="Arial" w:cs="Arial"/>
          <w:color w:val="44546A" w:themeColor="text2"/>
          <w:kern w:val="0"/>
          <w14:ligatures w14:val="none"/>
        </w:rPr>
      </w:pPr>
    </w:p>
    <w:p w14:paraId="774C04F8" w14:textId="77777777" w:rsidR="009F6769" w:rsidRPr="008970B0" w:rsidRDefault="009F6769" w:rsidP="000947D6">
      <w:pPr>
        <w:spacing w:line="360" w:lineRule="auto"/>
        <w:jc w:val="center"/>
        <w:rPr>
          <w:rFonts w:ascii="Arial" w:hAnsi="Arial" w:cs="Arial"/>
          <w:color w:val="44546A" w:themeColor="text2"/>
          <w:kern w:val="0"/>
          <w14:ligatures w14:val="none"/>
        </w:rPr>
      </w:pPr>
      <w:r w:rsidRPr="008970B0">
        <w:rPr>
          <w:rFonts w:ascii="Arial" w:hAnsi="Arial" w:cs="Arial"/>
          <w:color w:val="44546A" w:themeColor="text2"/>
          <w:kern w:val="0"/>
          <w14:ligatures w14:val="none"/>
        </w:rPr>
        <w:t>Strategic Management for SMEs BMSW6104_LON</w:t>
      </w:r>
    </w:p>
    <w:p w14:paraId="3A679FA5" w14:textId="77777777" w:rsidR="009F6769" w:rsidRPr="008970B0" w:rsidRDefault="009F6769" w:rsidP="000947D6">
      <w:pPr>
        <w:spacing w:line="360" w:lineRule="auto"/>
        <w:jc w:val="center"/>
        <w:rPr>
          <w:rFonts w:ascii="Arial" w:hAnsi="Arial" w:cs="Arial"/>
          <w:color w:val="44546A" w:themeColor="text2"/>
          <w:kern w:val="0"/>
          <w14:ligatures w14:val="none"/>
        </w:rPr>
      </w:pPr>
    </w:p>
    <w:p w14:paraId="34645908" w14:textId="77777777" w:rsidR="009F6769" w:rsidRPr="008970B0" w:rsidRDefault="009F6769" w:rsidP="000947D6">
      <w:pPr>
        <w:spacing w:line="360" w:lineRule="auto"/>
        <w:jc w:val="center"/>
        <w:rPr>
          <w:rFonts w:ascii="Arial" w:hAnsi="Arial" w:cs="Arial"/>
          <w:color w:val="44546A" w:themeColor="text2"/>
          <w:kern w:val="0"/>
          <w14:ligatures w14:val="none"/>
        </w:rPr>
      </w:pPr>
    </w:p>
    <w:p w14:paraId="08B84474" w14:textId="77777777" w:rsidR="009F6769" w:rsidRPr="008970B0" w:rsidRDefault="009F6769" w:rsidP="000947D6">
      <w:pPr>
        <w:spacing w:line="360" w:lineRule="auto"/>
        <w:jc w:val="center"/>
        <w:rPr>
          <w:rFonts w:ascii="Arial" w:hAnsi="Arial" w:cs="Arial"/>
          <w:color w:val="44546A" w:themeColor="text2"/>
          <w:kern w:val="0"/>
          <w14:ligatures w14:val="none"/>
        </w:rPr>
      </w:pPr>
      <w:r w:rsidRPr="008970B0">
        <w:rPr>
          <w:rFonts w:ascii="Arial" w:hAnsi="Arial" w:cs="Arial"/>
          <w:color w:val="44546A" w:themeColor="text2"/>
          <w:kern w:val="0"/>
          <w14:ligatures w14:val="none"/>
        </w:rPr>
        <w:t>Individual report</w:t>
      </w:r>
    </w:p>
    <w:p w14:paraId="2026C0A1" w14:textId="77777777" w:rsidR="009F6769" w:rsidRPr="008970B0" w:rsidRDefault="009F6769" w:rsidP="000947D6">
      <w:pPr>
        <w:spacing w:line="360" w:lineRule="auto"/>
        <w:jc w:val="center"/>
        <w:rPr>
          <w:rFonts w:ascii="Arial" w:hAnsi="Arial" w:cs="Arial"/>
          <w:color w:val="44546A" w:themeColor="text2"/>
          <w:kern w:val="0"/>
          <w14:ligatures w14:val="none"/>
        </w:rPr>
      </w:pPr>
    </w:p>
    <w:p w14:paraId="09B89398" w14:textId="77777777" w:rsidR="009F6769" w:rsidRPr="008970B0" w:rsidRDefault="009F6769" w:rsidP="000947D6">
      <w:pPr>
        <w:spacing w:line="360" w:lineRule="auto"/>
        <w:jc w:val="center"/>
        <w:rPr>
          <w:rFonts w:ascii="Arial" w:hAnsi="Arial" w:cs="Arial"/>
          <w:color w:val="44546A" w:themeColor="text2"/>
          <w:kern w:val="0"/>
          <w14:ligatures w14:val="none"/>
        </w:rPr>
      </w:pPr>
      <w:r w:rsidRPr="008970B0">
        <w:rPr>
          <w:rFonts w:ascii="Arial" w:hAnsi="Arial" w:cs="Arial"/>
          <w:color w:val="44546A" w:themeColor="text2"/>
          <w:kern w:val="0"/>
          <w14:ligatures w14:val="none"/>
        </w:rPr>
        <w:t>Strategic Management for Furniture Practice Ltd.</w:t>
      </w:r>
    </w:p>
    <w:p w14:paraId="0902DD0D" w14:textId="77777777" w:rsidR="009F6769" w:rsidRPr="008970B0" w:rsidRDefault="009F6769" w:rsidP="000947D6">
      <w:pPr>
        <w:spacing w:line="360" w:lineRule="auto"/>
        <w:jc w:val="center"/>
        <w:rPr>
          <w:rFonts w:ascii="Arial" w:hAnsi="Arial" w:cs="Arial"/>
          <w:color w:val="44546A" w:themeColor="text2"/>
          <w:kern w:val="0"/>
          <w14:ligatures w14:val="none"/>
        </w:rPr>
      </w:pPr>
    </w:p>
    <w:p w14:paraId="4DE7035B" w14:textId="77777777" w:rsidR="009F6769" w:rsidRPr="008970B0" w:rsidRDefault="009F6769" w:rsidP="000947D6">
      <w:pPr>
        <w:spacing w:line="360" w:lineRule="auto"/>
        <w:jc w:val="center"/>
        <w:rPr>
          <w:rFonts w:ascii="Arial" w:hAnsi="Arial" w:cs="Arial"/>
          <w:color w:val="44546A" w:themeColor="text2"/>
          <w:kern w:val="0"/>
          <w14:ligatures w14:val="none"/>
        </w:rPr>
      </w:pPr>
    </w:p>
    <w:p w14:paraId="32788669" w14:textId="77777777" w:rsidR="009F6769" w:rsidRPr="008970B0" w:rsidRDefault="009F6769" w:rsidP="000947D6">
      <w:pPr>
        <w:spacing w:line="360" w:lineRule="auto"/>
        <w:jc w:val="center"/>
        <w:rPr>
          <w:rFonts w:ascii="Arial" w:hAnsi="Arial" w:cs="Arial"/>
          <w:color w:val="44546A" w:themeColor="text2"/>
          <w:kern w:val="0"/>
          <w14:ligatures w14:val="none"/>
        </w:rPr>
      </w:pPr>
    </w:p>
    <w:p w14:paraId="54C94781" w14:textId="77777777" w:rsidR="009F6769" w:rsidRPr="008970B0" w:rsidRDefault="009F6769" w:rsidP="000947D6">
      <w:pPr>
        <w:spacing w:line="360" w:lineRule="auto"/>
        <w:jc w:val="center"/>
        <w:rPr>
          <w:rFonts w:ascii="Arial" w:hAnsi="Arial" w:cs="Arial"/>
          <w:color w:val="44546A" w:themeColor="text2"/>
          <w:kern w:val="0"/>
          <w:lang w:val="hu-HU"/>
          <w14:ligatures w14:val="none"/>
        </w:rPr>
      </w:pPr>
      <w:r w:rsidRPr="008970B0">
        <w:rPr>
          <w:rFonts w:ascii="Arial" w:hAnsi="Arial" w:cs="Arial"/>
          <w:color w:val="44546A" w:themeColor="text2"/>
          <w:kern w:val="0"/>
          <w14:ligatures w14:val="none"/>
        </w:rPr>
        <w:t xml:space="preserve">Lecturer:  Md Kalam                            Student: Valeria Varga </w:t>
      </w:r>
      <w:r w:rsidRPr="008970B0">
        <w:rPr>
          <w:rFonts w:ascii="Arial" w:hAnsi="Arial" w:cs="Arial"/>
          <w:color w:val="44546A" w:themeColor="text2"/>
          <w:kern w:val="0"/>
          <w:lang w:val="hu-HU"/>
          <w14:ligatures w14:val="none"/>
        </w:rPr>
        <w:t>(2009456)</w:t>
      </w:r>
    </w:p>
    <w:p w14:paraId="48C90624" w14:textId="77777777" w:rsidR="009F6769" w:rsidRPr="008970B0" w:rsidRDefault="009F6769" w:rsidP="000947D6">
      <w:pPr>
        <w:spacing w:line="360" w:lineRule="auto"/>
        <w:jc w:val="center"/>
        <w:rPr>
          <w:rFonts w:ascii="Arial" w:hAnsi="Arial" w:cs="Arial"/>
          <w:color w:val="44546A" w:themeColor="text2"/>
          <w:kern w:val="0"/>
          <w14:ligatures w14:val="none"/>
        </w:rPr>
      </w:pPr>
    </w:p>
    <w:p w14:paraId="62FD6A98" w14:textId="77777777" w:rsidR="009F6769" w:rsidRPr="008970B0" w:rsidRDefault="009F6769" w:rsidP="000947D6">
      <w:pPr>
        <w:spacing w:line="360" w:lineRule="auto"/>
        <w:jc w:val="center"/>
        <w:rPr>
          <w:rFonts w:ascii="Arial" w:hAnsi="Arial" w:cs="Arial"/>
          <w:color w:val="44546A" w:themeColor="text2"/>
          <w:kern w:val="0"/>
          <w14:ligatures w14:val="none"/>
        </w:rPr>
      </w:pPr>
    </w:p>
    <w:p w14:paraId="2EEF290E" w14:textId="77777777" w:rsidR="009F6769" w:rsidRPr="008970B0" w:rsidRDefault="009F6769" w:rsidP="000947D6">
      <w:pPr>
        <w:spacing w:line="360" w:lineRule="auto"/>
        <w:jc w:val="center"/>
        <w:rPr>
          <w:rFonts w:ascii="Arial" w:hAnsi="Arial" w:cs="Arial"/>
          <w:color w:val="44546A" w:themeColor="text2"/>
          <w:kern w:val="0"/>
          <w14:ligatures w14:val="none"/>
        </w:rPr>
      </w:pPr>
    </w:p>
    <w:p w14:paraId="25AB3DE8" w14:textId="67C69531" w:rsidR="009F6769" w:rsidRPr="008970B0" w:rsidRDefault="00563973" w:rsidP="000947D6">
      <w:pPr>
        <w:spacing w:line="360" w:lineRule="auto"/>
        <w:jc w:val="center"/>
        <w:rPr>
          <w:rFonts w:ascii="Arial" w:hAnsi="Arial" w:cs="Arial"/>
          <w:color w:val="44546A" w:themeColor="text2"/>
          <w:kern w:val="0"/>
          <w14:ligatures w14:val="none"/>
        </w:rPr>
      </w:pPr>
      <w:r w:rsidRPr="008970B0">
        <w:rPr>
          <w:rFonts w:ascii="Arial" w:hAnsi="Arial" w:cs="Arial"/>
          <w:color w:val="44546A" w:themeColor="text2"/>
          <w:kern w:val="0"/>
          <w14:ligatures w14:val="none"/>
        </w:rPr>
        <w:t>2023. Lon</w:t>
      </w:r>
      <w:r w:rsidR="009F6769" w:rsidRPr="008970B0">
        <w:rPr>
          <w:rFonts w:ascii="Arial" w:hAnsi="Arial" w:cs="Arial"/>
          <w:color w:val="44546A" w:themeColor="text2"/>
          <w:kern w:val="0"/>
          <w14:ligatures w14:val="none"/>
        </w:rPr>
        <w:t>don</w:t>
      </w:r>
    </w:p>
    <w:p w14:paraId="4972466C" w14:textId="77777777" w:rsidR="009F6769" w:rsidRPr="008970B0" w:rsidRDefault="009F6769" w:rsidP="001951DE">
      <w:pPr>
        <w:spacing w:line="360" w:lineRule="auto"/>
        <w:ind w:left="1080" w:hanging="720"/>
        <w:jc w:val="both"/>
        <w:rPr>
          <w:rFonts w:ascii="Arial" w:hAnsi="Arial" w:cs="Arial"/>
          <w:color w:val="44546A" w:themeColor="text2"/>
        </w:rPr>
      </w:pPr>
    </w:p>
    <w:p w14:paraId="559C4CF4" w14:textId="77777777" w:rsidR="009F6769" w:rsidRPr="008970B0" w:rsidRDefault="009F6769" w:rsidP="001951DE">
      <w:pPr>
        <w:spacing w:line="360" w:lineRule="auto"/>
        <w:ind w:left="1080" w:hanging="720"/>
        <w:jc w:val="both"/>
        <w:rPr>
          <w:rFonts w:ascii="Arial" w:hAnsi="Arial" w:cs="Arial"/>
          <w:color w:val="44546A" w:themeColor="text2"/>
        </w:rPr>
      </w:pPr>
    </w:p>
    <w:p w14:paraId="23D01545" w14:textId="77777777" w:rsidR="009F6769" w:rsidRPr="008970B0" w:rsidRDefault="009F6769" w:rsidP="001951DE">
      <w:pPr>
        <w:spacing w:line="360" w:lineRule="auto"/>
        <w:ind w:left="1080" w:hanging="720"/>
        <w:jc w:val="both"/>
        <w:rPr>
          <w:rFonts w:ascii="Arial" w:hAnsi="Arial" w:cs="Arial"/>
          <w:color w:val="44546A" w:themeColor="text2"/>
        </w:rPr>
      </w:pPr>
    </w:p>
    <w:p w14:paraId="5E5A427D" w14:textId="77777777" w:rsidR="009F6769" w:rsidRPr="008970B0" w:rsidRDefault="009F6769" w:rsidP="001951DE">
      <w:pPr>
        <w:pStyle w:val="ListParagraph"/>
        <w:spacing w:line="360" w:lineRule="auto"/>
        <w:ind w:left="1080"/>
        <w:jc w:val="both"/>
        <w:rPr>
          <w:rFonts w:ascii="Arial" w:hAnsi="Arial" w:cs="Arial"/>
          <w:color w:val="44546A" w:themeColor="text2"/>
        </w:rPr>
      </w:pPr>
    </w:p>
    <w:p w14:paraId="09EE93CD" w14:textId="39F748EA" w:rsidR="009F6769" w:rsidRPr="008970B0" w:rsidRDefault="009F6769" w:rsidP="001951DE">
      <w:pPr>
        <w:spacing w:line="360" w:lineRule="auto"/>
        <w:jc w:val="both"/>
        <w:rPr>
          <w:rFonts w:ascii="Arial" w:hAnsi="Arial" w:cs="Arial"/>
          <w:color w:val="44546A" w:themeColor="text2"/>
        </w:rPr>
      </w:pPr>
      <w:r w:rsidRPr="008970B0">
        <w:rPr>
          <w:rFonts w:ascii="Arial" w:hAnsi="Arial" w:cs="Arial"/>
          <w:color w:val="44546A" w:themeColor="text2"/>
        </w:rPr>
        <w:lastRenderedPageBreak/>
        <w:t>Introducti</w:t>
      </w:r>
      <w:r w:rsidR="000C6BB4" w:rsidRPr="008970B0">
        <w:rPr>
          <w:rFonts w:ascii="Arial" w:hAnsi="Arial" w:cs="Arial"/>
          <w:color w:val="44546A" w:themeColor="text2"/>
        </w:rPr>
        <w:t xml:space="preserve">on </w:t>
      </w:r>
    </w:p>
    <w:p w14:paraId="5C4EBA05" w14:textId="457AFE28" w:rsidR="000C6BB4" w:rsidRPr="008970B0" w:rsidRDefault="000C6BB4" w:rsidP="000C6BB4">
      <w:pPr>
        <w:spacing w:line="360" w:lineRule="auto"/>
        <w:jc w:val="both"/>
        <w:rPr>
          <w:rFonts w:ascii="Arial" w:hAnsi="Arial" w:cs="Arial"/>
          <w:color w:val="44546A" w:themeColor="text2"/>
        </w:rPr>
      </w:pPr>
      <w:r w:rsidRPr="008970B0">
        <w:rPr>
          <w:rFonts w:ascii="Arial" w:hAnsi="Arial" w:cs="Arial"/>
          <w:color w:val="44546A" w:themeColor="text2"/>
        </w:rPr>
        <w:t>The primary goal of writing a strategic management report for small businesses is to comprehensively analyse the Company's current strategic approach and formulate proposals to improve its effectiveness. Such a report typically includes, among other things, an assessment of the Company's current business model, market position, competitive position</w:t>
      </w:r>
      <w:r w:rsidR="00572D61" w:rsidRPr="008970B0">
        <w:rPr>
          <w:rFonts w:ascii="Arial" w:hAnsi="Arial" w:cs="Arial"/>
          <w:color w:val="44546A" w:themeColor="text2"/>
        </w:rPr>
        <w:t>,</w:t>
      </w:r>
      <w:r w:rsidRPr="008970B0">
        <w:rPr>
          <w:rFonts w:ascii="Arial" w:hAnsi="Arial" w:cs="Arial"/>
          <w:color w:val="44546A" w:themeColor="text2"/>
        </w:rPr>
        <w:t xml:space="preserve"> and resource allocation. According to Johnson Scholes and Whittington (2001), the most basic definition of strategy can be the </w:t>
      </w:r>
      <w:r w:rsidR="00572D61" w:rsidRPr="008970B0">
        <w:rPr>
          <w:rFonts w:ascii="Arial" w:hAnsi="Arial" w:cs="Arial"/>
          <w:color w:val="44546A" w:themeColor="text2"/>
        </w:rPr>
        <w:t>organization's long-term direc</w:t>
      </w:r>
      <w:r w:rsidRPr="008970B0">
        <w:rPr>
          <w:rFonts w:ascii="Arial" w:hAnsi="Arial" w:cs="Arial"/>
          <w:color w:val="44546A" w:themeColor="text2"/>
        </w:rPr>
        <w:t>tion.</w:t>
      </w:r>
    </w:p>
    <w:p w14:paraId="53432C1B" w14:textId="2408DCBA" w:rsidR="000C6BB4" w:rsidRPr="008970B0" w:rsidRDefault="000C6BB4" w:rsidP="000C6BB4">
      <w:pPr>
        <w:spacing w:line="360" w:lineRule="auto"/>
        <w:jc w:val="both"/>
        <w:rPr>
          <w:rFonts w:ascii="Arial" w:hAnsi="Arial" w:cs="Arial"/>
          <w:color w:val="44546A" w:themeColor="text2"/>
        </w:rPr>
      </w:pPr>
      <w:r w:rsidRPr="008970B0">
        <w:rPr>
          <w:rFonts w:ascii="Arial" w:hAnsi="Arial" w:cs="Arial"/>
          <w:color w:val="44546A" w:themeColor="text2"/>
        </w:rPr>
        <w:t xml:space="preserve">The Company offers higher prices due to the quality of its products, but the style and design are unique. Furniture Practice Ltd has good customer service, including a helpful and responsive team that can answer any customer questions or concerns. Its delivery and installation services are reliable and efficient. Before writing this report, the Author received information about their products </w:t>
      </w:r>
      <w:r w:rsidR="00572D61" w:rsidRPr="008970B0">
        <w:rPr>
          <w:rFonts w:ascii="Arial" w:hAnsi="Arial" w:cs="Arial"/>
          <w:color w:val="44546A" w:themeColor="text2"/>
        </w:rPr>
        <w:t xml:space="preserve">and </w:t>
      </w:r>
      <w:r w:rsidRPr="008970B0">
        <w:rPr>
          <w:rFonts w:ascii="Arial" w:hAnsi="Arial" w:cs="Arial"/>
          <w:color w:val="44546A" w:themeColor="text2"/>
        </w:rPr>
        <w:t xml:space="preserve">customer reviews to compare their prices and services with other furniture companies so that the </w:t>
      </w:r>
      <w:r w:rsidR="00572D61" w:rsidRPr="008970B0">
        <w:rPr>
          <w:rFonts w:ascii="Arial" w:hAnsi="Arial" w:cs="Arial"/>
          <w:color w:val="44546A" w:themeColor="text2"/>
        </w:rPr>
        <w:t>data</w:t>
      </w:r>
      <w:r w:rsidRPr="008970B0">
        <w:rPr>
          <w:rFonts w:ascii="Arial" w:hAnsi="Arial" w:cs="Arial"/>
          <w:color w:val="44546A" w:themeColor="text2"/>
        </w:rPr>
        <w:t xml:space="preserve"> can be written based on an informed decision.</w:t>
      </w:r>
    </w:p>
    <w:p w14:paraId="52FFDCED" w14:textId="5C150F2A" w:rsidR="000C6BB4" w:rsidRPr="008970B0" w:rsidRDefault="00572D61" w:rsidP="000C6BB4">
      <w:pPr>
        <w:spacing w:line="360" w:lineRule="auto"/>
        <w:jc w:val="both"/>
        <w:rPr>
          <w:rFonts w:ascii="Arial" w:hAnsi="Arial" w:cs="Arial"/>
          <w:color w:val="44546A" w:themeColor="text2"/>
        </w:rPr>
      </w:pPr>
      <w:r w:rsidRPr="008970B0">
        <w:rPr>
          <w:rFonts w:ascii="Arial" w:hAnsi="Arial" w:cs="Arial"/>
          <w:color w:val="44546A" w:themeColor="text2"/>
        </w:rPr>
        <w:t>Their size and number of employees define small and medium-sized enterprises (SMEs)</w:t>
      </w:r>
      <w:r w:rsidR="000C6BB4" w:rsidRPr="008970B0">
        <w:rPr>
          <w:rFonts w:ascii="Arial" w:hAnsi="Arial" w:cs="Arial"/>
          <w:color w:val="44546A" w:themeColor="text2"/>
        </w:rPr>
        <w:t xml:space="preserve">. Based on </w:t>
      </w:r>
      <w:r w:rsidRPr="008970B0">
        <w:rPr>
          <w:rFonts w:ascii="Arial" w:hAnsi="Arial" w:cs="Arial"/>
          <w:color w:val="44546A" w:themeColor="text2"/>
        </w:rPr>
        <w:t xml:space="preserve">the </w:t>
      </w:r>
      <w:r w:rsidR="000C6BB4" w:rsidRPr="008970B0">
        <w:rPr>
          <w:rFonts w:ascii="Arial" w:hAnsi="Arial" w:cs="Arial"/>
          <w:color w:val="44546A" w:themeColor="text2"/>
        </w:rPr>
        <w:t>UK Government</w:t>
      </w:r>
      <w:r w:rsidRPr="008970B0">
        <w:rPr>
          <w:rFonts w:ascii="Arial" w:hAnsi="Arial" w:cs="Arial"/>
          <w:color w:val="44546A" w:themeColor="text2"/>
        </w:rPr>
        <w:t>'s</w:t>
      </w:r>
      <w:r w:rsidR="000C6BB4" w:rsidRPr="008970B0">
        <w:rPr>
          <w:rFonts w:ascii="Arial" w:hAnsi="Arial" w:cs="Arial"/>
          <w:color w:val="44546A" w:themeColor="text2"/>
        </w:rPr>
        <w:t xml:space="preserve"> definition. (gov.UK) SMEs are a fundamental component of the economy, playing a significant role in job creation and economic growth. They are represented in almost all industries, but especially in manufacturing, service, and retail, where they are characterized by a very high degree of entrepreneurship, innovation</w:t>
      </w:r>
      <w:r w:rsidRPr="008970B0">
        <w:rPr>
          <w:rFonts w:ascii="Arial" w:hAnsi="Arial" w:cs="Arial"/>
          <w:color w:val="44546A" w:themeColor="text2"/>
        </w:rPr>
        <w:t>,</w:t>
      </w:r>
      <w:r w:rsidR="000C6BB4" w:rsidRPr="008970B0">
        <w:rPr>
          <w:rFonts w:ascii="Arial" w:hAnsi="Arial" w:cs="Arial"/>
          <w:color w:val="44546A" w:themeColor="text2"/>
        </w:rPr>
        <w:t xml:space="preserve"> and flexibility.</w:t>
      </w:r>
    </w:p>
    <w:p w14:paraId="3CCB5720" w14:textId="479BED3F" w:rsidR="000C6BB4" w:rsidRPr="008970B0" w:rsidRDefault="000C6BB4" w:rsidP="000C6BB4">
      <w:pPr>
        <w:spacing w:line="360" w:lineRule="auto"/>
        <w:jc w:val="both"/>
        <w:rPr>
          <w:rFonts w:ascii="Arial" w:hAnsi="Arial" w:cs="Arial"/>
          <w:color w:val="44546A" w:themeColor="text2"/>
        </w:rPr>
      </w:pPr>
      <w:bookmarkStart w:id="0" w:name="_Hlk132468880"/>
      <w:r w:rsidRPr="008970B0">
        <w:rPr>
          <w:rFonts w:ascii="Arial" w:hAnsi="Arial" w:cs="Arial"/>
          <w:color w:val="44546A" w:themeColor="text2"/>
        </w:rPr>
        <w:t xml:space="preserve">Furniture Practice, an independent furniture trading company based in London, Manchester, and New York, has obtained Planet Mark certification. They offer </w:t>
      </w:r>
      <w:r w:rsidR="00572D61" w:rsidRPr="008970B0">
        <w:rPr>
          <w:rFonts w:ascii="Arial" w:hAnsi="Arial" w:cs="Arial"/>
          <w:color w:val="44546A" w:themeColor="text2"/>
        </w:rPr>
        <w:t>various</w:t>
      </w:r>
      <w:r w:rsidRPr="008970B0">
        <w:rPr>
          <w:rFonts w:ascii="Arial" w:hAnsi="Arial" w:cs="Arial"/>
          <w:color w:val="44546A" w:themeColor="text2"/>
        </w:rPr>
        <w:t xml:space="preserve"> services</w:t>
      </w:r>
      <w:r w:rsidR="00572D61" w:rsidRPr="008970B0">
        <w:rPr>
          <w:rFonts w:ascii="Arial" w:hAnsi="Arial" w:cs="Arial"/>
          <w:color w:val="44546A" w:themeColor="text2"/>
        </w:rPr>
        <w:t>,</w:t>
      </w:r>
      <w:r w:rsidRPr="008970B0">
        <w:rPr>
          <w:rFonts w:ascii="Arial" w:hAnsi="Arial" w:cs="Arial"/>
          <w:color w:val="44546A" w:themeColor="text2"/>
        </w:rPr>
        <w:t xml:space="preserve"> including furniture design, project management, installation, and aftercare. The Company has been in business for over 25 years and has worked with </w:t>
      </w:r>
      <w:r w:rsidR="00572D61" w:rsidRPr="008970B0">
        <w:rPr>
          <w:rFonts w:ascii="Arial" w:hAnsi="Arial" w:cs="Arial"/>
          <w:color w:val="44546A" w:themeColor="text2"/>
        </w:rPr>
        <w:t>multiple</w:t>
      </w:r>
      <w:r w:rsidRPr="008970B0">
        <w:rPr>
          <w:rFonts w:ascii="Arial" w:hAnsi="Arial" w:cs="Arial"/>
          <w:color w:val="44546A" w:themeColor="text2"/>
        </w:rPr>
        <w:t xml:space="preserve"> clients across </w:t>
      </w:r>
      <w:r w:rsidR="00572D61" w:rsidRPr="008970B0">
        <w:rPr>
          <w:rFonts w:ascii="Arial" w:hAnsi="Arial" w:cs="Arial"/>
          <w:color w:val="44546A" w:themeColor="text2"/>
        </w:rPr>
        <w:t>various</w:t>
      </w:r>
      <w:r w:rsidRPr="008970B0">
        <w:rPr>
          <w:rFonts w:ascii="Arial" w:hAnsi="Arial" w:cs="Arial"/>
          <w:color w:val="44546A" w:themeColor="text2"/>
        </w:rPr>
        <w:t xml:space="preserve"> sectors</w:t>
      </w:r>
      <w:r w:rsidR="00572D61" w:rsidRPr="008970B0">
        <w:rPr>
          <w:rFonts w:ascii="Arial" w:hAnsi="Arial" w:cs="Arial"/>
          <w:color w:val="44546A" w:themeColor="text2"/>
        </w:rPr>
        <w:t>,</w:t>
      </w:r>
      <w:r w:rsidRPr="008970B0">
        <w:rPr>
          <w:rFonts w:ascii="Arial" w:hAnsi="Arial" w:cs="Arial"/>
          <w:color w:val="44546A" w:themeColor="text2"/>
        </w:rPr>
        <w:t xml:space="preserve"> including Hospitality, Education</w:t>
      </w:r>
      <w:r w:rsidR="00572D61" w:rsidRPr="008970B0">
        <w:rPr>
          <w:rFonts w:ascii="Arial" w:hAnsi="Arial" w:cs="Arial"/>
          <w:color w:val="44546A" w:themeColor="text2"/>
        </w:rPr>
        <w:t>,</w:t>
      </w:r>
      <w:r w:rsidRPr="008970B0">
        <w:rPr>
          <w:rFonts w:ascii="Arial" w:hAnsi="Arial" w:cs="Arial"/>
          <w:color w:val="44546A" w:themeColor="text2"/>
        </w:rPr>
        <w:t xml:space="preserve"> and Healthcare. According to the study of Salzman and Ionescu (2005), </w:t>
      </w:r>
      <w:r w:rsidR="00572D61" w:rsidRPr="008970B0">
        <w:rPr>
          <w:rFonts w:ascii="Arial" w:hAnsi="Arial" w:cs="Arial"/>
          <w:color w:val="44546A" w:themeColor="text2"/>
        </w:rPr>
        <w:t>instrumental studies examining the Company's sustainability strategy aim</w:t>
      </w:r>
      <w:r w:rsidRPr="008970B0">
        <w:rPr>
          <w:rFonts w:ascii="Arial" w:hAnsi="Arial" w:cs="Arial"/>
          <w:color w:val="44546A" w:themeColor="text2"/>
        </w:rPr>
        <w:t xml:space="preserve"> to prove or disprove the assumed causal relationship between the </w:t>
      </w:r>
      <w:r w:rsidR="00572D61" w:rsidRPr="008970B0">
        <w:rPr>
          <w:rFonts w:ascii="Arial" w:hAnsi="Arial" w:cs="Arial"/>
          <w:color w:val="44546A" w:themeColor="text2"/>
        </w:rPr>
        <w:t>C</w:t>
      </w:r>
      <w:r w:rsidRPr="008970B0">
        <w:rPr>
          <w:rFonts w:ascii="Arial" w:hAnsi="Arial" w:cs="Arial"/>
          <w:color w:val="44546A" w:themeColor="text2"/>
        </w:rPr>
        <w:t>ompany's social or environmental performance and financial performance.</w:t>
      </w:r>
    </w:p>
    <w:p w14:paraId="5FDA3719" w14:textId="74C7676B" w:rsidR="000C6BB4" w:rsidRPr="008970B0" w:rsidRDefault="000C6BB4" w:rsidP="000C6BB4">
      <w:pPr>
        <w:spacing w:line="360" w:lineRule="auto"/>
        <w:jc w:val="both"/>
        <w:rPr>
          <w:rFonts w:ascii="Arial" w:hAnsi="Arial" w:cs="Arial"/>
          <w:color w:val="44546A" w:themeColor="text2"/>
        </w:rPr>
      </w:pPr>
      <w:r w:rsidRPr="008970B0">
        <w:rPr>
          <w:rFonts w:ascii="Arial" w:hAnsi="Arial" w:cs="Arial"/>
          <w:color w:val="44546A" w:themeColor="text2"/>
        </w:rPr>
        <w:t xml:space="preserve">During the year, the Company developed innovations in the UK market, including </w:t>
      </w:r>
      <w:r w:rsidR="00572D61" w:rsidRPr="008970B0">
        <w:rPr>
          <w:rFonts w:ascii="Arial" w:hAnsi="Arial" w:cs="Arial"/>
          <w:color w:val="44546A" w:themeColor="text2"/>
        </w:rPr>
        <w:t>accurately measuring</w:t>
      </w:r>
      <w:r w:rsidRPr="008970B0">
        <w:rPr>
          <w:rFonts w:ascii="Arial" w:hAnsi="Arial" w:cs="Arial"/>
          <w:color w:val="44546A" w:themeColor="text2"/>
        </w:rPr>
        <w:t xml:space="preserve"> </w:t>
      </w:r>
      <w:r w:rsidR="00572D61" w:rsidRPr="008970B0">
        <w:rPr>
          <w:rFonts w:ascii="Arial" w:hAnsi="Arial" w:cs="Arial"/>
          <w:color w:val="44546A" w:themeColor="text2"/>
        </w:rPr>
        <w:t>furniture's climate impact (C02_e)</w:t>
      </w:r>
      <w:r w:rsidRPr="008970B0">
        <w:rPr>
          <w:rFonts w:ascii="Arial" w:hAnsi="Arial" w:cs="Arial"/>
          <w:color w:val="44546A" w:themeColor="text2"/>
        </w:rPr>
        <w:t xml:space="preserve"> in a large-scale corporate office project using the European PEF methodology. The business has organized workshops with manufacturers to discuss carbon measurement methodology to promote industry-wide harmonization and has embarked on </w:t>
      </w:r>
      <w:r w:rsidR="00572D61" w:rsidRPr="008970B0">
        <w:rPr>
          <w:rFonts w:ascii="Arial" w:hAnsi="Arial" w:cs="Arial"/>
          <w:color w:val="44546A" w:themeColor="text2"/>
        </w:rPr>
        <w:t>complete</w:t>
      </w:r>
      <w:r w:rsidRPr="008970B0">
        <w:rPr>
          <w:rFonts w:ascii="Arial" w:hAnsi="Arial" w:cs="Arial"/>
          <w:color w:val="44546A" w:themeColor="text2"/>
        </w:rPr>
        <w:t xml:space="preserve"> emissions measurement, which has been validated in partnership with Planet Mark.</w:t>
      </w:r>
    </w:p>
    <w:p w14:paraId="51809711" w14:textId="77777777" w:rsidR="000C6BB4" w:rsidRPr="008970B0" w:rsidRDefault="000C6BB4" w:rsidP="000C6BB4">
      <w:pPr>
        <w:spacing w:line="360" w:lineRule="auto"/>
        <w:jc w:val="both"/>
        <w:rPr>
          <w:rFonts w:ascii="Arial" w:hAnsi="Arial" w:cs="Arial"/>
          <w:color w:val="44546A" w:themeColor="text2"/>
        </w:rPr>
      </w:pPr>
      <w:r w:rsidRPr="008970B0">
        <w:rPr>
          <w:rFonts w:ascii="Arial" w:hAnsi="Arial" w:cs="Arial"/>
          <w:color w:val="44546A" w:themeColor="text2"/>
        </w:rPr>
        <w:lastRenderedPageBreak/>
        <w:t>The group's financial situation improved thanks to the increase in the profit reserve for 2021/22.</w:t>
      </w:r>
    </w:p>
    <w:p w14:paraId="5EB5188A" w14:textId="5EA87453" w:rsidR="000C6BB4" w:rsidRPr="008970B0" w:rsidRDefault="000C6BB4" w:rsidP="000C6BB4">
      <w:pPr>
        <w:spacing w:line="360" w:lineRule="auto"/>
        <w:jc w:val="both"/>
        <w:rPr>
          <w:rFonts w:ascii="Arial" w:hAnsi="Arial" w:cs="Arial"/>
          <w:color w:val="44546A" w:themeColor="text2"/>
        </w:rPr>
      </w:pPr>
      <w:r w:rsidRPr="008970B0">
        <w:rPr>
          <w:rFonts w:ascii="Arial" w:hAnsi="Arial" w:cs="Arial"/>
          <w:color w:val="44546A" w:themeColor="text2"/>
        </w:rPr>
        <w:t xml:space="preserve">  This report</w:t>
      </w:r>
      <w:r w:rsidR="00572D61" w:rsidRPr="008970B0">
        <w:rPr>
          <w:rFonts w:ascii="Arial" w:hAnsi="Arial" w:cs="Arial"/>
          <w:color w:val="44546A" w:themeColor="text2"/>
        </w:rPr>
        <w:t>, therefore,</w:t>
      </w:r>
      <w:r w:rsidRPr="008970B0">
        <w:rPr>
          <w:rFonts w:ascii="Arial" w:hAnsi="Arial" w:cs="Arial"/>
          <w:color w:val="44546A" w:themeColor="text2"/>
        </w:rPr>
        <w:t xml:space="preserve"> analyses the </w:t>
      </w:r>
      <w:r w:rsidR="00572D61" w:rsidRPr="008970B0">
        <w:rPr>
          <w:rFonts w:ascii="Arial" w:hAnsi="Arial" w:cs="Arial"/>
          <w:color w:val="44546A" w:themeColor="text2"/>
        </w:rPr>
        <w:t>C</w:t>
      </w:r>
      <w:r w:rsidRPr="008970B0">
        <w:rPr>
          <w:rFonts w:ascii="Arial" w:hAnsi="Arial" w:cs="Arial"/>
          <w:color w:val="44546A" w:themeColor="text2"/>
        </w:rPr>
        <w:t xml:space="preserve">ompany's current strategic approach and makes recommendations for improvement. The </w:t>
      </w:r>
      <w:r w:rsidR="00572D61" w:rsidRPr="008970B0">
        <w:rPr>
          <w:rFonts w:ascii="Arial" w:hAnsi="Arial" w:cs="Arial"/>
          <w:color w:val="44546A" w:themeColor="text2"/>
        </w:rPr>
        <w:t>C</w:t>
      </w:r>
      <w:r w:rsidRPr="008970B0">
        <w:rPr>
          <w:rFonts w:ascii="Arial" w:hAnsi="Arial" w:cs="Arial"/>
          <w:color w:val="44546A" w:themeColor="text2"/>
        </w:rPr>
        <w:t xml:space="preserve">ompany trades in quality, unique furniture, good customer service, and reliable delivery and installation services. The </w:t>
      </w:r>
      <w:r w:rsidR="00572D61" w:rsidRPr="008970B0">
        <w:rPr>
          <w:rFonts w:ascii="Arial" w:hAnsi="Arial" w:cs="Arial"/>
          <w:color w:val="44546A" w:themeColor="text2"/>
        </w:rPr>
        <w:t>Company's financial situation improved, and</w:t>
      </w:r>
      <w:r w:rsidRPr="008970B0">
        <w:rPr>
          <w:rFonts w:ascii="Arial" w:hAnsi="Arial" w:cs="Arial"/>
          <w:color w:val="44546A" w:themeColor="text2"/>
        </w:rPr>
        <w:t xml:space="preserve"> the profit and net assets increased. </w:t>
      </w:r>
      <w:r w:rsidR="00572D61" w:rsidRPr="008970B0">
        <w:rPr>
          <w:rFonts w:ascii="Arial" w:hAnsi="Arial" w:cs="Arial"/>
          <w:color w:val="44546A" w:themeColor="text2"/>
        </w:rPr>
        <w:t>T</w:t>
      </w:r>
      <w:r w:rsidRPr="008970B0">
        <w:rPr>
          <w:rFonts w:ascii="Arial" w:hAnsi="Arial" w:cs="Arial"/>
          <w:color w:val="44546A" w:themeColor="text2"/>
        </w:rPr>
        <w:t xml:space="preserve">he report assesses the </w:t>
      </w:r>
      <w:r w:rsidR="00572D61" w:rsidRPr="008970B0">
        <w:rPr>
          <w:rFonts w:ascii="Arial" w:hAnsi="Arial" w:cs="Arial"/>
          <w:color w:val="44546A" w:themeColor="text2"/>
        </w:rPr>
        <w:t>C</w:t>
      </w:r>
      <w:r w:rsidRPr="008970B0">
        <w:rPr>
          <w:rFonts w:ascii="Arial" w:hAnsi="Arial" w:cs="Arial"/>
          <w:color w:val="44546A" w:themeColor="text2"/>
        </w:rPr>
        <w:t>ompany's business model, market position, competitive position</w:t>
      </w:r>
      <w:r w:rsidR="00572D61" w:rsidRPr="008970B0">
        <w:rPr>
          <w:rFonts w:ascii="Arial" w:hAnsi="Arial" w:cs="Arial"/>
          <w:color w:val="44546A" w:themeColor="text2"/>
        </w:rPr>
        <w:t>,</w:t>
      </w:r>
      <w:r w:rsidRPr="008970B0">
        <w:rPr>
          <w:rFonts w:ascii="Arial" w:hAnsi="Arial" w:cs="Arial"/>
          <w:color w:val="44546A" w:themeColor="text2"/>
        </w:rPr>
        <w:t xml:space="preserve"> and resource allocation and makes recommendations for improvement.</w:t>
      </w:r>
    </w:p>
    <w:p w14:paraId="7F837FD2" w14:textId="72CB9C2A" w:rsidR="00115686" w:rsidRPr="008970B0" w:rsidRDefault="00115686" w:rsidP="000C6BB4">
      <w:pPr>
        <w:spacing w:line="360" w:lineRule="auto"/>
        <w:jc w:val="both"/>
        <w:rPr>
          <w:rFonts w:ascii="Arial" w:hAnsi="Arial" w:cs="Arial"/>
          <w:color w:val="44546A" w:themeColor="text2"/>
        </w:rPr>
      </w:pPr>
    </w:p>
    <w:bookmarkEnd w:id="0"/>
    <w:p w14:paraId="0832E149" w14:textId="22F961E6" w:rsidR="00115686" w:rsidRPr="008970B0" w:rsidRDefault="00115686" w:rsidP="000C6BB4">
      <w:pPr>
        <w:spacing w:line="360" w:lineRule="auto"/>
        <w:jc w:val="both"/>
        <w:rPr>
          <w:rFonts w:ascii="Arial" w:hAnsi="Arial" w:cs="Arial"/>
          <w:color w:val="44546A" w:themeColor="text2"/>
        </w:rPr>
      </w:pPr>
    </w:p>
    <w:p w14:paraId="542D66C1" w14:textId="6CCBEEC6" w:rsidR="00115686" w:rsidRPr="008970B0" w:rsidRDefault="00115686" w:rsidP="000C6BB4">
      <w:pPr>
        <w:spacing w:line="360" w:lineRule="auto"/>
        <w:jc w:val="both"/>
        <w:rPr>
          <w:rFonts w:ascii="Arial" w:hAnsi="Arial" w:cs="Arial"/>
          <w:color w:val="44546A" w:themeColor="text2"/>
        </w:rPr>
      </w:pPr>
    </w:p>
    <w:p w14:paraId="66941B03" w14:textId="5ADD304F" w:rsidR="00115686" w:rsidRPr="008970B0" w:rsidRDefault="00115686" w:rsidP="000C6BB4">
      <w:pPr>
        <w:spacing w:line="360" w:lineRule="auto"/>
        <w:jc w:val="both"/>
        <w:rPr>
          <w:rFonts w:ascii="Arial" w:hAnsi="Arial" w:cs="Arial"/>
          <w:color w:val="44546A" w:themeColor="text2"/>
        </w:rPr>
      </w:pPr>
    </w:p>
    <w:p w14:paraId="729327F4" w14:textId="1270B301" w:rsidR="00115686" w:rsidRPr="008970B0" w:rsidRDefault="00115686" w:rsidP="000C6BB4">
      <w:pPr>
        <w:spacing w:line="360" w:lineRule="auto"/>
        <w:jc w:val="both"/>
        <w:rPr>
          <w:rFonts w:ascii="Arial" w:hAnsi="Arial" w:cs="Arial"/>
          <w:color w:val="44546A" w:themeColor="text2"/>
        </w:rPr>
      </w:pPr>
    </w:p>
    <w:p w14:paraId="088FEE7B" w14:textId="14BC923E" w:rsidR="00115686" w:rsidRPr="008970B0" w:rsidRDefault="00115686" w:rsidP="000C6BB4">
      <w:pPr>
        <w:spacing w:line="360" w:lineRule="auto"/>
        <w:jc w:val="both"/>
        <w:rPr>
          <w:rFonts w:ascii="Arial" w:hAnsi="Arial" w:cs="Arial"/>
          <w:color w:val="44546A" w:themeColor="text2"/>
        </w:rPr>
      </w:pPr>
    </w:p>
    <w:p w14:paraId="214318C9" w14:textId="261A9CB4" w:rsidR="00115686" w:rsidRPr="008970B0" w:rsidRDefault="00115686" w:rsidP="000C6BB4">
      <w:pPr>
        <w:spacing w:line="360" w:lineRule="auto"/>
        <w:jc w:val="both"/>
        <w:rPr>
          <w:rFonts w:ascii="Arial" w:hAnsi="Arial" w:cs="Arial"/>
          <w:color w:val="44546A" w:themeColor="text2"/>
        </w:rPr>
      </w:pPr>
    </w:p>
    <w:p w14:paraId="65FA7C61" w14:textId="55829105" w:rsidR="00115686" w:rsidRPr="008970B0" w:rsidRDefault="00115686" w:rsidP="000C6BB4">
      <w:pPr>
        <w:spacing w:line="360" w:lineRule="auto"/>
        <w:jc w:val="both"/>
        <w:rPr>
          <w:rFonts w:ascii="Arial" w:hAnsi="Arial" w:cs="Arial"/>
          <w:color w:val="44546A" w:themeColor="text2"/>
        </w:rPr>
      </w:pPr>
    </w:p>
    <w:p w14:paraId="0D02495B" w14:textId="2BC4E80D" w:rsidR="00115686" w:rsidRPr="008970B0" w:rsidRDefault="00115686" w:rsidP="000C6BB4">
      <w:pPr>
        <w:spacing w:line="360" w:lineRule="auto"/>
        <w:jc w:val="both"/>
        <w:rPr>
          <w:rFonts w:ascii="Arial" w:hAnsi="Arial" w:cs="Arial"/>
          <w:color w:val="44546A" w:themeColor="text2"/>
        </w:rPr>
      </w:pPr>
    </w:p>
    <w:p w14:paraId="3C06F2D8" w14:textId="719F242E" w:rsidR="00115686" w:rsidRPr="008970B0" w:rsidRDefault="00115686" w:rsidP="000C6BB4">
      <w:pPr>
        <w:spacing w:line="360" w:lineRule="auto"/>
        <w:jc w:val="both"/>
        <w:rPr>
          <w:rFonts w:ascii="Arial" w:hAnsi="Arial" w:cs="Arial"/>
          <w:color w:val="44546A" w:themeColor="text2"/>
        </w:rPr>
      </w:pPr>
    </w:p>
    <w:p w14:paraId="013BDF24" w14:textId="70EC273D" w:rsidR="00115686" w:rsidRPr="008970B0" w:rsidRDefault="00115686" w:rsidP="000C6BB4">
      <w:pPr>
        <w:spacing w:line="360" w:lineRule="auto"/>
        <w:jc w:val="both"/>
        <w:rPr>
          <w:rFonts w:ascii="Arial" w:hAnsi="Arial" w:cs="Arial"/>
          <w:color w:val="44546A" w:themeColor="text2"/>
        </w:rPr>
      </w:pPr>
    </w:p>
    <w:p w14:paraId="2EAA5416" w14:textId="576897D9" w:rsidR="00115686" w:rsidRPr="008970B0" w:rsidRDefault="00115686" w:rsidP="000C6BB4">
      <w:pPr>
        <w:spacing w:line="360" w:lineRule="auto"/>
        <w:jc w:val="both"/>
        <w:rPr>
          <w:rFonts w:ascii="Arial" w:hAnsi="Arial" w:cs="Arial"/>
          <w:color w:val="44546A" w:themeColor="text2"/>
        </w:rPr>
      </w:pPr>
    </w:p>
    <w:p w14:paraId="62964116" w14:textId="394BE05B" w:rsidR="00115686" w:rsidRPr="008970B0" w:rsidRDefault="00115686" w:rsidP="000C6BB4">
      <w:pPr>
        <w:spacing w:line="360" w:lineRule="auto"/>
        <w:jc w:val="both"/>
        <w:rPr>
          <w:rFonts w:ascii="Arial" w:hAnsi="Arial" w:cs="Arial"/>
          <w:color w:val="44546A" w:themeColor="text2"/>
        </w:rPr>
      </w:pPr>
    </w:p>
    <w:p w14:paraId="2EEAC419" w14:textId="7F71C008" w:rsidR="00115686" w:rsidRPr="008970B0" w:rsidRDefault="00115686" w:rsidP="000C6BB4">
      <w:pPr>
        <w:spacing w:line="360" w:lineRule="auto"/>
        <w:jc w:val="both"/>
        <w:rPr>
          <w:rFonts w:ascii="Arial" w:hAnsi="Arial" w:cs="Arial"/>
          <w:color w:val="44546A" w:themeColor="text2"/>
        </w:rPr>
      </w:pPr>
    </w:p>
    <w:p w14:paraId="49E0E1A6" w14:textId="533D8920" w:rsidR="00115686" w:rsidRPr="008970B0" w:rsidRDefault="00115686" w:rsidP="000C6BB4">
      <w:pPr>
        <w:spacing w:line="360" w:lineRule="auto"/>
        <w:jc w:val="both"/>
        <w:rPr>
          <w:rFonts w:ascii="Arial" w:hAnsi="Arial" w:cs="Arial"/>
          <w:color w:val="44546A" w:themeColor="text2"/>
        </w:rPr>
      </w:pPr>
    </w:p>
    <w:p w14:paraId="7AC27912" w14:textId="11ABAFB0" w:rsidR="00115686" w:rsidRPr="008970B0" w:rsidRDefault="00115686" w:rsidP="000C6BB4">
      <w:pPr>
        <w:spacing w:line="360" w:lineRule="auto"/>
        <w:jc w:val="both"/>
        <w:rPr>
          <w:rFonts w:ascii="Arial" w:hAnsi="Arial" w:cs="Arial"/>
          <w:color w:val="44546A" w:themeColor="text2"/>
        </w:rPr>
      </w:pPr>
    </w:p>
    <w:p w14:paraId="027FA811" w14:textId="765F3F55" w:rsidR="00115686" w:rsidRPr="008970B0" w:rsidRDefault="00115686" w:rsidP="000C6BB4">
      <w:pPr>
        <w:spacing w:line="360" w:lineRule="auto"/>
        <w:jc w:val="both"/>
        <w:rPr>
          <w:rFonts w:ascii="Arial" w:hAnsi="Arial" w:cs="Arial"/>
          <w:color w:val="44546A" w:themeColor="text2"/>
        </w:rPr>
      </w:pPr>
    </w:p>
    <w:p w14:paraId="3F0D91B3" w14:textId="069B4723" w:rsidR="00115686" w:rsidRPr="008970B0" w:rsidRDefault="00115686" w:rsidP="000C6BB4">
      <w:pPr>
        <w:spacing w:line="360" w:lineRule="auto"/>
        <w:jc w:val="both"/>
        <w:rPr>
          <w:rFonts w:ascii="Arial" w:hAnsi="Arial" w:cs="Arial"/>
          <w:color w:val="44546A" w:themeColor="text2"/>
        </w:rPr>
      </w:pPr>
    </w:p>
    <w:p w14:paraId="0E04CBA8" w14:textId="69059983" w:rsidR="00115686" w:rsidRPr="008970B0" w:rsidRDefault="00115686" w:rsidP="000C6BB4">
      <w:pPr>
        <w:spacing w:line="360" w:lineRule="auto"/>
        <w:jc w:val="both"/>
        <w:rPr>
          <w:rFonts w:ascii="Arial" w:hAnsi="Arial" w:cs="Arial"/>
          <w:color w:val="44546A" w:themeColor="text2"/>
        </w:rPr>
      </w:pPr>
    </w:p>
    <w:p w14:paraId="5033D8EB" w14:textId="6391DDD2" w:rsidR="00115686" w:rsidRPr="008970B0" w:rsidRDefault="00115686" w:rsidP="000C6BB4">
      <w:pPr>
        <w:spacing w:line="360" w:lineRule="auto"/>
        <w:jc w:val="both"/>
        <w:rPr>
          <w:rFonts w:ascii="Arial" w:hAnsi="Arial" w:cs="Arial"/>
          <w:color w:val="44546A" w:themeColor="text2"/>
        </w:rPr>
      </w:pPr>
      <w:r w:rsidRPr="008970B0">
        <w:rPr>
          <w:rFonts w:ascii="Arial" w:hAnsi="Arial" w:cs="Arial"/>
          <w:color w:val="44546A" w:themeColor="text2"/>
        </w:rPr>
        <w:lastRenderedPageBreak/>
        <w:t xml:space="preserve">Table of contents </w:t>
      </w:r>
    </w:p>
    <w:p w14:paraId="6D9E0E0B" w14:textId="638DBEE5" w:rsidR="00115686" w:rsidRPr="008970B0" w:rsidRDefault="00115686" w:rsidP="00782842">
      <w:pPr>
        <w:pStyle w:val="Heading1"/>
        <w:rPr>
          <w:rFonts w:ascii="Arial" w:hAnsi="Arial" w:cs="Arial"/>
          <w:color w:val="44546A" w:themeColor="text2"/>
          <w:sz w:val="22"/>
          <w:szCs w:val="22"/>
        </w:rPr>
      </w:pPr>
    </w:p>
    <w:p w14:paraId="0DAC779A" w14:textId="77777777" w:rsidR="00D11F1A" w:rsidRPr="008970B0" w:rsidRDefault="00D11F1A" w:rsidP="00D11F1A">
      <w:pPr>
        <w:pStyle w:val="TOCHeading"/>
        <w:numPr>
          <w:ilvl w:val="0"/>
          <w:numId w:val="28"/>
        </w:numPr>
        <w:spacing w:line="480" w:lineRule="auto"/>
        <w:jc w:val="both"/>
        <w:rPr>
          <w:rFonts w:ascii="Arial" w:hAnsi="Arial" w:cs="Arial"/>
          <w:color w:val="44546A" w:themeColor="text2"/>
          <w:sz w:val="22"/>
          <w:szCs w:val="22"/>
        </w:rPr>
      </w:pPr>
      <w:r w:rsidRPr="00D11F1A">
        <w:rPr>
          <w:rFonts w:ascii="Arial" w:hAnsi="Arial" w:cs="Arial"/>
          <w:b/>
          <w:bCs/>
          <w:color w:val="44546A" w:themeColor="text2"/>
          <w:sz w:val="22"/>
          <w:szCs w:val="22"/>
        </w:rPr>
        <w:t>Brief introduction of the chosen Organisation</w:t>
      </w:r>
      <w:r w:rsidRPr="008970B0">
        <w:rPr>
          <w:rFonts w:ascii="Arial" w:hAnsi="Arial" w:cs="Arial"/>
          <w:color w:val="44546A" w:themeColor="text2"/>
          <w:sz w:val="22"/>
          <w:szCs w:val="22"/>
        </w:rPr>
        <w:t xml:space="preserve"> </w:t>
      </w:r>
      <w:r w:rsidRPr="008970B0">
        <w:rPr>
          <w:rFonts w:ascii="Arial" w:hAnsi="Arial" w:cs="Arial"/>
          <w:color w:val="44546A" w:themeColor="text2"/>
          <w:sz w:val="22"/>
          <w:szCs w:val="22"/>
        </w:rPr>
        <w:tab/>
      </w:r>
      <w:r w:rsidRPr="008970B0">
        <w:rPr>
          <w:rFonts w:ascii="Arial" w:hAnsi="Arial" w:cs="Arial"/>
          <w:color w:val="44546A" w:themeColor="text2"/>
          <w:sz w:val="22"/>
          <w:szCs w:val="22"/>
        </w:rPr>
        <w:tab/>
      </w:r>
      <w:r w:rsidRPr="008970B0">
        <w:rPr>
          <w:rFonts w:ascii="Arial" w:hAnsi="Arial" w:cs="Arial"/>
          <w:color w:val="44546A" w:themeColor="text2"/>
          <w:sz w:val="22"/>
          <w:szCs w:val="22"/>
        </w:rPr>
        <w:tab/>
      </w:r>
      <w:r w:rsidRPr="008970B0">
        <w:rPr>
          <w:rFonts w:ascii="Arial" w:hAnsi="Arial" w:cs="Arial"/>
          <w:color w:val="44546A" w:themeColor="text2"/>
          <w:sz w:val="22"/>
          <w:szCs w:val="22"/>
        </w:rPr>
        <w:tab/>
      </w:r>
      <w:r w:rsidRPr="008970B0">
        <w:rPr>
          <w:rFonts w:ascii="Arial" w:hAnsi="Arial" w:cs="Arial"/>
          <w:color w:val="44546A" w:themeColor="text2"/>
          <w:sz w:val="22"/>
          <w:szCs w:val="22"/>
        </w:rPr>
        <w:tab/>
        <w:t>5</w:t>
      </w:r>
    </w:p>
    <w:p w14:paraId="2C7502B9" w14:textId="77777777" w:rsidR="00D11F1A" w:rsidRDefault="00D11F1A" w:rsidP="00D11F1A">
      <w:pPr>
        <w:pStyle w:val="ListParagraph"/>
        <w:numPr>
          <w:ilvl w:val="1"/>
          <w:numId w:val="28"/>
        </w:numPr>
        <w:spacing w:line="480" w:lineRule="auto"/>
        <w:jc w:val="both"/>
        <w:rPr>
          <w:rFonts w:ascii="Arial" w:hAnsi="Arial" w:cs="Arial"/>
          <w:color w:val="44546A" w:themeColor="text2"/>
          <w:lang w:val="en-US"/>
        </w:rPr>
      </w:pPr>
      <w:r w:rsidRPr="008970B0">
        <w:rPr>
          <w:rFonts w:ascii="Arial" w:hAnsi="Arial" w:cs="Arial"/>
          <w:color w:val="44546A" w:themeColor="text2"/>
          <w:lang w:val="en-US"/>
        </w:rPr>
        <w:t xml:space="preserve">Internal Analysis of Furniture Practice Ltd. </w:t>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5</w:t>
      </w:r>
    </w:p>
    <w:p w14:paraId="1FF63A64" w14:textId="77777777" w:rsidR="00D11F1A" w:rsidRDefault="00D11F1A" w:rsidP="00D11F1A">
      <w:pPr>
        <w:pStyle w:val="ListParagraph"/>
        <w:numPr>
          <w:ilvl w:val="1"/>
          <w:numId w:val="28"/>
        </w:numPr>
        <w:spacing w:line="480" w:lineRule="auto"/>
        <w:jc w:val="both"/>
        <w:rPr>
          <w:rFonts w:ascii="Arial" w:hAnsi="Arial" w:cs="Arial"/>
          <w:color w:val="44546A" w:themeColor="text2"/>
          <w:lang w:val="en-US"/>
        </w:rPr>
      </w:pPr>
      <w:r>
        <w:rPr>
          <w:rFonts w:ascii="Arial" w:hAnsi="Arial" w:cs="Arial"/>
          <w:color w:val="44546A" w:themeColor="text2"/>
          <w:lang w:val="en-US"/>
        </w:rPr>
        <w:t>Application of BCG Matrix</w:t>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6</w:t>
      </w:r>
    </w:p>
    <w:p w14:paraId="442AD73C" w14:textId="22468514" w:rsidR="00D11F1A" w:rsidRDefault="00D11F1A" w:rsidP="00D11F1A">
      <w:pPr>
        <w:pStyle w:val="ListParagraph"/>
        <w:numPr>
          <w:ilvl w:val="1"/>
          <w:numId w:val="28"/>
        </w:numPr>
        <w:spacing w:line="480" w:lineRule="auto"/>
        <w:jc w:val="both"/>
        <w:rPr>
          <w:rFonts w:ascii="Arial" w:hAnsi="Arial" w:cs="Arial"/>
          <w:color w:val="44546A" w:themeColor="text2"/>
          <w:lang w:val="en-US"/>
        </w:rPr>
      </w:pPr>
      <w:r>
        <w:rPr>
          <w:rFonts w:ascii="Arial" w:hAnsi="Arial" w:cs="Arial"/>
          <w:color w:val="44546A" w:themeColor="text2"/>
          <w:lang w:val="en-US"/>
        </w:rPr>
        <w:t>Application of nine M</w:t>
      </w:r>
      <w:r w:rsidR="00AC4A06">
        <w:rPr>
          <w:rFonts w:ascii="Arial" w:hAnsi="Arial" w:cs="Arial"/>
          <w:color w:val="44546A" w:themeColor="text2"/>
          <w:lang w:val="en-US"/>
        </w:rPr>
        <w:t>'</w:t>
      </w:r>
      <w:r>
        <w:rPr>
          <w:rFonts w:ascii="Arial" w:hAnsi="Arial" w:cs="Arial"/>
          <w:color w:val="44546A" w:themeColor="text2"/>
          <w:lang w:val="en-US"/>
        </w:rPr>
        <w:t xml:space="preserve">s method </w:t>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7</w:t>
      </w:r>
    </w:p>
    <w:p w14:paraId="3A8FE885" w14:textId="77777777" w:rsidR="00D11F1A" w:rsidRDefault="00D11F1A" w:rsidP="00D11F1A">
      <w:pPr>
        <w:pStyle w:val="ListParagraph"/>
        <w:numPr>
          <w:ilvl w:val="1"/>
          <w:numId w:val="28"/>
        </w:numPr>
        <w:spacing w:line="480" w:lineRule="auto"/>
        <w:jc w:val="both"/>
        <w:rPr>
          <w:rFonts w:ascii="Arial" w:hAnsi="Arial" w:cs="Arial"/>
          <w:color w:val="44546A" w:themeColor="text2"/>
          <w:lang w:val="en-US"/>
        </w:rPr>
      </w:pPr>
      <w:r>
        <w:rPr>
          <w:rFonts w:ascii="Arial" w:hAnsi="Arial" w:cs="Arial"/>
          <w:color w:val="44546A" w:themeColor="text2"/>
          <w:lang w:val="en-US"/>
        </w:rPr>
        <w:t xml:space="preserve">Application of VRIO analysis </w:t>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9</w:t>
      </w:r>
    </w:p>
    <w:p w14:paraId="3DD81A59" w14:textId="6B415F19" w:rsidR="00D11F1A" w:rsidRDefault="00D11F1A" w:rsidP="00D11F1A">
      <w:pPr>
        <w:pStyle w:val="ListParagraph"/>
        <w:numPr>
          <w:ilvl w:val="0"/>
          <w:numId w:val="28"/>
        </w:numPr>
        <w:spacing w:line="480" w:lineRule="auto"/>
        <w:jc w:val="both"/>
        <w:rPr>
          <w:rFonts w:ascii="Arial" w:hAnsi="Arial" w:cs="Arial"/>
          <w:color w:val="44546A" w:themeColor="text2"/>
          <w:lang w:val="en-US"/>
        </w:rPr>
      </w:pPr>
      <w:r w:rsidRPr="00D11F1A">
        <w:rPr>
          <w:rFonts w:ascii="Arial" w:hAnsi="Arial" w:cs="Arial"/>
          <w:b/>
          <w:bCs/>
          <w:color w:val="44546A" w:themeColor="text2"/>
          <w:lang w:val="en-US"/>
        </w:rPr>
        <w:t>External analysis of Furniture Practice Ltd.</w:t>
      </w:r>
      <w:r w:rsidRPr="00D11F1A">
        <w:rPr>
          <w:rFonts w:ascii="Arial" w:hAnsi="Arial" w:cs="Arial"/>
          <w:b/>
          <w:bCs/>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10</w:t>
      </w:r>
    </w:p>
    <w:p w14:paraId="26778E9E" w14:textId="77777777" w:rsidR="00D11F1A" w:rsidRDefault="00D11F1A" w:rsidP="00D11F1A">
      <w:pPr>
        <w:spacing w:line="480" w:lineRule="auto"/>
        <w:ind w:left="360"/>
        <w:jc w:val="both"/>
        <w:rPr>
          <w:rFonts w:ascii="Arial" w:hAnsi="Arial" w:cs="Arial"/>
          <w:color w:val="44546A" w:themeColor="text2"/>
          <w:lang w:val="en-US"/>
        </w:rPr>
      </w:pPr>
      <w:r w:rsidRPr="008970B0">
        <w:rPr>
          <w:rFonts w:ascii="Arial" w:hAnsi="Arial" w:cs="Arial"/>
          <w:color w:val="44546A" w:themeColor="text2"/>
          <w:lang w:val="en-US"/>
        </w:rPr>
        <w:t xml:space="preserve">2.1. </w:t>
      </w:r>
      <w:r>
        <w:rPr>
          <w:rFonts w:ascii="Arial" w:hAnsi="Arial" w:cs="Arial"/>
          <w:color w:val="44546A" w:themeColor="text2"/>
          <w:lang w:val="en-US"/>
        </w:rPr>
        <w:tab/>
        <w:t>Application of Mandelow stakeholder matrix</w:t>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10</w:t>
      </w:r>
    </w:p>
    <w:p w14:paraId="53A70569" w14:textId="77777777" w:rsidR="00D11F1A" w:rsidRDefault="00D11F1A" w:rsidP="00D11F1A">
      <w:pPr>
        <w:spacing w:line="480" w:lineRule="auto"/>
        <w:ind w:left="360"/>
        <w:jc w:val="both"/>
        <w:rPr>
          <w:rFonts w:ascii="Arial" w:hAnsi="Arial" w:cs="Arial"/>
          <w:color w:val="44546A" w:themeColor="text2"/>
          <w:lang w:val="en-US"/>
        </w:rPr>
      </w:pPr>
      <w:r>
        <w:rPr>
          <w:rFonts w:ascii="Arial" w:hAnsi="Arial" w:cs="Arial"/>
          <w:color w:val="44546A" w:themeColor="text2"/>
          <w:lang w:val="en-US"/>
        </w:rPr>
        <w:t xml:space="preserve">2.2. </w:t>
      </w:r>
      <w:r>
        <w:rPr>
          <w:rFonts w:ascii="Arial" w:hAnsi="Arial" w:cs="Arial"/>
          <w:color w:val="44546A" w:themeColor="text2"/>
          <w:lang w:val="en-US"/>
        </w:rPr>
        <w:tab/>
        <w:t xml:space="preserve">Application of PESTEL analysis </w:t>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11</w:t>
      </w:r>
    </w:p>
    <w:p w14:paraId="498767F5" w14:textId="77777777" w:rsidR="00D11F1A" w:rsidRDefault="00D11F1A" w:rsidP="00D11F1A">
      <w:pPr>
        <w:spacing w:line="480" w:lineRule="auto"/>
        <w:ind w:left="360"/>
        <w:jc w:val="both"/>
        <w:rPr>
          <w:rFonts w:ascii="Arial" w:hAnsi="Arial" w:cs="Arial"/>
          <w:color w:val="44546A" w:themeColor="text2"/>
          <w:lang w:val="en-US"/>
        </w:rPr>
      </w:pPr>
      <w:r>
        <w:rPr>
          <w:rFonts w:ascii="Arial" w:hAnsi="Arial" w:cs="Arial"/>
          <w:color w:val="44546A" w:themeColor="text2"/>
          <w:lang w:val="en-US"/>
        </w:rPr>
        <w:t xml:space="preserve">3. </w:t>
      </w:r>
      <w:r>
        <w:rPr>
          <w:rFonts w:ascii="Arial" w:hAnsi="Arial" w:cs="Arial"/>
          <w:color w:val="44546A" w:themeColor="text2"/>
          <w:lang w:val="en-US"/>
        </w:rPr>
        <w:tab/>
      </w:r>
      <w:r>
        <w:rPr>
          <w:rFonts w:ascii="Arial" w:hAnsi="Arial" w:cs="Arial"/>
          <w:color w:val="44546A" w:themeColor="text2"/>
          <w:lang w:val="en-US"/>
        </w:rPr>
        <w:tab/>
        <w:t xml:space="preserve">Industry analysis </w:t>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12</w:t>
      </w:r>
    </w:p>
    <w:p w14:paraId="6AAC0189" w14:textId="387BD6F7" w:rsidR="00D11F1A" w:rsidRDefault="00D11F1A" w:rsidP="00D11F1A">
      <w:pPr>
        <w:spacing w:line="480" w:lineRule="auto"/>
        <w:ind w:left="360"/>
        <w:jc w:val="both"/>
        <w:rPr>
          <w:rFonts w:ascii="Arial" w:hAnsi="Arial" w:cs="Arial"/>
          <w:color w:val="44546A" w:themeColor="text2"/>
          <w:lang w:val="en-US"/>
        </w:rPr>
      </w:pPr>
      <w:r>
        <w:rPr>
          <w:rFonts w:ascii="Arial" w:hAnsi="Arial" w:cs="Arial"/>
          <w:color w:val="44546A" w:themeColor="text2"/>
          <w:lang w:val="en-US"/>
        </w:rPr>
        <w:t>3.1.</w:t>
      </w:r>
      <w:r>
        <w:rPr>
          <w:rFonts w:ascii="Arial" w:hAnsi="Arial" w:cs="Arial"/>
          <w:color w:val="44546A" w:themeColor="text2"/>
          <w:lang w:val="en-US"/>
        </w:rPr>
        <w:tab/>
        <w:t xml:space="preserve"> Application of Porter</w:t>
      </w:r>
      <w:r w:rsidR="00AC4A06">
        <w:rPr>
          <w:rFonts w:ascii="Arial" w:hAnsi="Arial" w:cs="Arial"/>
          <w:color w:val="44546A" w:themeColor="text2"/>
          <w:lang w:val="en-US"/>
        </w:rPr>
        <w:t>'</w:t>
      </w:r>
      <w:r>
        <w:rPr>
          <w:rFonts w:ascii="Arial" w:hAnsi="Arial" w:cs="Arial"/>
          <w:color w:val="44546A" w:themeColor="text2"/>
          <w:lang w:val="en-US"/>
        </w:rPr>
        <w:t xml:space="preserve">s </w:t>
      </w:r>
      <w:r w:rsidR="00AC4A06">
        <w:rPr>
          <w:rFonts w:ascii="Arial" w:hAnsi="Arial" w:cs="Arial"/>
          <w:color w:val="44546A" w:themeColor="text2"/>
          <w:lang w:val="en-US"/>
        </w:rPr>
        <w:t>F</w:t>
      </w:r>
      <w:r>
        <w:rPr>
          <w:rFonts w:ascii="Arial" w:hAnsi="Arial" w:cs="Arial"/>
          <w:color w:val="44546A" w:themeColor="text2"/>
          <w:lang w:val="en-US"/>
        </w:rPr>
        <w:t>ive Forces</w:t>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12</w:t>
      </w:r>
    </w:p>
    <w:p w14:paraId="63C3D54F" w14:textId="67B13E52" w:rsidR="00D11F1A" w:rsidRDefault="00D11F1A" w:rsidP="00D11F1A">
      <w:pPr>
        <w:spacing w:line="480" w:lineRule="auto"/>
        <w:ind w:left="360"/>
        <w:jc w:val="both"/>
        <w:rPr>
          <w:rFonts w:ascii="Arial" w:hAnsi="Arial" w:cs="Arial"/>
          <w:color w:val="44546A" w:themeColor="text2"/>
          <w:lang w:val="en-US"/>
        </w:rPr>
      </w:pPr>
      <w:r>
        <w:rPr>
          <w:rFonts w:ascii="Arial" w:hAnsi="Arial" w:cs="Arial"/>
          <w:color w:val="44546A" w:themeColor="text2"/>
          <w:lang w:val="en-US"/>
        </w:rPr>
        <w:t xml:space="preserve">4. </w:t>
      </w:r>
      <w:r>
        <w:rPr>
          <w:rFonts w:ascii="Arial" w:hAnsi="Arial" w:cs="Arial"/>
          <w:color w:val="44546A" w:themeColor="text2"/>
          <w:lang w:val="en-US"/>
        </w:rPr>
        <w:tab/>
      </w:r>
      <w:r w:rsidRPr="00D11F1A">
        <w:rPr>
          <w:rFonts w:ascii="Arial" w:hAnsi="Arial" w:cs="Arial"/>
          <w:b/>
          <w:bCs/>
          <w:color w:val="44546A" w:themeColor="text2"/>
          <w:lang w:val="en-US"/>
        </w:rPr>
        <w:t>Strategic analysis</w:t>
      </w:r>
      <w:r>
        <w:rPr>
          <w:rFonts w:ascii="Arial" w:hAnsi="Arial" w:cs="Arial"/>
          <w:color w:val="44546A" w:themeColor="text2"/>
          <w:lang w:val="en-US"/>
        </w:rPr>
        <w:t xml:space="preserve"> </w:t>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12</w:t>
      </w:r>
    </w:p>
    <w:p w14:paraId="6ADB3128" w14:textId="52F3A576" w:rsidR="00D11F1A" w:rsidRDefault="00D11F1A" w:rsidP="00D11F1A">
      <w:pPr>
        <w:spacing w:line="480" w:lineRule="auto"/>
        <w:ind w:left="360"/>
        <w:jc w:val="both"/>
        <w:rPr>
          <w:rFonts w:ascii="Arial" w:hAnsi="Arial" w:cs="Arial"/>
          <w:color w:val="44546A" w:themeColor="text2"/>
          <w:lang w:val="en-US"/>
        </w:rPr>
      </w:pPr>
      <w:r>
        <w:rPr>
          <w:rFonts w:ascii="Arial" w:hAnsi="Arial" w:cs="Arial"/>
          <w:color w:val="44546A" w:themeColor="text2"/>
          <w:lang w:val="en-US"/>
        </w:rPr>
        <w:t xml:space="preserve">4.1. </w:t>
      </w:r>
      <w:r>
        <w:rPr>
          <w:rFonts w:ascii="Arial" w:hAnsi="Arial" w:cs="Arial"/>
          <w:color w:val="44546A" w:themeColor="text2"/>
          <w:lang w:val="en-US"/>
        </w:rPr>
        <w:tab/>
        <w:t xml:space="preserve">Application of SWOT </w:t>
      </w:r>
      <w:r w:rsidR="00AC4A06">
        <w:rPr>
          <w:rFonts w:ascii="Arial" w:hAnsi="Arial" w:cs="Arial"/>
          <w:color w:val="44546A" w:themeColor="text2"/>
          <w:lang w:val="en-US"/>
        </w:rPr>
        <w:t>A</w:t>
      </w:r>
      <w:r>
        <w:rPr>
          <w:rFonts w:ascii="Arial" w:hAnsi="Arial" w:cs="Arial"/>
          <w:color w:val="44546A" w:themeColor="text2"/>
          <w:lang w:val="en-US"/>
        </w:rPr>
        <w:t xml:space="preserve">nalysis </w:t>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14</w:t>
      </w:r>
    </w:p>
    <w:p w14:paraId="75F9B63A" w14:textId="77777777" w:rsidR="00D11F1A" w:rsidRDefault="00D11F1A" w:rsidP="00D11F1A">
      <w:pPr>
        <w:spacing w:line="480" w:lineRule="auto"/>
        <w:ind w:left="360"/>
        <w:jc w:val="both"/>
        <w:rPr>
          <w:rFonts w:ascii="Arial" w:hAnsi="Arial" w:cs="Arial"/>
          <w:color w:val="44546A" w:themeColor="text2"/>
          <w:lang w:val="en-US"/>
        </w:rPr>
      </w:pPr>
      <w:r>
        <w:rPr>
          <w:rFonts w:ascii="Arial" w:hAnsi="Arial" w:cs="Arial"/>
          <w:color w:val="44546A" w:themeColor="text2"/>
          <w:lang w:val="en-US"/>
        </w:rPr>
        <w:t xml:space="preserve">4.2. </w:t>
      </w:r>
      <w:r>
        <w:rPr>
          <w:rFonts w:ascii="Arial" w:hAnsi="Arial" w:cs="Arial"/>
          <w:color w:val="44546A" w:themeColor="text2"/>
          <w:lang w:val="en-US"/>
        </w:rPr>
        <w:tab/>
        <w:t>The SFA framework can be applied to sustainability</w:t>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15</w:t>
      </w:r>
    </w:p>
    <w:p w14:paraId="07D0C217" w14:textId="77777777" w:rsidR="00D11F1A" w:rsidRDefault="00D11F1A" w:rsidP="00D11F1A">
      <w:pPr>
        <w:spacing w:line="480" w:lineRule="auto"/>
        <w:ind w:left="360"/>
        <w:jc w:val="both"/>
        <w:rPr>
          <w:rFonts w:ascii="Arial" w:hAnsi="Arial" w:cs="Arial"/>
          <w:color w:val="44546A" w:themeColor="text2"/>
          <w:lang w:val="en-US"/>
        </w:rPr>
      </w:pPr>
      <w:r>
        <w:rPr>
          <w:rFonts w:ascii="Arial" w:hAnsi="Arial" w:cs="Arial"/>
          <w:color w:val="44546A" w:themeColor="text2"/>
          <w:lang w:val="en-US"/>
        </w:rPr>
        <w:t xml:space="preserve">4.3. </w:t>
      </w:r>
      <w:r>
        <w:rPr>
          <w:rFonts w:ascii="Arial" w:hAnsi="Arial" w:cs="Arial"/>
          <w:color w:val="44546A" w:themeColor="text2"/>
          <w:lang w:val="en-US"/>
        </w:rPr>
        <w:tab/>
        <w:t>Strategies options for future</w:t>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16</w:t>
      </w:r>
    </w:p>
    <w:p w14:paraId="6EB298EF" w14:textId="77777777" w:rsidR="00D11F1A" w:rsidRDefault="00D11F1A" w:rsidP="00D11F1A">
      <w:pPr>
        <w:spacing w:line="480" w:lineRule="auto"/>
        <w:ind w:left="360"/>
        <w:jc w:val="both"/>
        <w:rPr>
          <w:rFonts w:ascii="Arial" w:hAnsi="Arial" w:cs="Arial"/>
          <w:color w:val="44546A" w:themeColor="text2"/>
          <w:lang w:val="en-US"/>
        </w:rPr>
      </w:pPr>
      <w:r>
        <w:rPr>
          <w:rFonts w:ascii="Arial" w:hAnsi="Arial" w:cs="Arial"/>
          <w:color w:val="44546A" w:themeColor="text2"/>
          <w:lang w:val="en-US"/>
        </w:rPr>
        <w:t>5.</w:t>
      </w:r>
      <w:r>
        <w:rPr>
          <w:rFonts w:ascii="Arial" w:hAnsi="Arial" w:cs="Arial"/>
          <w:color w:val="44546A" w:themeColor="text2"/>
          <w:lang w:val="en-US"/>
        </w:rPr>
        <w:tab/>
        <w:t xml:space="preserve"> </w:t>
      </w:r>
      <w:r w:rsidRPr="00D11F1A">
        <w:rPr>
          <w:rFonts w:ascii="Arial" w:hAnsi="Arial" w:cs="Arial"/>
          <w:b/>
          <w:bCs/>
          <w:color w:val="44546A" w:themeColor="text2"/>
          <w:lang w:val="en-US"/>
        </w:rPr>
        <w:t xml:space="preserve">Conclusion </w:t>
      </w:r>
      <w:r w:rsidRPr="00D11F1A">
        <w:rPr>
          <w:rFonts w:ascii="Arial" w:hAnsi="Arial" w:cs="Arial"/>
          <w:b/>
          <w:bCs/>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17</w:t>
      </w:r>
    </w:p>
    <w:p w14:paraId="6DFA929B" w14:textId="45EA3E17" w:rsidR="00D11F1A" w:rsidRDefault="00D11F1A" w:rsidP="00D11F1A">
      <w:pPr>
        <w:spacing w:line="480" w:lineRule="auto"/>
        <w:ind w:left="360"/>
        <w:jc w:val="both"/>
        <w:rPr>
          <w:rFonts w:ascii="Arial" w:hAnsi="Arial" w:cs="Arial"/>
          <w:color w:val="44546A" w:themeColor="text2"/>
          <w:lang w:val="en-US"/>
        </w:rPr>
      </w:pPr>
      <w:r>
        <w:rPr>
          <w:rFonts w:ascii="Arial" w:hAnsi="Arial" w:cs="Arial"/>
          <w:color w:val="44546A" w:themeColor="text2"/>
          <w:lang w:val="en-US"/>
        </w:rPr>
        <w:t xml:space="preserve">6. </w:t>
      </w:r>
      <w:r>
        <w:rPr>
          <w:rFonts w:ascii="Arial" w:hAnsi="Arial" w:cs="Arial"/>
          <w:color w:val="44546A" w:themeColor="text2"/>
          <w:lang w:val="en-US"/>
        </w:rPr>
        <w:tab/>
      </w:r>
      <w:r w:rsidRPr="00D11F1A">
        <w:rPr>
          <w:rFonts w:ascii="Arial" w:hAnsi="Arial" w:cs="Arial"/>
          <w:b/>
          <w:bCs/>
          <w:color w:val="44546A" w:themeColor="text2"/>
          <w:lang w:val="en-US"/>
        </w:rPr>
        <w:t>Reference list</w:t>
      </w:r>
      <w:r>
        <w:rPr>
          <w:rFonts w:ascii="Arial" w:hAnsi="Arial" w:cs="Arial"/>
          <w:color w:val="44546A" w:themeColor="text2"/>
          <w:lang w:val="en-US"/>
        </w:rPr>
        <w:t xml:space="preserve"> </w:t>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r>
      <w:r>
        <w:rPr>
          <w:rFonts w:ascii="Arial" w:hAnsi="Arial" w:cs="Arial"/>
          <w:color w:val="44546A" w:themeColor="text2"/>
          <w:lang w:val="en-US"/>
        </w:rPr>
        <w:tab/>
        <w:t>19</w:t>
      </w:r>
    </w:p>
    <w:p w14:paraId="18A0BE7D" w14:textId="77777777" w:rsidR="00D11F1A" w:rsidRDefault="00D11F1A" w:rsidP="00D11F1A">
      <w:pPr>
        <w:spacing w:line="480" w:lineRule="auto"/>
        <w:ind w:left="360"/>
        <w:jc w:val="both"/>
        <w:rPr>
          <w:rFonts w:ascii="Arial" w:hAnsi="Arial" w:cs="Arial"/>
          <w:color w:val="44546A" w:themeColor="text2"/>
          <w:lang w:val="en-US"/>
        </w:rPr>
      </w:pPr>
    </w:p>
    <w:p w14:paraId="63972393" w14:textId="77777777" w:rsidR="00D11F1A" w:rsidRDefault="00D11F1A" w:rsidP="00D11F1A">
      <w:pPr>
        <w:spacing w:line="480" w:lineRule="auto"/>
        <w:ind w:left="360"/>
        <w:jc w:val="both"/>
        <w:rPr>
          <w:rFonts w:ascii="Arial" w:hAnsi="Arial" w:cs="Arial"/>
          <w:color w:val="44546A" w:themeColor="text2"/>
          <w:lang w:val="en-US"/>
        </w:rPr>
      </w:pPr>
    </w:p>
    <w:p w14:paraId="67D87C30" w14:textId="71579C26" w:rsidR="004D5266" w:rsidRPr="00D11F1A" w:rsidRDefault="004D5266" w:rsidP="00D11F1A">
      <w:pPr>
        <w:spacing w:line="480" w:lineRule="auto"/>
        <w:jc w:val="both"/>
        <w:rPr>
          <w:rFonts w:ascii="Arial" w:hAnsi="Arial" w:cs="Arial"/>
          <w:color w:val="44546A" w:themeColor="text2"/>
          <w:lang w:val="en-US"/>
        </w:rPr>
      </w:pPr>
    </w:p>
    <w:p w14:paraId="7300CFE3" w14:textId="20561B48" w:rsidR="00115686" w:rsidRPr="00D11F1A" w:rsidRDefault="00115686" w:rsidP="00115686">
      <w:pPr>
        <w:pStyle w:val="ListParagraph"/>
        <w:numPr>
          <w:ilvl w:val="0"/>
          <w:numId w:val="25"/>
        </w:numPr>
        <w:spacing w:line="360" w:lineRule="auto"/>
        <w:jc w:val="both"/>
        <w:rPr>
          <w:rFonts w:ascii="Arial" w:hAnsi="Arial" w:cs="Arial"/>
          <w:b/>
          <w:bCs/>
          <w:color w:val="44546A" w:themeColor="text2"/>
        </w:rPr>
      </w:pPr>
      <w:r w:rsidRPr="00D11F1A">
        <w:rPr>
          <w:rFonts w:ascii="Arial" w:hAnsi="Arial" w:cs="Arial"/>
          <w:b/>
          <w:bCs/>
          <w:color w:val="44546A" w:themeColor="text2"/>
        </w:rPr>
        <w:lastRenderedPageBreak/>
        <w:t xml:space="preserve">Brief introduction of </w:t>
      </w:r>
      <w:r w:rsidR="00782842" w:rsidRPr="00D11F1A">
        <w:rPr>
          <w:rFonts w:ascii="Arial" w:hAnsi="Arial" w:cs="Arial"/>
          <w:b/>
          <w:bCs/>
          <w:color w:val="44546A" w:themeColor="text2"/>
        </w:rPr>
        <w:t xml:space="preserve">the </w:t>
      </w:r>
      <w:r w:rsidRPr="00D11F1A">
        <w:rPr>
          <w:rFonts w:ascii="Arial" w:hAnsi="Arial" w:cs="Arial"/>
          <w:b/>
          <w:bCs/>
          <w:color w:val="44546A" w:themeColor="text2"/>
        </w:rPr>
        <w:t xml:space="preserve">chosen organisation </w:t>
      </w:r>
    </w:p>
    <w:p w14:paraId="74FFE26A" w14:textId="0DFB4956" w:rsidR="00115686" w:rsidRPr="008970B0" w:rsidRDefault="00203FD8" w:rsidP="00115686">
      <w:pPr>
        <w:spacing w:line="360" w:lineRule="auto"/>
        <w:jc w:val="both"/>
        <w:rPr>
          <w:rFonts w:ascii="Arial" w:hAnsi="Arial" w:cs="Arial"/>
          <w:color w:val="44546A" w:themeColor="text2"/>
        </w:rPr>
      </w:pPr>
      <w:r w:rsidRPr="008970B0">
        <w:rPr>
          <w:rFonts w:ascii="Arial" w:hAnsi="Arial" w:cs="Arial"/>
          <w:color w:val="44546A" w:themeColor="text2"/>
        </w:rPr>
        <w:t>New York</w:t>
      </w:r>
      <w:r w:rsidR="00115686" w:rsidRPr="008970B0">
        <w:rPr>
          <w:rFonts w:ascii="Arial" w:hAnsi="Arial" w:cs="Arial"/>
          <w:color w:val="44546A" w:themeColor="text2"/>
        </w:rPr>
        <w:t xml:space="preserve"> Practice, an independent furniture trading company based in London, Manchester, and New York, has obtained Planet Mark certification. They offer various services, including furniture design, project management, installation, and aftercare. The Company has been in business for over 25 years and has worked with multiple clients across various sectors, including Hospitality, Education, and Healthcare. According to the study of Salzman and Ionescu (2005), instrumental studies examining the Company's sustainability strategy aim to prove or disprove the assumed causal relationship between the Company's social or environmental performance and financial performance.</w:t>
      </w:r>
    </w:p>
    <w:p w14:paraId="179DE3FD" w14:textId="77777777" w:rsidR="00115686" w:rsidRPr="008970B0" w:rsidRDefault="00115686" w:rsidP="00115686">
      <w:pPr>
        <w:spacing w:line="360" w:lineRule="auto"/>
        <w:jc w:val="both"/>
        <w:rPr>
          <w:rFonts w:ascii="Arial" w:hAnsi="Arial" w:cs="Arial"/>
          <w:color w:val="44546A" w:themeColor="text2"/>
        </w:rPr>
      </w:pPr>
      <w:r w:rsidRPr="008970B0">
        <w:rPr>
          <w:rFonts w:ascii="Arial" w:hAnsi="Arial" w:cs="Arial"/>
          <w:color w:val="44546A" w:themeColor="text2"/>
        </w:rPr>
        <w:t>During the year, the Company developed innovations in the UK market, including accurately measuring furniture's climate impact (C02_e) in a large-scale corporate office project using the European PEF methodology. The business has organized workshops with manufacturers to discuss carbon measurement methodology to promote industry-wide harmonization and has embarked on complete emissions measurement, which has been validated in partnership with Planet Mark.</w:t>
      </w:r>
    </w:p>
    <w:p w14:paraId="1F400E8B" w14:textId="77777777" w:rsidR="00115686" w:rsidRPr="008970B0" w:rsidRDefault="00115686" w:rsidP="00115686">
      <w:pPr>
        <w:spacing w:line="360" w:lineRule="auto"/>
        <w:jc w:val="both"/>
        <w:rPr>
          <w:rFonts w:ascii="Arial" w:hAnsi="Arial" w:cs="Arial"/>
          <w:color w:val="44546A" w:themeColor="text2"/>
        </w:rPr>
      </w:pPr>
      <w:r w:rsidRPr="008970B0">
        <w:rPr>
          <w:rFonts w:ascii="Arial" w:hAnsi="Arial" w:cs="Arial"/>
          <w:color w:val="44546A" w:themeColor="text2"/>
        </w:rPr>
        <w:t>The group's financial situation improved thanks to the increase in the profit reserve for 2021/22.</w:t>
      </w:r>
    </w:p>
    <w:p w14:paraId="59988203" w14:textId="77213EB0" w:rsidR="001951DE" w:rsidRPr="008970B0" w:rsidRDefault="00115686" w:rsidP="00115686">
      <w:pPr>
        <w:spacing w:line="360" w:lineRule="auto"/>
        <w:jc w:val="both"/>
        <w:rPr>
          <w:rFonts w:ascii="Arial" w:hAnsi="Arial" w:cs="Arial"/>
          <w:color w:val="44546A" w:themeColor="text2"/>
        </w:rPr>
      </w:pPr>
      <w:r w:rsidRPr="008970B0">
        <w:rPr>
          <w:rFonts w:ascii="Arial" w:hAnsi="Arial" w:cs="Arial"/>
          <w:color w:val="44546A" w:themeColor="text2"/>
        </w:rPr>
        <w:t xml:space="preserve">  This report, therefore, analyses the Company's current strategic approach and makes recommendations for improvement. The Company trades in quality, unique furniture, good customer service, and reliable delivery and installation services. The Company's financial situation improved, and the profit and net assets increased. The report assesses the Company's business model, market position, competitive position, and resource allocation and makes recommendations for improvement.</w:t>
      </w:r>
    </w:p>
    <w:p w14:paraId="6A6842C8" w14:textId="06AEC3AA" w:rsidR="00115686" w:rsidRPr="00D11F1A" w:rsidRDefault="00115686" w:rsidP="00203FD8">
      <w:pPr>
        <w:pStyle w:val="ListParagraph"/>
        <w:numPr>
          <w:ilvl w:val="1"/>
          <w:numId w:val="25"/>
        </w:numPr>
        <w:spacing w:line="360" w:lineRule="auto"/>
        <w:jc w:val="both"/>
        <w:rPr>
          <w:rFonts w:ascii="Arial" w:hAnsi="Arial" w:cs="Arial"/>
          <w:b/>
          <w:bCs/>
          <w:color w:val="44546A" w:themeColor="text2"/>
        </w:rPr>
      </w:pPr>
      <w:r w:rsidRPr="00D11F1A">
        <w:rPr>
          <w:rFonts w:ascii="Arial" w:hAnsi="Arial" w:cs="Arial"/>
          <w:b/>
          <w:bCs/>
          <w:color w:val="44546A" w:themeColor="text2"/>
        </w:rPr>
        <w:t>Internal Analysis of Furniture Practice Ltd.</w:t>
      </w:r>
    </w:p>
    <w:p w14:paraId="1607545F" w14:textId="516ECC70" w:rsidR="001951DE" w:rsidRPr="008970B0" w:rsidRDefault="000C6BB4" w:rsidP="001951DE">
      <w:pPr>
        <w:spacing w:line="360" w:lineRule="auto"/>
        <w:jc w:val="both"/>
        <w:rPr>
          <w:rFonts w:ascii="Arial" w:hAnsi="Arial" w:cs="Arial"/>
          <w:color w:val="44546A" w:themeColor="text2"/>
        </w:rPr>
      </w:pPr>
      <w:r w:rsidRPr="008970B0">
        <w:rPr>
          <w:rFonts w:ascii="Arial" w:hAnsi="Arial" w:cs="Arial"/>
          <w:color w:val="44546A" w:themeColor="text2"/>
        </w:rPr>
        <w:t>The internal analysis evaluates the resources, capabilities</w:t>
      </w:r>
      <w:r w:rsidR="00572D61" w:rsidRPr="008970B0">
        <w:rPr>
          <w:rFonts w:ascii="Arial" w:hAnsi="Arial" w:cs="Arial"/>
          <w:color w:val="44546A" w:themeColor="text2"/>
        </w:rPr>
        <w:t>,</w:t>
      </w:r>
      <w:r w:rsidRPr="008970B0">
        <w:rPr>
          <w:rFonts w:ascii="Arial" w:hAnsi="Arial" w:cs="Arial"/>
          <w:color w:val="44546A" w:themeColor="text2"/>
        </w:rPr>
        <w:t xml:space="preserve"> and competencies of the Furniture Practice Ltd organization to identify its strengths and weaknesses. It is an essential element of strategic analysis, which helps the organization understand its internal environment and capabilities, which can form the basis of its strategic development and decision-making. </w:t>
      </w:r>
      <w:r w:rsidR="00572D61" w:rsidRPr="008970B0">
        <w:rPr>
          <w:rFonts w:ascii="Arial" w:hAnsi="Arial" w:cs="Arial"/>
          <w:color w:val="44546A" w:themeColor="text2"/>
        </w:rPr>
        <w:t>We can identify the organization's strengths and weaknesses by conducting an internal analysi</w:t>
      </w:r>
      <w:r w:rsidRPr="008970B0">
        <w:rPr>
          <w:rFonts w:ascii="Arial" w:hAnsi="Arial" w:cs="Arial"/>
          <w:color w:val="44546A" w:themeColor="text2"/>
        </w:rPr>
        <w:t>s. This information can help the organization develop strategies that leverage its strengths and mitigate its weaknesses to achieve its goals and objectives.</w:t>
      </w:r>
    </w:p>
    <w:p w14:paraId="22A5D11C" w14:textId="77777777" w:rsidR="004D5266" w:rsidRPr="008970B0" w:rsidRDefault="004D5266" w:rsidP="001951DE">
      <w:pPr>
        <w:spacing w:line="360" w:lineRule="auto"/>
        <w:jc w:val="both"/>
        <w:rPr>
          <w:rFonts w:ascii="Arial" w:hAnsi="Arial" w:cs="Arial"/>
          <w:color w:val="44546A" w:themeColor="text2"/>
        </w:rPr>
      </w:pPr>
    </w:p>
    <w:p w14:paraId="435F6E77" w14:textId="69EAB40F" w:rsidR="009F6769" w:rsidRPr="00D11F1A" w:rsidRDefault="00115686" w:rsidP="00203FD8">
      <w:pPr>
        <w:pStyle w:val="ListParagraph"/>
        <w:numPr>
          <w:ilvl w:val="1"/>
          <w:numId w:val="25"/>
        </w:numPr>
        <w:spacing w:line="360" w:lineRule="auto"/>
        <w:jc w:val="both"/>
        <w:rPr>
          <w:rFonts w:ascii="Arial" w:hAnsi="Arial" w:cs="Arial"/>
          <w:b/>
          <w:bCs/>
          <w:color w:val="44546A" w:themeColor="text2"/>
        </w:rPr>
      </w:pPr>
      <w:r w:rsidRPr="00D11F1A">
        <w:rPr>
          <w:rFonts w:ascii="Arial" w:hAnsi="Arial" w:cs="Arial"/>
          <w:b/>
          <w:bCs/>
          <w:color w:val="44546A" w:themeColor="text2"/>
        </w:rPr>
        <w:lastRenderedPageBreak/>
        <w:t xml:space="preserve">Application of </w:t>
      </w:r>
      <w:r w:rsidR="009F6769" w:rsidRPr="00D11F1A">
        <w:rPr>
          <w:rFonts w:ascii="Arial" w:hAnsi="Arial" w:cs="Arial"/>
          <w:b/>
          <w:bCs/>
          <w:color w:val="44546A" w:themeColor="text2"/>
        </w:rPr>
        <w:t>BCG Matrix</w:t>
      </w:r>
    </w:p>
    <w:p w14:paraId="3E6576E3" w14:textId="50643258" w:rsidR="00572D61" w:rsidRPr="008970B0" w:rsidRDefault="00572D61" w:rsidP="00572D61">
      <w:pPr>
        <w:spacing w:line="360" w:lineRule="auto"/>
        <w:jc w:val="both"/>
        <w:rPr>
          <w:rFonts w:ascii="Arial" w:hAnsi="Arial" w:cs="Arial"/>
          <w:color w:val="44546A" w:themeColor="text2"/>
        </w:rPr>
      </w:pPr>
      <w:r w:rsidRPr="008970B0">
        <w:rPr>
          <w:rFonts w:ascii="Arial" w:hAnsi="Arial" w:cs="Arial"/>
          <w:color w:val="44546A" w:themeColor="text2"/>
        </w:rPr>
        <w:t>The BCG matrix is a framework for analysing a company's product or service portfolio based on market growth rate and relative market share. Based on this analysis, products or services are classified into stars, question marks, cash cows, and dogs. The BCG Matrix can be applied to Furniture Practice Ltd.'s product portfolio as follows:</w:t>
      </w:r>
    </w:p>
    <w:p w14:paraId="558EAF31" w14:textId="3C852BF2" w:rsidR="00572D61" w:rsidRPr="008970B0" w:rsidRDefault="00572D61" w:rsidP="00572D61">
      <w:pPr>
        <w:spacing w:line="360" w:lineRule="auto"/>
        <w:jc w:val="both"/>
        <w:rPr>
          <w:rFonts w:ascii="Arial" w:hAnsi="Arial" w:cs="Arial"/>
          <w:color w:val="44546A" w:themeColor="text2"/>
        </w:rPr>
      </w:pPr>
      <w:r w:rsidRPr="008970B0">
        <w:rPr>
          <w:rFonts w:ascii="Arial" w:hAnsi="Arial" w:cs="Arial"/>
          <w:color w:val="44546A" w:themeColor="text2"/>
        </w:rPr>
        <w:t>Stars: These products have a high market growth rate and relative market share. For Furniture Practice Ltd, this can be a new product line or a recently launched product that has gained a significant market share. The Company must continue to invest in these products to maintain its growth and market position. On the Company's website, these new products appear under the projects category, such as WPP's campus transformation strategy focuses on creating more innovative, collaborative, and flexible workspaces. As such, flexibility was a crucial element in the design of BDG's Detroit workspace, allowing WPP staff to work in various settings and its teams to customize spaces to meet changing needs. When developing the furniture specification, we worked closely with the BDG team to balance the practical needs of different working environments with the aesthetic aspirations of the project, ensuring that all surfaces work together seamlessly.</w:t>
      </w:r>
    </w:p>
    <w:p w14:paraId="31E5D497" w14:textId="74C041AA" w:rsidR="00572D61" w:rsidRPr="008970B0" w:rsidRDefault="00572D61" w:rsidP="00572D61">
      <w:pPr>
        <w:spacing w:line="360" w:lineRule="auto"/>
        <w:jc w:val="both"/>
        <w:rPr>
          <w:rFonts w:ascii="Arial" w:hAnsi="Arial" w:cs="Arial"/>
          <w:color w:val="44546A" w:themeColor="text2"/>
        </w:rPr>
      </w:pPr>
      <w:r w:rsidRPr="008970B0">
        <w:rPr>
          <w:rFonts w:ascii="Arial" w:hAnsi="Arial" w:cs="Arial"/>
          <w:color w:val="44546A" w:themeColor="text2"/>
        </w:rPr>
        <w:t>Question marks: These products have a high market growth rate but a low relative market share. For Furniture Practice Ltd., this can be a new product range that has not yet gained a significant market share or an existing product that looks like increased competition. According to the journal of Company, the Company should consider investing in these products to increase market share and potentially turn them into stars—a new landmark development in the Leads' business hub. CEG's further development in Temple, Leeds, presented an opportunity to contribute to the area's thriving business community. Globe Point, the first of three planned within the story, serves as a gateway to the site, its narrow footprint bestowing it with a striking, angular facade. The flexible ground floor amenity areas, designed by Echo Studio, have been conceived as a community space; the cafe space is a real focal point that brings people together and creates opportunities for events, social gatherings, collaboration, and informal meetings. CEG tasked TFP with developing a workspace furniture specification in partnership with Echo for the building's ground floor, with their ideal tenants – small, start-up creative companies – in mind.</w:t>
      </w:r>
    </w:p>
    <w:p w14:paraId="591970D5" w14:textId="1FD2A82C" w:rsidR="00572D61" w:rsidRPr="008970B0" w:rsidRDefault="00572D61" w:rsidP="00572D61">
      <w:pPr>
        <w:spacing w:line="360" w:lineRule="auto"/>
        <w:jc w:val="both"/>
        <w:rPr>
          <w:rFonts w:ascii="Arial" w:hAnsi="Arial" w:cs="Arial"/>
          <w:color w:val="44546A" w:themeColor="text2"/>
        </w:rPr>
      </w:pPr>
      <w:r w:rsidRPr="008970B0">
        <w:rPr>
          <w:rFonts w:ascii="Arial" w:hAnsi="Arial" w:cs="Arial"/>
          <w:color w:val="44546A" w:themeColor="text2"/>
        </w:rPr>
        <w:t xml:space="preserve">Cash cows: These products have a low market growth rate but a high relative market share. For Furniture Practice Ltd Company, it may be an existing product line with a loyal customer base, but it is not growing significantly. The Company must continue to generate profit from these </w:t>
      </w:r>
      <w:r w:rsidRPr="008970B0">
        <w:rPr>
          <w:rFonts w:ascii="Arial" w:hAnsi="Arial" w:cs="Arial"/>
          <w:color w:val="44546A" w:themeColor="text2"/>
        </w:rPr>
        <w:lastRenderedPageBreak/>
        <w:t>products while minimizing costs. In the case of Furniture Practice Ltd Company, this may be an underperforming product line that faces increased competition or is no longer relevant in the market. The Company should consider exiting or selling these products to focus on more promising opportunities. According to a report about the seventh edition this year, Trends &amp; Traditions will soon become the key "meet and greet" event for Scandinavia designers, architects, and manufacturers. Held in Copenhagen, the fair highlights the latest designs and innovations in materials and processes from Danish and other European manufacturers. The annual event allows designers to learn about and be inspired by the latest trends in design. The theme of this year's edition was the involvement of people - recognizing that engagement correlates with well-being. How best to mobilize spaces, furniture, and design from multipurpose and playful seating that enables work and play to reinventing the traditional desk to encourage collaborative conversations. The publication Trends &amp; Traditions can be viewed on the Company's website.</w:t>
      </w:r>
    </w:p>
    <w:p w14:paraId="400A7C43" w14:textId="77777777" w:rsidR="00572D61" w:rsidRPr="008970B0" w:rsidRDefault="00572D61" w:rsidP="00572D61">
      <w:pPr>
        <w:spacing w:line="360" w:lineRule="auto"/>
        <w:jc w:val="both"/>
        <w:rPr>
          <w:rFonts w:ascii="Arial" w:hAnsi="Arial" w:cs="Arial"/>
          <w:color w:val="44546A" w:themeColor="text2"/>
        </w:rPr>
      </w:pPr>
      <w:r w:rsidRPr="008970B0">
        <w:rPr>
          <w:rFonts w:ascii="Arial" w:hAnsi="Arial" w:cs="Arial"/>
          <w:color w:val="44546A" w:themeColor="text2"/>
        </w:rPr>
        <w:t>Dogs: These products have a low market growth rate and a low relative market share. After a three-year postponement, the Stockholm Design Fair returned this year with a commitment to Swedish and Scandinavian design. Bringing together thousands of industries, the fair invited visitors to discover and celebrate the creations of the region's iconic, legacy furniture brands and emerging creatives.</w:t>
      </w:r>
    </w:p>
    <w:p w14:paraId="65EE842E" w14:textId="24E74376" w:rsidR="00572D61" w:rsidRPr="008970B0" w:rsidRDefault="00572D61" w:rsidP="00572D61">
      <w:pPr>
        <w:spacing w:line="360" w:lineRule="auto"/>
        <w:jc w:val="both"/>
        <w:rPr>
          <w:rFonts w:ascii="Arial" w:hAnsi="Arial" w:cs="Arial"/>
          <w:color w:val="44546A" w:themeColor="text2"/>
        </w:rPr>
      </w:pPr>
      <w:r w:rsidRPr="008970B0">
        <w:rPr>
          <w:rFonts w:ascii="Arial" w:hAnsi="Arial" w:cs="Arial"/>
          <w:color w:val="44546A" w:themeColor="text2"/>
        </w:rPr>
        <w:t>With BCG Matrix, Furniture Practice Ltd Company can gain insight into its product portfolio and strategically decide where to invest resources, which products to promote or discontinue, and how to allocate marketing, research, and development.</w:t>
      </w:r>
    </w:p>
    <w:p w14:paraId="0CAF74EA" w14:textId="7B60F732" w:rsidR="00615F35" w:rsidRPr="00D24809" w:rsidRDefault="00115686" w:rsidP="00203FD8">
      <w:pPr>
        <w:pStyle w:val="ListParagraph"/>
        <w:numPr>
          <w:ilvl w:val="1"/>
          <w:numId w:val="25"/>
        </w:numPr>
        <w:spacing w:line="360" w:lineRule="auto"/>
        <w:jc w:val="both"/>
        <w:rPr>
          <w:rFonts w:ascii="Arial" w:hAnsi="Arial" w:cs="Arial"/>
          <w:b/>
          <w:bCs/>
          <w:color w:val="44546A" w:themeColor="text2"/>
          <w:kern w:val="0"/>
          <w14:ligatures w14:val="none"/>
        </w:rPr>
      </w:pPr>
      <w:r w:rsidRPr="00D24809">
        <w:rPr>
          <w:rFonts w:ascii="Arial" w:hAnsi="Arial" w:cs="Arial"/>
          <w:b/>
          <w:bCs/>
          <w:color w:val="44546A" w:themeColor="text2"/>
          <w:kern w:val="0"/>
          <w14:ligatures w14:val="none"/>
        </w:rPr>
        <w:t>Application of n</w:t>
      </w:r>
      <w:r w:rsidR="00615F35" w:rsidRPr="00D24809">
        <w:rPr>
          <w:rFonts w:ascii="Arial" w:hAnsi="Arial" w:cs="Arial"/>
          <w:b/>
          <w:bCs/>
          <w:color w:val="44546A" w:themeColor="text2"/>
          <w:kern w:val="0"/>
          <w14:ligatures w14:val="none"/>
        </w:rPr>
        <w:t>ine M</w:t>
      </w:r>
      <w:r w:rsidR="00AC4A06">
        <w:rPr>
          <w:rFonts w:ascii="Arial" w:hAnsi="Arial" w:cs="Arial"/>
          <w:b/>
          <w:bCs/>
          <w:color w:val="44546A" w:themeColor="text2"/>
          <w:kern w:val="0"/>
          <w14:ligatures w14:val="none"/>
        </w:rPr>
        <w:t>'</w:t>
      </w:r>
      <w:r w:rsidR="00615F35" w:rsidRPr="00D24809">
        <w:rPr>
          <w:rFonts w:ascii="Arial" w:hAnsi="Arial" w:cs="Arial"/>
          <w:b/>
          <w:bCs/>
          <w:color w:val="44546A" w:themeColor="text2"/>
          <w:kern w:val="0"/>
          <w14:ligatures w14:val="none"/>
        </w:rPr>
        <w:t xml:space="preserve">s method </w:t>
      </w:r>
    </w:p>
    <w:p w14:paraId="2F2A802F" w14:textId="77998478" w:rsidR="00572D61" w:rsidRPr="008970B0" w:rsidRDefault="00572D61" w:rsidP="00572D61">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Market: The target market of the furniture manufacturing Company is businesses that require unique furniture design solutions. The quality and sustainability of the materials are essential for the target market, so they are willing to pay more. The Company's furniture design for educational environments has already changed to a great extent. The market has expanded with large customers such as Astra </w:t>
      </w:r>
      <w:r w:rsidR="0006072A" w:rsidRPr="008970B0">
        <w:rPr>
          <w:rFonts w:ascii="Arial" w:hAnsi="Arial" w:cs="Arial"/>
          <w:color w:val="44546A" w:themeColor="text2"/>
          <w:kern w:val="0"/>
          <w14:ligatures w14:val="none"/>
        </w:rPr>
        <w:t>Zeneca</w:t>
      </w:r>
      <w:r w:rsidRPr="008970B0">
        <w:rPr>
          <w:rFonts w:ascii="Arial" w:hAnsi="Arial" w:cs="Arial"/>
          <w:color w:val="44546A" w:themeColor="text2"/>
          <w:kern w:val="0"/>
          <w14:ligatures w14:val="none"/>
        </w:rPr>
        <w:t>, which organizes its research and pharmaceutical production environment with the Company. The website's project section shows that the hospitality market has expanded: Caravan Canary Wharf, The Bridge Restaurant, Twickenham East, The Parade Ring Restaurant, Old Marylebone Town Hall, and The Terrace Restaurant. Law: Global Low Firm, Ashurst. Media: WPP Detroit, WPP Milan, WPP Warsaw, Kobalt Music.</w:t>
      </w:r>
    </w:p>
    <w:p w14:paraId="0C845A94" w14:textId="47DC402B" w:rsidR="00572D61" w:rsidRPr="008970B0" w:rsidRDefault="00572D61" w:rsidP="00572D61">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Mission: The Company's mission statement emphasizes constant innovation to meet customer needs, create value, and differentiate itself from competitors. On the project page, you can view </w:t>
      </w:r>
      <w:r w:rsidRPr="008970B0">
        <w:rPr>
          <w:rFonts w:ascii="Arial" w:hAnsi="Arial" w:cs="Arial"/>
          <w:color w:val="44546A" w:themeColor="text2"/>
          <w:kern w:val="0"/>
          <w14:ligatures w14:val="none"/>
        </w:rPr>
        <w:lastRenderedPageBreak/>
        <w:t xml:space="preserve">the large-scale innovative projects that the Company has implemented in the previous period and are planned. With several award-winning projects behind it, the Company's creative strategy significantly determines its presence on the market. Projects: Twickenham East Transforming hospitality at the home of England Rugby, Basf: a collaborative workplace for the world's largest chemical manufacturer. Chicago Booth: A state-of-the-art campus for one of the finest business schools in the world, </w:t>
      </w:r>
      <w:r w:rsidR="0006072A" w:rsidRPr="008970B0">
        <w:rPr>
          <w:rFonts w:ascii="Arial" w:hAnsi="Arial" w:cs="Arial"/>
          <w:color w:val="44546A" w:themeColor="text2"/>
          <w:kern w:val="0"/>
          <w14:ligatures w14:val="none"/>
        </w:rPr>
        <w:t>Adobe</w:t>
      </w:r>
      <w:r w:rsidRPr="008970B0">
        <w:rPr>
          <w:rFonts w:ascii="Arial" w:hAnsi="Arial" w:cs="Arial"/>
          <w:color w:val="44546A" w:themeColor="text2"/>
          <w:kern w:val="0"/>
          <w14:ligatures w14:val="none"/>
        </w:rPr>
        <w:t xml:space="preserve"> London: A vibrant new workspace for the software giant in London's tech hub.</w:t>
      </w:r>
    </w:p>
    <w:p w14:paraId="4C938887" w14:textId="12D0C746" w:rsidR="00572D61" w:rsidRPr="008970B0" w:rsidRDefault="00572D61" w:rsidP="00572D61">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Money: The Company's financial report shows significant developments in the business, including the acquisition of Operandum LLP, a considerable headcount investment, and international operations in the EU and the US. The introduction of Operandum LLP has resulted in better value for clients and further growth opportunities for the business.</w:t>
      </w:r>
    </w:p>
    <w:p w14:paraId="52E975B0" w14:textId="77777777" w:rsidR="00572D61" w:rsidRPr="008970B0" w:rsidRDefault="00572D61" w:rsidP="00572D61">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Management: The Company's hierarchical management structure emphasizes the importance of experienced personnel in innovation. The Company may benefit from adopting collaborative and flat governance structures to encourage innovation.</w:t>
      </w:r>
    </w:p>
    <w:p w14:paraId="6154C830" w14:textId="0F8DE5E2" w:rsidR="00572D61" w:rsidRPr="008970B0" w:rsidRDefault="00572D61" w:rsidP="00572D61">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Materials: The Company's supply chain and sourcing strategy prioritizes sustainability, product data, superior quality, and a wide selection of vintage and second-hand fabrics and finishing workshops. The Company is an official partner of Materials Matters. The iconic </w:t>
      </w:r>
      <w:r w:rsidR="0006072A" w:rsidRPr="008970B0">
        <w:rPr>
          <w:rFonts w:ascii="Arial" w:hAnsi="Arial" w:cs="Arial"/>
          <w:color w:val="44546A" w:themeColor="text2"/>
          <w:kern w:val="0"/>
          <w14:ligatures w14:val="none"/>
        </w:rPr>
        <w:t>Barge house</w:t>
      </w:r>
      <w:r w:rsidRPr="008970B0">
        <w:rPr>
          <w:rFonts w:ascii="Arial" w:hAnsi="Arial" w:cs="Arial"/>
          <w:color w:val="44546A" w:themeColor="text2"/>
          <w:kern w:val="0"/>
          <w14:ligatures w14:val="none"/>
        </w:rPr>
        <w:t xml:space="preserve"> at Oxo Tower Wharf on London's Southbank and the inaugural fair will bring together over 40 world-leading brands, designers, makers, and organizations whose work is a loud and precise response to issues currently shaping the design industry. Among them is our need for circularity and how material intelligence can lead the drive to Net Zero.</w:t>
      </w:r>
    </w:p>
    <w:p w14:paraId="0C90BED2" w14:textId="07B3FFF4" w:rsidR="00572D61" w:rsidRPr="008970B0" w:rsidRDefault="00572D61" w:rsidP="00572D61">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Machines: The Company uses computer-aided design (CAD) software, enterprise resource planning (ERP) software technology, and customer relationship management (CRM) software to manage various aspects of the business. The Company also has an online presence, website, or social media accounts on LinkedIn, which can be used to promote products and services, communicate with </w:t>
      </w:r>
      <w:r w:rsidR="00B66D7E" w:rsidRPr="008970B0">
        <w:rPr>
          <w:rFonts w:ascii="Arial" w:hAnsi="Arial" w:cs="Arial"/>
          <w:color w:val="44546A" w:themeColor="text2"/>
          <w:kern w:val="0"/>
          <w14:ligatures w14:val="none"/>
        </w:rPr>
        <w:t>customers,</w:t>
      </w:r>
      <w:r w:rsidRPr="008970B0">
        <w:rPr>
          <w:rFonts w:ascii="Arial" w:hAnsi="Arial" w:cs="Arial"/>
          <w:color w:val="44546A" w:themeColor="text2"/>
          <w:kern w:val="0"/>
          <w14:ligatures w14:val="none"/>
        </w:rPr>
        <w:t xml:space="preserve"> and conduct sales transactions.</w:t>
      </w:r>
    </w:p>
    <w:p w14:paraId="27F5288D" w14:textId="77777777" w:rsidR="00572D61" w:rsidRPr="008970B0" w:rsidRDefault="00572D61" w:rsidP="00572D61">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Methods: The Company invests in research and development and uses data analysis and Agile methodology to improve software development processes. The Company prioritizes the continuous development of its business practices and a customer-focused approach.</w:t>
      </w:r>
    </w:p>
    <w:p w14:paraId="03216DC9" w14:textId="56A34853" w:rsidR="00572D61" w:rsidRPr="008970B0" w:rsidRDefault="00572D61" w:rsidP="00572D61">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lastRenderedPageBreak/>
        <w:t>Metrics: The Company can measure success by tracking sales, setting revenue goals, monitoring progress, and measuring customer satisfaction, productivity, efficiency, and employee engagement.</w:t>
      </w:r>
    </w:p>
    <w:p w14:paraId="0F38DF16" w14:textId="0DA95742" w:rsidR="00572D61" w:rsidRPr="008970B0" w:rsidRDefault="00572D61" w:rsidP="00572D61">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Mindset: The Company prioritizes innovation and is open to trying new things, choices, and community service. The website news includes articles about the most recent exhibitions, awards the Company</w:t>
      </w:r>
      <w:r w:rsidRPr="008970B0">
        <w:rPr>
          <w:rFonts w:ascii="Arial" w:hAnsi="Arial" w:cs="Arial"/>
          <w:color w:val="44546A" w:themeColor="text2"/>
        </w:rPr>
        <w:t xml:space="preserve"> </w:t>
      </w:r>
      <w:r w:rsidRPr="008970B0">
        <w:rPr>
          <w:rFonts w:ascii="Arial" w:hAnsi="Arial" w:cs="Arial"/>
          <w:color w:val="44546A" w:themeColor="text2"/>
          <w:kern w:val="0"/>
          <w14:ligatures w14:val="none"/>
        </w:rPr>
        <w:t>https://www.thefurniturepractice.com/journal/tags/news has won recently, and annual reviews.</w:t>
      </w:r>
    </w:p>
    <w:p w14:paraId="623AA2E5" w14:textId="624648D4" w:rsidR="00615F35" w:rsidRPr="00D24809" w:rsidRDefault="00615F35" w:rsidP="00203FD8">
      <w:pPr>
        <w:pStyle w:val="ListParagraph"/>
        <w:numPr>
          <w:ilvl w:val="1"/>
          <w:numId w:val="25"/>
        </w:numPr>
        <w:spacing w:line="360" w:lineRule="auto"/>
        <w:jc w:val="both"/>
        <w:rPr>
          <w:rFonts w:ascii="Arial" w:hAnsi="Arial" w:cs="Arial"/>
          <w:b/>
          <w:bCs/>
          <w:color w:val="44546A" w:themeColor="text2"/>
          <w:kern w:val="0"/>
          <w14:ligatures w14:val="none"/>
        </w:rPr>
      </w:pPr>
      <w:bookmarkStart w:id="1" w:name="_Hlk132109003"/>
      <w:r w:rsidRPr="00D24809">
        <w:rPr>
          <w:rFonts w:ascii="Arial" w:hAnsi="Arial" w:cs="Arial"/>
          <w:b/>
          <w:bCs/>
          <w:color w:val="44546A" w:themeColor="text2"/>
          <w:kern w:val="0"/>
          <w14:ligatures w14:val="none"/>
        </w:rPr>
        <w:t xml:space="preserve">Application of VRIO analysis </w:t>
      </w:r>
      <w:bookmarkEnd w:id="1"/>
    </w:p>
    <w:p w14:paraId="645791E2" w14:textId="1152EEDB" w:rsidR="00572D61" w:rsidRPr="008970B0" w:rsidRDefault="00572D61" w:rsidP="00572D61">
      <w:pPr>
        <w:spacing w:line="360" w:lineRule="auto"/>
        <w:jc w:val="both"/>
        <w:rPr>
          <w:rFonts w:ascii="Arial" w:hAnsi="Arial" w:cs="Arial"/>
          <w:color w:val="44546A" w:themeColor="text2"/>
        </w:rPr>
      </w:pPr>
      <w:r w:rsidRPr="008970B0">
        <w:rPr>
          <w:rFonts w:ascii="Arial" w:hAnsi="Arial" w:cs="Arial"/>
          <w:color w:val="44546A" w:themeColor="text2"/>
        </w:rPr>
        <w:t xml:space="preserve">Jay B. Barney introduced the VRIO framework in his 1991 paper "Firm Resources and Sustained Competitive Advantage," published in the Journal of Management. Barney is a Professor of Management and Chase Distinguished Chair in Corporate Strategy and Organizational Behavior at The Ohio State University's Fisher College of Business. VRIO stands for Value, Rarity, Imitability, and Organization. It is a framework for </w:t>
      </w:r>
      <w:r w:rsidR="0006072A" w:rsidRPr="008970B0">
        <w:rPr>
          <w:rFonts w:ascii="Arial" w:hAnsi="Arial" w:cs="Arial"/>
          <w:color w:val="44546A" w:themeColor="text2"/>
        </w:rPr>
        <w:t>analysing</w:t>
      </w:r>
      <w:r w:rsidRPr="008970B0">
        <w:rPr>
          <w:rFonts w:ascii="Arial" w:hAnsi="Arial" w:cs="Arial"/>
          <w:color w:val="44546A" w:themeColor="text2"/>
        </w:rPr>
        <w:t xml:space="preserve"> a company's internal resources and capabilities to determine competitive advantage. Specifically, it helps determine whether the Company's resources and capabilities are valuable, rare, and difficult to imitate and whether it can use them effectively. According to this approach, the VRIO analysis of Furniture Practice Ltd is below.</w:t>
      </w:r>
    </w:p>
    <w:p w14:paraId="0E846D7C" w14:textId="49FBEC73" w:rsidR="00572D61" w:rsidRPr="008970B0" w:rsidRDefault="00572D61" w:rsidP="00572D61">
      <w:pPr>
        <w:spacing w:line="360" w:lineRule="auto"/>
        <w:jc w:val="both"/>
        <w:rPr>
          <w:rFonts w:ascii="Arial" w:hAnsi="Arial" w:cs="Arial"/>
          <w:color w:val="44546A" w:themeColor="text2"/>
        </w:rPr>
      </w:pPr>
      <w:r w:rsidRPr="008970B0">
        <w:rPr>
          <w:rFonts w:ascii="Arial" w:hAnsi="Arial" w:cs="Arial"/>
          <w:color w:val="44546A" w:themeColor="text2"/>
        </w:rPr>
        <w:t>Value: The Company offers quality furniture products that meet the needs and preferences of the target market. The Company has a strong brand reputation in the local community and a loyal customer base. To further promote these values, clients are provided with engagement strategy and workshops, as well as short-term development, program development, budget development, audit and reuse strategy, sustainability strategy, and trend insights.</w:t>
      </w:r>
    </w:p>
    <w:p w14:paraId="1A77E2A2" w14:textId="1233035A" w:rsidR="00572D61" w:rsidRPr="008970B0" w:rsidRDefault="00572D61" w:rsidP="00572D61">
      <w:pPr>
        <w:spacing w:line="360" w:lineRule="auto"/>
        <w:jc w:val="both"/>
        <w:rPr>
          <w:rFonts w:ascii="Arial" w:hAnsi="Arial" w:cs="Arial"/>
          <w:color w:val="44546A" w:themeColor="text2"/>
        </w:rPr>
      </w:pPr>
      <w:r w:rsidRPr="008970B0">
        <w:rPr>
          <w:rFonts w:ascii="Arial" w:hAnsi="Arial" w:cs="Arial"/>
          <w:color w:val="44546A" w:themeColor="text2"/>
        </w:rPr>
        <w:t>Rarity: The Company's focus on unique design and customization differentiates the Company from competitors who offer more standardized products. The Company works with sustainable and environmentally friendly materials, which is relatively rare in the industry and may appeal to environmentally conscious customers. According to the Company's sustainability rubric, the following innovation makes them rich in Furniture solutions for the circular economy.</w:t>
      </w:r>
    </w:p>
    <w:p w14:paraId="043E336D" w14:textId="739E9B0B" w:rsidR="00572D61" w:rsidRPr="008970B0" w:rsidRDefault="00572D61" w:rsidP="00572D61">
      <w:pPr>
        <w:spacing w:line="360" w:lineRule="auto"/>
        <w:jc w:val="both"/>
        <w:rPr>
          <w:rFonts w:ascii="Arial" w:hAnsi="Arial" w:cs="Arial"/>
          <w:color w:val="44546A" w:themeColor="text2"/>
        </w:rPr>
      </w:pPr>
      <w:r w:rsidRPr="008970B0">
        <w:rPr>
          <w:rFonts w:ascii="Arial" w:hAnsi="Arial" w:cs="Arial"/>
          <w:color w:val="44546A" w:themeColor="text2"/>
        </w:rPr>
        <w:t xml:space="preserve">It has been recognized that businesses are now committing to reducing their carbon dioxide emissions. We work closely with our extensive supply chain to develop the tools and systems to develop low-carbon solutions promoting industry circularity. They are actively working to measure the carbon dioxide emissions of furniture projects, so they can use data-based evidence to help </w:t>
      </w:r>
      <w:r w:rsidRPr="008970B0">
        <w:rPr>
          <w:rFonts w:ascii="Arial" w:hAnsi="Arial" w:cs="Arial"/>
          <w:color w:val="44546A" w:themeColor="text2"/>
        </w:rPr>
        <w:lastRenderedPageBreak/>
        <w:t>businesses, designers, and project teams make the most sustainable decisions. Carbon Impact Assessment of Furniture Options / Dedicated Sustainability Team</w:t>
      </w:r>
    </w:p>
    <w:p w14:paraId="61479684" w14:textId="2B50C506" w:rsidR="00572D61" w:rsidRPr="008970B0" w:rsidRDefault="00572D61" w:rsidP="00572D61">
      <w:pPr>
        <w:spacing w:line="360" w:lineRule="auto"/>
        <w:jc w:val="both"/>
        <w:rPr>
          <w:rFonts w:ascii="Arial" w:hAnsi="Arial" w:cs="Arial"/>
          <w:color w:val="44546A" w:themeColor="text2"/>
        </w:rPr>
      </w:pPr>
      <w:r w:rsidRPr="008970B0">
        <w:rPr>
          <w:rFonts w:ascii="Arial" w:hAnsi="Arial" w:cs="Arial"/>
          <w:color w:val="44546A" w:themeColor="text2"/>
        </w:rPr>
        <w:t>Imitation: A company's focus on customization and unique design can be difficult for competitors to imitate if they do not invest in similar expertise and resources. A company's use of sustainable materials can be replicated, but it is difficult for competitors to reproduce if they do not invest in the necessary supply chain relationships and processes.</w:t>
      </w:r>
    </w:p>
    <w:p w14:paraId="12662F75" w14:textId="781F2942" w:rsidR="00572D61" w:rsidRPr="008970B0" w:rsidRDefault="00572D61" w:rsidP="00572D61">
      <w:pPr>
        <w:spacing w:line="360" w:lineRule="auto"/>
        <w:jc w:val="both"/>
        <w:rPr>
          <w:rFonts w:ascii="Arial" w:hAnsi="Arial" w:cs="Arial"/>
          <w:color w:val="44546A" w:themeColor="text2"/>
        </w:rPr>
      </w:pPr>
      <w:r w:rsidRPr="008970B0">
        <w:rPr>
          <w:rFonts w:ascii="Arial" w:hAnsi="Arial" w:cs="Arial"/>
          <w:color w:val="44546A" w:themeColor="text2"/>
        </w:rPr>
        <w:t>Organization: The Company's solid organizational culture fosters creativity, innovation, and customer focus. The Company's flat organizational structure enables agile decision-making and flexible response to market changes.</w:t>
      </w:r>
    </w:p>
    <w:p w14:paraId="31CABB76" w14:textId="22615494" w:rsidR="00A8302E" w:rsidRPr="008970B0" w:rsidRDefault="00572D61" w:rsidP="001951DE">
      <w:pPr>
        <w:spacing w:line="360" w:lineRule="auto"/>
        <w:jc w:val="both"/>
        <w:rPr>
          <w:rFonts w:ascii="Arial" w:hAnsi="Arial" w:cs="Arial"/>
          <w:color w:val="44546A" w:themeColor="text2"/>
          <w:lang w:val="en-US"/>
        </w:rPr>
      </w:pPr>
      <w:r w:rsidRPr="008970B0">
        <w:rPr>
          <w:rFonts w:ascii="Arial" w:hAnsi="Arial" w:cs="Arial"/>
          <w:color w:val="44546A" w:themeColor="text2"/>
        </w:rPr>
        <w:t>VRIO stands for Value, Rarity, Imitability, and Organization. The VRIO analysis of Furniture Practice Ltd. Reveals that the Company offers quality furniture products that meet the needs and preferences of the target market, focuses on unique design and customization, uses sustainable and environmentally friendly materials, and has a solid organizational culture that promotes creativity. , innovation, and customer focus. These factors make it difficult for competitors to imitate the Company's offerings and provide it with a sustained competitive advantage.</w:t>
      </w:r>
      <w:r w:rsidR="007044EB" w:rsidRPr="008970B0">
        <w:rPr>
          <w:rFonts w:ascii="Arial" w:hAnsi="Arial" w:cs="Arial"/>
          <w:color w:val="44546A" w:themeColor="text2"/>
        </w:rPr>
        <w:t xml:space="preserve"> According to the website,</w:t>
      </w:r>
      <w:r w:rsidRPr="008970B0">
        <w:rPr>
          <w:rFonts w:ascii="Arial" w:hAnsi="Arial" w:cs="Arial"/>
          <w:color w:val="44546A" w:themeColor="text2"/>
        </w:rPr>
        <w:t xml:space="preserve"> The Furniture Practice is B Corp certified to help shape a more sustainable and equitable future for our industry and beyond. Over 6,000 visionary businesses across 80 countries have joined the B Corp community, legally committing to balancing purpose and </w:t>
      </w:r>
      <w:proofErr w:type="gramStart"/>
      <w:r w:rsidR="00C20BB0" w:rsidRPr="008970B0">
        <w:rPr>
          <w:rFonts w:ascii="Arial" w:hAnsi="Arial" w:cs="Arial"/>
          <w:color w:val="44546A" w:themeColor="text2"/>
        </w:rPr>
        <w:t>profit</w:t>
      </w:r>
      <w:proofErr w:type="gramEnd"/>
      <w:r w:rsidRPr="008970B0">
        <w:rPr>
          <w:rFonts w:ascii="Arial" w:hAnsi="Arial" w:cs="Arial"/>
          <w:color w:val="44546A" w:themeColor="text2"/>
        </w:rPr>
        <w:t xml:space="preserve"> and using business as a force for good.</w:t>
      </w:r>
    </w:p>
    <w:p w14:paraId="3414944F" w14:textId="0AF666D2" w:rsidR="009F6769" w:rsidRPr="00D11F1A" w:rsidRDefault="009F6769" w:rsidP="00203FD8">
      <w:pPr>
        <w:pStyle w:val="ListParagraph"/>
        <w:numPr>
          <w:ilvl w:val="0"/>
          <w:numId w:val="25"/>
        </w:numPr>
        <w:spacing w:line="360" w:lineRule="auto"/>
        <w:jc w:val="both"/>
        <w:rPr>
          <w:rFonts w:ascii="Arial" w:hAnsi="Arial" w:cs="Arial"/>
          <w:b/>
          <w:bCs/>
          <w:color w:val="44546A" w:themeColor="text2"/>
        </w:rPr>
      </w:pPr>
      <w:r w:rsidRPr="00D11F1A">
        <w:rPr>
          <w:rFonts w:ascii="Arial" w:hAnsi="Arial" w:cs="Arial"/>
          <w:b/>
          <w:bCs/>
          <w:color w:val="44546A" w:themeColor="text2"/>
        </w:rPr>
        <w:t>External analysis</w:t>
      </w:r>
      <w:r w:rsidR="00115686" w:rsidRPr="00D11F1A">
        <w:rPr>
          <w:rFonts w:ascii="Arial" w:hAnsi="Arial" w:cs="Arial"/>
          <w:b/>
          <w:bCs/>
          <w:color w:val="44546A" w:themeColor="text2"/>
        </w:rPr>
        <w:t xml:space="preserve"> of Furniture Practice Ltd</w:t>
      </w:r>
    </w:p>
    <w:p w14:paraId="2AC120BE" w14:textId="72F1D48A" w:rsidR="007C4348" w:rsidRPr="008970B0" w:rsidRDefault="007C4348" w:rsidP="007C4348">
      <w:pPr>
        <w:spacing w:line="360" w:lineRule="auto"/>
        <w:jc w:val="both"/>
        <w:rPr>
          <w:rFonts w:ascii="Arial" w:hAnsi="Arial" w:cs="Arial"/>
          <w:color w:val="44546A" w:themeColor="text2"/>
        </w:rPr>
      </w:pPr>
      <w:r w:rsidRPr="008970B0">
        <w:rPr>
          <w:rFonts w:ascii="Arial" w:hAnsi="Arial" w:cs="Arial"/>
          <w:color w:val="44546A" w:themeColor="text2"/>
        </w:rPr>
        <w:t>The external analysis examines the organization's external environment to identify and understand opportunities and threats that may affect the organization's performance and future success. It includes factors such as industry trends, competition, economic conditions, regulatory frameworks, technological developments, and other external factors that affect an organization's operations and performance. This shallow analysis aims to inform strategic decision-making and assist Furniture Practice Ltd in identifying and responding to changes in the external environment to improve its competitive advantage and long-term sustainability.</w:t>
      </w:r>
    </w:p>
    <w:p w14:paraId="5624BC6F" w14:textId="38A7A011" w:rsidR="009F6769" w:rsidRPr="00D24809" w:rsidRDefault="00782842" w:rsidP="00D24809">
      <w:pPr>
        <w:pStyle w:val="ListParagraph"/>
        <w:numPr>
          <w:ilvl w:val="1"/>
          <w:numId w:val="30"/>
        </w:numPr>
        <w:spacing w:line="360" w:lineRule="auto"/>
        <w:jc w:val="both"/>
        <w:rPr>
          <w:rFonts w:ascii="Arial" w:hAnsi="Arial" w:cs="Arial"/>
          <w:b/>
          <w:bCs/>
          <w:color w:val="44546A" w:themeColor="text2"/>
          <w:kern w:val="0"/>
          <w14:ligatures w14:val="none"/>
        </w:rPr>
      </w:pPr>
      <w:bookmarkStart w:id="2" w:name="_Hlk132109325"/>
      <w:r w:rsidRPr="00D24809">
        <w:rPr>
          <w:rFonts w:ascii="Arial" w:hAnsi="Arial" w:cs="Arial"/>
          <w:b/>
          <w:bCs/>
          <w:color w:val="44546A" w:themeColor="text2"/>
          <w:kern w:val="0"/>
          <w14:ligatures w14:val="none"/>
        </w:rPr>
        <w:t>Application</w:t>
      </w:r>
      <w:r w:rsidR="00115686" w:rsidRPr="00D24809">
        <w:rPr>
          <w:rFonts w:ascii="Arial" w:hAnsi="Arial" w:cs="Arial"/>
          <w:b/>
          <w:bCs/>
          <w:color w:val="44546A" w:themeColor="text2"/>
          <w:kern w:val="0"/>
          <w14:ligatures w14:val="none"/>
        </w:rPr>
        <w:t xml:space="preserve"> of </w:t>
      </w:r>
      <w:r w:rsidR="009F6769" w:rsidRPr="00D24809">
        <w:rPr>
          <w:rFonts w:ascii="Arial" w:hAnsi="Arial" w:cs="Arial"/>
          <w:b/>
          <w:bCs/>
          <w:color w:val="44546A" w:themeColor="text2"/>
          <w:kern w:val="0"/>
          <w14:ligatures w14:val="none"/>
        </w:rPr>
        <w:t xml:space="preserve">Mandelow stakeholder Matrix </w:t>
      </w:r>
    </w:p>
    <w:p w14:paraId="19F83853" w14:textId="3447199D"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Mandelow's stakeholder matrix is a tool for identifying and ranking stakeholders based on their level of power and interest. The matrix has four quadrants: high performance, high interest; high performance, low interest; low performance, high interest; and quiet performance, common good.</w:t>
      </w:r>
    </w:p>
    <w:p w14:paraId="62959AA6" w14:textId="5E16CF5F"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lastRenderedPageBreak/>
        <w:t>For Furniture Practice, high-powered, high-interest stakeholders include significant customers, suppliers, and investors. The Company works closely with these stakeholders to manage their expectations and meet their needs.</w:t>
      </w:r>
    </w:p>
    <w:p w14:paraId="5176BA05" w14:textId="09D0DCE1"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High-power, low-stakes stakeholders, such as regulators or government agencies, impact a company's operations but do not directly affect its success. The Company must continuously inform these stakeholders about its activities.</w:t>
      </w:r>
    </w:p>
    <w:p w14:paraId="765BCC1E" w14:textId="36519A70"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Low-power, high-interest stakeholders, such as community members or interest groups, may be affected by the Company's operations but do not have significant influence. The Company engages with stakeholders to appropriately understand and address their concerns and perspectives. </w:t>
      </w:r>
    </w:p>
    <w:p w14:paraId="5312AAEA" w14:textId="6A7907EF"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Low-power, low-interest stakeholders, such as the </w:t>
      </w:r>
      <w:r w:rsidR="00C20BB0" w:rsidRPr="008970B0">
        <w:rPr>
          <w:rFonts w:ascii="Arial" w:hAnsi="Arial" w:cs="Arial"/>
          <w:color w:val="44546A" w:themeColor="text2"/>
          <w:kern w:val="0"/>
          <w14:ligatures w14:val="none"/>
        </w:rPr>
        <w:t>public</w:t>
      </w:r>
      <w:r w:rsidRPr="008970B0">
        <w:rPr>
          <w:rFonts w:ascii="Arial" w:hAnsi="Arial" w:cs="Arial"/>
          <w:color w:val="44546A" w:themeColor="text2"/>
          <w:kern w:val="0"/>
          <w14:ligatures w14:val="none"/>
        </w:rPr>
        <w:t xml:space="preserve"> or unrelated businesses, have little influence and interest in the Company's activities.</w:t>
      </w:r>
    </w:p>
    <w:p w14:paraId="6E91FCFA" w14:textId="0C675C67"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According to the website, the Company's other vital stakeholders are employees, shareholders, competitors, industry associations, and NGOs. By identifying and prioritizing these stakeholders, the Company has built strong relationships.</w:t>
      </w:r>
    </w:p>
    <w:p w14:paraId="2C28C5EA" w14:textId="032203AB"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Mandelow's Stakeholder Matrix allows companies to focus their engagement efforts and build strong relationships with their stakeholders. Companies must regularly review and update their stakeholder matrix to reflect stakeholder interests and power changes.</w:t>
      </w:r>
    </w:p>
    <w:bookmarkEnd w:id="2"/>
    <w:p w14:paraId="3B3307C4" w14:textId="45A9F50C" w:rsidR="00615F35" w:rsidRPr="00D11F1A" w:rsidRDefault="00115686" w:rsidP="00D24809">
      <w:pPr>
        <w:pStyle w:val="ListParagraph"/>
        <w:numPr>
          <w:ilvl w:val="1"/>
          <w:numId w:val="30"/>
        </w:numPr>
        <w:spacing w:line="360" w:lineRule="auto"/>
        <w:jc w:val="both"/>
        <w:rPr>
          <w:rFonts w:ascii="Arial" w:hAnsi="Arial" w:cs="Arial"/>
          <w:b/>
          <w:bCs/>
          <w:color w:val="44546A" w:themeColor="text2"/>
          <w:kern w:val="0"/>
          <w14:ligatures w14:val="none"/>
        </w:rPr>
      </w:pPr>
      <w:r w:rsidRPr="00D11F1A">
        <w:rPr>
          <w:rFonts w:ascii="Arial" w:hAnsi="Arial" w:cs="Arial"/>
          <w:b/>
          <w:bCs/>
          <w:color w:val="44546A" w:themeColor="text2"/>
          <w:kern w:val="0"/>
          <w14:ligatures w14:val="none"/>
        </w:rPr>
        <w:t xml:space="preserve">Application of </w:t>
      </w:r>
      <w:r w:rsidR="00615F35" w:rsidRPr="00D11F1A">
        <w:rPr>
          <w:rFonts w:ascii="Arial" w:hAnsi="Arial" w:cs="Arial"/>
          <w:b/>
          <w:bCs/>
          <w:color w:val="44546A" w:themeColor="text2"/>
          <w:kern w:val="0"/>
          <w14:ligatures w14:val="none"/>
        </w:rPr>
        <w:t>PESTEL</w:t>
      </w:r>
      <w:r w:rsidRPr="00D11F1A">
        <w:rPr>
          <w:rFonts w:ascii="Arial" w:hAnsi="Arial" w:cs="Arial"/>
          <w:b/>
          <w:bCs/>
          <w:color w:val="44546A" w:themeColor="text2"/>
          <w:kern w:val="0"/>
          <w14:ligatures w14:val="none"/>
        </w:rPr>
        <w:t xml:space="preserve"> analysis </w:t>
      </w:r>
    </w:p>
    <w:p w14:paraId="26CD65CA" w14:textId="4E53F2A4"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PESTEL analysis is a framework that helps organizations understand the external factors that influence their operations and strategy. For example, political factors such as government regulations and policies can affect a furniture company's profitability, while consumer preferences and lifestyle changes can affect the types of furniture in demand. Technological advances can help companies improve their products and customer experiences. In contrast, legal factors such as product liability laws and compliance with </w:t>
      </w:r>
      <w:r w:rsidR="00C20BB0" w:rsidRPr="008970B0">
        <w:rPr>
          <w:rFonts w:ascii="Arial" w:hAnsi="Arial" w:cs="Arial"/>
          <w:color w:val="44546A" w:themeColor="text2"/>
          <w:kern w:val="0"/>
          <w14:ligatures w14:val="none"/>
        </w:rPr>
        <w:t>labour</w:t>
      </w:r>
      <w:r w:rsidRPr="008970B0">
        <w:rPr>
          <w:rFonts w:ascii="Arial" w:hAnsi="Arial" w:cs="Arial"/>
          <w:color w:val="44546A" w:themeColor="text2"/>
          <w:kern w:val="0"/>
          <w14:ligatures w14:val="none"/>
        </w:rPr>
        <w:t xml:space="preserve"> laws can affect a company's operations and reputation. Environmental factors such as climate change and deforestation can affect the availability and cost of raw materials and increase consumer demand for sustainable products. Regularly updating the PESTEL analysis can help organizations manage risks and exploit opportunities.</w:t>
      </w:r>
    </w:p>
    <w:p w14:paraId="059064C2" w14:textId="77777777" w:rsidR="004D5266" w:rsidRPr="008970B0" w:rsidRDefault="004D5266" w:rsidP="007C4348">
      <w:pPr>
        <w:spacing w:line="360" w:lineRule="auto"/>
        <w:jc w:val="both"/>
        <w:rPr>
          <w:rFonts w:ascii="Arial" w:hAnsi="Arial" w:cs="Arial"/>
          <w:color w:val="44546A" w:themeColor="text2"/>
          <w:kern w:val="0"/>
          <w14:ligatures w14:val="none"/>
        </w:rPr>
      </w:pPr>
    </w:p>
    <w:p w14:paraId="463CBE60" w14:textId="738538B6" w:rsidR="00563973" w:rsidRPr="00D11F1A" w:rsidRDefault="009F6769" w:rsidP="00D24809">
      <w:pPr>
        <w:pStyle w:val="ListParagraph"/>
        <w:numPr>
          <w:ilvl w:val="0"/>
          <w:numId w:val="30"/>
        </w:numPr>
        <w:spacing w:line="360" w:lineRule="auto"/>
        <w:jc w:val="both"/>
        <w:rPr>
          <w:rFonts w:ascii="Arial" w:hAnsi="Arial" w:cs="Arial"/>
          <w:b/>
          <w:bCs/>
          <w:color w:val="44546A" w:themeColor="text2"/>
        </w:rPr>
      </w:pPr>
      <w:r w:rsidRPr="00D11F1A">
        <w:rPr>
          <w:rFonts w:ascii="Arial" w:hAnsi="Arial" w:cs="Arial"/>
          <w:b/>
          <w:bCs/>
          <w:color w:val="44546A" w:themeColor="text2"/>
        </w:rPr>
        <w:lastRenderedPageBreak/>
        <w:t xml:space="preserve">Industry Analysis </w:t>
      </w:r>
    </w:p>
    <w:p w14:paraId="58DD88AA" w14:textId="2F4C9B51" w:rsidR="00115686" w:rsidRPr="008970B0" w:rsidRDefault="00115686" w:rsidP="00115686">
      <w:pPr>
        <w:spacing w:line="360" w:lineRule="auto"/>
        <w:jc w:val="both"/>
        <w:rPr>
          <w:rFonts w:ascii="Arial" w:hAnsi="Arial" w:cs="Arial"/>
          <w:color w:val="44546A" w:themeColor="text2"/>
        </w:rPr>
      </w:pPr>
      <w:r w:rsidRPr="008970B0">
        <w:rPr>
          <w:rFonts w:ascii="Arial" w:hAnsi="Arial" w:cs="Arial"/>
          <w:color w:val="44546A" w:themeColor="text2"/>
        </w:rPr>
        <w:t xml:space="preserve">Industry analysis is crucial because it provides a comprehensive picture of the business's environment. That can include current and future trends, competitors, customers, suppliers, the regulatory environment, and other factors affecting the business's success. We can identify opportunities and threats </w:t>
      </w:r>
      <w:r w:rsidR="00AC4A06">
        <w:rPr>
          <w:rFonts w:ascii="Arial" w:hAnsi="Arial" w:cs="Arial"/>
          <w:color w:val="44546A" w:themeColor="text2"/>
        </w:rPr>
        <w:t>affecting</w:t>
      </w:r>
      <w:r w:rsidRPr="008970B0">
        <w:rPr>
          <w:rFonts w:ascii="Arial" w:hAnsi="Arial" w:cs="Arial"/>
          <w:color w:val="44546A" w:themeColor="text2"/>
        </w:rPr>
        <w:t xml:space="preserve"> their operations by conducting industry analyses. It enables them to make informed decisions about their strategies, such as product development, pricing, marketing, and expansion plans. In addition, industry analysis can help us understand the strengths and weaknesses of our competitors. Aware of market gaps, they can develop innovative products or services that satisfy unmet customer needs. Industry analysis is essential for businesses to stay </w:t>
      </w:r>
      <w:r w:rsidR="00AC4A06">
        <w:rPr>
          <w:rFonts w:ascii="Arial" w:hAnsi="Arial" w:cs="Arial"/>
          <w:color w:val="44546A" w:themeColor="text2"/>
        </w:rPr>
        <w:t>current</w:t>
      </w:r>
      <w:r w:rsidRPr="008970B0">
        <w:rPr>
          <w:rFonts w:ascii="Arial" w:hAnsi="Arial" w:cs="Arial"/>
          <w:color w:val="44546A" w:themeColor="text2"/>
        </w:rPr>
        <w:t xml:space="preserve"> on the latest developments and trends in their respective industries. It helps them make informed decisions that drive growth, increase </w:t>
      </w:r>
      <w:r w:rsidR="005B1921" w:rsidRPr="008970B0">
        <w:rPr>
          <w:rFonts w:ascii="Arial" w:hAnsi="Arial" w:cs="Arial"/>
          <w:color w:val="44546A" w:themeColor="text2"/>
        </w:rPr>
        <w:t>profitability,</w:t>
      </w:r>
      <w:r w:rsidRPr="008970B0">
        <w:rPr>
          <w:rFonts w:ascii="Arial" w:hAnsi="Arial" w:cs="Arial"/>
          <w:color w:val="44546A" w:themeColor="text2"/>
        </w:rPr>
        <w:t xml:space="preserve"> and maintain their competitiveness over the long term.</w:t>
      </w:r>
    </w:p>
    <w:p w14:paraId="1AA232BD" w14:textId="4EE20029" w:rsidR="009F6769" w:rsidRPr="00D11F1A" w:rsidRDefault="00115686" w:rsidP="00D11F1A">
      <w:pPr>
        <w:pStyle w:val="ListParagraph"/>
        <w:numPr>
          <w:ilvl w:val="1"/>
          <w:numId w:val="29"/>
        </w:numPr>
        <w:spacing w:line="360" w:lineRule="auto"/>
        <w:jc w:val="both"/>
        <w:rPr>
          <w:rFonts w:ascii="Arial" w:hAnsi="Arial" w:cs="Arial"/>
          <w:b/>
          <w:bCs/>
          <w:color w:val="44546A" w:themeColor="text2"/>
        </w:rPr>
      </w:pPr>
      <w:r w:rsidRPr="00D11F1A">
        <w:rPr>
          <w:rFonts w:ascii="Arial" w:hAnsi="Arial" w:cs="Arial"/>
          <w:b/>
          <w:bCs/>
          <w:color w:val="44546A" w:themeColor="text2"/>
        </w:rPr>
        <w:t xml:space="preserve">Application of </w:t>
      </w:r>
      <w:r w:rsidR="009F6769" w:rsidRPr="00D11F1A">
        <w:rPr>
          <w:rFonts w:ascii="Arial" w:hAnsi="Arial" w:cs="Arial"/>
          <w:b/>
          <w:bCs/>
          <w:color w:val="44546A" w:themeColor="text2"/>
        </w:rPr>
        <w:t>Porter</w:t>
      </w:r>
      <w:r w:rsidR="00563973" w:rsidRPr="00D11F1A">
        <w:rPr>
          <w:rFonts w:ascii="Arial" w:hAnsi="Arial" w:cs="Arial"/>
          <w:b/>
          <w:bCs/>
          <w:color w:val="44546A" w:themeColor="text2"/>
        </w:rPr>
        <w:t>'</w:t>
      </w:r>
      <w:r w:rsidR="009F6769" w:rsidRPr="00D11F1A">
        <w:rPr>
          <w:rFonts w:ascii="Arial" w:hAnsi="Arial" w:cs="Arial"/>
          <w:b/>
          <w:bCs/>
          <w:color w:val="44546A" w:themeColor="text2"/>
        </w:rPr>
        <w:t xml:space="preserve">s Five </w:t>
      </w:r>
      <w:r w:rsidR="00563973" w:rsidRPr="00D11F1A">
        <w:rPr>
          <w:rFonts w:ascii="Arial" w:hAnsi="Arial" w:cs="Arial"/>
          <w:b/>
          <w:bCs/>
          <w:color w:val="44546A" w:themeColor="text2"/>
        </w:rPr>
        <w:t>F</w:t>
      </w:r>
      <w:r w:rsidR="009F6769" w:rsidRPr="00D11F1A">
        <w:rPr>
          <w:rFonts w:ascii="Arial" w:hAnsi="Arial" w:cs="Arial"/>
          <w:b/>
          <w:bCs/>
          <w:color w:val="44546A" w:themeColor="text2"/>
        </w:rPr>
        <w:t>orces</w:t>
      </w:r>
      <w:r w:rsidR="00A8302E" w:rsidRPr="00D11F1A">
        <w:rPr>
          <w:rFonts w:ascii="Arial" w:hAnsi="Arial" w:cs="Arial"/>
          <w:b/>
          <w:bCs/>
          <w:color w:val="44546A" w:themeColor="text2"/>
        </w:rPr>
        <w:t xml:space="preserve"> </w:t>
      </w:r>
    </w:p>
    <w:p w14:paraId="7F9173D8" w14:textId="529364C1" w:rsidR="007C4348" w:rsidRPr="008970B0" w:rsidRDefault="007C4348" w:rsidP="007C4348">
      <w:pPr>
        <w:spacing w:line="360" w:lineRule="auto"/>
        <w:jc w:val="both"/>
        <w:rPr>
          <w:rFonts w:ascii="Arial" w:hAnsi="Arial" w:cs="Arial"/>
          <w:color w:val="44546A" w:themeColor="text2"/>
        </w:rPr>
      </w:pPr>
      <w:r w:rsidRPr="008970B0">
        <w:rPr>
          <w:rFonts w:ascii="Arial" w:hAnsi="Arial" w:cs="Arial"/>
          <w:color w:val="44546A" w:themeColor="text2"/>
        </w:rPr>
        <w:t>Porter's Five Forces is a framework for assessing industry competitiveness. Applied to the UK furniture industry, the threat of new entrants is moderate due to low barriers to entry but high capital requirements and access to suppliers and distribution networks. Suppliers' bargaining power is reasonable, but buyers' bargaining power is high due to the great competition. The threat of substitutes and competition is high, which requires differentiation through quality, unique design, and superior customer service.</w:t>
      </w:r>
    </w:p>
    <w:p w14:paraId="10DDB025" w14:textId="6FCC6B3B" w:rsidR="007C4348" w:rsidRPr="008970B0" w:rsidRDefault="007C4348" w:rsidP="007C4348">
      <w:pPr>
        <w:spacing w:line="360" w:lineRule="auto"/>
        <w:jc w:val="both"/>
        <w:rPr>
          <w:rFonts w:ascii="Arial" w:hAnsi="Arial" w:cs="Arial"/>
          <w:color w:val="44546A" w:themeColor="text2"/>
        </w:rPr>
      </w:pPr>
      <w:r w:rsidRPr="008970B0">
        <w:rPr>
          <w:rFonts w:ascii="Arial" w:hAnsi="Arial" w:cs="Arial"/>
          <w:color w:val="44546A" w:themeColor="text2"/>
        </w:rPr>
        <w:t>Furniture Practice Ltd uses rare or unique materials, limited edition collections, or an exceptional customer experience to create a competitive advantage. Reducing costs, focusing on the core business, and improving operational efficiency during the economic crisis increased profits. He maintains constant innovation to stay ahead of the competition. He has achieved untapped competitive advantages by streamlining operations, implementing new technologies, building a solid brand, providing exceptional customer service, and creating a unique selling proposition.</w:t>
      </w:r>
    </w:p>
    <w:p w14:paraId="23BBE401" w14:textId="4FCBA55B" w:rsidR="007C4348" w:rsidRPr="008970B0" w:rsidRDefault="007C4348" w:rsidP="007C4348">
      <w:pPr>
        <w:spacing w:line="360" w:lineRule="auto"/>
        <w:jc w:val="both"/>
        <w:rPr>
          <w:rFonts w:ascii="Arial" w:hAnsi="Arial" w:cs="Arial"/>
          <w:color w:val="44546A" w:themeColor="text2"/>
        </w:rPr>
      </w:pPr>
      <w:r w:rsidRPr="008970B0">
        <w:rPr>
          <w:rFonts w:ascii="Arial" w:hAnsi="Arial" w:cs="Arial"/>
          <w:color w:val="44546A" w:themeColor="text2"/>
        </w:rPr>
        <w:t>The furniture industry is highly competitive, characterized by intense rivalry, a high threat of substitutes, bargaining power of suppliers and customers, and the threat of new entrants. A company must remain innovative and differentiate itself to succeed.</w:t>
      </w:r>
    </w:p>
    <w:p w14:paraId="0B7A9164" w14:textId="7E50A0EE" w:rsidR="00615F35" w:rsidRPr="00D11F1A" w:rsidRDefault="00615F35" w:rsidP="00D11F1A">
      <w:pPr>
        <w:pStyle w:val="ListParagraph"/>
        <w:numPr>
          <w:ilvl w:val="0"/>
          <w:numId w:val="29"/>
        </w:numPr>
        <w:spacing w:line="360" w:lineRule="auto"/>
        <w:jc w:val="both"/>
        <w:rPr>
          <w:rFonts w:ascii="Arial" w:hAnsi="Arial" w:cs="Arial"/>
          <w:b/>
          <w:bCs/>
          <w:color w:val="44546A" w:themeColor="text2"/>
          <w:kern w:val="0"/>
          <w14:ligatures w14:val="none"/>
        </w:rPr>
      </w:pPr>
      <w:bookmarkStart w:id="3" w:name="_Hlk132108980"/>
      <w:r w:rsidRPr="00D11F1A">
        <w:rPr>
          <w:rFonts w:ascii="Arial" w:hAnsi="Arial" w:cs="Arial"/>
          <w:b/>
          <w:bCs/>
          <w:color w:val="44546A" w:themeColor="text2"/>
          <w:kern w:val="0"/>
          <w14:ligatures w14:val="none"/>
        </w:rPr>
        <w:t xml:space="preserve">Strategic analysis </w:t>
      </w:r>
    </w:p>
    <w:bookmarkEnd w:id="3"/>
    <w:p w14:paraId="0C4ED4F4" w14:textId="09FC6465"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According to Barley and Hersley (2018), strategy and strategy management use different analytical tools. The first step of strategic management is the formation of strategic intent. Based </w:t>
      </w:r>
      <w:r w:rsidRPr="008970B0">
        <w:rPr>
          <w:rFonts w:ascii="Arial" w:hAnsi="Arial" w:cs="Arial"/>
          <w:color w:val="44546A" w:themeColor="text2"/>
          <w:kern w:val="0"/>
          <w14:ligatures w14:val="none"/>
        </w:rPr>
        <w:lastRenderedPageBreak/>
        <w:t>on these, the organization's long-term strategic goals are determined. The image of the Company can be described briefly: according to Fotr, Vacík, Souček, Špaček &amp; Hájek (2012), this is the description of the time-limited form into which the Company intends to transform itself by the end of the planned period. The vision is an attractive representation of the Company in the distant future. We provide an innovative and efficient delivery service wherever you are. With an industry-leading operational team of the most innovative and experienced project managers, meticulous active support, and local installation experts. The Company's strategic directors evaluate the Company's performance based on some financial and non-financial performance indicators. Non-financial measures are not considered critical, but the board regularly reviews management reports and compares actual results and trends to financial targets, budgets, and other non-financial targets. However, according to Johnson and Garry (2016), strategy formulation and implementation are often organized as projects or work groups. The same study records the importance of the strategic plan and the Company's mission and goals, which are meant to express this.</w:t>
      </w:r>
    </w:p>
    <w:p w14:paraId="474C4B1D" w14:textId="7D37E8C7"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The group believes it is strategically well-positioned to navigate the short- and medium-term economic challenges associated with COVID-19 and capitalize on the opportunities arising from its robust business model and management team in 2023.</w:t>
      </w:r>
    </w:p>
    <w:p w14:paraId="54EA7365" w14:textId="662CFA5F"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In the case of Furniture Practice Ltd., the competitive advantage has superior economic value compared to rival companies. Because economic values consistently offer the best price through our long-term relationships with suppliers. The other biggest real asset is the team and their immense knowledge and market insight to make this happen, whatever the challenge. Offering affordable furniture can be a significant value proposition for customers looking for good deals. Providing furniture customization options can add value to customers looking for unique, personalized pieces. Many consumers are looking for environmentally friendly furniture. Offering furniture made from sustainable materials or sustainable manufacturing processes can add value to these customers. Simple and convenient ways to buy and receive furniture are a significant value proposition for customers looking for a hassle-free experience. Providing unique and aesthetic furniture designs is a value proposition for customers. The strategic analysis involves examining the organization's internal and external environment to identify its strengths, weaknesses, opportunities, and threats, and finally (SWOT analysis) to develop strategies that take advantage of the organization's strengths and opportunities and mitigate its weaknesses and threats.</w:t>
      </w:r>
    </w:p>
    <w:p w14:paraId="5446F1BF" w14:textId="128B4CC9" w:rsidR="00615F35"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lastRenderedPageBreak/>
        <w:t xml:space="preserve">Strategic management involves </w:t>
      </w:r>
      <w:r w:rsidR="00C20BB0" w:rsidRPr="008970B0">
        <w:rPr>
          <w:rFonts w:ascii="Arial" w:hAnsi="Arial" w:cs="Arial"/>
          <w:color w:val="44546A" w:themeColor="text2"/>
          <w:kern w:val="0"/>
          <w14:ligatures w14:val="none"/>
        </w:rPr>
        <w:t>analysing</w:t>
      </w:r>
      <w:r w:rsidRPr="008970B0">
        <w:rPr>
          <w:rFonts w:ascii="Arial" w:hAnsi="Arial" w:cs="Arial"/>
          <w:color w:val="44546A" w:themeColor="text2"/>
          <w:kern w:val="0"/>
          <w14:ligatures w14:val="none"/>
        </w:rPr>
        <w:t xml:space="preserve"> internal and external factors to determine an organization's strengths, weaknesses, opportunities, and threats. A SWOT analysis is a commonly used tool to identify these factors. By understanding these factors, an organization can develop a strategic plan that leverages its strengths and opportunities and mitigates its weaknesses and threats. A strategic plan should align the organization's internal capabilities with the external environment and define priorities and actions to achieve its long-term goals and objectives. In addition, it is essential to regularly assess the organization's performance against the strategic plan and </w:t>
      </w:r>
      <w:r w:rsidR="00C20BB0" w:rsidRPr="008970B0">
        <w:rPr>
          <w:rFonts w:ascii="Arial" w:hAnsi="Arial" w:cs="Arial"/>
          <w:color w:val="44546A" w:themeColor="text2"/>
          <w:kern w:val="0"/>
          <w14:ligatures w14:val="none"/>
        </w:rPr>
        <w:t>adjust</w:t>
      </w:r>
      <w:r w:rsidRPr="008970B0">
        <w:rPr>
          <w:rFonts w:ascii="Arial" w:hAnsi="Arial" w:cs="Arial"/>
          <w:color w:val="44546A" w:themeColor="text2"/>
          <w:kern w:val="0"/>
          <w14:ligatures w14:val="none"/>
        </w:rPr>
        <w:t xml:space="preserve"> as necessary.</w:t>
      </w:r>
    </w:p>
    <w:p w14:paraId="27E8CA70" w14:textId="622ACDA7" w:rsidR="00615F35" w:rsidRPr="00D11F1A" w:rsidRDefault="00115686" w:rsidP="005B1921">
      <w:pPr>
        <w:pStyle w:val="ListParagraph"/>
        <w:numPr>
          <w:ilvl w:val="1"/>
          <w:numId w:val="27"/>
        </w:numPr>
        <w:spacing w:line="360" w:lineRule="auto"/>
        <w:jc w:val="both"/>
        <w:rPr>
          <w:rFonts w:ascii="Arial" w:hAnsi="Arial" w:cs="Arial"/>
          <w:b/>
          <w:bCs/>
          <w:color w:val="44546A" w:themeColor="text2"/>
          <w:kern w:val="0"/>
          <w14:ligatures w14:val="none"/>
        </w:rPr>
      </w:pPr>
      <w:r w:rsidRPr="00D11F1A">
        <w:rPr>
          <w:rFonts w:ascii="Arial" w:hAnsi="Arial" w:cs="Arial"/>
          <w:b/>
          <w:bCs/>
          <w:color w:val="44546A" w:themeColor="text2"/>
          <w:kern w:val="0"/>
          <w14:ligatures w14:val="none"/>
        </w:rPr>
        <w:t xml:space="preserve">Application of </w:t>
      </w:r>
      <w:r w:rsidR="00615F35" w:rsidRPr="00D11F1A">
        <w:rPr>
          <w:rFonts w:ascii="Arial" w:hAnsi="Arial" w:cs="Arial"/>
          <w:b/>
          <w:bCs/>
          <w:color w:val="44546A" w:themeColor="text2"/>
          <w:kern w:val="0"/>
          <w14:ligatures w14:val="none"/>
        </w:rPr>
        <w:t xml:space="preserve">SWOT analysis </w:t>
      </w:r>
    </w:p>
    <w:p w14:paraId="0A37EF42" w14:textId="743E24A7" w:rsidR="00615F35" w:rsidRPr="008970B0" w:rsidRDefault="00615F35" w:rsidP="001951DE">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A SWOT analysis is a strategic tool to evaluate a business or organization's internal strengths and weaknesses and external opportunities and threats. SWOT analysis cannot be attributed to anyone as it has been used and adapted by various scholars and practitioners. However, the earliest mentions of SWOT analysis can be traced back to the work of Albert Humphrey, who was a management consultant and professor at the Stanford Research Institute in the 1960s and 1970s. Humphrey is credited with developing the "SWOT analysis" concept to evaluate corporate planning and decision-making. Since then, SWOT analysis has become a versatile strategic management and marketing tool.</w:t>
      </w:r>
    </w:p>
    <w:tbl>
      <w:tblPr>
        <w:tblStyle w:val="TableGrid"/>
        <w:tblW w:w="0" w:type="auto"/>
        <w:tblLook w:val="04A0" w:firstRow="1" w:lastRow="0" w:firstColumn="1" w:lastColumn="0" w:noHBand="0" w:noVBand="1"/>
      </w:tblPr>
      <w:tblGrid>
        <w:gridCol w:w="4667"/>
        <w:gridCol w:w="4667"/>
      </w:tblGrid>
      <w:tr w:rsidR="008970B0" w:rsidRPr="008970B0" w14:paraId="166A40FA" w14:textId="77777777" w:rsidTr="007C4348">
        <w:trPr>
          <w:trHeight w:val="133"/>
        </w:trPr>
        <w:tc>
          <w:tcPr>
            <w:tcW w:w="4667" w:type="dxa"/>
          </w:tcPr>
          <w:p w14:paraId="1EE270C0" w14:textId="77777777" w:rsidR="00615F35" w:rsidRPr="008970B0" w:rsidRDefault="00615F35" w:rsidP="001951DE">
            <w:pPr>
              <w:spacing w:line="360" w:lineRule="auto"/>
              <w:jc w:val="both"/>
              <w:rPr>
                <w:rFonts w:ascii="Arial" w:hAnsi="Arial" w:cs="Arial"/>
                <w:color w:val="44546A" w:themeColor="text2"/>
              </w:rPr>
            </w:pPr>
            <w:r w:rsidRPr="008970B0">
              <w:rPr>
                <w:rFonts w:ascii="Arial" w:hAnsi="Arial" w:cs="Arial"/>
                <w:color w:val="44546A" w:themeColor="text2"/>
              </w:rPr>
              <w:t>Strengths: The Company produces quality furniture products that meet the needs and preferences of the target market. The Company has a strong brand reputation in the local community and a loyal customer base. The Company has a skilled and experienced workforce that can produce unique and unique furniture products. The Company's solid organizational culture promotes creativity, innovation, and customer focus. The Company's use of sustainable and environmentally friendly materials can appeal to environmentally conscious customers.</w:t>
            </w:r>
          </w:p>
        </w:tc>
        <w:tc>
          <w:tcPr>
            <w:tcW w:w="4667" w:type="dxa"/>
          </w:tcPr>
          <w:p w14:paraId="700C2AF2" w14:textId="77777777" w:rsidR="00615F35" w:rsidRPr="008970B0" w:rsidRDefault="00615F35" w:rsidP="001951DE">
            <w:pPr>
              <w:spacing w:line="360" w:lineRule="auto"/>
              <w:jc w:val="both"/>
              <w:rPr>
                <w:rFonts w:ascii="Arial" w:hAnsi="Arial" w:cs="Arial"/>
                <w:color w:val="44546A" w:themeColor="text2"/>
              </w:rPr>
            </w:pPr>
            <w:r w:rsidRPr="008970B0">
              <w:rPr>
                <w:rFonts w:ascii="Arial" w:hAnsi="Arial" w:cs="Arial"/>
                <w:color w:val="44546A" w:themeColor="text2"/>
              </w:rPr>
              <w:t>Weaknesses:  The Company is small and may lack the financial resources and economies of scale of larger competitors. A company's focus on customization and unique design may limit its ability to produce standardized products at a lower cost. A company's limited marketing and distribution channels may limit its ability to reach a wider audience.</w:t>
            </w:r>
          </w:p>
          <w:p w14:paraId="1DD884C5" w14:textId="77777777" w:rsidR="00615F35" w:rsidRPr="008970B0" w:rsidRDefault="00615F35" w:rsidP="001951DE">
            <w:pPr>
              <w:spacing w:line="360" w:lineRule="auto"/>
              <w:jc w:val="both"/>
              <w:rPr>
                <w:rFonts w:ascii="Arial" w:hAnsi="Arial" w:cs="Arial"/>
                <w:color w:val="44546A" w:themeColor="text2"/>
              </w:rPr>
            </w:pPr>
          </w:p>
        </w:tc>
      </w:tr>
      <w:tr w:rsidR="008970B0" w:rsidRPr="008970B0" w14:paraId="3977414D" w14:textId="77777777" w:rsidTr="007C4348">
        <w:trPr>
          <w:trHeight w:val="4220"/>
        </w:trPr>
        <w:tc>
          <w:tcPr>
            <w:tcW w:w="4667" w:type="dxa"/>
          </w:tcPr>
          <w:p w14:paraId="054B6E45" w14:textId="77777777" w:rsidR="00615F35" w:rsidRPr="008970B0" w:rsidRDefault="00615F35" w:rsidP="001951DE">
            <w:pPr>
              <w:spacing w:line="360" w:lineRule="auto"/>
              <w:jc w:val="both"/>
              <w:rPr>
                <w:rFonts w:ascii="Arial" w:hAnsi="Arial" w:cs="Arial"/>
                <w:color w:val="44546A" w:themeColor="text2"/>
              </w:rPr>
            </w:pPr>
            <w:r w:rsidRPr="008970B0">
              <w:rPr>
                <w:rFonts w:ascii="Arial" w:hAnsi="Arial" w:cs="Arial"/>
                <w:color w:val="44546A" w:themeColor="text2"/>
              </w:rPr>
              <w:lastRenderedPageBreak/>
              <w:t>Threats: Economic downturns or recessions can decrease consumer spending on non-essential items such as furniture, negatively affecting the Company's sales. Competition from more prominent or established furniture companies can limit the Company's market share and profitability. Government regulations and policies related to the furniture industry, such as safety regulations, tariffs, and taxes, can affect a company's operations and profitability.</w:t>
            </w:r>
          </w:p>
          <w:p w14:paraId="39D2106D" w14:textId="77777777" w:rsidR="00615F35" w:rsidRPr="008970B0" w:rsidRDefault="00615F35" w:rsidP="001951DE">
            <w:pPr>
              <w:spacing w:line="360" w:lineRule="auto"/>
              <w:jc w:val="both"/>
              <w:rPr>
                <w:rFonts w:ascii="Arial" w:hAnsi="Arial" w:cs="Arial"/>
                <w:color w:val="44546A" w:themeColor="text2"/>
              </w:rPr>
            </w:pPr>
          </w:p>
        </w:tc>
        <w:tc>
          <w:tcPr>
            <w:tcW w:w="4667" w:type="dxa"/>
          </w:tcPr>
          <w:p w14:paraId="4ACD0AC0" w14:textId="77777777" w:rsidR="00615F35" w:rsidRPr="008970B0" w:rsidRDefault="00615F35" w:rsidP="001951DE">
            <w:pPr>
              <w:spacing w:line="360" w:lineRule="auto"/>
              <w:jc w:val="both"/>
              <w:rPr>
                <w:rFonts w:ascii="Arial" w:hAnsi="Arial" w:cs="Arial"/>
                <w:color w:val="44546A" w:themeColor="text2"/>
              </w:rPr>
            </w:pPr>
            <w:r w:rsidRPr="008970B0">
              <w:rPr>
                <w:rFonts w:ascii="Arial" w:hAnsi="Arial" w:cs="Arial"/>
                <w:color w:val="44546A" w:themeColor="text2"/>
              </w:rPr>
              <w:t>Opportunities: The growing trend towards environmental friendliness and sustainability in consumer goods can create an opportunity for the Company to differentiate itself from the competition. The technological development of furniture design, production, and marketing allows the Company to improve its products, processes, and customer experience. The Company may explore partnerships or collaborations with complementary businesses to expand its offerings or reach new markets.</w:t>
            </w:r>
          </w:p>
          <w:p w14:paraId="372249D5" w14:textId="77777777" w:rsidR="00615F35" w:rsidRPr="008970B0" w:rsidRDefault="00615F35" w:rsidP="001951DE">
            <w:pPr>
              <w:spacing w:line="360" w:lineRule="auto"/>
              <w:jc w:val="both"/>
              <w:rPr>
                <w:rFonts w:ascii="Arial" w:hAnsi="Arial" w:cs="Arial"/>
                <w:color w:val="44546A" w:themeColor="text2"/>
              </w:rPr>
            </w:pPr>
          </w:p>
        </w:tc>
      </w:tr>
    </w:tbl>
    <w:p w14:paraId="6420EE41" w14:textId="400146E0" w:rsidR="00A8302E" w:rsidRPr="00D11F1A" w:rsidRDefault="00A8302E" w:rsidP="005B1921">
      <w:pPr>
        <w:pStyle w:val="ListParagraph"/>
        <w:numPr>
          <w:ilvl w:val="1"/>
          <w:numId w:val="27"/>
        </w:numPr>
        <w:spacing w:line="360" w:lineRule="auto"/>
        <w:jc w:val="both"/>
        <w:rPr>
          <w:rFonts w:ascii="Arial" w:hAnsi="Arial" w:cs="Arial"/>
          <w:b/>
          <w:bCs/>
          <w:color w:val="44546A" w:themeColor="text2"/>
          <w:kern w:val="0"/>
          <w14:ligatures w14:val="none"/>
        </w:rPr>
      </w:pPr>
      <w:r w:rsidRPr="00D11F1A">
        <w:rPr>
          <w:rFonts w:ascii="Arial" w:hAnsi="Arial" w:cs="Arial"/>
          <w:b/>
          <w:bCs/>
          <w:color w:val="44546A" w:themeColor="text2"/>
          <w:kern w:val="0"/>
          <w14:ligatures w14:val="none"/>
        </w:rPr>
        <w:t xml:space="preserve">The SFA framework can be applied to sustainability. </w:t>
      </w:r>
    </w:p>
    <w:p w14:paraId="7C4E6C33" w14:textId="6799CCF2"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Sales Force Automation (SFA) refers to sales management software applications. SFA provides automated workflows that create a streamlined sales process for managing business leads, sales forecasts, and team performance. SFA can also be called Salesforce Management. </w:t>
      </w:r>
    </w:p>
    <w:p w14:paraId="55228CF0" w14:textId="2F737B50"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Based on the SWOT analysis, the following SFA frameworks can be applied to Furniture Practice Ltd. Taking advantage of the Company's strengths by providing personalized services and high-quality products, establishing new relationships, and continuing close contact with existing ones can be fruitful. Fostering a solid organizational culture that encourages creativity and innovation can lead to the developing of unique and differentiated products. Investing in employee training and development programs to keep the workforce skilled and experienced.</w:t>
      </w:r>
    </w:p>
    <w:p w14:paraId="6F1AE28F" w14:textId="28EF4347"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Cost-saving measures such as optimizing production processes and sourcing materials from cost-effective suppliers without compromising product quality are recommended. Partnerships with suppliers</w:t>
      </w:r>
      <w:r w:rsidR="00782842" w:rsidRPr="008970B0">
        <w:rPr>
          <w:rFonts w:ascii="Arial" w:hAnsi="Arial" w:cs="Arial"/>
          <w:color w:val="44546A" w:themeColor="text2"/>
          <w:kern w:val="0"/>
          <w14:ligatures w14:val="none"/>
        </w:rPr>
        <w:t>, distributors,</w:t>
      </w:r>
      <w:r w:rsidRPr="008970B0">
        <w:rPr>
          <w:rFonts w:ascii="Arial" w:hAnsi="Arial" w:cs="Arial"/>
          <w:color w:val="44546A" w:themeColor="text2"/>
          <w:kern w:val="0"/>
          <w14:ligatures w14:val="none"/>
        </w:rPr>
        <w:t xml:space="preserve"> and sales channels could be expanded to reach a wider audience. They leverage technology to streamline processes and reduce costs while the Company focuses on customization and unique design.</w:t>
      </w:r>
    </w:p>
    <w:p w14:paraId="48A4A41C" w14:textId="37A560BB"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The most obvious opportunities for the Company are the development and promotion of environmentally friendly and sustainable furniture products to attract environmentally conscious customers—even 3D printing to create prototypes and customize designs quickly and efficiently. </w:t>
      </w:r>
      <w:r w:rsidR="00115686" w:rsidRPr="008970B0">
        <w:rPr>
          <w:rFonts w:ascii="Arial" w:hAnsi="Arial" w:cs="Arial"/>
          <w:color w:val="44546A" w:themeColor="text2"/>
          <w:kern w:val="0"/>
          <w14:ligatures w14:val="none"/>
        </w:rPr>
        <w:t>To</w:t>
      </w:r>
      <w:r w:rsidRPr="008970B0">
        <w:rPr>
          <w:rFonts w:ascii="Arial" w:hAnsi="Arial" w:cs="Arial"/>
          <w:color w:val="44546A" w:themeColor="text2"/>
          <w:kern w:val="0"/>
          <w14:ligatures w14:val="none"/>
        </w:rPr>
        <w:t xml:space="preserve"> expand the product range and reach new markets, the Company can partner with </w:t>
      </w:r>
      <w:r w:rsidRPr="008970B0">
        <w:rPr>
          <w:rFonts w:ascii="Arial" w:hAnsi="Arial" w:cs="Arial"/>
          <w:color w:val="44546A" w:themeColor="text2"/>
          <w:kern w:val="0"/>
          <w14:ligatures w14:val="none"/>
        </w:rPr>
        <w:lastRenderedPageBreak/>
        <w:t>complementary businesses, such as interior designers or home furnishing stores. To counter these threats, the Company can diversify its product portfolio to offer various furniture products, including lower-priced products, to mitigate the impact of economic downturns or recessions. Monitor and comply with changing government regulations and policies related to the furniture industry, such as safety regulations and tariffs, with avoiding operational disruptions. Continually innovate and differentiate your products to stand out from larger and established competitors in the furniture market.</w:t>
      </w:r>
    </w:p>
    <w:p w14:paraId="6F38955E" w14:textId="3A87B3CE"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The SFA (Sustainability-Focused SWOT Analysis) framework can be applied to external or internal sustainability analyses. The framework can be used to </w:t>
      </w:r>
      <w:r w:rsidR="00C20BB0" w:rsidRPr="008970B0">
        <w:rPr>
          <w:rFonts w:ascii="Arial" w:hAnsi="Arial" w:cs="Arial"/>
          <w:color w:val="44546A" w:themeColor="text2"/>
          <w:kern w:val="0"/>
          <w14:ligatures w14:val="none"/>
        </w:rPr>
        <w:t>analyse</w:t>
      </w:r>
      <w:r w:rsidRPr="008970B0">
        <w:rPr>
          <w:rFonts w:ascii="Arial" w:hAnsi="Arial" w:cs="Arial"/>
          <w:color w:val="44546A" w:themeColor="text2"/>
          <w:kern w:val="0"/>
          <w14:ligatures w14:val="none"/>
        </w:rPr>
        <w:t xml:space="preserve"> the inner strengths and weaknesses of the organization's sustainability practice, as well as the external opportunities and threats that the organization faces in the field of sustainability.</w:t>
      </w:r>
    </w:p>
    <w:p w14:paraId="68C73720" w14:textId="25A9BCF0" w:rsidR="007C4348"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The internal analysis aspect of the SFA framework helps organizations assess their internal capabilities, resources, and sustainability practices in pursuit of their sustainability goals. It </w:t>
      </w:r>
      <w:r w:rsidR="00C20BB0" w:rsidRPr="008970B0">
        <w:rPr>
          <w:rFonts w:ascii="Arial" w:hAnsi="Arial" w:cs="Arial"/>
          <w:color w:val="44546A" w:themeColor="text2"/>
          <w:kern w:val="0"/>
          <w14:ligatures w14:val="none"/>
        </w:rPr>
        <w:t>analyses</w:t>
      </w:r>
      <w:r w:rsidRPr="008970B0">
        <w:rPr>
          <w:rFonts w:ascii="Arial" w:hAnsi="Arial" w:cs="Arial"/>
          <w:color w:val="44546A" w:themeColor="text2"/>
          <w:kern w:val="0"/>
          <w14:ligatures w14:val="none"/>
        </w:rPr>
        <w:t xml:space="preserve"> the organization's sustainability strategy, management systems, resource efficiency, product design, and other internal factors.</w:t>
      </w:r>
    </w:p>
    <w:p w14:paraId="6FFE57C8" w14:textId="11C88416" w:rsidR="00615F35" w:rsidRPr="008970B0" w:rsidRDefault="007C4348" w:rsidP="007C4348">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The external analysis aspect of the SFA framework helps organizations assess external factors affecting their sustainability performance, such as changing customer preferences, market trends, regulatory frameworks, and other external factors related to sustainability. The SFA framework provides a comprehensive approach to </w:t>
      </w:r>
      <w:r w:rsidR="00C20BB0" w:rsidRPr="008970B0">
        <w:rPr>
          <w:rFonts w:ascii="Arial" w:hAnsi="Arial" w:cs="Arial"/>
          <w:color w:val="44546A" w:themeColor="text2"/>
          <w:kern w:val="0"/>
          <w14:ligatures w14:val="none"/>
        </w:rPr>
        <w:t>analysing</w:t>
      </w:r>
      <w:r w:rsidRPr="008970B0">
        <w:rPr>
          <w:rFonts w:ascii="Arial" w:hAnsi="Arial" w:cs="Arial"/>
          <w:color w:val="44546A" w:themeColor="text2"/>
          <w:kern w:val="0"/>
          <w14:ligatures w14:val="none"/>
        </w:rPr>
        <w:t xml:space="preserve"> sustainability-related issues affecting the organization from an internal and external perspective, which can assist in developing effective sustainability strategies and initiatives.</w:t>
      </w:r>
    </w:p>
    <w:p w14:paraId="5166940E" w14:textId="04F51CE5" w:rsidR="009F6769" w:rsidRPr="00D11F1A" w:rsidRDefault="009F6769" w:rsidP="005B1921">
      <w:pPr>
        <w:pStyle w:val="ListParagraph"/>
        <w:numPr>
          <w:ilvl w:val="1"/>
          <w:numId w:val="27"/>
        </w:numPr>
        <w:spacing w:line="360" w:lineRule="auto"/>
        <w:jc w:val="both"/>
        <w:rPr>
          <w:rFonts w:ascii="Arial" w:hAnsi="Arial" w:cs="Arial"/>
          <w:b/>
          <w:bCs/>
          <w:color w:val="44546A" w:themeColor="text2"/>
        </w:rPr>
      </w:pPr>
      <w:r w:rsidRPr="00D11F1A">
        <w:rPr>
          <w:rFonts w:ascii="Arial" w:hAnsi="Arial" w:cs="Arial"/>
          <w:b/>
          <w:bCs/>
          <w:color w:val="44546A" w:themeColor="text2"/>
          <w:kern w:val="0"/>
          <w14:ligatures w14:val="none"/>
        </w:rPr>
        <w:t>Strategies options</w:t>
      </w:r>
      <w:r w:rsidR="00115686" w:rsidRPr="00D11F1A">
        <w:rPr>
          <w:rFonts w:ascii="Arial" w:hAnsi="Arial" w:cs="Arial"/>
          <w:b/>
          <w:bCs/>
          <w:color w:val="44546A" w:themeColor="text2"/>
          <w:kern w:val="0"/>
          <w14:ligatures w14:val="none"/>
        </w:rPr>
        <w:t xml:space="preserve"> for future </w:t>
      </w:r>
    </w:p>
    <w:p w14:paraId="22264F5E" w14:textId="1AC7B658" w:rsidR="007C4348" w:rsidRPr="008970B0" w:rsidRDefault="007C4348" w:rsidP="007C4348">
      <w:pPr>
        <w:spacing w:line="360" w:lineRule="auto"/>
        <w:jc w:val="both"/>
        <w:rPr>
          <w:rFonts w:ascii="Arial" w:hAnsi="Arial" w:cs="Arial"/>
          <w:color w:val="44546A" w:themeColor="text2"/>
        </w:rPr>
      </w:pPr>
      <w:r w:rsidRPr="008970B0">
        <w:rPr>
          <w:rFonts w:ascii="Arial" w:hAnsi="Arial" w:cs="Arial"/>
          <w:color w:val="44546A" w:themeColor="text2"/>
        </w:rPr>
        <w:t xml:space="preserve">Considering the critical factors identified for the success of Furniture Practice </w:t>
      </w:r>
      <w:r w:rsidR="00C20BB0" w:rsidRPr="008970B0">
        <w:rPr>
          <w:rFonts w:ascii="Arial" w:hAnsi="Arial" w:cs="Arial"/>
          <w:color w:val="44546A" w:themeColor="text2"/>
        </w:rPr>
        <w:t>Ltd</w:t>
      </w:r>
      <w:r w:rsidRPr="008970B0">
        <w:rPr>
          <w:rFonts w:ascii="Arial" w:hAnsi="Arial" w:cs="Arial"/>
          <w:color w:val="44546A" w:themeColor="text2"/>
        </w:rPr>
        <w:t xml:space="preserve">., there are possible strategies in which the Company can believe in the future. The Furniture Practice </w:t>
      </w:r>
      <w:r w:rsidR="00C20BB0" w:rsidRPr="008970B0">
        <w:rPr>
          <w:rFonts w:ascii="Arial" w:hAnsi="Arial" w:cs="Arial"/>
          <w:color w:val="44546A" w:themeColor="text2"/>
        </w:rPr>
        <w:t>Ltd.</w:t>
      </w:r>
      <w:r w:rsidRPr="008970B0">
        <w:rPr>
          <w:rFonts w:ascii="Arial" w:hAnsi="Arial" w:cs="Arial"/>
          <w:color w:val="44546A" w:themeColor="text2"/>
        </w:rPr>
        <w:t xml:space="preserve"> can use environmentally friendly materials like bamboo, recycled plastic, or recycled wood. They can also use energy-efficient practices in their manufacturing processes and reduce waste through recycling and composting programs. Furniture Practice Ltd can highlight its commitment to sustainability through branding and marketing activities to market this strategy. They can also offer customers educational resources about sustainable practices and encourage green behavior through promotions and incentives.</w:t>
      </w:r>
    </w:p>
    <w:p w14:paraId="44A1DBA6" w14:textId="5F6B7DBB" w:rsidR="007C4348" w:rsidRPr="008970B0" w:rsidRDefault="007C4348" w:rsidP="007C4348">
      <w:pPr>
        <w:spacing w:line="360" w:lineRule="auto"/>
        <w:jc w:val="both"/>
        <w:rPr>
          <w:rFonts w:ascii="Arial" w:hAnsi="Arial" w:cs="Arial"/>
          <w:color w:val="44546A" w:themeColor="text2"/>
        </w:rPr>
      </w:pPr>
      <w:r w:rsidRPr="008970B0">
        <w:rPr>
          <w:rFonts w:ascii="Arial" w:hAnsi="Arial" w:cs="Arial"/>
          <w:color w:val="44546A" w:themeColor="text2"/>
        </w:rPr>
        <w:lastRenderedPageBreak/>
        <w:t xml:space="preserve">By implementing the Sustainability Strategy, Furniture Practice </w:t>
      </w:r>
      <w:r w:rsidR="00C20BB0" w:rsidRPr="008970B0">
        <w:rPr>
          <w:rFonts w:ascii="Arial" w:hAnsi="Arial" w:cs="Arial"/>
          <w:color w:val="44546A" w:themeColor="text2"/>
        </w:rPr>
        <w:t>Ltd</w:t>
      </w:r>
      <w:r w:rsidRPr="008970B0">
        <w:rPr>
          <w:rFonts w:ascii="Arial" w:hAnsi="Arial" w:cs="Arial"/>
          <w:color w:val="44546A" w:themeColor="text2"/>
        </w:rPr>
        <w:t>. would distinguish itself from its competitors and address the growing number of environmentally conscious consumers. This strategy would benefit the Company and contribute to a more sustainable future for our planet.</w:t>
      </w:r>
    </w:p>
    <w:p w14:paraId="3461431E" w14:textId="72E95881" w:rsidR="009F6769" w:rsidRPr="00D11F1A" w:rsidRDefault="009F6769" w:rsidP="005B1921">
      <w:pPr>
        <w:pStyle w:val="ListParagraph"/>
        <w:numPr>
          <w:ilvl w:val="0"/>
          <w:numId w:val="27"/>
        </w:numPr>
        <w:spacing w:line="360" w:lineRule="auto"/>
        <w:jc w:val="both"/>
        <w:rPr>
          <w:rFonts w:ascii="Arial" w:hAnsi="Arial" w:cs="Arial"/>
          <w:b/>
          <w:bCs/>
          <w:color w:val="44546A" w:themeColor="text2"/>
        </w:rPr>
      </w:pPr>
      <w:r w:rsidRPr="00D11F1A">
        <w:rPr>
          <w:rFonts w:ascii="Arial" w:hAnsi="Arial" w:cs="Arial"/>
          <w:b/>
          <w:bCs/>
          <w:color w:val="44546A" w:themeColor="text2"/>
        </w:rPr>
        <w:t xml:space="preserve">Conclusion </w:t>
      </w:r>
    </w:p>
    <w:p w14:paraId="7C3FB614" w14:textId="1DD18441" w:rsidR="00615F35" w:rsidRPr="008970B0" w:rsidRDefault="009F6769" w:rsidP="001951DE">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rPr>
        <w:t xml:space="preserve">Furniture Practice </w:t>
      </w:r>
      <w:r w:rsidR="007C4348" w:rsidRPr="008970B0">
        <w:rPr>
          <w:rFonts w:ascii="Arial" w:hAnsi="Arial" w:cs="Arial"/>
          <w:color w:val="44546A" w:themeColor="text2"/>
        </w:rPr>
        <w:t>Ltd</w:t>
      </w:r>
      <w:r w:rsidRPr="008970B0">
        <w:rPr>
          <w:rFonts w:ascii="Arial" w:hAnsi="Arial" w:cs="Arial"/>
          <w:color w:val="44546A" w:themeColor="text2"/>
        </w:rPr>
        <w:t>. is a well-established company with a stable financial base, a highly qualified workforce, and an excellent marketing strategy. However, the Company's success depends on the general economic environment, and the furniture industry faces intense competition from local and international players. Furniture Practice Ltd should consider expanding its product range and exploring new markets to remain competitive.</w:t>
      </w:r>
      <w:r w:rsidR="00615F35" w:rsidRPr="008970B0">
        <w:rPr>
          <w:rFonts w:ascii="Arial" w:hAnsi="Arial" w:cs="Arial"/>
          <w:color w:val="44546A" w:themeColor="text2"/>
          <w:kern w:val="0"/>
          <w14:ligatures w14:val="none"/>
        </w:rPr>
        <w:t xml:space="preserve"> In times of economic crisis, businesses must be adaptable and flexible to survive and thrive. Here are some possible plans for a small furniture company to consider. A robust online presence is essential since many people avoid personal shopping during the epidemic. Consider investing in an e-commerce platform to reach a wider audience. Many customers may hesitate to make a large purchase during an economic downturn. Offering financing options can help ease their financial worries and make your products more affordable. Consider partnering with other companies, such as interior designers, home builders, or real estate agents, to expand your customer base. As many businesses struggle during the economic downturn, excellent customer service will help your Company stand out. Be sure to answer customer questions, communicate clearly about shipping times and availability, and do everything possible to make the buying process as easy as possible. Every business is different; what works for one Company may not work for another. It is essential to assess strengths and weaknesses, as well as the needs of your target market. Many different theories and frameworks can be used to implement a successful business strategy, depending on the specific needs and goals of the Company. Here are some examples. Some of the critical factors that Furniture Practice Ltd Company can consider </w:t>
      </w:r>
      <w:r w:rsidR="00782842" w:rsidRPr="008970B0">
        <w:rPr>
          <w:rFonts w:ascii="Arial" w:hAnsi="Arial" w:cs="Arial"/>
          <w:color w:val="44546A" w:themeColor="text2"/>
          <w:kern w:val="0"/>
          <w14:ligatures w14:val="none"/>
        </w:rPr>
        <w:t xml:space="preserve">are </w:t>
      </w:r>
      <w:r w:rsidR="00C20BB0" w:rsidRPr="008970B0">
        <w:rPr>
          <w:rFonts w:ascii="Arial" w:hAnsi="Arial" w:cs="Arial"/>
          <w:color w:val="44546A" w:themeColor="text2"/>
          <w:kern w:val="0"/>
          <w14:ligatures w14:val="none"/>
        </w:rPr>
        <w:t>enhancing</w:t>
      </w:r>
      <w:r w:rsidR="00615F35" w:rsidRPr="008970B0">
        <w:rPr>
          <w:rFonts w:ascii="Arial" w:hAnsi="Arial" w:cs="Arial"/>
          <w:color w:val="44546A" w:themeColor="text2"/>
          <w:kern w:val="0"/>
          <w14:ligatures w14:val="none"/>
        </w:rPr>
        <w:t xml:space="preserve"> its performance and growth</w:t>
      </w:r>
      <w:r w:rsidR="00782842" w:rsidRPr="008970B0">
        <w:rPr>
          <w:rFonts w:ascii="Arial" w:hAnsi="Arial" w:cs="Arial"/>
          <w:color w:val="44546A" w:themeColor="text2"/>
          <w:kern w:val="0"/>
          <w14:ligatures w14:val="none"/>
        </w:rPr>
        <w:t>—t</w:t>
      </w:r>
      <w:r w:rsidR="00615F35" w:rsidRPr="008970B0">
        <w:rPr>
          <w:rFonts w:ascii="Arial" w:hAnsi="Arial" w:cs="Arial"/>
          <w:color w:val="44546A" w:themeColor="text2"/>
          <w:kern w:val="0"/>
          <w14:ligatures w14:val="none"/>
        </w:rPr>
        <w:t>he high standard to meet customer needs and expectations. The use of quality raw materials, skilled construction, and adherence to standards can help a lot in ensuring product quality.</w:t>
      </w:r>
    </w:p>
    <w:p w14:paraId="33391DC5" w14:textId="183AD90A" w:rsidR="00615F35" w:rsidRPr="008970B0" w:rsidRDefault="00615F35" w:rsidP="001951DE">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A well-executed marketing and branding strategy can help Furniture Practice Ltd to build its brand and increase awareness among potential customers. It was achieved through various channels, including social media, print and digital advertising, PR, and events. Excellent customer service helps Furniture Practice Ltd. to retain its customers and increase its reputation in the market. </w:t>
      </w:r>
      <w:r w:rsidR="001951DE" w:rsidRPr="008970B0">
        <w:rPr>
          <w:rFonts w:ascii="Arial" w:hAnsi="Arial" w:cs="Arial"/>
          <w:color w:val="44546A" w:themeColor="text2"/>
          <w:kern w:val="0"/>
          <w14:ligatures w14:val="none"/>
        </w:rPr>
        <w:t>It was a</w:t>
      </w:r>
      <w:r w:rsidRPr="008970B0">
        <w:rPr>
          <w:rFonts w:ascii="Arial" w:hAnsi="Arial" w:cs="Arial"/>
          <w:color w:val="44546A" w:themeColor="text2"/>
          <w:kern w:val="0"/>
          <w14:ligatures w14:val="none"/>
        </w:rPr>
        <w:t xml:space="preserve">chieved by responding to customer inquiries, delivering on time, and promptly dealing with complaints or concerns. The strategic analysis and the financial reports indicate that Furniture </w:t>
      </w:r>
      <w:r w:rsidRPr="008970B0">
        <w:rPr>
          <w:rFonts w:ascii="Arial" w:hAnsi="Arial" w:cs="Arial"/>
          <w:color w:val="44546A" w:themeColor="text2"/>
          <w:kern w:val="0"/>
          <w14:ligatures w14:val="none"/>
        </w:rPr>
        <w:lastRenderedPageBreak/>
        <w:t>Practice Ltd was a very successful undertaking because it held its own in critical times and is still performing well. Differentiation from competitors is very significant in the market; therefore, it is worthwhile for customers to choose them. Investing in long-term customer relations and expanding the market beyond the current three needs (London, New York, Manchester) would increase the Company's customers and income from a demographic and geographic point of view.</w:t>
      </w:r>
    </w:p>
    <w:p w14:paraId="3137D5D3" w14:textId="5C282063" w:rsidR="00615F35" w:rsidRPr="008970B0" w:rsidRDefault="00615F35" w:rsidP="001951DE">
      <w:pPr>
        <w:spacing w:line="360" w:lineRule="auto"/>
        <w:jc w:val="both"/>
        <w:rPr>
          <w:rFonts w:ascii="Arial" w:hAnsi="Arial" w:cs="Arial"/>
          <w:color w:val="44546A" w:themeColor="text2"/>
          <w:kern w:val="0"/>
          <w14:ligatures w14:val="none"/>
        </w:rPr>
      </w:pPr>
      <w:r w:rsidRPr="008970B0">
        <w:rPr>
          <w:rFonts w:ascii="Arial" w:hAnsi="Arial" w:cs="Arial"/>
          <w:color w:val="44546A" w:themeColor="text2"/>
          <w:kern w:val="0"/>
          <w14:ligatures w14:val="none"/>
        </w:rPr>
        <w:t xml:space="preserve">Furthermore, the attraction and retention of talented employees and the development of development opportunities, as well as the further development of a positive corporate culture, can </w:t>
      </w:r>
      <w:r w:rsidR="00C20BB0" w:rsidRPr="008970B0">
        <w:rPr>
          <w:rFonts w:ascii="Arial" w:hAnsi="Arial" w:cs="Arial"/>
          <w:color w:val="44546A" w:themeColor="text2"/>
          <w:kern w:val="0"/>
          <w14:ligatures w14:val="none"/>
        </w:rPr>
        <w:t>open</w:t>
      </w:r>
      <w:r w:rsidRPr="008970B0">
        <w:rPr>
          <w:rFonts w:ascii="Arial" w:hAnsi="Arial" w:cs="Arial"/>
          <w:color w:val="44546A" w:themeColor="text2"/>
          <w:kern w:val="0"/>
          <w14:ligatures w14:val="none"/>
        </w:rPr>
        <w:t xml:space="preserve"> new dimensions for the Company. With constant innovation, it can continuously meet changing customer needs by staying ahead of industry trends and introducing new technologies. For the Company to take advantage of its strengths, it is advisable to establish new partnerships with other companies or organizations. Furniture Practice Ltd. has good financial decisions, effective cash flow management, and investment strategy. The Company is poised to grow with a combination of plans to expand from mid-sized to large enterprises.</w:t>
      </w:r>
    </w:p>
    <w:p w14:paraId="4612CF87" w14:textId="77777777" w:rsidR="00615F35" w:rsidRPr="008970B0" w:rsidRDefault="00615F35" w:rsidP="001951DE">
      <w:pPr>
        <w:spacing w:line="360" w:lineRule="auto"/>
        <w:jc w:val="both"/>
        <w:rPr>
          <w:rFonts w:ascii="Arial" w:hAnsi="Arial" w:cs="Arial"/>
          <w:color w:val="44546A" w:themeColor="text2"/>
          <w:kern w:val="0"/>
          <w14:ligatures w14:val="none"/>
        </w:rPr>
      </w:pPr>
    </w:p>
    <w:p w14:paraId="7729B02D" w14:textId="3CF430EC" w:rsidR="00223642" w:rsidRPr="008970B0" w:rsidRDefault="00223642" w:rsidP="001951DE">
      <w:pPr>
        <w:spacing w:line="360" w:lineRule="auto"/>
        <w:jc w:val="both"/>
        <w:rPr>
          <w:rFonts w:ascii="Arial" w:hAnsi="Arial" w:cs="Arial"/>
          <w:color w:val="44546A" w:themeColor="text2"/>
        </w:rPr>
      </w:pPr>
    </w:p>
    <w:p w14:paraId="7F05B38F" w14:textId="18C66F63" w:rsidR="00E57419" w:rsidRPr="008970B0" w:rsidRDefault="00E57419" w:rsidP="001951DE">
      <w:pPr>
        <w:spacing w:line="360" w:lineRule="auto"/>
        <w:jc w:val="both"/>
        <w:rPr>
          <w:rFonts w:ascii="Arial" w:hAnsi="Arial" w:cs="Arial"/>
          <w:color w:val="44546A" w:themeColor="text2"/>
        </w:rPr>
      </w:pPr>
    </w:p>
    <w:p w14:paraId="0FABD4F3" w14:textId="4E1539A8" w:rsidR="00E57419" w:rsidRPr="008970B0" w:rsidRDefault="00E57419" w:rsidP="001951DE">
      <w:pPr>
        <w:spacing w:line="360" w:lineRule="auto"/>
        <w:jc w:val="both"/>
        <w:rPr>
          <w:rFonts w:ascii="Arial" w:hAnsi="Arial" w:cs="Arial"/>
          <w:color w:val="44546A" w:themeColor="text2"/>
        </w:rPr>
      </w:pPr>
    </w:p>
    <w:p w14:paraId="1F51B188" w14:textId="1C147D88" w:rsidR="00E57419" w:rsidRPr="008970B0" w:rsidRDefault="00E57419" w:rsidP="001951DE">
      <w:pPr>
        <w:spacing w:line="360" w:lineRule="auto"/>
        <w:jc w:val="both"/>
        <w:rPr>
          <w:rFonts w:ascii="Arial" w:hAnsi="Arial" w:cs="Arial"/>
          <w:color w:val="44546A" w:themeColor="text2"/>
        </w:rPr>
      </w:pPr>
    </w:p>
    <w:p w14:paraId="59209D0D" w14:textId="5335E2F9" w:rsidR="00E57419" w:rsidRPr="008970B0" w:rsidRDefault="00E57419" w:rsidP="001951DE">
      <w:pPr>
        <w:spacing w:line="360" w:lineRule="auto"/>
        <w:jc w:val="both"/>
        <w:rPr>
          <w:rFonts w:ascii="Arial" w:hAnsi="Arial" w:cs="Arial"/>
          <w:color w:val="44546A" w:themeColor="text2"/>
        </w:rPr>
      </w:pPr>
    </w:p>
    <w:p w14:paraId="55514FD6" w14:textId="2B70955E" w:rsidR="00E57419" w:rsidRPr="008970B0" w:rsidRDefault="00E57419" w:rsidP="001951DE">
      <w:pPr>
        <w:spacing w:line="360" w:lineRule="auto"/>
        <w:jc w:val="both"/>
        <w:rPr>
          <w:rFonts w:ascii="Arial" w:hAnsi="Arial" w:cs="Arial"/>
          <w:color w:val="44546A" w:themeColor="text2"/>
        </w:rPr>
      </w:pPr>
    </w:p>
    <w:p w14:paraId="191EFBB6" w14:textId="54AB304F" w:rsidR="00E57419" w:rsidRPr="008970B0" w:rsidRDefault="00E57419" w:rsidP="001951DE">
      <w:pPr>
        <w:spacing w:line="360" w:lineRule="auto"/>
        <w:jc w:val="both"/>
        <w:rPr>
          <w:rFonts w:ascii="Arial" w:hAnsi="Arial" w:cs="Arial"/>
          <w:color w:val="44546A" w:themeColor="text2"/>
        </w:rPr>
      </w:pPr>
    </w:p>
    <w:p w14:paraId="42151516" w14:textId="4A622CFF" w:rsidR="00E57419" w:rsidRPr="008970B0" w:rsidRDefault="00E57419" w:rsidP="001951DE">
      <w:pPr>
        <w:spacing w:line="360" w:lineRule="auto"/>
        <w:jc w:val="both"/>
        <w:rPr>
          <w:rFonts w:ascii="Arial" w:hAnsi="Arial" w:cs="Arial"/>
          <w:color w:val="44546A" w:themeColor="text2"/>
        </w:rPr>
      </w:pPr>
    </w:p>
    <w:p w14:paraId="33650822" w14:textId="45F5BD7E" w:rsidR="00115686" w:rsidRPr="008970B0" w:rsidRDefault="00115686" w:rsidP="001951DE">
      <w:pPr>
        <w:spacing w:line="360" w:lineRule="auto"/>
        <w:jc w:val="both"/>
        <w:rPr>
          <w:rFonts w:ascii="Arial" w:hAnsi="Arial" w:cs="Arial"/>
          <w:color w:val="44546A" w:themeColor="text2"/>
        </w:rPr>
      </w:pPr>
    </w:p>
    <w:p w14:paraId="7F736D00" w14:textId="0A299E3A" w:rsidR="00115686" w:rsidRPr="008970B0" w:rsidRDefault="00115686" w:rsidP="001951DE">
      <w:pPr>
        <w:spacing w:line="360" w:lineRule="auto"/>
        <w:jc w:val="both"/>
        <w:rPr>
          <w:rFonts w:ascii="Arial" w:hAnsi="Arial" w:cs="Arial"/>
          <w:color w:val="44546A" w:themeColor="text2"/>
        </w:rPr>
      </w:pPr>
    </w:p>
    <w:p w14:paraId="79A7C90B" w14:textId="34D8B11E" w:rsidR="00115686" w:rsidRPr="008970B0" w:rsidRDefault="00115686" w:rsidP="001951DE">
      <w:pPr>
        <w:spacing w:line="360" w:lineRule="auto"/>
        <w:jc w:val="both"/>
        <w:rPr>
          <w:rFonts w:ascii="Arial" w:hAnsi="Arial" w:cs="Arial"/>
          <w:color w:val="44546A" w:themeColor="text2"/>
        </w:rPr>
      </w:pPr>
    </w:p>
    <w:p w14:paraId="780FAB21" w14:textId="0C250C06" w:rsidR="00115686" w:rsidRPr="008970B0" w:rsidRDefault="00115686" w:rsidP="001951DE">
      <w:pPr>
        <w:spacing w:line="360" w:lineRule="auto"/>
        <w:jc w:val="both"/>
        <w:rPr>
          <w:rFonts w:ascii="Arial" w:hAnsi="Arial" w:cs="Arial"/>
          <w:color w:val="44546A" w:themeColor="text2"/>
        </w:rPr>
      </w:pPr>
    </w:p>
    <w:p w14:paraId="7E4C818F" w14:textId="77777777" w:rsidR="00115686" w:rsidRPr="008970B0" w:rsidRDefault="00115686" w:rsidP="001951DE">
      <w:pPr>
        <w:spacing w:line="360" w:lineRule="auto"/>
        <w:jc w:val="both"/>
        <w:rPr>
          <w:rFonts w:ascii="Arial" w:hAnsi="Arial" w:cs="Arial"/>
          <w:color w:val="44546A" w:themeColor="text2"/>
        </w:rPr>
      </w:pPr>
    </w:p>
    <w:p w14:paraId="013E1AF0" w14:textId="4F3150BB" w:rsidR="00E57419" w:rsidRPr="00D11F1A" w:rsidRDefault="00E57419" w:rsidP="005B1921">
      <w:pPr>
        <w:pStyle w:val="ListParagraph"/>
        <w:widowControl w:val="0"/>
        <w:numPr>
          <w:ilvl w:val="0"/>
          <w:numId w:val="27"/>
        </w:numPr>
        <w:autoSpaceDE w:val="0"/>
        <w:autoSpaceDN w:val="0"/>
        <w:adjustRightInd w:val="0"/>
        <w:spacing w:after="240" w:line="360" w:lineRule="auto"/>
        <w:rPr>
          <w:rFonts w:ascii="Arial" w:eastAsiaTheme="minorEastAsia" w:hAnsi="Arial" w:cs="Arial"/>
          <w:b/>
          <w:bCs/>
          <w:color w:val="44546A" w:themeColor="text2"/>
          <w:kern w:val="0"/>
          <w:lang w:val="en-US"/>
          <w14:ligatures w14:val="none"/>
        </w:rPr>
      </w:pPr>
      <w:r w:rsidRPr="00D11F1A">
        <w:rPr>
          <w:rFonts w:ascii="Arial" w:eastAsiaTheme="minorEastAsia" w:hAnsi="Arial" w:cs="Arial"/>
          <w:b/>
          <w:bCs/>
          <w:color w:val="44546A" w:themeColor="text2"/>
          <w:kern w:val="0"/>
          <w:lang w:val="en-US"/>
          <w14:ligatures w14:val="none"/>
        </w:rPr>
        <w:lastRenderedPageBreak/>
        <w:t>Reference list</w:t>
      </w:r>
    </w:p>
    <w:p w14:paraId="469C1BEA"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Antošová, G. (2017). Strategic Planning in two Border Regions in the Czech Republic – Comparison of Project Impact in Zlín and South Bohemia Regions. </w:t>
      </w:r>
      <w:proofErr w:type="spellStart"/>
      <w:r w:rsidRPr="008970B0">
        <w:rPr>
          <w:rFonts w:ascii="Arial" w:eastAsiaTheme="minorEastAsia" w:hAnsi="Arial" w:cs="Arial"/>
          <w:i/>
          <w:iCs/>
          <w:color w:val="44546A" w:themeColor="text2"/>
          <w:kern w:val="0"/>
          <w:lang w:val="en-US"/>
          <w14:ligatures w14:val="none"/>
        </w:rPr>
        <w:t>Revista»Administratie</w:t>
      </w:r>
      <w:proofErr w:type="spellEnd"/>
      <w:r w:rsidRPr="008970B0">
        <w:rPr>
          <w:rFonts w:ascii="Arial" w:eastAsiaTheme="minorEastAsia" w:hAnsi="Arial" w:cs="Arial"/>
          <w:i/>
          <w:iCs/>
          <w:color w:val="44546A" w:themeColor="text2"/>
          <w:kern w:val="0"/>
          <w:lang w:val="en-US"/>
          <w14:ligatures w14:val="none"/>
        </w:rPr>
        <w:t xml:space="preserve"> </w:t>
      </w:r>
      <w:proofErr w:type="spellStart"/>
      <w:r w:rsidRPr="008970B0">
        <w:rPr>
          <w:rFonts w:ascii="Arial" w:eastAsiaTheme="minorEastAsia" w:hAnsi="Arial" w:cs="Arial"/>
          <w:i/>
          <w:iCs/>
          <w:color w:val="44546A" w:themeColor="text2"/>
          <w:kern w:val="0"/>
          <w:lang w:val="en-US"/>
          <w14:ligatures w14:val="none"/>
        </w:rPr>
        <w:t>si</w:t>
      </w:r>
      <w:proofErr w:type="spellEnd"/>
      <w:r w:rsidRPr="008970B0">
        <w:rPr>
          <w:rFonts w:ascii="Arial" w:eastAsiaTheme="minorEastAsia" w:hAnsi="Arial" w:cs="Arial"/>
          <w:i/>
          <w:iCs/>
          <w:color w:val="44546A" w:themeColor="text2"/>
          <w:kern w:val="0"/>
          <w:lang w:val="en-US"/>
          <w14:ligatures w14:val="none"/>
        </w:rPr>
        <w:t xml:space="preserve"> Management Public«(RAMP)</w:t>
      </w:r>
      <w:r w:rsidRPr="008970B0">
        <w:rPr>
          <w:rFonts w:ascii="Arial" w:eastAsiaTheme="minorEastAsia" w:hAnsi="Arial" w:cs="Arial"/>
          <w:color w:val="44546A" w:themeColor="text2"/>
          <w:kern w:val="0"/>
          <w:lang w:val="en-US"/>
          <w14:ligatures w14:val="none"/>
        </w:rPr>
        <w:t xml:space="preserve">, [online] 30(29), pp.128–140. Available at: </w:t>
      </w:r>
      <w:hyperlink r:id="rId8" w:history="1">
        <w:r w:rsidRPr="008970B0">
          <w:rPr>
            <w:rFonts w:ascii="Arial" w:eastAsiaTheme="minorEastAsia" w:hAnsi="Arial" w:cs="Arial"/>
            <w:color w:val="44546A" w:themeColor="text2"/>
            <w:kern w:val="0"/>
            <w:lang w:val="en-US"/>
            <w14:ligatures w14:val="none"/>
          </w:rPr>
          <w:t>https://www.ceeol.com/search/article-detail?id=728400</w:t>
        </w:r>
      </w:hyperlink>
      <w:r w:rsidRPr="008970B0">
        <w:rPr>
          <w:rFonts w:ascii="Arial" w:eastAsiaTheme="minorEastAsia" w:hAnsi="Arial" w:cs="Arial"/>
          <w:color w:val="44546A" w:themeColor="text2"/>
          <w:kern w:val="0"/>
          <w:lang w:val="en-US"/>
          <w14:ligatures w14:val="none"/>
        </w:rPr>
        <w:t xml:space="preserve"> [Accessed 23 Feb. 2023].</w:t>
      </w:r>
    </w:p>
    <w:p w14:paraId="6DE7B8B9" w14:textId="75B89A30"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Barney, J. and </w:t>
      </w:r>
      <w:proofErr w:type="spellStart"/>
      <w:r w:rsidRPr="008970B0">
        <w:rPr>
          <w:rFonts w:ascii="Arial" w:eastAsiaTheme="minorEastAsia" w:hAnsi="Arial" w:cs="Arial"/>
          <w:color w:val="44546A" w:themeColor="text2"/>
          <w:kern w:val="0"/>
          <w:lang w:val="en-US"/>
          <w14:ligatures w14:val="none"/>
        </w:rPr>
        <w:t>Hesterly</w:t>
      </w:r>
      <w:proofErr w:type="spellEnd"/>
      <w:r w:rsidRPr="008970B0">
        <w:rPr>
          <w:rFonts w:ascii="Arial" w:eastAsiaTheme="minorEastAsia" w:hAnsi="Arial" w:cs="Arial"/>
          <w:color w:val="44546A" w:themeColor="text2"/>
          <w:kern w:val="0"/>
          <w:lang w:val="en-US"/>
          <w14:ligatures w14:val="none"/>
        </w:rPr>
        <w:t xml:space="preserve">, W. (2018). </w:t>
      </w:r>
      <w:r w:rsidRPr="008970B0">
        <w:rPr>
          <w:rFonts w:ascii="Arial" w:eastAsiaTheme="minorEastAsia" w:hAnsi="Arial" w:cs="Arial"/>
          <w:i/>
          <w:iCs/>
          <w:color w:val="44546A" w:themeColor="text2"/>
          <w:kern w:val="0"/>
          <w:lang w:val="en-US"/>
          <w14:ligatures w14:val="none"/>
        </w:rPr>
        <w:t xml:space="preserve">Sign </w:t>
      </w:r>
      <w:r w:rsidR="00115686" w:rsidRPr="008970B0">
        <w:rPr>
          <w:rFonts w:ascii="Arial" w:eastAsiaTheme="minorEastAsia" w:hAnsi="Arial" w:cs="Arial"/>
          <w:i/>
          <w:iCs/>
          <w:color w:val="44546A" w:themeColor="text2"/>
          <w:kern w:val="0"/>
          <w:lang w:val="en-US"/>
          <w14:ligatures w14:val="none"/>
        </w:rPr>
        <w:t>into</w:t>
      </w:r>
      <w:r w:rsidRPr="008970B0">
        <w:rPr>
          <w:rFonts w:ascii="Arial" w:eastAsiaTheme="minorEastAsia" w:hAnsi="Arial" w:cs="Arial"/>
          <w:i/>
          <w:iCs/>
          <w:color w:val="44546A" w:themeColor="text2"/>
          <w:kern w:val="0"/>
          <w:lang w:val="en-US"/>
          <w14:ligatures w14:val="none"/>
        </w:rPr>
        <w:t xml:space="preserve"> your account</w:t>
      </w:r>
      <w:r w:rsidRPr="008970B0">
        <w:rPr>
          <w:rFonts w:ascii="Arial" w:eastAsiaTheme="minorEastAsia" w:hAnsi="Arial" w:cs="Arial"/>
          <w:color w:val="44546A" w:themeColor="text2"/>
          <w:kern w:val="0"/>
          <w:lang w:val="en-US"/>
          <w14:ligatures w14:val="none"/>
        </w:rPr>
        <w:t xml:space="preserve">. [online] login.microsoftonline.com. Available at: </w:t>
      </w:r>
      <w:hyperlink r:id="rId9" w:history="1">
        <w:r w:rsidRPr="008970B0">
          <w:rPr>
            <w:rFonts w:ascii="Arial" w:eastAsiaTheme="minorEastAsia" w:hAnsi="Arial" w:cs="Arial"/>
            <w:color w:val="44546A" w:themeColor="text2"/>
            <w:kern w:val="0"/>
            <w:lang w:val="en-US"/>
            <w14:ligatures w14:val="none"/>
          </w:rPr>
          <w:t>https://ebookcentral.proquest.com/lib/trinity/detail.action?docID=5573680&amp;pq-origsite=primo</w:t>
        </w:r>
      </w:hyperlink>
      <w:r w:rsidRPr="008970B0">
        <w:rPr>
          <w:rFonts w:ascii="Arial" w:eastAsiaTheme="minorEastAsia" w:hAnsi="Arial" w:cs="Arial"/>
          <w:color w:val="44546A" w:themeColor="text2"/>
          <w:kern w:val="0"/>
          <w:lang w:val="en-US"/>
          <w14:ligatures w14:val="none"/>
        </w:rPr>
        <w:t xml:space="preserve"> [Accessed 10 Apr. 2023].</w:t>
      </w:r>
    </w:p>
    <w:p w14:paraId="6DA678E8"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Cooper, R. and </w:t>
      </w:r>
      <w:proofErr w:type="spellStart"/>
      <w:r w:rsidRPr="008970B0">
        <w:rPr>
          <w:rFonts w:ascii="Arial" w:eastAsiaTheme="minorEastAsia" w:hAnsi="Arial" w:cs="Arial"/>
          <w:color w:val="44546A" w:themeColor="text2"/>
          <w:kern w:val="0"/>
          <w:lang w:val="en-US"/>
          <w14:ligatures w14:val="none"/>
        </w:rPr>
        <w:t>Slagmulder</w:t>
      </w:r>
      <w:proofErr w:type="spellEnd"/>
      <w:r w:rsidRPr="008970B0">
        <w:rPr>
          <w:rFonts w:ascii="Arial" w:eastAsiaTheme="minorEastAsia" w:hAnsi="Arial" w:cs="Arial"/>
          <w:color w:val="44546A" w:themeColor="text2"/>
          <w:kern w:val="0"/>
          <w:lang w:val="en-US"/>
          <w14:ligatures w14:val="none"/>
        </w:rPr>
        <w:t xml:space="preserve">, R. (1998). The scope of strategic cost management. </w:t>
      </w:r>
      <w:r w:rsidRPr="008970B0">
        <w:rPr>
          <w:rFonts w:ascii="Arial" w:eastAsiaTheme="minorEastAsia" w:hAnsi="Arial" w:cs="Arial"/>
          <w:i/>
          <w:iCs/>
          <w:color w:val="44546A" w:themeColor="text2"/>
          <w:kern w:val="0"/>
          <w:lang w:val="en-US"/>
          <w14:ligatures w14:val="none"/>
        </w:rPr>
        <w:t>Management Accounting (USA)</w:t>
      </w:r>
      <w:r w:rsidRPr="008970B0">
        <w:rPr>
          <w:rFonts w:ascii="Arial" w:eastAsiaTheme="minorEastAsia" w:hAnsi="Arial" w:cs="Arial"/>
          <w:color w:val="44546A" w:themeColor="text2"/>
          <w:kern w:val="0"/>
          <w:lang w:val="en-US"/>
          <w14:ligatures w14:val="none"/>
        </w:rPr>
        <w:t xml:space="preserve">, [online] 79(8), pp.16–18. Available at: </w:t>
      </w:r>
      <w:hyperlink r:id="rId10" w:history="1">
        <w:r w:rsidRPr="008970B0">
          <w:rPr>
            <w:rFonts w:ascii="Arial" w:eastAsiaTheme="minorEastAsia" w:hAnsi="Arial" w:cs="Arial"/>
            <w:color w:val="44546A" w:themeColor="text2"/>
            <w:kern w:val="0"/>
            <w:lang w:val="en-US"/>
            <w14:ligatures w14:val="none"/>
          </w:rPr>
          <w:t>https://go.gale.com/ps/i.do?id=GALE%7CA20509749&amp;sid=googleScholar&amp;v=2.1&amp;it=r&amp;linkaccess=abs&amp;issn=00251690&amp;p=AONE&amp;sw=w&amp;userGroupName=anon%7Ea2361819</w:t>
        </w:r>
      </w:hyperlink>
      <w:r w:rsidRPr="008970B0">
        <w:rPr>
          <w:rFonts w:ascii="Arial" w:eastAsiaTheme="minorEastAsia" w:hAnsi="Arial" w:cs="Arial"/>
          <w:color w:val="44546A" w:themeColor="text2"/>
          <w:kern w:val="0"/>
          <w:lang w:val="en-US"/>
          <w14:ligatures w14:val="none"/>
        </w:rPr>
        <w:t xml:space="preserve"> [Accessed 11 Apr. 2023].</w:t>
      </w:r>
    </w:p>
    <w:p w14:paraId="2679451C"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Department for International Trade (2020). </w:t>
      </w:r>
      <w:r w:rsidRPr="008970B0">
        <w:rPr>
          <w:rFonts w:ascii="Arial" w:eastAsiaTheme="minorEastAsia" w:hAnsi="Arial" w:cs="Arial"/>
          <w:i/>
          <w:iCs/>
          <w:color w:val="44546A" w:themeColor="text2"/>
          <w:kern w:val="0"/>
          <w:lang w:val="en-US"/>
          <w14:ligatures w14:val="none"/>
        </w:rPr>
        <w:t>Small and medium-sized enterprises action plan</w:t>
      </w:r>
      <w:r w:rsidRPr="008970B0">
        <w:rPr>
          <w:rFonts w:ascii="Arial" w:eastAsiaTheme="minorEastAsia" w:hAnsi="Arial" w:cs="Arial"/>
          <w:color w:val="44546A" w:themeColor="text2"/>
          <w:kern w:val="0"/>
          <w:lang w:val="en-US"/>
          <w14:ligatures w14:val="none"/>
        </w:rPr>
        <w:t xml:space="preserve">. [online] Available at: </w:t>
      </w:r>
      <w:hyperlink r:id="rId11" w:history="1">
        <w:r w:rsidRPr="008970B0">
          <w:rPr>
            <w:rFonts w:ascii="Arial" w:eastAsiaTheme="minorEastAsia" w:hAnsi="Arial" w:cs="Arial"/>
            <w:color w:val="44546A" w:themeColor="text2"/>
            <w:kern w:val="0"/>
            <w:lang w:val="en-US"/>
            <w14:ligatures w14:val="none"/>
          </w:rPr>
          <w:t>https://assets.publishing.service.gov.uk/government/uploads/system/uploads/attachment_data/file/961722/SME-Action-Plan.pdf</w:t>
        </w:r>
      </w:hyperlink>
      <w:r w:rsidRPr="008970B0">
        <w:rPr>
          <w:rFonts w:ascii="Arial" w:eastAsiaTheme="minorEastAsia" w:hAnsi="Arial" w:cs="Arial"/>
          <w:color w:val="44546A" w:themeColor="text2"/>
          <w:kern w:val="0"/>
          <w:lang w:val="en-US"/>
          <w14:ligatures w14:val="none"/>
        </w:rPr>
        <w:t xml:space="preserve"> [Accessed 23 Feb. 2023].</w:t>
      </w:r>
    </w:p>
    <w:p w14:paraId="155CFB25"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find-and-update.company-information.service.gov.uk. (2023). </w:t>
      </w:r>
      <w:r w:rsidRPr="008970B0">
        <w:rPr>
          <w:rFonts w:ascii="Arial" w:eastAsiaTheme="minorEastAsia" w:hAnsi="Arial" w:cs="Arial"/>
          <w:i/>
          <w:iCs/>
          <w:color w:val="44546A" w:themeColor="text2"/>
          <w:kern w:val="0"/>
          <w:lang w:val="en-US"/>
          <w14:ligatures w14:val="none"/>
        </w:rPr>
        <w:t>THE FURNITURE PRACTICE LIMITED filing history - Find and update company information - GOV.UK</w:t>
      </w:r>
      <w:r w:rsidRPr="008970B0">
        <w:rPr>
          <w:rFonts w:ascii="Arial" w:eastAsiaTheme="minorEastAsia" w:hAnsi="Arial" w:cs="Arial"/>
          <w:color w:val="44546A" w:themeColor="text2"/>
          <w:kern w:val="0"/>
          <w:lang w:val="en-US"/>
          <w14:ligatures w14:val="none"/>
        </w:rPr>
        <w:t xml:space="preserve">. [online] Available at: </w:t>
      </w:r>
      <w:hyperlink r:id="rId12" w:history="1">
        <w:r w:rsidRPr="008970B0">
          <w:rPr>
            <w:rFonts w:ascii="Arial" w:eastAsiaTheme="minorEastAsia" w:hAnsi="Arial" w:cs="Arial"/>
            <w:color w:val="44546A" w:themeColor="text2"/>
            <w:kern w:val="0"/>
            <w:lang w:val="en-US"/>
            <w14:ligatures w14:val="none"/>
          </w:rPr>
          <w:t>https://find-and-update.company-information.service.gov.uk/company/03470956/filing-history</w:t>
        </w:r>
      </w:hyperlink>
      <w:r w:rsidRPr="008970B0">
        <w:rPr>
          <w:rFonts w:ascii="Arial" w:eastAsiaTheme="minorEastAsia" w:hAnsi="Arial" w:cs="Arial"/>
          <w:color w:val="44546A" w:themeColor="text2"/>
          <w:kern w:val="0"/>
          <w:lang w:val="en-US"/>
          <w14:ligatures w14:val="none"/>
        </w:rPr>
        <w:t xml:space="preserve"> [Accessed 11 Apr. 2023].</w:t>
      </w:r>
    </w:p>
    <w:p w14:paraId="2B1B8838" w14:textId="03D048DF"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Grundy, T. (2018). Rethinking and Reinventing Michael Porter</w:t>
      </w:r>
      <w:r w:rsidR="00115686" w:rsidRPr="008970B0">
        <w:rPr>
          <w:rFonts w:ascii="Arial" w:eastAsiaTheme="minorEastAsia" w:hAnsi="Arial" w:cs="Arial"/>
          <w:color w:val="44546A" w:themeColor="text2"/>
          <w:kern w:val="0"/>
          <w:lang w:val="en-US"/>
          <w14:ligatures w14:val="none"/>
        </w:rPr>
        <w:t>'</w:t>
      </w:r>
      <w:r w:rsidRPr="008970B0">
        <w:rPr>
          <w:rFonts w:ascii="Arial" w:eastAsiaTheme="minorEastAsia" w:hAnsi="Arial" w:cs="Arial"/>
          <w:color w:val="44546A" w:themeColor="text2"/>
          <w:kern w:val="0"/>
          <w:lang w:val="en-US"/>
          <w14:ligatures w14:val="none"/>
        </w:rPr>
        <w:t xml:space="preserve">s Five Forces Model. </w:t>
      </w:r>
      <w:r w:rsidRPr="008970B0">
        <w:rPr>
          <w:rFonts w:ascii="Arial" w:eastAsiaTheme="minorEastAsia" w:hAnsi="Arial" w:cs="Arial"/>
          <w:i/>
          <w:iCs/>
          <w:color w:val="44546A" w:themeColor="text2"/>
          <w:kern w:val="0"/>
          <w:lang w:val="en-US"/>
          <w14:ligatures w14:val="none"/>
        </w:rPr>
        <w:t>Strategic Change</w:t>
      </w:r>
      <w:r w:rsidRPr="008970B0">
        <w:rPr>
          <w:rFonts w:ascii="Arial" w:eastAsiaTheme="minorEastAsia" w:hAnsi="Arial" w:cs="Arial"/>
          <w:color w:val="44546A" w:themeColor="text2"/>
          <w:kern w:val="0"/>
          <w:lang w:val="en-US"/>
          <w14:ligatures w14:val="none"/>
        </w:rPr>
        <w:t xml:space="preserve">, [online] 15(5), pp.213–229. </w:t>
      </w:r>
      <w:proofErr w:type="spellStart"/>
      <w:r w:rsidRPr="008970B0">
        <w:rPr>
          <w:rFonts w:ascii="Arial" w:eastAsiaTheme="minorEastAsia" w:hAnsi="Arial" w:cs="Arial"/>
          <w:color w:val="44546A" w:themeColor="text2"/>
          <w:kern w:val="0"/>
          <w:lang w:val="en-US"/>
          <w14:ligatures w14:val="none"/>
        </w:rPr>
        <w:t>doi:</w:t>
      </w:r>
      <w:hyperlink r:id="rId13" w:history="1">
        <w:r w:rsidRPr="008970B0">
          <w:rPr>
            <w:rFonts w:ascii="Arial" w:eastAsiaTheme="minorEastAsia" w:hAnsi="Arial" w:cs="Arial"/>
            <w:color w:val="44546A" w:themeColor="text2"/>
            <w:kern w:val="0"/>
            <w:lang w:val="en-US"/>
            <w14:ligatures w14:val="none"/>
          </w:rPr>
          <w:t>https</w:t>
        </w:r>
        <w:proofErr w:type="spellEnd"/>
        <w:r w:rsidRPr="008970B0">
          <w:rPr>
            <w:rFonts w:ascii="Arial" w:eastAsiaTheme="minorEastAsia" w:hAnsi="Arial" w:cs="Arial"/>
            <w:color w:val="44546A" w:themeColor="text2"/>
            <w:kern w:val="0"/>
            <w:lang w:val="en-US"/>
            <w14:ligatures w14:val="none"/>
          </w:rPr>
          <w:t>://doi.org/10.1002/JSC.764</w:t>
        </w:r>
      </w:hyperlink>
      <w:r w:rsidRPr="008970B0">
        <w:rPr>
          <w:rFonts w:ascii="Arial" w:eastAsiaTheme="minorEastAsia" w:hAnsi="Arial" w:cs="Arial"/>
          <w:color w:val="44546A" w:themeColor="text2"/>
          <w:kern w:val="0"/>
          <w:lang w:val="en-US"/>
          <w14:ligatures w14:val="none"/>
        </w:rPr>
        <w:t>.</w:t>
      </w:r>
    </w:p>
    <w:p w14:paraId="5A4594A6"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Johnson, G., Scholes, K. and Whittington, R. (2008). </w:t>
      </w:r>
      <w:r w:rsidRPr="008970B0">
        <w:rPr>
          <w:rFonts w:ascii="Arial" w:eastAsiaTheme="minorEastAsia" w:hAnsi="Arial" w:cs="Arial"/>
          <w:i/>
          <w:iCs/>
          <w:color w:val="44546A" w:themeColor="text2"/>
          <w:kern w:val="0"/>
          <w:lang w:val="en-US"/>
          <w14:ligatures w14:val="none"/>
        </w:rPr>
        <w:t>Exploring Corporate Strategy: Text and Cases</w:t>
      </w:r>
      <w:r w:rsidRPr="008970B0">
        <w:rPr>
          <w:rFonts w:ascii="Arial" w:eastAsiaTheme="minorEastAsia" w:hAnsi="Arial" w:cs="Arial"/>
          <w:color w:val="44546A" w:themeColor="text2"/>
          <w:kern w:val="0"/>
          <w:lang w:val="en-US"/>
          <w14:ligatures w14:val="none"/>
        </w:rPr>
        <w:t xml:space="preserve">. [online] </w:t>
      </w:r>
      <w:r w:rsidRPr="008970B0">
        <w:rPr>
          <w:rFonts w:ascii="Arial" w:eastAsiaTheme="minorEastAsia" w:hAnsi="Arial" w:cs="Arial"/>
          <w:i/>
          <w:iCs/>
          <w:color w:val="44546A" w:themeColor="text2"/>
          <w:kern w:val="0"/>
          <w:lang w:val="en-US"/>
          <w14:ligatures w14:val="none"/>
        </w:rPr>
        <w:t>Google Books</w:t>
      </w:r>
      <w:r w:rsidRPr="008970B0">
        <w:rPr>
          <w:rFonts w:ascii="Arial" w:eastAsiaTheme="minorEastAsia" w:hAnsi="Arial" w:cs="Arial"/>
          <w:color w:val="44546A" w:themeColor="text2"/>
          <w:kern w:val="0"/>
          <w:lang w:val="en-US"/>
          <w14:ligatures w14:val="none"/>
        </w:rPr>
        <w:t xml:space="preserve">. Financial Times Prentice Hall. Available at: </w:t>
      </w:r>
      <w:hyperlink r:id="rId14" w:anchor="v=onepage&amp;q=Exploring%20strategy%20%3A%20text%20and%20cases&amp;f=false" w:history="1">
        <w:r w:rsidRPr="008970B0">
          <w:rPr>
            <w:rFonts w:ascii="Arial" w:eastAsiaTheme="minorEastAsia" w:hAnsi="Arial" w:cs="Arial"/>
            <w:color w:val="44546A" w:themeColor="text2"/>
            <w:kern w:val="0"/>
            <w:lang w:val="en-US"/>
            <w14:ligatures w14:val="none"/>
          </w:rPr>
          <w:t>https://books.google.co.uk/books?hl=hu&amp;lr=&amp;id=8KS4gKNgLysC&amp;oi=fnd&amp;pg=PA1&amp;dq=Exploring+strategy+:+text+and+cases&amp;ots=ZG_LQ4gJQC&amp;sig=CBFYf8MvVOPO9ew_jMfq-gfdXJY&amp;redir_esc=y#v=onepage&amp;q=Exploring%20strategy%20%3A%20text%20and%20cases&amp;f=false</w:t>
        </w:r>
      </w:hyperlink>
      <w:r w:rsidRPr="008970B0">
        <w:rPr>
          <w:rFonts w:ascii="Arial" w:eastAsiaTheme="minorEastAsia" w:hAnsi="Arial" w:cs="Arial"/>
          <w:color w:val="44546A" w:themeColor="text2"/>
          <w:kern w:val="0"/>
          <w:lang w:val="en-US"/>
          <w14:ligatures w14:val="none"/>
        </w:rPr>
        <w:t xml:space="preserve"> [Accessed 10 Apr. 2023].</w:t>
      </w:r>
    </w:p>
    <w:p w14:paraId="3A648902"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lastRenderedPageBreak/>
        <w:t xml:space="preserve">Johnson, G., Scholes, K. and Whittington, R. (2017). </w:t>
      </w:r>
      <w:r w:rsidRPr="008970B0">
        <w:rPr>
          <w:rFonts w:ascii="Arial" w:eastAsiaTheme="minorEastAsia" w:hAnsi="Arial" w:cs="Arial"/>
          <w:i/>
          <w:iCs/>
          <w:color w:val="44546A" w:themeColor="text2"/>
          <w:kern w:val="0"/>
          <w:lang w:val="en-US"/>
          <w14:ligatures w14:val="none"/>
        </w:rPr>
        <w:t>https://librarysearch.uwtsd.ac.uk/discovery/fulldisplay?docid=alma99100313060102421&amp;context=L&amp;vid=44WHELF_UWTSD:44WHELF_UWTSD_VU1&amp;lang=en&amp;search_scope=Search_ELEC&amp;adaptor=Local%2520Search%2520Engine&amp;tab=Everything&amp;query=any</w:t>
      </w:r>
      <w:r w:rsidRPr="008970B0">
        <w:rPr>
          <w:rFonts w:ascii="Arial" w:eastAsiaTheme="minorEastAsia" w:hAnsi="Arial" w:cs="Arial"/>
          <w:color w:val="44546A" w:themeColor="text2"/>
          <w:kern w:val="0"/>
          <w:lang w:val="en-US"/>
          <w14:ligatures w14:val="none"/>
        </w:rPr>
        <w:t xml:space="preserve">. [online] librarysearch.uwtsd.ac.uk. Available at: </w:t>
      </w:r>
      <w:hyperlink r:id="rId15" w:history="1">
        <w:r w:rsidRPr="008970B0">
          <w:rPr>
            <w:rFonts w:ascii="Arial" w:eastAsiaTheme="minorEastAsia" w:hAnsi="Arial" w:cs="Arial"/>
            <w:color w:val="44546A" w:themeColor="text2"/>
            <w:kern w:val="0"/>
            <w:lang w:val="en-US"/>
            <w14:ligatures w14:val="none"/>
          </w:rPr>
          <w:t>https://librarysearch.uwtsd.ac.uk/discovery/fulldisplay?docid=alma99100313060102421&amp;context=L&amp;vid=44WHELF_UWTSD:44WHELF_UWTSD_VU1&amp;lang=en&amp;search_scope=Search_ELEC&amp;adaptor=Local%20Search%20Engine&amp;tab=Everything&amp;query=any</w:t>
        </w:r>
      </w:hyperlink>
      <w:r w:rsidRPr="008970B0">
        <w:rPr>
          <w:rFonts w:ascii="Arial" w:eastAsiaTheme="minorEastAsia" w:hAnsi="Arial" w:cs="Arial"/>
          <w:color w:val="44546A" w:themeColor="text2"/>
          <w:kern w:val="0"/>
          <w:lang w:val="en-US"/>
          <w14:ligatures w14:val="none"/>
        </w:rPr>
        <w:t xml:space="preserve"> [Accessed 13 Apr. 2023].</w:t>
      </w:r>
    </w:p>
    <w:p w14:paraId="3DE8F05D"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Johnson and Gerry (2016). </w:t>
      </w:r>
      <w:r w:rsidRPr="008970B0">
        <w:rPr>
          <w:rFonts w:ascii="Arial" w:eastAsiaTheme="minorEastAsia" w:hAnsi="Arial" w:cs="Arial"/>
          <w:i/>
          <w:iCs/>
          <w:color w:val="44546A" w:themeColor="text2"/>
          <w:kern w:val="0"/>
          <w:lang w:val="en-US"/>
          <w14:ligatures w14:val="none"/>
        </w:rPr>
        <w:t xml:space="preserve">Logon </w:t>
      </w:r>
      <w:proofErr w:type="spellStart"/>
      <w:r w:rsidRPr="008970B0">
        <w:rPr>
          <w:rFonts w:ascii="Arial" w:eastAsiaTheme="minorEastAsia" w:hAnsi="Arial" w:cs="Arial"/>
          <w:i/>
          <w:iCs/>
          <w:color w:val="44546A" w:themeColor="text2"/>
          <w:kern w:val="0"/>
          <w:lang w:val="en-US"/>
          <w14:ligatures w14:val="none"/>
        </w:rPr>
        <w:t>Vle</w:t>
      </w:r>
      <w:proofErr w:type="spellEnd"/>
      <w:r w:rsidRPr="008970B0">
        <w:rPr>
          <w:rFonts w:ascii="Arial" w:eastAsiaTheme="minorEastAsia" w:hAnsi="Arial" w:cs="Arial"/>
          <w:i/>
          <w:iCs/>
          <w:color w:val="44546A" w:themeColor="text2"/>
          <w:kern w:val="0"/>
          <w:lang w:val="en-US"/>
          <w14:ligatures w14:val="none"/>
        </w:rPr>
        <w:t xml:space="preserve"> Books</w:t>
      </w:r>
      <w:r w:rsidRPr="008970B0">
        <w:rPr>
          <w:rFonts w:ascii="Arial" w:eastAsiaTheme="minorEastAsia" w:hAnsi="Arial" w:cs="Arial"/>
          <w:color w:val="44546A" w:themeColor="text2"/>
          <w:kern w:val="0"/>
          <w:lang w:val="en-US"/>
          <w14:ligatures w14:val="none"/>
        </w:rPr>
        <w:t xml:space="preserve">. [online] r1.vlereader.com. Available at: </w:t>
      </w:r>
      <w:hyperlink r:id="rId16" w:history="1">
        <w:r w:rsidRPr="008970B0">
          <w:rPr>
            <w:rFonts w:ascii="Arial" w:eastAsiaTheme="minorEastAsia" w:hAnsi="Arial" w:cs="Arial"/>
            <w:color w:val="44546A" w:themeColor="text2"/>
            <w:kern w:val="0"/>
            <w:lang w:val="en-US"/>
            <w14:ligatures w14:val="none"/>
          </w:rPr>
          <w:t>https://r1.vlereader.com/Reader?ean=9781292145136#</w:t>
        </w:r>
      </w:hyperlink>
      <w:r w:rsidRPr="008970B0">
        <w:rPr>
          <w:rFonts w:ascii="Arial" w:eastAsiaTheme="minorEastAsia" w:hAnsi="Arial" w:cs="Arial"/>
          <w:color w:val="44546A" w:themeColor="text2"/>
          <w:kern w:val="0"/>
          <w:lang w:val="en-US"/>
          <w14:ligatures w14:val="none"/>
        </w:rPr>
        <w:t xml:space="preserve"> [Accessed 13 Apr. 2023].</w:t>
      </w:r>
    </w:p>
    <w:p w14:paraId="2C59E313"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Kingsnorth, S. (2022). </w:t>
      </w:r>
      <w:r w:rsidRPr="008970B0">
        <w:rPr>
          <w:rFonts w:ascii="Arial" w:eastAsiaTheme="minorEastAsia" w:hAnsi="Arial" w:cs="Arial"/>
          <w:i/>
          <w:iCs/>
          <w:color w:val="44546A" w:themeColor="text2"/>
          <w:kern w:val="0"/>
          <w:lang w:val="en-US"/>
          <w14:ligatures w14:val="none"/>
        </w:rPr>
        <w:t>Digital Marketing Strategy: An Integrated Approach to Online Marketing</w:t>
      </w:r>
      <w:r w:rsidRPr="008970B0">
        <w:rPr>
          <w:rFonts w:ascii="Arial" w:eastAsiaTheme="minorEastAsia" w:hAnsi="Arial" w:cs="Arial"/>
          <w:color w:val="44546A" w:themeColor="text2"/>
          <w:kern w:val="0"/>
          <w:lang w:val="en-US"/>
          <w14:ligatures w14:val="none"/>
        </w:rPr>
        <w:t xml:space="preserve">. [online] </w:t>
      </w:r>
      <w:r w:rsidRPr="008970B0">
        <w:rPr>
          <w:rFonts w:ascii="Arial" w:eastAsiaTheme="minorEastAsia" w:hAnsi="Arial" w:cs="Arial"/>
          <w:i/>
          <w:iCs/>
          <w:color w:val="44546A" w:themeColor="text2"/>
          <w:kern w:val="0"/>
          <w:lang w:val="en-US"/>
          <w14:ligatures w14:val="none"/>
        </w:rPr>
        <w:t>Google Books</w:t>
      </w:r>
      <w:r w:rsidRPr="008970B0">
        <w:rPr>
          <w:rFonts w:ascii="Arial" w:eastAsiaTheme="minorEastAsia" w:hAnsi="Arial" w:cs="Arial"/>
          <w:color w:val="44546A" w:themeColor="text2"/>
          <w:kern w:val="0"/>
          <w:lang w:val="en-US"/>
          <w14:ligatures w14:val="none"/>
        </w:rPr>
        <w:t xml:space="preserve">. Kogan Page Publishers. Available at: </w:t>
      </w:r>
      <w:hyperlink r:id="rId17" w:anchor="v=onepage&amp;q=Digital%20Marketing%20Strategy&amp;f=false" w:history="1">
        <w:r w:rsidRPr="008970B0">
          <w:rPr>
            <w:rFonts w:ascii="Arial" w:eastAsiaTheme="minorEastAsia" w:hAnsi="Arial" w:cs="Arial"/>
            <w:color w:val="44546A" w:themeColor="text2"/>
            <w:kern w:val="0"/>
            <w:lang w:val="en-US"/>
            <w14:ligatures w14:val="none"/>
          </w:rPr>
          <w:t>https://books.google.co.uk/books?hl=hu&amp;lr=&amp;id=acdsEAAAQBAJ&amp;oi=fnd&amp;pg=PP1&amp;dq=Digital+Marketing+Strategy&amp;ots=Ztik33GxnS&amp;sig=Vjxsjc0g_y_hd_VUlch8JLNjrh0&amp;redir_esc=y#v=onepage&amp;q=Digital%20Marketing%20Strategy&amp;f=false</w:t>
        </w:r>
      </w:hyperlink>
      <w:r w:rsidRPr="008970B0">
        <w:rPr>
          <w:rFonts w:ascii="Arial" w:eastAsiaTheme="minorEastAsia" w:hAnsi="Arial" w:cs="Arial"/>
          <w:color w:val="44546A" w:themeColor="text2"/>
          <w:kern w:val="0"/>
          <w:lang w:val="en-US"/>
          <w14:ligatures w14:val="none"/>
        </w:rPr>
        <w:t xml:space="preserve"> [Accessed 11 Apr. 2023].</w:t>
      </w:r>
    </w:p>
    <w:p w14:paraId="0F6907BA" w14:textId="00BFD69D"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Lamberti, L. (2013). Customer centricity: the </w:t>
      </w:r>
      <w:r w:rsidR="00115686" w:rsidRPr="008970B0">
        <w:rPr>
          <w:rFonts w:ascii="Arial" w:eastAsiaTheme="minorEastAsia" w:hAnsi="Arial" w:cs="Arial"/>
          <w:color w:val="44546A" w:themeColor="text2"/>
          <w:kern w:val="0"/>
          <w:lang w:val="en-US"/>
          <w14:ligatures w14:val="none"/>
        </w:rPr>
        <w:t>construction</w:t>
      </w:r>
      <w:r w:rsidRPr="008970B0">
        <w:rPr>
          <w:rFonts w:ascii="Arial" w:eastAsiaTheme="minorEastAsia" w:hAnsi="Arial" w:cs="Arial"/>
          <w:color w:val="44546A" w:themeColor="text2"/>
          <w:kern w:val="0"/>
          <w:lang w:val="en-US"/>
          <w14:ligatures w14:val="none"/>
        </w:rPr>
        <w:t xml:space="preserve"> and the operational antecedents. </w:t>
      </w:r>
      <w:r w:rsidRPr="008970B0">
        <w:rPr>
          <w:rFonts w:ascii="Arial" w:eastAsiaTheme="minorEastAsia" w:hAnsi="Arial" w:cs="Arial"/>
          <w:i/>
          <w:iCs/>
          <w:color w:val="44546A" w:themeColor="text2"/>
          <w:kern w:val="0"/>
          <w:lang w:val="en-US"/>
          <w14:ligatures w14:val="none"/>
        </w:rPr>
        <w:t>Journal of Strategic Marketing</w:t>
      </w:r>
      <w:r w:rsidRPr="008970B0">
        <w:rPr>
          <w:rFonts w:ascii="Arial" w:eastAsiaTheme="minorEastAsia" w:hAnsi="Arial" w:cs="Arial"/>
          <w:color w:val="44546A" w:themeColor="text2"/>
          <w:kern w:val="0"/>
          <w:lang w:val="en-US"/>
          <w14:ligatures w14:val="none"/>
        </w:rPr>
        <w:t xml:space="preserve">, 21(7), pp.588–612. </w:t>
      </w:r>
      <w:proofErr w:type="spellStart"/>
      <w:r w:rsidRPr="008970B0">
        <w:rPr>
          <w:rFonts w:ascii="Arial" w:eastAsiaTheme="minorEastAsia" w:hAnsi="Arial" w:cs="Arial"/>
          <w:color w:val="44546A" w:themeColor="text2"/>
          <w:kern w:val="0"/>
          <w:lang w:val="en-US"/>
          <w14:ligatures w14:val="none"/>
        </w:rPr>
        <w:t>doi:</w:t>
      </w:r>
      <w:hyperlink r:id="rId18" w:history="1">
        <w:r w:rsidRPr="008970B0">
          <w:rPr>
            <w:rFonts w:ascii="Arial" w:eastAsiaTheme="minorEastAsia" w:hAnsi="Arial" w:cs="Arial"/>
            <w:color w:val="44546A" w:themeColor="text2"/>
            <w:kern w:val="0"/>
            <w:lang w:val="en-US"/>
            <w14:ligatures w14:val="none"/>
          </w:rPr>
          <w:t>https</w:t>
        </w:r>
        <w:proofErr w:type="spellEnd"/>
        <w:r w:rsidRPr="008970B0">
          <w:rPr>
            <w:rFonts w:ascii="Arial" w:eastAsiaTheme="minorEastAsia" w:hAnsi="Arial" w:cs="Arial"/>
            <w:color w:val="44546A" w:themeColor="text2"/>
            <w:kern w:val="0"/>
            <w:lang w:val="en-US"/>
            <w14:ligatures w14:val="none"/>
          </w:rPr>
          <w:t>://doi.org/10.1080/0965254x.2013.817476</w:t>
        </w:r>
      </w:hyperlink>
      <w:r w:rsidRPr="008970B0">
        <w:rPr>
          <w:rFonts w:ascii="Arial" w:eastAsiaTheme="minorEastAsia" w:hAnsi="Arial" w:cs="Arial"/>
          <w:color w:val="44546A" w:themeColor="text2"/>
          <w:kern w:val="0"/>
          <w:lang w:val="en-US"/>
          <w14:ligatures w14:val="none"/>
        </w:rPr>
        <w:t>.</w:t>
      </w:r>
    </w:p>
    <w:p w14:paraId="4B5A2A69"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Lynch L, R. (2018). </w:t>
      </w:r>
      <w:r w:rsidRPr="008970B0">
        <w:rPr>
          <w:rFonts w:ascii="Arial" w:eastAsiaTheme="minorEastAsia" w:hAnsi="Arial" w:cs="Arial"/>
          <w:i/>
          <w:iCs/>
          <w:color w:val="44546A" w:themeColor="text2"/>
          <w:kern w:val="0"/>
          <w:lang w:val="en-US"/>
          <w14:ligatures w14:val="none"/>
        </w:rPr>
        <w:t>ProQuest &amp; Ex Libris Support</w:t>
      </w:r>
      <w:r w:rsidRPr="008970B0">
        <w:rPr>
          <w:rFonts w:ascii="Arial" w:eastAsiaTheme="minorEastAsia" w:hAnsi="Arial" w:cs="Arial"/>
          <w:color w:val="44546A" w:themeColor="text2"/>
          <w:kern w:val="0"/>
          <w:lang w:val="en-US"/>
          <w14:ligatures w14:val="none"/>
        </w:rPr>
        <w:t xml:space="preserve">. [online] support.proquest.com. Available at: </w:t>
      </w:r>
      <w:hyperlink r:id="rId19" w:history="1">
        <w:r w:rsidRPr="008970B0">
          <w:rPr>
            <w:rFonts w:ascii="Arial" w:eastAsiaTheme="minorEastAsia" w:hAnsi="Arial" w:cs="Arial"/>
            <w:color w:val="44546A" w:themeColor="text2"/>
            <w:kern w:val="0"/>
            <w:lang w:val="en-US"/>
            <w14:ligatures w14:val="none"/>
          </w:rPr>
          <w:t>https://support.proquest.com/s/article/Accessibility-Statement-Ebook-Central?language=en_US</w:t>
        </w:r>
      </w:hyperlink>
      <w:r w:rsidRPr="008970B0">
        <w:rPr>
          <w:rFonts w:ascii="Arial" w:eastAsiaTheme="minorEastAsia" w:hAnsi="Arial" w:cs="Arial"/>
          <w:color w:val="44546A" w:themeColor="text2"/>
          <w:kern w:val="0"/>
          <w:lang w:val="en-US"/>
          <w14:ligatures w14:val="none"/>
        </w:rPr>
        <w:t xml:space="preserve"> [Accessed 10 Apr. 2023].</w:t>
      </w:r>
    </w:p>
    <w:p w14:paraId="5D19CEB1"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Mintzberg, H. (1978). Patterns in Strategy Formation. </w:t>
      </w:r>
      <w:r w:rsidRPr="008970B0">
        <w:rPr>
          <w:rFonts w:ascii="Arial" w:eastAsiaTheme="minorEastAsia" w:hAnsi="Arial" w:cs="Arial"/>
          <w:i/>
          <w:iCs/>
          <w:color w:val="44546A" w:themeColor="text2"/>
          <w:kern w:val="0"/>
          <w:lang w:val="en-US"/>
          <w14:ligatures w14:val="none"/>
        </w:rPr>
        <w:t>Management Science</w:t>
      </w:r>
      <w:r w:rsidRPr="008970B0">
        <w:rPr>
          <w:rFonts w:ascii="Arial" w:eastAsiaTheme="minorEastAsia" w:hAnsi="Arial" w:cs="Arial"/>
          <w:color w:val="44546A" w:themeColor="text2"/>
          <w:kern w:val="0"/>
          <w:lang w:val="en-US"/>
          <w14:ligatures w14:val="none"/>
        </w:rPr>
        <w:t>, 24(9), pp.934–948.</w:t>
      </w:r>
    </w:p>
    <w:p w14:paraId="421B4041"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Nicholas, J. (2022). </w:t>
      </w:r>
      <w:r w:rsidRPr="008970B0">
        <w:rPr>
          <w:rFonts w:ascii="Arial" w:eastAsiaTheme="minorEastAsia" w:hAnsi="Arial" w:cs="Arial"/>
          <w:i/>
          <w:iCs/>
          <w:color w:val="44546A" w:themeColor="text2"/>
          <w:kern w:val="0"/>
          <w:lang w:val="en-US"/>
          <w14:ligatures w14:val="none"/>
        </w:rPr>
        <w:t>Introduction To VRIN Framework | VRIO Analysis | BusinessAnalystMentor.com</w:t>
      </w:r>
      <w:r w:rsidRPr="008970B0">
        <w:rPr>
          <w:rFonts w:ascii="Arial" w:eastAsiaTheme="minorEastAsia" w:hAnsi="Arial" w:cs="Arial"/>
          <w:color w:val="44546A" w:themeColor="text2"/>
          <w:kern w:val="0"/>
          <w:lang w:val="en-US"/>
          <w14:ligatures w14:val="none"/>
        </w:rPr>
        <w:t xml:space="preserve">. [online] businessanalystmentor.com. Available at: </w:t>
      </w:r>
      <w:hyperlink r:id="rId20" w:history="1">
        <w:r w:rsidRPr="008970B0">
          <w:rPr>
            <w:rFonts w:ascii="Arial" w:eastAsiaTheme="minorEastAsia" w:hAnsi="Arial" w:cs="Arial"/>
            <w:color w:val="44546A" w:themeColor="text2"/>
            <w:kern w:val="0"/>
            <w:lang w:val="en-US"/>
            <w14:ligatures w14:val="none"/>
          </w:rPr>
          <w:t>https://businessanalystmentor.com/vrin-framework-vrio-analysis/</w:t>
        </w:r>
      </w:hyperlink>
      <w:r w:rsidRPr="008970B0">
        <w:rPr>
          <w:rFonts w:ascii="Arial" w:eastAsiaTheme="minorEastAsia" w:hAnsi="Arial" w:cs="Arial"/>
          <w:color w:val="44546A" w:themeColor="text2"/>
          <w:kern w:val="0"/>
          <w:lang w:val="en-US"/>
          <w14:ligatures w14:val="none"/>
        </w:rPr>
        <w:t xml:space="preserve"> [Accessed 23 Feb. 2023].</w:t>
      </w:r>
    </w:p>
    <w:p w14:paraId="2A7CE34B"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Oly, N., Nelson (2013). </w:t>
      </w:r>
      <w:r w:rsidRPr="008970B0">
        <w:rPr>
          <w:rFonts w:ascii="Arial" w:eastAsiaTheme="minorEastAsia" w:hAnsi="Arial" w:cs="Arial"/>
          <w:i/>
          <w:iCs/>
          <w:color w:val="44546A" w:themeColor="text2"/>
          <w:kern w:val="0"/>
          <w:lang w:val="en-US"/>
          <w14:ligatures w14:val="none"/>
        </w:rPr>
        <w:t>Enterprise Development in SMEs and Entrepreneurial Firms: Dynamic Processes: Dynamic Processes</w:t>
      </w:r>
      <w:r w:rsidRPr="008970B0">
        <w:rPr>
          <w:rFonts w:ascii="Arial" w:eastAsiaTheme="minorEastAsia" w:hAnsi="Arial" w:cs="Arial"/>
          <w:color w:val="44546A" w:themeColor="text2"/>
          <w:kern w:val="0"/>
          <w:lang w:val="en-US"/>
          <w14:ligatures w14:val="none"/>
        </w:rPr>
        <w:t xml:space="preserve">. [online] </w:t>
      </w:r>
      <w:r w:rsidRPr="008970B0">
        <w:rPr>
          <w:rFonts w:ascii="Arial" w:eastAsiaTheme="minorEastAsia" w:hAnsi="Arial" w:cs="Arial"/>
          <w:i/>
          <w:iCs/>
          <w:color w:val="44546A" w:themeColor="text2"/>
          <w:kern w:val="0"/>
          <w:lang w:val="en-US"/>
          <w14:ligatures w14:val="none"/>
        </w:rPr>
        <w:t>Google Books</w:t>
      </w:r>
      <w:r w:rsidRPr="008970B0">
        <w:rPr>
          <w:rFonts w:ascii="Arial" w:eastAsiaTheme="minorEastAsia" w:hAnsi="Arial" w:cs="Arial"/>
          <w:color w:val="44546A" w:themeColor="text2"/>
          <w:kern w:val="0"/>
          <w:lang w:val="en-US"/>
          <w14:ligatures w14:val="none"/>
        </w:rPr>
        <w:t xml:space="preserve">. IGI Global. Available at: </w:t>
      </w:r>
      <w:hyperlink r:id="rId21" w:history="1">
        <w:r w:rsidRPr="008970B0">
          <w:rPr>
            <w:rFonts w:ascii="Arial" w:eastAsiaTheme="minorEastAsia" w:hAnsi="Arial" w:cs="Arial"/>
            <w:color w:val="44546A" w:themeColor="text2"/>
            <w:kern w:val="0"/>
            <w:lang w:val="en-US"/>
            <w14:ligatures w14:val="none"/>
          </w:rPr>
          <w:t>https://books.google.com/books?hl=hu&amp;lr=&amp;id=hsqeBQAAQBAJ&amp;oi=fnd&amp;pg=PR1&amp;dq=Enterprise+development+in+SMEs+and+entrepreneurial+firms+%5Belectronic+resource%5D+:+dynamic+processe&amp;ots=8wMHl4_v8p&amp;sig=jzZPTpVtl8hvD4jhYHQHWdFjrDg</w:t>
        </w:r>
      </w:hyperlink>
      <w:r w:rsidRPr="008970B0">
        <w:rPr>
          <w:rFonts w:ascii="Arial" w:eastAsiaTheme="minorEastAsia" w:hAnsi="Arial" w:cs="Arial"/>
          <w:color w:val="44546A" w:themeColor="text2"/>
          <w:kern w:val="0"/>
          <w:lang w:val="en-US"/>
          <w14:ligatures w14:val="none"/>
        </w:rPr>
        <w:t xml:space="preserve"> [Accessed 10 Apr. </w:t>
      </w:r>
      <w:r w:rsidRPr="008970B0">
        <w:rPr>
          <w:rFonts w:ascii="Arial" w:eastAsiaTheme="minorEastAsia" w:hAnsi="Arial" w:cs="Arial"/>
          <w:color w:val="44546A" w:themeColor="text2"/>
          <w:kern w:val="0"/>
          <w:lang w:val="en-US"/>
          <w14:ligatures w14:val="none"/>
        </w:rPr>
        <w:lastRenderedPageBreak/>
        <w:t>2023].</w:t>
      </w:r>
    </w:p>
    <w:p w14:paraId="14287A62"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proofErr w:type="spellStart"/>
      <w:r w:rsidRPr="008970B0">
        <w:rPr>
          <w:rFonts w:ascii="Arial" w:eastAsiaTheme="minorEastAsia" w:hAnsi="Arial" w:cs="Arial"/>
          <w:color w:val="44546A" w:themeColor="text2"/>
          <w:kern w:val="0"/>
          <w:lang w:val="en-US"/>
          <w14:ligatures w14:val="none"/>
        </w:rPr>
        <w:t>Papulova</w:t>
      </w:r>
      <w:proofErr w:type="spellEnd"/>
      <w:r w:rsidRPr="008970B0">
        <w:rPr>
          <w:rFonts w:ascii="Arial" w:eastAsiaTheme="minorEastAsia" w:hAnsi="Arial" w:cs="Arial"/>
          <w:color w:val="44546A" w:themeColor="text2"/>
          <w:kern w:val="0"/>
          <w:lang w:val="en-US"/>
          <w14:ligatures w14:val="none"/>
        </w:rPr>
        <w:t xml:space="preserve">, Z. (2014). </w:t>
      </w:r>
      <w:r w:rsidRPr="008970B0">
        <w:rPr>
          <w:rFonts w:ascii="Arial" w:eastAsiaTheme="minorEastAsia" w:hAnsi="Arial" w:cs="Arial"/>
          <w:i/>
          <w:iCs/>
          <w:color w:val="44546A" w:themeColor="text2"/>
          <w:kern w:val="0"/>
          <w:lang w:val="en-US"/>
          <w14:ligatures w14:val="none"/>
        </w:rPr>
        <w:t>(PDF) The Significance of Vision and Mission Development for Enterprises in Slovak Republic</w:t>
      </w:r>
      <w:r w:rsidRPr="008970B0">
        <w:rPr>
          <w:rFonts w:ascii="Arial" w:eastAsiaTheme="minorEastAsia" w:hAnsi="Arial" w:cs="Arial"/>
          <w:color w:val="44546A" w:themeColor="text2"/>
          <w:kern w:val="0"/>
          <w:lang w:val="en-US"/>
          <w14:ligatures w14:val="none"/>
        </w:rPr>
        <w:t xml:space="preserve">. [online] ResearchGate. Available at: </w:t>
      </w:r>
      <w:hyperlink r:id="rId22" w:history="1">
        <w:r w:rsidRPr="008970B0">
          <w:rPr>
            <w:rFonts w:ascii="Arial" w:eastAsiaTheme="minorEastAsia" w:hAnsi="Arial" w:cs="Arial"/>
            <w:color w:val="44546A" w:themeColor="text2"/>
            <w:kern w:val="0"/>
            <w:lang w:val="en-US"/>
            <w14:ligatures w14:val="none"/>
          </w:rPr>
          <w:t>https://www.researchgate.net/publication/271293375_The_Significance_of_Vision_and_Mission_Development_for_Enterprises_in_Slovak_Republic</w:t>
        </w:r>
      </w:hyperlink>
      <w:r w:rsidRPr="008970B0">
        <w:rPr>
          <w:rFonts w:ascii="Arial" w:eastAsiaTheme="minorEastAsia" w:hAnsi="Arial" w:cs="Arial"/>
          <w:color w:val="44546A" w:themeColor="text2"/>
          <w:kern w:val="0"/>
          <w:lang w:val="en-US"/>
          <w14:ligatures w14:val="none"/>
        </w:rPr>
        <w:t xml:space="preserve"> [Accessed 23 Feb. 2023].</w:t>
      </w:r>
    </w:p>
    <w:p w14:paraId="6FEBB5AD"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Peng, X., </w:t>
      </w:r>
      <w:proofErr w:type="spellStart"/>
      <w:r w:rsidRPr="008970B0">
        <w:rPr>
          <w:rFonts w:ascii="Arial" w:eastAsiaTheme="minorEastAsia" w:hAnsi="Arial" w:cs="Arial"/>
          <w:color w:val="44546A" w:themeColor="text2"/>
          <w:kern w:val="0"/>
          <w:lang w:val="en-US"/>
          <w14:ligatures w14:val="none"/>
        </w:rPr>
        <w:t>Prybutok</w:t>
      </w:r>
      <w:proofErr w:type="spellEnd"/>
      <w:r w:rsidRPr="008970B0">
        <w:rPr>
          <w:rFonts w:ascii="Arial" w:eastAsiaTheme="minorEastAsia" w:hAnsi="Arial" w:cs="Arial"/>
          <w:color w:val="44546A" w:themeColor="text2"/>
          <w:kern w:val="0"/>
          <w:lang w:val="en-US"/>
          <w14:ligatures w14:val="none"/>
        </w:rPr>
        <w:t xml:space="preserve">, V. and </w:t>
      </w:r>
      <w:proofErr w:type="spellStart"/>
      <w:r w:rsidRPr="008970B0">
        <w:rPr>
          <w:rFonts w:ascii="Arial" w:eastAsiaTheme="minorEastAsia" w:hAnsi="Arial" w:cs="Arial"/>
          <w:color w:val="44546A" w:themeColor="text2"/>
          <w:kern w:val="0"/>
          <w:lang w:val="en-US"/>
          <w14:ligatures w14:val="none"/>
        </w:rPr>
        <w:t>Xie</w:t>
      </w:r>
      <w:proofErr w:type="spellEnd"/>
      <w:r w:rsidRPr="008970B0">
        <w:rPr>
          <w:rFonts w:ascii="Arial" w:eastAsiaTheme="minorEastAsia" w:hAnsi="Arial" w:cs="Arial"/>
          <w:color w:val="44546A" w:themeColor="text2"/>
          <w:kern w:val="0"/>
          <w:lang w:val="en-US"/>
          <w14:ligatures w14:val="none"/>
        </w:rPr>
        <w:t xml:space="preserve">, H. (2019). Integration of supply chain management and quality management within a quality focused organizational framework. </w:t>
      </w:r>
      <w:r w:rsidRPr="008970B0">
        <w:rPr>
          <w:rFonts w:ascii="Arial" w:eastAsiaTheme="minorEastAsia" w:hAnsi="Arial" w:cs="Arial"/>
          <w:i/>
          <w:iCs/>
          <w:color w:val="44546A" w:themeColor="text2"/>
          <w:kern w:val="0"/>
          <w:lang w:val="en-US"/>
          <w14:ligatures w14:val="none"/>
        </w:rPr>
        <w:t>International Journal of Production Research</w:t>
      </w:r>
      <w:r w:rsidRPr="008970B0">
        <w:rPr>
          <w:rFonts w:ascii="Arial" w:eastAsiaTheme="minorEastAsia" w:hAnsi="Arial" w:cs="Arial"/>
          <w:color w:val="44546A" w:themeColor="text2"/>
          <w:kern w:val="0"/>
          <w:lang w:val="en-US"/>
          <w14:ligatures w14:val="none"/>
        </w:rPr>
        <w:t xml:space="preserve">, pp.1–19. </w:t>
      </w:r>
      <w:proofErr w:type="spellStart"/>
      <w:r w:rsidRPr="008970B0">
        <w:rPr>
          <w:rFonts w:ascii="Arial" w:eastAsiaTheme="minorEastAsia" w:hAnsi="Arial" w:cs="Arial"/>
          <w:color w:val="44546A" w:themeColor="text2"/>
          <w:kern w:val="0"/>
          <w:lang w:val="en-US"/>
          <w14:ligatures w14:val="none"/>
        </w:rPr>
        <w:t>doi:</w:t>
      </w:r>
      <w:hyperlink r:id="rId23" w:history="1">
        <w:r w:rsidRPr="008970B0">
          <w:rPr>
            <w:rFonts w:ascii="Arial" w:eastAsiaTheme="minorEastAsia" w:hAnsi="Arial" w:cs="Arial"/>
            <w:color w:val="44546A" w:themeColor="text2"/>
            <w:kern w:val="0"/>
            <w:lang w:val="en-US"/>
            <w14:ligatures w14:val="none"/>
          </w:rPr>
          <w:t>https</w:t>
        </w:r>
        <w:proofErr w:type="spellEnd"/>
        <w:r w:rsidRPr="008970B0">
          <w:rPr>
            <w:rFonts w:ascii="Arial" w:eastAsiaTheme="minorEastAsia" w:hAnsi="Arial" w:cs="Arial"/>
            <w:color w:val="44546A" w:themeColor="text2"/>
            <w:kern w:val="0"/>
            <w:lang w:val="en-US"/>
            <w14:ligatures w14:val="none"/>
          </w:rPr>
          <w:t>://doi.org/10.1080/00207543.2019.1593548</w:t>
        </w:r>
      </w:hyperlink>
      <w:r w:rsidRPr="008970B0">
        <w:rPr>
          <w:rFonts w:ascii="Arial" w:eastAsiaTheme="minorEastAsia" w:hAnsi="Arial" w:cs="Arial"/>
          <w:color w:val="44546A" w:themeColor="text2"/>
          <w:kern w:val="0"/>
          <w:lang w:val="en-US"/>
          <w14:ligatures w14:val="none"/>
        </w:rPr>
        <w:t>.</w:t>
      </w:r>
    </w:p>
    <w:p w14:paraId="40A590E7"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Practice </w:t>
      </w:r>
      <w:proofErr w:type="gramStart"/>
      <w:r w:rsidRPr="008970B0">
        <w:rPr>
          <w:rFonts w:ascii="Arial" w:eastAsiaTheme="minorEastAsia" w:hAnsi="Arial" w:cs="Arial"/>
          <w:color w:val="44546A" w:themeColor="text2"/>
          <w:kern w:val="0"/>
          <w:lang w:val="en-US"/>
          <w14:ligatures w14:val="none"/>
        </w:rPr>
        <w:t>ltd</w:t>
      </w:r>
      <w:proofErr w:type="gramEnd"/>
      <w:r w:rsidRPr="008970B0">
        <w:rPr>
          <w:rFonts w:ascii="Arial" w:eastAsiaTheme="minorEastAsia" w:hAnsi="Arial" w:cs="Arial"/>
          <w:color w:val="44546A" w:themeColor="text2"/>
          <w:kern w:val="0"/>
          <w:lang w:val="en-US"/>
          <w14:ligatures w14:val="none"/>
        </w:rPr>
        <w:t xml:space="preserve">, F. (2022). </w:t>
      </w:r>
      <w:r w:rsidRPr="008970B0">
        <w:rPr>
          <w:rFonts w:ascii="Arial" w:eastAsiaTheme="minorEastAsia" w:hAnsi="Arial" w:cs="Arial"/>
          <w:i/>
          <w:iCs/>
          <w:color w:val="44546A" w:themeColor="text2"/>
          <w:kern w:val="0"/>
          <w:lang w:val="en-US"/>
          <w14:ligatures w14:val="none"/>
        </w:rPr>
        <w:t>The Furniture Practice</w:t>
      </w:r>
      <w:r w:rsidRPr="008970B0">
        <w:rPr>
          <w:rFonts w:ascii="Arial" w:eastAsiaTheme="minorEastAsia" w:hAnsi="Arial" w:cs="Arial"/>
          <w:color w:val="44546A" w:themeColor="text2"/>
          <w:kern w:val="0"/>
          <w:lang w:val="en-US"/>
          <w14:ligatures w14:val="none"/>
        </w:rPr>
        <w:t xml:space="preserve">. [online] The Furniture Practice. Available at: </w:t>
      </w:r>
      <w:hyperlink r:id="rId24" w:history="1">
        <w:r w:rsidRPr="008970B0">
          <w:rPr>
            <w:rFonts w:ascii="Arial" w:eastAsiaTheme="minorEastAsia" w:hAnsi="Arial" w:cs="Arial"/>
            <w:color w:val="44546A" w:themeColor="text2"/>
            <w:kern w:val="0"/>
            <w:lang w:val="en-US"/>
            <w14:ligatures w14:val="none"/>
          </w:rPr>
          <w:t>https://www.thefurniturepractice.com/journal/the-furniture-practice-report-spring-summer-fairs-2022</w:t>
        </w:r>
      </w:hyperlink>
      <w:r w:rsidRPr="008970B0">
        <w:rPr>
          <w:rFonts w:ascii="Arial" w:eastAsiaTheme="minorEastAsia" w:hAnsi="Arial" w:cs="Arial"/>
          <w:color w:val="44546A" w:themeColor="text2"/>
          <w:kern w:val="0"/>
          <w:lang w:val="en-US"/>
          <w14:ligatures w14:val="none"/>
        </w:rPr>
        <w:t xml:space="preserve"> [Accessed 15 Apr. 2023].</w:t>
      </w:r>
    </w:p>
    <w:p w14:paraId="2AB4CCDB"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proofErr w:type="spellStart"/>
      <w:r w:rsidRPr="008970B0">
        <w:rPr>
          <w:rFonts w:ascii="Arial" w:eastAsiaTheme="minorEastAsia" w:hAnsi="Arial" w:cs="Arial"/>
          <w:color w:val="44546A" w:themeColor="text2"/>
          <w:kern w:val="0"/>
          <w:lang w:val="en-US"/>
          <w14:ligatures w14:val="none"/>
        </w:rPr>
        <w:t>Prodromos</w:t>
      </w:r>
      <w:proofErr w:type="spellEnd"/>
      <w:r w:rsidRPr="008970B0">
        <w:rPr>
          <w:rFonts w:ascii="Arial" w:eastAsiaTheme="minorEastAsia" w:hAnsi="Arial" w:cs="Arial"/>
          <w:color w:val="44546A" w:themeColor="text2"/>
          <w:kern w:val="0"/>
          <w:lang w:val="en-US"/>
          <w14:ligatures w14:val="none"/>
        </w:rPr>
        <w:t xml:space="preserve">, C., </w:t>
      </w:r>
      <w:proofErr w:type="spellStart"/>
      <w:r w:rsidRPr="008970B0">
        <w:rPr>
          <w:rFonts w:ascii="Arial" w:eastAsiaTheme="minorEastAsia" w:hAnsi="Arial" w:cs="Arial"/>
          <w:color w:val="44546A" w:themeColor="text2"/>
          <w:kern w:val="0"/>
          <w:lang w:val="en-US"/>
          <w14:ligatures w14:val="none"/>
        </w:rPr>
        <w:t>Dimitrios</w:t>
      </w:r>
      <w:proofErr w:type="spellEnd"/>
      <w:r w:rsidRPr="008970B0">
        <w:rPr>
          <w:rFonts w:ascii="Arial" w:eastAsiaTheme="minorEastAsia" w:hAnsi="Arial" w:cs="Arial"/>
          <w:color w:val="44546A" w:themeColor="text2"/>
          <w:kern w:val="0"/>
          <w:lang w:val="en-US"/>
          <w14:ligatures w14:val="none"/>
        </w:rPr>
        <w:t xml:space="preserve">, C., </w:t>
      </w:r>
      <w:proofErr w:type="spellStart"/>
      <w:r w:rsidRPr="008970B0">
        <w:rPr>
          <w:rFonts w:ascii="Arial" w:eastAsiaTheme="minorEastAsia" w:hAnsi="Arial" w:cs="Arial"/>
          <w:color w:val="44546A" w:themeColor="text2"/>
          <w:kern w:val="0"/>
          <w:lang w:val="en-US"/>
          <w14:ligatures w14:val="none"/>
        </w:rPr>
        <w:t>Dimitrios</w:t>
      </w:r>
      <w:proofErr w:type="spellEnd"/>
      <w:r w:rsidRPr="008970B0">
        <w:rPr>
          <w:rFonts w:ascii="Arial" w:eastAsiaTheme="minorEastAsia" w:hAnsi="Arial" w:cs="Arial"/>
          <w:color w:val="44546A" w:themeColor="text2"/>
          <w:kern w:val="0"/>
          <w:lang w:val="en-US"/>
          <w14:ligatures w14:val="none"/>
        </w:rPr>
        <w:t xml:space="preserve">, </w:t>
      </w:r>
      <w:proofErr w:type="spellStart"/>
      <w:r w:rsidRPr="008970B0">
        <w:rPr>
          <w:rFonts w:ascii="Arial" w:eastAsiaTheme="minorEastAsia" w:hAnsi="Arial" w:cs="Arial"/>
          <w:color w:val="44546A" w:themeColor="text2"/>
          <w:kern w:val="0"/>
          <w:lang w:val="en-US"/>
          <w14:ligatures w14:val="none"/>
        </w:rPr>
        <w:t>lazaros</w:t>
      </w:r>
      <w:proofErr w:type="spellEnd"/>
      <w:r w:rsidRPr="008970B0">
        <w:rPr>
          <w:rFonts w:ascii="Arial" w:eastAsiaTheme="minorEastAsia" w:hAnsi="Arial" w:cs="Arial"/>
          <w:color w:val="44546A" w:themeColor="text2"/>
          <w:kern w:val="0"/>
          <w:lang w:val="en-US"/>
          <w14:ligatures w14:val="none"/>
        </w:rPr>
        <w:t xml:space="preserve">, S., </w:t>
      </w:r>
      <w:proofErr w:type="spellStart"/>
      <w:r w:rsidRPr="008970B0">
        <w:rPr>
          <w:rFonts w:ascii="Arial" w:eastAsiaTheme="minorEastAsia" w:hAnsi="Arial" w:cs="Arial"/>
          <w:color w:val="44546A" w:themeColor="text2"/>
          <w:kern w:val="0"/>
          <w:lang w:val="en-US"/>
          <w14:ligatures w14:val="none"/>
        </w:rPr>
        <w:t>Lazaros</w:t>
      </w:r>
      <w:proofErr w:type="spellEnd"/>
      <w:r w:rsidRPr="008970B0">
        <w:rPr>
          <w:rFonts w:ascii="Arial" w:eastAsiaTheme="minorEastAsia" w:hAnsi="Arial" w:cs="Arial"/>
          <w:color w:val="44546A" w:themeColor="text2"/>
          <w:kern w:val="0"/>
          <w:lang w:val="en-US"/>
          <w14:ligatures w14:val="none"/>
        </w:rPr>
        <w:t xml:space="preserve"> and Georgios, T., Georgios (2018). </w:t>
      </w:r>
      <w:r w:rsidRPr="008970B0">
        <w:rPr>
          <w:rFonts w:ascii="Arial" w:eastAsiaTheme="minorEastAsia" w:hAnsi="Arial" w:cs="Arial"/>
          <w:i/>
          <w:iCs/>
          <w:color w:val="44546A" w:themeColor="text2"/>
          <w:kern w:val="0"/>
          <w:lang w:val="en-US"/>
          <w14:ligatures w14:val="none"/>
        </w:rPr>
        <w:t>https://librarysearch.uwtsd.ac.uk/discovery/fulldisplay?docid=cdi_crossref_primary_10_1108_MRR_10_2016_0243&amp;context=PC&amp;vid=44WHELF_UWTSD:44WHELF_UWTSD_VU1&amp;lang=en&amp;search_scope=Search_ELEC&amp;adaptor=Primo%2520Central&amp;tab=Everything&amp;query=any</w:t>
      </w:r>
      <w:r w:rsidRPr="008970B0">
        <w:rPr>
          <w:rFonts w:ascii="Arial" w:eastAsiaTheme="minorEastAsia" w:hAnsi="Arial" w:cs="Arial"/>
          <w:color w:val="44546A" w:themeColor="text2"/>
          <w:kern w:val="0"/>
          <w:lang w:val="en-US"/>
          <w14:ligatures w14:val="none"/>
        </w:rPr>
        <w:t xml:space="preserve">. [online] librarysearch.uwtsd.ac.uk. Available at: </w:t>
      </w:r>
      <w:hyperlink r:id="rId25" w:history="1">
        <w:r w:rsidRPr="008970B0">
          <w:rPr>
            <w:rFonts w:ascii="Arial" w:eastAsiaTheme="minorEastAsia" w:hAnsi="Arial" w:cs="Arial"/>
            <w:color w:val="44546A" w:themeColor="text2"/>
            <w:kern w:val="0"/>
            <w:lang w:val="en-US"/>
            <w14:ligatures w14:val="none"/>
          </w:rPr>
          <w:t>https://librarysearch.uwtsd.ac.uk/discovery/fulldisplay?docid=cdi_crossref_primary_10_1108_MRR_10_2016_0243&amp;context=PC&amp;vid=44WHELF_UWTSD:44WHELF_UWTSD_VU1&amp;lang=en&amp;search_scope=Search_ELEC&amp;adaptor=Primo%20Central&amp;tab=Everything&amp;query=any</w:t>
        </w:r>
      </w:hyperlink>
      <w:r w:rsidRPr="008970B0">
        <w:rPr>
          <w:rFonts w:ascii="Arial" w:eastAsiaTheme="minorEastAsia" w:hAnsi="Arial" w:cs="Arial"/>
          <w:color w:val="44546A" w:themeColor="text2"/>
          <w:kern w:val="0"/>
          <w:lang w:val="en-US"/>
          <w14:ligatures w14:val="none"/>
        </w:rPr>
        <w:t xml:space="preserve"> [Accessed 13 Apr. 2023].</w:t>
      </w:r>
    </w:p>
    <w:p w14:paraId="7523A65A"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Salzmann, O., Ionescu-</w:t>
      </w:r>
      <w:proofErr w:type="spellStart"/>
      <w:r w:rsidRPr="008970B0">
        <w:rPr>
          <w:rFonts w:ascii="Arial" w:eastAsiaTheme="minorEastAsia" w:hAnsi="Arial" w:cs="Arial"/>
          <w:color w:val="44546A" w:themeColor="text2"/>
          <w:kern w:val="0"/>
          <w:lang w:val="en-US"/>
          <w14:ligatures w14:val="none"/>
        </w:rPr>
        <w:t>somers</w:t>
      </w:r>
      <w:proofErr w:type="spellEnd"/>
      <w:r w:rsidRPr="008970B0">
        <w:rPr>
          <w:rFonts w:ascii="Arial" w:eastAsiaTheme="minorEastAsia" w:hAnsi="Arial" w:cs="Arial"/>
          <w:color w:val="44546A" w:themeColor="text2"/>
          <w:kern w:val="0"/>
          <w:lang w:val="en-US"/>
          <w14:ligatures w14:val="none"/>
        </w:rPr>
        <w:t xml:space="preserve">, A. and Steger, U. (2005). The Business Case for Corporate Sustainability: </w:t>
      </w:r>
      <w:r w:rsidRPr="008970B0">
        <w:rPr>
          <w:rFonts w:ascii="Arial" w:eastAsiaTheme="minorEastAsia" w:hAnsi="Arial" w:cs="Arial"/>
          <w:i/>
          <w:iCs/>
          <w:color w:val="44546A" w:themeColor="text2"/>
          <w:kern w:val="0"/>
          <w:lang w:val="en-US"/>
          <w14:ligatures w14:val="none"/>
        </w:rPr>
        <w:t>European Management Journal</w:t>
      </w:r>
      <w:r w:rsidRPr="008970B0">
        <w:rPr>
          <w:rFonts w:ascii="Arial" w:eastAsiaTheme="minorEastAsia" w:hAnsi="Arial" w:cs="Arial"/>
          <w:color w:val="44546A" w:themeColor="text2"/>
          <w:kern w:val="0"/>
          <w:lang w:val="en-US"/>
          <w14:ligatures w14:val="none"/>
        </w:rPr>
        <w:t xml:space="preserve">, [online] 23(1), pp.27–36. </w:t>
      </w:r>
      <w:proofErr w:type="spellStart"/>
      <w:r w:rsidRPr="008970B0">
        <w:rPr>
          <w:rFonts w:ascii="Arial" w:eastAsiaTheme="minorEastAsia" w:hAnsi="Arial" w:cs="Arial"/>
          <w:color w:val="44546A" w:themeColor="text2"/>
          <w:kern w:val="0"/>
          <w:lang w:val="en-US"/>
          <w14:ligatures w14:val="none"/>
        </w:rPr>
        <w:t>doi:</w:t>
      </w:r>
      <w:hyperlink r:id="rId26" w:history="1">
        <w:r w:rsidRPr="008970B0">
          <w:rPr>
            <w:rFonts w:ascii="Arial" w:eastAsiaTheme="minorEastAsia" w:hAnsi="Arial" w:cs="Arial"/>
            <w:color w:val="44546A" w:themeColor="text2"/>
            <w:kern w:val="0"/>
            <w:lang w:val="en-US"/>
            <w14:ligatures w14:val="none"/>
          </w:rPr>
          <w:t>https</w:t>
        </w:r>
        <w:proofErr w:type="spellEnd"/>
        <w:r w:rsidRPr="008970B0">
          <w:rPr>
            <w:rFonts w:ascii="Arial" w:eastAsiaTheme="minorEastAsia" w:hAnsi="Arial" w:cs="Arial"/>
            <w:color w:val="44546A" w:themeColor="text2"/>
            <w:kern w:val="0"/>
            <w:lang w:val="en-US"/>
            <w14:ligatures w14:val="none"/>
          </w:rPr>
          <w:t>://doi.org/10.1016/j.emj.2004.12.007</w:t>
        </w:r>
      </w:hyperlink>
      <w:r w:rsidRPr="008970B0">
        <w:rPr>
          <w:rFonts w:ascii="Arial" w:eastAsiaTheme="minorEastAsia" w:hAnsi="Arial" w:cs="Arial"/>
          <w:color w:val="44546A" w:themeColor="text2"/>
          <w:kern w:val="0"/>
          <w:lang w:val="en-US"/>
          <w14:ligatures w14:val="none"/>
        </w:rPr>
        <w:t>.</w:t>
      </w:r>
    </w:p>
    <w:p w14:paraId="73B1BEC2"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website (2023). </w:t>
      </w:r>
      <w:r w:rsidRPr="008970B0">
        <w:rPr>
          <w:rFonts w:ascii="Arial" w:eastAsiaTheme="minorEastAsia" w:hAnsi="Arial" w:cs="Arial"/>
          <w:i/>
          <w:iCs/>
          <w:color w:val="44546A" w:themeColor="text2"/>
          <w:kern w:val="0"/>
          <w:lang w:val="en-US"/>
          <w14:ligatures w14:val="none"/>
        </w:rPr>
        <w:t>The Furniture Practice</w:t>
      </w:r>
      <w:r w:rsidRPr="008970B0">
        <w:rPr>
          <w:rFonts w:ascii="Arial" w:eastAsiaTheme="minorEastAsia" w:hAnsi="Arial" w:cs="Arial"/>
          <w:color w:val="44546A" w:themeColor="text2"/>
          <w:kern w:val="0"/>
          <w:lang w:val="en-US"/>
          <w14:ligatures w14:val="none"/>
        </w:rPr>
        <w:t xml:space="preserve">. [online] The Furniture Practice. Available at: </w:t>
      </w:r>
      <w:hyperlink r:id="rId27" w:history="1">
        <w:r w:rsidRPr="008970B0">
          <w:rPr>
            <w:rFonts w:ascii="Arial" w:eastAsiaTheme="minorEastAsia" w:hAnsi="Arial" w:cs="Arial"/>
            <w:color w:val="44546A" w:themeColor="text2"/>
            <w:kern w:val="0"/>
            <w:lang w:val="en-US"/>
            <w14:ligatures w14:val="none"/>
          </w:rPr>
          <w:t>https://www.thefurniturepractice.com/</w:t>
        </w:r>
      </w:hyperlink>
      <w:r w:rsidRPr="008970B0">
        <w:rPr>
          <w:rFonts w:ascii="Arial" w:eastAsiaTheme="minorEastAsia" w:hAnsi="Arial" w:cs="Arial"/>
          <w:color w:val="44546A" w:themeColor="text2"/>
          <w:kern w:val="0"/>
          <w:lang w:val="en-US"/>
          <w14:ligatures w14:val="none"/>
        </w:rPr>
        <w:t xml:space="preserve"> [Accessed 23 Feb. 2023].</w:t>
      </w:r>
    </w:p>
    <w:p w14:paraId="04F00042" w14:textId="77777777" w:rsidR="00E57419" w:rsidRPr="008970B0" w:rsidRDefault="00E57419" w:rsidP="00E57419">
      <w:pPr>
        <w:widowControl w:val="0"/>
        <w:autoSpaceDE w:val="0"/>
        <w:autoSpaceDN w:val="0"/>
        <w:adjustRightInd w:val="0"/>
        <w:spacing w:after="240" w:line="360" w:lineRule="auto"/>
        <w:rPr>
          <w:rFonts w:ascii="Arial" w:eastAsiaTheme="minorEastAsia" w:hAnsi="Arial" w:cs="Arial"/>
          <w:color w:val="44546A" w:themeColor="text2"/>
          <w:kern w:val="0"/>
          <w:lang w:val="en-US"/>
          <w14:ligatures w14:val="none"/>
        </w:rPr>
      </w:pPr>
      <w:r w:rsidRPr="008970B0">
        <w:rPr>
          <w:rFonts w:ascii="Arial" w:eastAsiaTheme="minorEastAsia" w:hAnsi="Arial" w:cs="Arial"/>
          <w:color w:val="44546A" w:themeColor="text2"/>
          <w:kern w:val="0"/>
          <w:lang w:val="en-US"/>
          <w14:ligatures w14:val="none"/>
        </w:rPr>
        <w:t xml:space="preserve">Wille, E. (2004). </w:t>
      </w:r>
      <w:r w:rsidRPr="008970B0">
        <w:rPr>
          <w:rFonts w:ascii="Arial" w:eastAsiaTheme="minorEastAsia" w:hAnsi="Arial" w:cs="Arial"/>
          <w:i/>
          <w:iCs/>
          <w:color w:val="44546A" w:themeColor="text2"/>
          <w:kern w:val="0"/>
          <w:lang w:val="en-US"/>
          <w14:ligatures w14:val="none"/>
        </w:rPr>
        <w:t>What is strategy - and does it matter by Richard Whittington, 2001</w:t>
      </w:r>
      <w:r w:rsidRPr="008970B0">
        <w:rPr>
          <w:rFonts w:ascii="Arial" w:eastAsiaTheme="minorEastAsia" w:hAnsi="Arial" w:cs="Arial"/>
          <w:color w:val="44546A" w:themeColor="text2"/>
          <w:kern w:val="0"/>
          <w:lang w:val="en-US"/>
          <w14:ligatures w14:val="none"/>
        </w:rPr>
        <w:t xml:space="preserve">. [online] www.bd-cons.com. Available at: </w:t>
      </w:r>
      <w:hyperlink r:id="rId28" w:history="1">
        <w:r w:rsidRPr="008970B0">
          <w:rPr>
            <w:rFonts w:ascii="Arial" w:eastAsiaTheme="minorEastAsia" w:hAnsi="Arial" w:cs="Arial"/>
            <w:color w:val="44546A" w:themeColor="text2"/>
            <w:kern w:val="0"/>
            <w:lang w:val="en-US"/>
            <w14:ligatures w14:val="none"/>
          </w:rPr>
          <w:t>http://www.bd-cons.com/site/brwhatisstrategy.htm@opendocument.htm</w:t>
        </w:r>
      </w:hyperlink>
      <w:r w:rsidRPr="008970B0">
        <w:rPr>
          <w:rFonts w:ascii="Arial" w:eastAsiaTheme="minorEastAsia" w:hAnsi="Arial" w:cs="Arial"/>
          <w:color w:val="44546A" w:themeColor="text2"/>
          <w:kern w:val="0"/>
          <w:lang w:val="en-US"/>
          <w14:ligatures w14:val="none"/>
        </w:rPr>
        <w:t xml:space="preserve"> [Accessed 11 Apr. 2023].</w:t>
      </w:r>
    </w:p>
    <w:p w14:paraId="74CFFCF4" w14:textId="77777777" w:rsidR="00E57419" w:rsidRPr="008970B0" w:rsidRDefault="00E57419" w:rsidP="00E57419">
      <w:pPr>
        <w:spacing w:line="360" w:lineRule="auto"/>
        <w:jc w:val="both"/>
        <w:rPr>
          <w:rFonts w:ascii="Arial" w:hAnsi="Arial" w:cs="Arial"/>
          <w:color w:val="44546A" w:themeColor="text2"/>
        </w:rPr>
      </w:pPr>
    </w:p>
    <w:sectPr w:rsidR="00E57419" w:rsidRPr="008970B0" w:rsidSect="00A8302E">
      <w:footerReference w:type="defaul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D3776" w14:textId="77777777" w:rsidR="00A10D3C" w:rsidRDefault="00A10D3C" w:rsidP="00115686">
      <w:pPr>
        <w:spacing w:after="0" w:line="240" w:lineRule="auto"/>
      </w:pPr>
      <w:r>
        <w:separator/>
      </w:r>
    </w:p>
  </w:endnote>
  <w:endnote w:type="continuationSeparator" w:id="0">
    <w:p w14:paraId="13E477D2" w14:textId="77777777" w:rsidR="00A10D3C" w:rsidRDefault="00A10D3C" w:rsidP="00115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3333446"/>
      <w:docPartObj>
        <w:docPartGallery w:val="Page Numbers (Bottom of Page)"/>
        <w:docPartUnique/>
      </w:docPartObj>
    </w:sdtPr>
    <w:sdtEndPr>
      <w:rPr>
        <w:noProof/>
      </w:rPr>
    </w:sdtEndPr>
    <w:sdtContent>
      <w:p w14:paraId="0B5B92DB" w14:textId="702BD7F4" w:rsidR="00115686" w:rsidRDefault="001156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59184E" w14:textId="77777777" w:rsidR="00115686" w:rsidRDefault="00115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0CBEB" w14:textId="77777777" w:rsidR="00A10D3C" w:rsidRDefault="00A10D3C" w:rsidP="00115686">
      <w:pPr>
        <w:spacing w:after="0" w:line="240" w:lineRule="auto"/>
      </w:pPr>
      <w:r>
        <w:separator/>
      </w:r>
    </w:p>
  </w:footnote>
  <w:footnote w:type="continuationSeparator" w:id="0">
    <w:p w14:paraId="2716CD87" w14:textId="77777777" w:rsidR="00A10D3C" w:rsidRDefault="00A10D3C" w:rsidP="00115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70F6"/>
    <w:multiLevelType w:val="multilevel"/>
    <w:tmpl w:val="BCDCF6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137C05"/>
    <w:multiLevelType w:val="multilevel"/>
    <w:tmpl w:val="313E9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24219F"/>
    <w:multiLevelType w:val="hybridMultilevel"/>
    <w:tmpl w:val="F984D9FA"/>
    <w:lvl w:ilvl="0" w:tplc="0D2250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452F17"/>
    <w:multiLevelType w:val="hybridMultilevel"/>
    <w:tmpl w:val="0F2E9972"/>
    <w:lvl w:ilvl="0" w:tplc="F9F6D752">
      <w:start w:val="2023"/>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715D96"/>
    <w:multiLevelType w:val="multilevel"/>
    <w:tmpl w:val="296EE9E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860182"/>
    <w:multiLevelType w:val="multilevel"/>
    <w:tmpl w:val="13283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8E7DC4"/>
    <w:multiLevelType w:val="multilevel"/>
    <w:tmpl w:val="2C122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E21534"/>
    <w:multiLevelType w:val="multilevel"/>
    <w:tmpl w:val="2C203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D44010"/>
    <w:multiLevelType w:val="hybridMultilevel"/>
    <w:tmpl w:val="C4A23294"/>
    <w:lvl w:ilvl="0" w:tplc="C22C951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452D17"/>
    <w:multiLevelType w:val="hybridMultilevel"/>
    <w:tmpl w:val="3AF4F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2B5B01"/>
    <w:multiLevelType w:val="multilevel"/>
    <w:tmpl w:val="1AD4A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737F98"/>
    <w:multiLevelType w:val="hybridMultilevel"/>
    <w:tmpl w:val="FC76ECF6"/>
    <w:lvl w:ilvl="0" w:tplc="50C85E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F0023B"/>
    <w:multiLevelType w:val="multilevel"/>
    <w:tmpl w:val="5B647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2C02BF"/>
    <w:multiLevelType w:val="multilevel"/>
    <w:tmpl w:val="0172C0C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5961451"/>
    <w:multiLevelType w:val="multilevel"/>
    <w:tmpl w:val="5C42AB7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6CC1B1B"/>
    <w:multiLevelType w:val="multilevel"/>
    <w:tmpl w:val="01FEC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B40277"/>
    <w:multiLevelType w:val="hybridMultilevel"/>
    <w:tmpl w:val="BAF8399C"/>
    <w:lvl w:ilvl="0" w:tplc="7C4832AE">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E035093"/>
    <w:multiLevelType w:val="multilevel"/>
    <w:tmpl w:val="97CE257A"/>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5F8C3F6F"/>
    <w:multiLevelType w:val="multilevel"/>
    <w:tmpl w:val="A0E27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C92BB2"/>
    <w:multiLevelType w:val="multilevel"/>
    <w:tmpl w:val="33E2E36E"/>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B48001E"/>
    <w:multiLevelType w:val="multilevel"/>
    <w:tmpl w:val="4A66926A"/>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BA27B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CB81A47"/>
    <w:multiLevelType w:val="multilevel"/>
    <w:tmpl w:val="B3AA0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D30CFD"/>
    <w:multiLevelType w:val="multilevel"/>
    <w:tmpl w:val="E638A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8D5ADA"/>
    <w:multiLevelType w:val="multilevel"/>
    <w:tmpl w:val="C4BCF7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94A5F15"/>
    <w:multiLevelType w:val="multilevel"/>
    <w:tmpl w:val="EB0A9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B8394E"/>
    <w:multiLevelType w:val="multilevel"/>
    <w:tmpl w:val="BCDCF6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D9331B2"/>
    <w:multiLevelType w:val="multilevel"/>
    <w:tmpl w:val="5E960A3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ECD4F04"/>
    <w:multiLevelType w:val="multilevel"/>
    <w:tmpl w:val="8E18D8F6"/>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7FE26390"/>
    <w:multiLevelType w:val="multilevel"/>
    <w:tmpl w:val="D20A5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3304412">
    <w:abstractNumId w:val="7"/>
  </w:num>
  <w:num w:numId="2" w16cid:durableId="1367678776">
    <w:abstractNumId w:val="6"/>
  </w:num>
  <w:num w:numId="3" w16cid:durableId="1378969041">
    <w:abstractNumId w:val="23"/>
  </w:num>
  <w:num w:numId="4" w16cid:durableId="1529172280">
    <w:abstractNumId w:val="25"/>
  </w:num>
  <w:num w:numId="5" w16cid:durableId="639386263">
    <w:abstractNumId w:val="15"/>
  </w:num>
  <w:num w:numId="6" w16cid:durableId="1876652407">
    <w:abstractNumId w:val="1"/>
  </w:num>
  <w:num w:numId="7" w16cid:durableId="745423496">
    <w:abstractNumId w:val="10"/>
  </w:num>
  <w:num w:numId="8" w16cid:durableId="619650593">
    <w:abstractNumId w:val="12"/>
  </w:num>
  <w:num w:numId="9" w16cid:durableId="416023811">
    <w:abstractNumId w:val="29"/>
  </w:num>
  <w:num w:numId="10" w16cid:durableId="1650283249">
    <w:abstractNumId w:val="22"/>
  </w:num>
  <w:num w:numId="11" w16cid:durableId="505289442">
    <w:abstractNumId w:val="18"/>
  </w:num>
  <w:num w:numId="12" w16cid:durableId="1121996388">
    <w:abstractNumId w:val="2"/>
  </w:num>
  <w:num w:numId="13" w16cid:durableId="1804618926">
    <w:abstractNumId w:val="3"/>
  </w:num>
  <w:num w:numId="14" w16cid:durableId="2014992731">
    <w:abstractNumId w:val="16"/>
  </w:num>
  <w:num w:numId="15" w16cid:durableId="1346441571">
    <w:abstractNumId w:val="14"/>
  </w:num>
  <w:num w:numId="16" w16cid:durableId="10646638">
    <w:abstractNumId w:val="8"/>
  </w:num>
  <w:num w:numId="17" w16cid:durableId="1133644420">
    <w:abstractNumId w:val="4"/>
  </w:num>
  <w:num w:numId="18" w16cid:durableId="1452817920">
    <w:abstractNumId w:val="27"/>
  </w:num>
  <w:num w:numId="19" w16cid:durableId="1995448999">
    <w:abstractNumId w:val="11"/>
  </w:num>
  <w:num w:numId="20" w16cid:durableId="2016767212">
    <w:abstractNumId w:val="21"/>
  </w:num>
  <w:num w:numId="21" w16cid:durableId="1484002214">
    <w:abstractNumId w:val="0"/>
  </w:num>
  <w:num w:numId="22" w16cid:durableId="935023219">
    <w:abstractNumId w:val="26"/>
  </w:num>
  <w:num w:numId="23" w16cid:durableId="346369145">
    <w:abstractNumId w:val="5"/>
  </w:num>
  <w:num w:numId="24" w16cid:durableId="903370394">
    <w:abstractNumId w:val="9"/>
  </w:num>
  <w:num w:numId="25" w16cid:durableId="89859780">
    <w:abstractNumId w:val="28"/>
  </w:num>
  <w:num w:numId="26" w16cid:durableId="62217317">
    <w:abstractNumId w:val="13"/>
  </w:num>
  <w:num w:numId="27" w16cid:durableId="1252154110">
    <w:abstractNumId w:val="19"/>
  </w:num>
  <w:num w:numId="28" w16cid:durableId="1160345874">
    <w:abstractNumId w:val="24"/>
  </w:num>
  <w:num w:numId="29" w16cid:durableId="701054324">
    <w:abstractNumId w:val="20"/>
  </w:num>
  <w:num w:numId="30" w16cid:durableId="4555603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U0NbUwNjU2NDczMLJU0lEKTi0uzszPAykwqQUASdo6MiwAAAA="/>
  </w:docVars>
  <w:rsids>
    <w:rsidRoot w:val="00580386"/>
    <w:rsid w:val="0006072A"/>
    <w:rsid w:val="000947D6"/>
    <w:rsid w:val="000C6BB4"/>
    <w:rsid w:val="00115686"/>
    <w:rsid w:val="001442B9"/>
    <w:rsid w:val="001951DE"/>
    <w:rsid w:val="001B3553"/>
    <w:rsid w:val="00203FD8"/>
    <w:rsid w:val="00223642"/>
    <w:rsid w:val="00276055"/>
    <w:rsid w:val="00296521"/>
    <w:rsid w:val="004D5266"/>
    <w:rsid w:val="004E4C89"/>
    <w:rsid w:val="00542F30"/>
    <w:rsid w:val="00563973"/>
    <w:rsid w:val="00572D61"/>
    <w:rsid w:val="00580386"/>
    <w:rsid w:val="00593088"/>
    <w:rsid w:val="005B1921"/>
    <w:rsid w:val="00615F35"/>
    <w:rsid w:val="007044EB"/>
    <w:rsid w:val="00782842"/>
    <w:rsid w:val="007C4348"/>
    <w:rsid w:val="008970B0"/>
    <w:rsid w:val="009F6769"/>
    <w:rsid w:val="00A10D3C"/>
    <w:rsid w:val="00A64C70"/>
    <w:rsid w:val="00A8302E"/>
    <w:rsid w:val="00AC4A06"/>
    <w:rsid w:val="00B66D7E"/>
    <w:rsid w:val="00C20BB0"/>
    <w:rsid w:val="00D11F1A"/>
    <w:rsid w:val="00D24809"/>
    <w:rsid w:val="00E57419"/>
    <w:rsid w:val="00E758C0"/>
    <w:rsid w:val="00ED5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77D4D"/>
  <w15:chartTrackingRefBased/>
  <w15:docId w15:val="{62F81ADC-0F14-4F5F-A2EF-964703F0B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828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769"/>
    <w:pPr>
      <w:ind w:left="720"/>
      <w:contextualSpacing/>
    </w:pPr>
  </w:style>
  <w:style w:type="table" w:styleId="TableGrid">
    <w:name w:val="Table Grid"/>
    <w:basedOn w:val="TableNormal"/>
    <w:uiPriority w:val="39"/>
    <w:rsid w:val="00615F3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758C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uiPriority w:val="99"/>
    <w:unhideWhenUsed/>
    <w:rsid w:val="001156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686"/>
    <w:rPr>
      <w:lang w:val="en-GB"/>
    </w:rPr>
  </w:style>
  <w:style w:type="paragraph" w:styleId="Footer">
    <w:name w:val="footer"/>
    <w:basedOn w:val="Normal"/>
    <w:link w:val="FooterChar"/>
    <w:uiPriority w:val="99"/>
    <w:unhideWhenUsed/>
    <w:rsid w:val="001156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686"/>
    <w:rPr>
      <w:lang w:val="en-GB"/>
    </w:rPr>
  </w:style>
  <w:style w:type="character" w:customStyle="1" w:styleId="Heading1Char">
    <w:name w:val="Heading 1 Char"/>
    <w:basedOn w:val="DefaultParagraphFont"/>
    <w:link w:val="Heading1"/>
    <w:uiPriority w:val="9"/>
    <w:rsid w:val="00782842"/>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782842"/>
    <w:pPr>
      <w:outlineLvl w:val="9"/>
    </w:pPr>
    <w:rPr>
      <w:kern w:val="0"/>
      <w:lang w:val="en-US"/>
      <w14:ligatures w14:val="none"/>
    </w:rPr>
  </w:style>
  <w:style w:type="paragraph" w:styleId="TOC2">
    <w:name w:val="toc 2"/>
    <w:basedOn w:val="Normal"/>
    <w:next w:val="Normal"/>
    <w:autoRedefine/>
    <w:uiPriority w:val="39"/>
    <w:unhideWhenUsed/>
    <w:rsid w:val="00203FD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203FD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03FD8"/>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51045">
      <w:bodyDiv w:val="1"/>
      <w:marLeft w:val="0"/>
      <w:marRight w:val="0"/>
      <w:marTop w:val="0"/>
      <w:marBottom w:val="0"/>
      <w:divBdr>
        <w:top w:val="none" w:sz="0" w:space="0" w:color="auto"/>
        <w:left w:val="none" w:sz="0" w:space="0" w:color="auto"/>
        <w:bottom w:val="none" w:sz="0" w:space="0" w:color="auto"/>
        <w:right w:val="none" w:sz="0" w:space="0" w:color="auto"/>
      </w:divBdr>
    </w:div>
    <w:div w:id="162136488">
      <w:bodyDiv w:val="1"/>
      <w:marLeft w:val="0"/>
      <w:marRight w:val="0"/>
      <w:marTop w:val="0"/>
      <w:marBottom w:val="0"/>
      <w:divBdr>
        <w:top w:val="none" w:sz="0" w:space="0" w:color="auto"/>
        <w:left w:val="none" w:sz="0" w:space="0" w:color="auto"/>
        <w:bottom w:val="none" w:sz="0" w:space="0" w:color="auto"/>
        <w:right w:val="none" w:sz="0" w:space="0" w:color="auto"/>
      </w:divBdr>
    </w:div>
    <w:div w:id="553545790">
      <w:bodyDiv w:val="1"/>
      <w:marLeft w:val="0"/>
      <w:marRight w:val="0"/>
      <w:marTop w:val="0"/>
      <w:marBottom w:val="0"/>
      <w:divBdr>
        <w:top w:val="none" w:sz="0" w:space="0" w:color="auto"/>
        <w:left w:val="none" w:sz="0" w:space="0" w:color="auto"/>
        <w:bottom w:val="none" w:sz="0" w:space="0" w:color="auto"/>
        <w:right w:val="none" w:sz="0" w:space="0" w:color="auto"/>
      </w:divBdr>
      <w:divsChild>
        <w:div w:id="39135027">
          <w:marLeft w:val="0"/>
          <w:marRight w:val="0"/>
          <w:marTop w:val="0"/>
          <w:marBottom w:val="0"/>
          <w:divBdr>
            <w:top w:val="single" w:sz="2" w:space="0" w:color="C4CBD4"/>
            <w:left w:val="single" w:sz="2" w:space="0" w:color="C4CBD4"/>
            <w:bottom w:val="single" w:sz="2" w:space="0" w:color="C4CBD4"/>
            <w:right w:val="single" w:sz="2" w:space="0" w:color="C4CBD4"/>
          </w:divBdr>
        </w:div>
        <w:div w:id="1835801226">
          <w:marLeft w:val="0"/>
          <w:marRight w:val="0"/>
          <w:marTop w:val="0"/>
          <w:marBottom w:val="0"/>
          <w:divBdr>
            <w:top w:val="single" w:sz="2" w:space="0" w:color="C4CBD4"/>
            <w:left w:val="single" w:sz="2" w:space="0" w:color="C4CBD4"/>
            <w:bottom w:val="single" w:sz="2" w:space="0" w:color="C4CBD4"/>
            <w:right w:val="single" w:sz="2" w:space="0" w:color="C4CBD4"/>
          </w:divBdr>
        </w:div>
      </w:divsChild>
    </w:div>
    <w:div w:id="972827651">
      <w:bodyDiv w:val="1"/>
      <w:marLeft w:val="0"/>
      <w:marRight w:val="0"/>
      <w:marTop w:val="0"/>
      <w:marBottom w:val="0"/>
      <w:divBdr>
        <w:top w:val="none" w:sz="0" w:space="0" w:color="auto"/>
        <w:left w:val="none" w:sz="0" w:space="0" w:color="auto"/>
        <w:bottom w:val="none" w:sz="0" w:space="0" w:color="auto"/>
        <w:right w:val="none" w:sz="0" w:space="0" w:color="auto"/>
      </w:divBdr>
    </w:div>
    <w:div w:id="1213886783">
      <w:bodyDiv w:val="1"/>
      <w:marLeft w:val="0"/>
      <w:marRight w:val="0"/>
      <w:marTop w:val="0"/>
      <w:marBottom w:val="0"/>
      <w:divBdr>
        <w:top w:val="none" w:sz="0" w:space="0" w:color="auto"/>
        <w:left w:val="none" w:sz="0" w:space="0" w:color="auto"/>
        <w:bottom w:val="none" w:sz="0" w:space="0" w:color="auto"/>
        <w:right w:val="none" w:sz="0" w:space="0" w:color="auto"/>
      </w:divBdr>
    </w:div>
    <w:div w:id="1444378318">
      <w:bodyDiv w:val="1"/>
      <w:marLeft w:val="0"/>
      <w:marRight w:val="0"/>
      <w:marTop w:val="0"/>
      <w:marBottom w:val="0"/>
      <w:divBdr>
        <w:top w:val="none" w:sz="0" w:space="0" w:color="auto"/>
        <w:left w:val="none" w:sz="0" w:space="0" w:color="auto"/>
        <w:bottom w:val="none" w:sz="0" w:space="0" w:color="auto"/>
        <w:right w:val="none" w:sz="0" w:space="0" w:color="auto"/>
      </w:divBdr>
    </w:div>
    <w:div w:id="1605382478">
      <w:bodyDiv w:val="1"/>
      <w:marLeft w:val="0"/>
      <w:marRight w:val="0"/>
      <w:marTop w:val="0"/>
      <w:marBottom w:val="0"/>
      <w:divBdr>
        <w:top w:val="none" w:sz="0" w:space="0" w:color="auto"/>
        <w:left w:val="none" w:sz="0" w:space="0" w:color="auto"/>
        <w:bottom w:val="none" w:sz="0" w:space="0" w:color="auto"/>
        <w:right w:val="none" w:sz="0" w:space="0" w:color="auto"/>
      </w:divBdr>
    </w:div>
    <w:div w:id="177959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eol.com/search/article-detail?id=728400" TargetMode="External"/><Relationship Id="rId13" Type="http://schemas.openxmlformats.org/officeDocument/2006/relationships/hyperlink" Target="https://doi.org/10.1002/JSC.764" TargetMode="External"/><Relationship Id="rId18" Type="http://schemas.openxmlformats.org/officeDocument/2006/relationships/hyperlink" Target="https://doi.org/10.1080/0965254x.2013.817476" TargetMode="External"/><Relationship Id="rId26" Type="http://schemas.openxmlformats.org/officeDocument/2006/relationships/hyperlink" Target="https://doi.org/10.1016/j.emj.2004.12.007" TargetMode="External"/><Relationship Id="rId3" Type="http://schemas.openxmlformats.org/officeDocument/2006/relationships/styles" Target="styles.xml"/><Relationship Id="rId21" Type="http://schemas.openxmlformats.org/officeDocument/2006/relationships/hyperlink" Target="https://books.google.com/books?hl=hu&amp;lr=&amp;id=hsqeBQAAQBAJ&amp;oi=fnd&amp;pg=PR1&amp;dq=Enterprise+development+in+SMEs+and+entrepreneurial+firms+%5Belectronic+resource%5D+:+dynamic+processe&amp;ots=8wMHl4_v8p&amp;sig=jzZPTpVtl8hvD4jhYHQHWdFjrDg" TargetMode="External"/><Relationship Id="rId7" Type="http://schemas.openxmlformats.org/officeDocument/2006/relationships/endnotes" Target="endnotes.xml"/><Relationship Id="rId12" Type="http://schemas.openxmlformats.org/officeDocument/2006/relationships/hyperlink" Target="https://find-and-update.company-information.service.gov.uk/company/03470956/filing-history" TargetMode="External"/><Relationship Id="rId17" Type="http://schemas.openxmlformats.org/officeDocument/2006/relationships/hyperlink" Target="https://books.google.co.uk/books?hl=hu&amp;lr=&amp;id=acdsEAAAQBAJ&amp;oi=fnd&amp;pg=PP1&amp;dq=Digital+Marketing+Strategy&amp;ots=Ztik33GxnS&amp;sig=Vjxsjc0g_y_hd_VUlch8JLNjrh0&amp;redir_esc=y" TargetMode="External"/><Relationship Id="rId25" Type="http://schemas.openxmlformats.org/officeDocument/2006/relationships/hyperlink" Target="https://librarysearch.uwtsd.ac.uk/discovery/fulldisplay?docid=cdi_crossref_primary_10_1108_MRR_10_2016_0243&amp;context=PC&amp;vid=44WHELF_UWTSD:44WHELF_UWTSD_VU1&amp;lang=en&amp;search_scope=Search_ELEC&amp;adaptor=Primo%20Central&amp;tab=Everything&amp;query=any" TargetMode="External"/><Relationship Id="rId2" Type="http://schemas.openxmlformats.org/officeDocument/2006/relationships/numbering" Target="numbering.xml"/><Relationship Id="rId16" Type="http://schemas.openxmlformats.org/officeDocument/2006/relationships/hyperlink" Target="https://r1.vlereader.com/Reader?ean=9781292145136" TargetMode="External"/><Relationship Id="rId20" Type="http://schemas.openxmlformats.org/officeDocument/2006/relationships/hyperlink" Target="https://businessanalystmentor.com/vrin-framework-vrio-analysi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961722/SME-Action-Plan.pdf" TargetMode="External"/><Relationship Id="rId24" Type="http://schemas.openxmlformats.org/officeDocument/2006/relationships/hyperlink" Target="https://www.thefurniturepractice.com/journal/the-furniture-practice-report-spring-summer-fairs-2022" TargetMode="External"/><Relationship Id="rId5" Type="http://schemas.openxmlformats.org/officeDocument/2006/relationships/webSettings" Target="webSettings.xml"/><Relationship Id="rId15" Type="http://schemas.openxmlformats.org/officeDocument/2006/relationships/hyperlink" Target="https://librarysearch.uwtsd.ac.uk/discovery/fulldisplay?docid=alma99100313060102421&amp;context=L&amp;vid=44WHELF_UWTSD:44WHELF_UWTSD_VU1&amp;lang=en&amp;search_scope=Search_ELEC&amp;adaptor=Local%20Search%20Engine&amp;tab=Everything&amp;query=any" TargetMode="External"/><Relationship Id="rId23" Type="http://schemas.openxmlformats.org/officeDocument/2006/relationships/hyperlink" Target="https://doi.org/10.1080/00207543.2019.1593548" TargetMode="External"/><Relationship Id="rId28" Type="http://schemas.openxmlformats.org/officeDocument/2006/relationships/hyperlink" Target="http://www.bd-cons.com/site/brwhatisstrategy.htm@opendocument.htm" TargetMode="External"/><Relationship Id="rId10" Type="http://schemas.openxmlformats.org/officeDocument/2006/relationships/hyperlink" Target="https://go.gale.com/ps/i.do?id=GALE%7CA20509749&amp;sid=googleScholar&amp;v=2.1&amp;it=r&amp;linkaccess=abs&amp;issn=00251690&amp;p=AONE&amp;sw=w&amp;userGroupName=anon%7Ea2361819" TargetMode="External"/><Relationship Id="rId19" Type="http://schemas.openxmlformats.org/officeDocument/2006/relationships/hyperlink" Target="https://support.proquest.com/s/article/Accessibility-Statement-Ebook-Central?language=en_U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bookcentral.proquest.com/lib/trinity/detail.action?docID=5573680&amp;pq-origsite=primo" TargetMode="External"/><Relationship Id="rId14" Type="http://schemas.openxmlformats.org/officeDocument/2006/relationships/hyperlink" Target="https://books.google.co.uk/books?hl=hu&amp;lr=&amp;id=8KS4gKNgLysC&amp;oi=fnd&amp;pg=PA1&amp;dq=Exploring+strategy+:+text+and+cases&amp;ots=ZG_LQ4gJQC&amp;sig=CBFYf8MvVOPO9ew_jMfq-gfdXJY&amp;redir_esc=y" TargetMode="External"/><Relationship Id="rId22" Type="http://schemas.openxmlformats.org/officeDocument/2006/relationships/hyperlink" Target="https://www.researchgate.net/publication/271293375_The_Significance_of_Vision_and_Mission_Development_for_Enterprises_in_Slovak_Republic" TargetMode="External"/><Relationship Id="rId27" Type="http://schemas.openxmlformats.org/officeDocument/2006/relationships/hyperlink" Target="https://www.thefurniturepractice.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F3088-BE7B-428B-AC7C-9B759FFF4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21</Pages>
  <Words>7185</Words>
  <Characters>40956</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Varga (2009456)</dc:creator>
  <cp:keywords/>
  <dc:description/>
  <cp:lastModifiedBy>Valeria Varga (2009456)</cp:lastModifiedBy>
  <cp:revision>26</cp:revision>
  <dcterms:created xsi:type="dcterms:W3CDTF">2023-04-14T14:23:00Z</dcterms:created>
  <dcterms:modified xsi:type="dcterms:W3CDTF">2023-04-15T17:01:00Z</dcterms:modified>
</cp:coreProperties>
</file>