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99B7FE" w14:textId="41752B61" w:rsidR="00D5669C" w:rsidRDefault="007C01C2">
      <w:r>
        <w:t>Discuss the Weaknesses in the Athenian Democracy.</w:t>
      </w:r>
    </w:p>
    <w:p w14:paraId="470E0C6B" w14:textId="00FF3918" w:rsidR="007C01C2" w:rsidRDefault="007C01C2"/>
    <w:p w14:paraId="5A3E077D" w14:textId="1B69DF7F" w:rsidR="007C01C2" w:rsidRDefault="007C01C2">
      <w:r>
        <w:t xml:space="preserve">The issue of democracy in Athens is quite hard to pinpoint just to one thing. A main weakness to consider would be that the Athenian state was not at all democratic to begin with. One of the main factors that can support this is that all of those who lived in Athens could not vote, for example, women, metics and slaves. </w:t>
      </w:r>
      <w:r w:rsidR="00B5536E">
        <w:t xml:space="preserve">I will be discussing this as one of my main topics </w:t>
      </w:r>
      <w:r w:rsidR="00DC3205">
        <w:t xml:space="preserve">to argue </w:t>
      </w:r>
      <w:r w:rsidR="00EB7F76">
        <w:t>why</w:t>
      </w:r>
      <w:r w:rsidR="00DC3205">
        <w:t xml:space="preserve"> Athenian democracy was limite</w:t>
      </w:r>
      <w:r w:rsidR="00EB7F76">
        <w:t>d.</w:t>
      </w:r>
      <w:r w:rsidR="00A934F9">
        <w:t xml:space="preserve"> </w:t>
      </w:r>
      <w:r w:rsidR="00A934F9">
        <w:t>Democracy in the ancient world refers to a political order being established</w:t>
      </w:r>
      <w:r w:rsidR="00A934F9">
        <w:rPr>
          <w:rStyle w:val="FootnoteReference"/>
        </w:rPr>
        <w:footnoteReference w:id="1"/>
      </w:r>
      <w:r w:rsidR="00A934F9">
        <w:t>.</w:t>
      </w:r>
    </w:p>
    <w:p w14:paraId="766EC3E9" w14:textId="125EA8F9" w:rsidR="00EB7F76" w:rsidRDefault="00EB7F76">
      <w:bookmarkStart w:id="0" w:name="_GoBack"/>
      <w:bookmarkEnd w:id="0"/>
    </w:p>
    <w:p w14:paraId="3E4B814D" w14:textId="21E4FCBD" w:rsidR="00A934F9" w:rsidRDefault="00EB7F76">
      <w:r>
        <w:t xml:space="preserve">It can be originally stated that ancient Athenian society as a whole was very undemocratic. One of the key factors that suggest this is who could vote in democracy. </w:t>
      </w:r>
      <w:r w:rsidR="00ED653C">
        <w:t>In present day democracy everyone who is a UK citizen and is over the age of 18 has the right to exercise or even spoil their ballot paper. However, in the ancient world, you could only vote if you fit the standards of being male and a citizen</w:t>
      </w:r>
      <w:r w:rsidR="00ED653C">
        <w:rPr>
          <w:rStyle w:val="FootnoteReference"/>
        </w:rPr>
        <w:footnoteReference w:id="2"/>
      </w:r>
      <w:r w:rsidR="00F77708">
        <w:t>. This was also made more complex when the right to citizenship was altered</w:t>
      </w:r>
      <w:r w:rsidR="006E2A64">
        <w:t xml:space="preserve"> by Peri</w:t>
      </w:r>
      <w:r w:rsidR="00882EC6">
        <w:t>c</w:t>
      </w:r>
      <w:r w:rsidR="006E2A64">
        <w:t>les in 451/0 BCE</w:t>
      </w:r>
      <w:r w:rsidR="006E2A64">
        <w:rPr>
          <w:rStyle w:val="FootnoteReference"/>
        </w:rPr>
        <w:footnoteReference w:id="3"/>
      </w:r>
      <w:r w:rsidR="00F62917">
        <w:t>. This meant that in order to gain the title of citizenship in Athens it was required for both birth parents to already hold citizenship</w:t>
      </w:r>
      <w:r w:rsidR="00F62917">
        <w:rPr>
          <w:rStyle w:val="FootnoteReference"/>
        </w:rPr>
        <w:footnoteReference w:id="4"/>
      </w:r>
      <w:r w:rsidR="00F62917">
        <w:t xml:space="preserve">. Therefore, because citizenship was confined </w:t>
      </w:r>
      <w:r w:rsidR="00245D28">
        <w:t xml:space="preserve">to only those with both parents legally as citizens it limited the amount of people classed as citizens before (when only the father had to hold citizenship). Only male citizens being able to vote cut out most of the population of Athens. Slaves, metics and women could not </w:t>
      </w:r>
      <w:r w:rsidR="00843056">
        <w:t xml:space="preserve">vote, and this meant that a democracy could therefore not exist. If it were to be democratic in some form, then there would need to be more people with the eligibility to have a vote. This means that any kind of democratic decisions being made could not be generalised to the total population because not every person would have had the same beliefs. </w:t>
      </w:r>
      <w:r w:rsidR="002D545F">
        <w:t>This is th</w:t>
      </w:r>
      <w:r w:rsidR="00843056">
        <w:t>erefore</w:t>
      </w:r>
      <w:r w:rsidR="002D545F">
        <w:t xml:space="preserve"> a weakness in democracy because </w:t>
      </w:r>
      <w:r w:rsidR="00843056">
        <w:t>even though some people had the right to vote and this was more than what can be said about the past years of the Athenian constitution with an oligarchical society in mind</w:t>
      </w:r>
      <w:r w:rsidR="00843056">
        <w:rPr>
          <w:rStyle w:val="FootnoteReference"/>
        </w:rPr>
        <w:footnoteReference w:id="5"/>
      </w:r>
      <w:r w:rsidR="000D5DD7">
        <w:t xml:space="preserve">. </w:t>
      </w:r>
      <w:r w:rsidR="00A934F9">
        <w:t>Although</w:t>
      </w:r>
      <w:r w:rsidR="000D5DD7">
        <w:t>,</w:t>
      </w:r>
      <w:r w:rsidR="00843056">
        <w:t xml:space="preserve"> it must be noted that</w:t>
      </w:r>
      <w:r w:rsidR="00A934F9">
        <w:t xml:space="preserve"> this </w:t>
      </w:r>
      <w:r w:rsidR="00843056">
        <w:t xml:space="preserve">was </w:t>
      </w:r>
      <w:r w:rsidR="00A934F9">
        <w:t xml:space="preserve">immensely different to what had come before when the society was an oligarchy. </w:t>
      </w:r>
      <w:r w:rsidR="00A934F9">
        <w:t>The term oligarchy refers to the Athenian population being controlled by a small group of people or a family, this was first noted by Aristotle and Plato</w:t>
      </w:r>
      <w:r w:rsidR="00A934F9">
        <w:rPr>
          <w:rStyle w:val="FootnoteReference"/>
        </w:rPr>
        <w:footnoteReference w:id="6"/>
      </w:r>
      <w:r w:rsidR="00A934F9">
        <w:t>.</w:t>
      </w:r>
    </w:p>
    <w:p w14:paraId="58FE55F2" w14:textId="30340919" w:rsidR="002D545F" w:rsidRDefault="002D545F"/>
    <w:p w14:paraId="0828DBBB" w14:textId="1B09B3DB" w:rsidR="002D545F" w:rsidRDefault="002D545F">
      <w:r>
        <w:t>In addition to what is stated above, Pseudo-Xenophon suggests that citizens and slaves dressed alike in Athens which is what varied to other ancient Greek authorities</w:t>
      </w:r>
      <w:r w:rsidR="00265F1A">
        <w:rPr>
          <w:rStyle w:val="FootnoteReference"/>
        </w:rPr>
        <w:footnoteReference w:id="7"/>
      </w:r>
      <w:r>
        <w:t xml:space="preserve">. Therefore, the idea of people not being able to vote even though they would have had the same mindset and clothes etc </w:t>
      </w:r>
      <w:r w:rsidR="00F02C2A">
        <w:t>did not really make much sense</w:t>
      </w:r>
      <w:r>
        <w:t>. This is a weakness in democracy because again it is taking away a vote to those with the mentality to make good decisions and merely disregarding them because they may have been born a slave or because previous circumstances led them to this lifestyle. This adds to voting as a whole not being credible and an inaccurate reflection of the society as a whole.</w:t>
      </w:r>
    </w:p>
    <w:p w14:paraId="358D8C40" w14:textId="124A4380" w:rsidR="00A335AE" w:rsidRDefault="00A335AE"/>
    <w:p w14:paraId="61091CED" w14:textId="75FEE056" w:rsidR="00A335AE" w:rsidRDefault="00A335AE" w:rsidP="00A335AE">
      <w:r>
        <w:lastRenderedPageBreak/>
        <w:t>As Pseudo-Aristotle notes in the Athenian constitution, those in power in democratic Athens and the way that they ran the city varied from person to person.</w:t>
      </w:r>
      <w:r w:rsidR="005C7BE9">
        <w:t xml:space="preserve"> For example, tyrant to oligarch to democrat</w:t>
      </w:r>
      <w:r w:rsidR="005C7BE9">
        <w:rPr>
          <w:rStyle w:val="FootnoteReference"/>
        </w:rPr>
        <w:footnoteReference w:id="8"/>
      </w:r>
      <w:r w:rsidR="005C7BE9">
        <w:t>.</w:t>
      </w:r>
      <w:r>
        <w:t xml:space="preserve"> Th</w:t>
      </w:r>
      <w:r>
        <w:t>is means that there was never really any stability in the society/democracy because there would always be a new way of doing things as the years progressed.</w:t>
      </w:r>
      <w:r w:rsidR="005C7BE9">
        <w:t xml:space="preserve"> This was a weakness in democracy in ancient Athens because the lack of stability meant that the democracy could be easy to break through. It can therefore be assumed that this weakened democracy and society as a whole because it was ever changing. If the society</w:t>
      </w:r>
      <w:r w:rsidR="00882EC6">
        <w:t xml:space="preserve"> had</w:t>
      </w:r>
      <w:r w:rsidR="005C7BE9">
        <w:t xml:space="preserve"> entailed more </w:t>
      </w:r>
      <w:r w:rsidR="00882EC6">
        <w:t>structure,</w:t>
      </w:r>
      <w:r w:rsidR="005C7BE9">
        <w:t xml:space="preserve"> </w:t>
      </w:r>
      <w:r w:rsidR="00882EC6">
        <w:t>then it may have been harder to dismantle for those who would later gain political power to dismantle what was left by those before them. Therefore, the state needed to be more permanent and solid in order for the democracy to have succeeded and last.</w:t>
      </w:r>
    </w:p>
    <w:p w14:paraId="460C4D95" w14:textId="77777777" w:rsidR="00A335AE" w:rsidRDefault="00A335AE"/>
    <w:p w14:paraId="19C17950" w14:textId="2CA39C2F" w:rsidR="00A335AE" w:rsidRPr="006E2A64" w:rsidRDefault="00A335AE">
      <w:r>
        <w:t>In conclusion, the main weaknesses of democracy in Athens stems from the lack of democracy as a whole. Not enough people were given the right to vote and this resulted in very small minority having any impact on the result of</w:t>
      </w:r>
      <w:r w:rsidR="00F02C2A">
        <w:t xml:space="preserve"> the</w:t>
      </w:r>
      <w:r>
        <w:t xml:space="preserve"> said decision. Enabling a larger population i.e. the metics and slaves to have civic rights and so have the choice to exercise them would have helped to resolve this issue.</w:t>
      </w:r>
    </w:p>
    <w:p w14:paraId="7C6FD994" w14:textId="69FAEA9D" w:rsidR="00B66C65" w:rsidRDefault="00B66C65"/>
    <w:p w14:paraId="41790C54" w14:textId="5BDAB8B9" w:rsidR="00B66C65" w:rsidRDefault="00B66C65"/>
    <w:p w14:paraId="1D2E71DA" w14:textId="77777777" w:rsidR="00F02C2A" w:rsidRDefault="00F02C2A" w:rsidP="00B66C65"/>
    <w:p w14:paraId="37C45F4E" w14:textId="77777777" w:rsidR="00F02C2A" w:rsidRDefault="00F02C2A" w:rsidP="00B66C65"/>
    <w:p w14:paraId="3A63F930" w14:textId="77777777" w:rsidR="00F02C2A" w:rsidRDefault="00F02C2A" w:rsidP="00B66C65"/>
    <w:p w14:paraId="3AE64779" w14:textId="77777777" w:rsidR="00882EC6" w:rsidRDefault="00882EC6" w:rsidP="00B66C65"/>
    <w:p w14:paraId="485A781E" w14:textId="77777777" w:rsidR="00882EC6" w:rsidRDefault="00882EC6" w:rsidP="00B66C65"/>
    <w:p w14:paraId="269923A7" w14:textId="77777777" w:rsidR="00882EC6" w:rsidRDefault="00882EC6" w:rsidP="00B66C65"/>
    <w:p w14:paraId="0C370174" w14:textId="77777777" w:rsidR="00882EC6" w:rsidRDefault="00882EC6" w:rsidP="00B66C65"/>
    <w:p w14:paraId="5CE956E8" w14:textId="77777777" w:rsidR="00882EC6" w:rsidRDefault="00882EC6" w:rsidP="00B66C65"/>
    <w:p w14:paraId="714A62FD" w14:textId="77777777" w:rsidR="00882EC6" w:rsidRDefault="00882EC6" w:rsidP="00B66C65"/>
    <w:p w14:paraId="03EE023D" w14:textId="77777777" w:rsidR="00882EC6" w:rsidRDefault="00882EC6" w:rsidP="00B66C65"/>
    <w:p w14:paraId="7B88C9AF" w14:textId="77777777" w:rsidR="00882EC6" w:rsidRDefault="00882EC6" w:rsidP="00B66C65"/>
    <w:p w14:paraId="3D99BF62" w14:textId="77777777" w:rsidR="00882EC6" w:rsidRDefault="00882EC6" w:rsidP="00B66C65"/>
    <w:p w14:paraId="67EFC218" w14:textId="77777777" w:rsidR="00882EC6" w:rsidRDefault="00882EC6" w:rsidP="00B66C65"/>
    <w:p w14:paraId="42719735" w14:textId="77777777" w:rsidR="00882EC6" w:rsidRDefault="00882EC6" w:rsidP="00B66C65"/>
    <w:p w14:paraId="395C2D87" w14:textId="77777777" w:rsidR="00882EC6" w:rsidRDefault="00882EC6" w:rsidP="00B66C65"/>
    <w:p w14:paraId="088F8B1B" w14:textId="77777777" w:rsidR="00882EC6" w:rsidRDefault="00882EC6" w:rsidP="00B66C65"/>
    <w:p w14:paraId="53674D5D" w14:textId="77777777" w:rsidR="00882EC6" w:rsidRDefault="00882EC6" w:rsidP="00B66C65"/>
    <w:p w14:paraId="224DF2EB" w14:textId="77777777" w:rsidR="00882EC6" w:rsidRDefault="00882EC6" w:rsidP="00B66C65"/>
    <w:p w14:paraId="22EEC655" w14:textId="77777777" w:rsidR="00882EC6" w:rsidRDefault="00882EC6" w:rsidP="00B66C65"/>
    <w:p w14:paraId="2AF2CB79" w14:textId="77777777" w:rsidR="00882EC6" w:rsidRDefault="00882EC6" w:rsidP="00B66C65"/>
    <w:p w14:paraId="783B234D" w14:textId="77777777" w:rsidR="00882EC6" w:rsidRDefault="00882EC6" w:rsidP="00B66C65"/>
    <w:p w14:paraId="4299FA49" w14:textId="77777777" w:rsidR="00882EC6" w:rsidRDefault="00882EC6" w:rsidP="00B66C65"/>
    <w:p w14:paraId="79ED1EAF" w14:textId="77777777" w:rsidR="00882EC6" w:rsidRDefault="00882EC6" w:rsidP="00B66C65"/>
    <w:p w14:paraId="773B86B9" w14:textId="77777777" w:rsidR="00882EC6" w:rsidRDefault="00882EC6" w:rsidP="00B66C65"/>
    <w:p w14:paraId="0E331708" w14:textId="77777777" w:rsidR="00882EC6" w:rsidRDefault="00882EC6" w:rsidP="00B66C65"/>
    <w:p w14:paraId="0386678D" w14:textId="77777777" w:rsidR="00882EC6" w:rsidRDefault="00882EC6" w:rsidP="00B66C65"/>
    <w:p w14:paraId="6052CFF8" w14:textId="7F55395B" w:rsidR="00B66C65" w:rsidRDefault="00B66C65" w:rsidP="00B66C65">
      <w:r>
        <w:lastRenderedPageBreak/>
        <w:t>Bibliography:</w:t>
      </w:r>
    </w:p>
    <w:p w14:paraId="1FD8C377" w14:textId="77777777" w:rsidR="00B66C65" w:rsidRDefault="00B66C65" w:rsidP="00B66C65"/>
    <w:p w14:paraId="32AF64D1" w14:textId="0463257C" w:rsidR="00882EC6" w:rsidRDefault="00882EC6" w:rsidP="00B66C65">
      <w:r>
        <w:t xml:space="preserve">Calhoun, C. (2002) </w:t>
      </w:r>
      <w:r>
        <w:rPr>
          <w:i/>
          <w:iCs/>
        </w:rPr>
        <w:t xml:space="preserve">Oxford Reference </w:t>
      </w:r>
      <w:r>
        <w:t>Available at</w:t>
      </w:r>
      <w:r>
        <w:rPr>
          <w:i/>
          <w:iCs/>
        </w:rPr>
        <w:t xml:space="preserve"> </w:t>
      </w:r>
      <w:hyperlink r:id="rId7" w:history="1">
        <w:r w:rsidRPr="00067FA0">
          <w:rPr>
            <w:rStyle w:val="Hyperlink"/>
          </w:rPr>
          <w:t>https://www-oxfordreference-com.ezproxy.uwtsd.ac.uk</w:t>
        </w:r>
      </w:hyperlink>
      <w:r>
        <w:t xml:space="preserve"> (Accessed 10</w:t>
      </w:r>
      <w:r w:rsidRPr="00B64178">
        <w:rPr>
          <w:vertAlign w:val="superscript"/>
        </w:rPr>
        <w:t>th</w:t>
      </w:r>
      <w:r>
        <w:t xml:space="preserve"> October 2019)</w:t>
      </w:r>
    </w:p>
    <w:p w14:paraId="6AA1C595" w14:textId="77777777" w:rsidR="00882EC6" w:rsidRDefault="00882EC6" w:rsidP="00B66C65"/>
    <w:p w14:paraId="0DBB7979" w14:textId="5B25E687" w:rsidR="00882EC6" w:rsidRDefault="00882EC6" w:rsidP="00B66C65">
      <w:r>
        <w:t>H. M, Jones. (1953). ‘The Athenian Democracy and it’s critics’,</w:t>
      </w:r>
      <w:r w:rsidRPr="00CD11D7">
        <w:rPr>
          <w:i/>
          <w:iCs/>
        </w:rPr>
        <w:t xml:space="preserve"> The Cambridge Historical Journal. </w:t>
      </w:r>
      <w:r>
        <w:t>11(1), pp. 1-26</w:t>
      </w:r>
    </w:p>
    <w:p w14:paraId="5809BD7B" w14:textId="77777777" w:rsidR="00882EC6" w:rsidRDefault="00882EC6" w:rsidP="00B66C65"/>
    <w:p w14:paraId="6C2FDEBC" w14:textId="08B6FBDE" w:rsidR="00882EC6" w:rsidRDefault="00882EC6" w:rsidP="00B66C65">
      <w:r>
        <w:t xml:space="preserve">Hornblower, S. (2002). </w:t>
      </w:r>
      <w:r>
        <w:rPr>
          <w:i/>
          <w:iCs/>
        </w:rPr>
        <w:t xml:space="preserve">The Greek World: 479-323 BC. </w:t>
      </w:r>
      <w:r>
        <w:t>New York: Routledge</w:t>
      </w:r>
    </w:p>
    <w:p w14:paraId="6EE92181" w14:textId="77777777" w:rsidR="00882EC6" w:rsidRPr="005C7BE9" w:rsidRDefault="00882EC6" w:rsidP="00B66C65"/>
    <w:p w14:paraId="0380D2F4" w14:textId="00B73200" w:rsidR="00882EC6" w:rsidRDefault="00882EC6" w:rsidP="00B66C65">
      <w:r>
        <w:t xml:space="preserve">MacDowell, D. M. (1978). </w:t>
      </w:r>
      <w:r>
        <w:rPr>
          <w:i/>
          <w:iCs/>
        </w:rPr>
        <w:t xml:space="preserve">The Law in Classical Athens. </w:t>
      </w:r>
      <w:r>
        <w:t>London: Thames and Hudson</w:t>
      </w:r>
    </w:p>
    <w:p w14:paraId="0F05DF47" w14:textId="77777777" w:rsidR="00882EC6" w:rsidRDefault="00882EC6" w:rsidP="00B66C65"/>
    <w:p w14:paraId="0029897A" w14:textId="6F535FE3" w:rsidR="00882EC6" w:rsidRDefault="00882EC6" w:rsidP="00B66C65">
      <w:pPr>
        <w:rPr>
          <w:rStyle w:val="Hyperlink"/>
        </w:rPr>
      </w:pPr>
      <w:proofErr w:type="spellStart"/>
      <w:r>
        <w:t>Munkler</w:t>
      </w:r>
      <w:proofErr w:type="spellEnd"/>
      <w:r>
        <w:t xml:space="preserve">, H &amp; </w:t>
      </w:r>
      <w:proofErr w:type="spellStart"/>
      <w:r>
        <w:t>Llanque</w:t>
      </w:r>
      <w:proofErr w:type="spellEnd"/>
      <w:r>
        <w:t xml:space="preserve">, M. (2006) </w:t>
      </w:r>
      <w:r>
        <w:rPr>
          <w:i/>
          <w:iCs/>
        </w:rPr>
        <w:t>Democracy</w:t>
      </w:r>
      <w:r>
        <w:t xml:space="preserve">. Available at </w:t>
      </w:r>
      <w:hyperlink r:id="rId8" w:history="1">
        <w:r w:rsidRPr="00323CB9">
          <w:rPr>
            <w:rStyle w:val="Hyperlink"/>
          </w:rPr>
          <w:t>https://referenceworks.brillonline.com/subjects/Classical%20Studies</w:t>
        </w:r>
      </w:hyperlink>
      <w:r>
        <w:rPr>
          <w:rStyle w:val="Hyperlink"/>
        </w:rPr>
        <w:t xml:space="preserve">  (Accessed 9</w:t>
      </w:r>
      <w:r w:rsidRPr="00CA52E6">
        <w:rPr>
          <w:rStyle w:val="Hyperlink"/>
        </w:rPr>
        <w:t>th</w:t>
      </w:r>
      <w:r>
        <w:rPr>
          <w:rStyle w:val="Hyperlink"/>
        </w:rPr>
        <w:t xml:space="preserve"> October 2019)</w:t>
      </w:r>
    </w:p>
    <w:p w14:paraId="6C927C8A" w14:textId="77777777" w:rsidR="00882EC6" w:rsidRDefault="00882EC6" w:rsidP="00B66C65">
      <w:pPr>
        <w:rPr>
          <w:rStyle w:val="Hyperlink"/>
        </w:rPr>
      </w:pPr>
    </w:p>
    <w:p w14:paraId="548BAE96" w14:textId="4AC0A01C" w:rsidR="00882EC6" w:rsidRDefault="00882EC6" w:rsidP="00B66C65">
      <w:r>
        <w:t xml:space="preserve">Pseudo- Xenophon, </w:t>
      </w:r>
      <w:r w:rsidRPr="00D5775D">
        <w:rPr>
          <w:i/>
          <w:iCs/>
        </w:rPr>
        <w:t>The Constitution of Athens</w:t>
      </w:r>
      <w:r>
        <w:t>. E. C. Marchant (trans.). 1984. Cambridge: Harvard University Press</w:t>
      </w:r>
    </w:p>
    <w:p w14:paraId="5ACB3440" w14:textId="77777777" w:rsidR="00882EC6" w:rsidRDefault="00882EC6" w:rsidP="00B66C65"/>
    <w:p w14:paraId="0DB5A336" w14:textId="40A07289" w:rsidR="00882EC6" w:rsidRDefault="00882EC6" w:rsidP="00B66C65">
      <w:r>
        <w:t xml:space="preserve">Pseudo-Aristotle, </w:t>
      </w:r>
      <w:r w:rsidRPr="000E5602">
        <w:rPr>
          <w:i/>
          <w:iCs/>
        </w:rPr>
        <w:t>Athenian Constitution</w:t>
      </w:r>
      <w:r>
        <w:t>. H, Rackham (trans.). 1935</w:t>
      </w:r>
    </w:p>
    <w:p w14:paraId="6656D233" w14:textId="77777777" w:rsidR="00882EC6" w:rsidRDefault="00882EC6" w:rsidP="00B66C65"/>
    <w:p w14:paraId="0C431401" w14:textId="77777777" w:rsidR="00882EC6" w:rsidRDefault="00882EC6" w:rsidP="00B66C65">
      <w:proofErr w:type="spellStart"/>
      <w:r>
        <w:t>Tridimas</w:t>
      </w:r>
      <w:proofErr w:type="spellEnd"/>
      <w:r>
        <w:t xml:space="preserve">, G. (2015). </w:t>
      </w:r>
      <w:r w:rsidRPr="004201F6">
        <w:t>‘War, disenfranchisement and the fall of the ancient Athenian democracy’</w:t>
      </w:r>
      <w:r>
        <w:rPr>
          <w:i/>
          <w:iCs/>
        </w:rPr>
        <w:t xml:space="preserve">, European Journal of Politics. </w:t>
      </w:r>
      <w:r>
        <w:t>38, pp. 102-117</w:t>
      </w:r>
    </w:p>
    <w:p w14:paraId="70ED729C" w14:textId="77777777" w:rsidR="00B66C65" w:rsidRDefault="00B66C65"/>
    <w:sectPr w:rsidR="00B66C65" w:rsidSect="00C9430C">
      <w:head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488B05" w14:textId="77777777" w:rsidR="00471397" w:rsidRDefault="00471397" w:rsidP="007C01C2">
      <w:r>
        <w:separator/>
      </w:r>
    </w:p>
  </w:endnote>
  <w:endnote w:type="continuationSeparator" w:id="0">
    <w:p w14:paraId="59167C98" w14:textId="77777777" w:rsidR="00471397" w:rsidRDefault="00471397" w:rsidP="007C01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A6A9AF" w14:textId="77777777" w:rsidR="00471397" w:rsidRDefault="00471397" w:rsidP="007C01C2">
      <w:r>
        <w:separator/>
      </w:r>
    </w:p>
  </w:footnote>
  <w:footnote w:type="continuationSeparator" w:id="0">
    <w:p w14:paraId="750B08D0" w14:textId="77777777" w:rsidR="00471397" w:rsidRDefault="00471397" w:rsidP="007C01C2">
      <w:r>
        <w:continuationSeparator/>
      </w:r>
    </w:p>
  </w:footnote>
  <w:footnote w:id="1">
    <w:p w14:paraId="389EBB84" w14:textId="3996BE12" w:rsidR="00A934F9" w:rsidRDefault="00A934F9">
      <w:pPr>
        <w:pStyle w:val="FootnoteText"/>
      </w:pPr>
      <w:r>
        <w:rPr>
          <w:rStyle w:val="FootnoteReference"/>
        </w:rPr>
        <w:footnoteRef/>
      </w:r>
      <w:r>
        <w:t xml:space="preserve"> </w:t>
      </w:r>
      <w:proofErr w:type="spellStart"/>
      <w:r>
        <w:t>Munkler</w:t>
      </w:r>
      <w:proofErr w:type="spellEnd"/>
      <w:r>
        <w:t xml:space="preserve">, 2006, </w:t>
      </w:r>
      <w:r>
        <w:rPr>
          <w:i/>
          <w:iCs/>
        </w:rPr>
        <w:t>Democracy</w:t>
      </w:r>
    </w:p>
  </w:footnote>
  <w:footnote w:id="2">
    <w:p w14:paraId="42AD5242" w14:textId="45BBEF33" w:rsidR="00ED653C" w:rsidRDefault="00ED653C">
      <w:pPr>
        <w:pStyle w:val="FootnoteText"/>
      </w:pPr>
      <w:r>
        <w:rPr>
          <w:rStyle w:val="FootnoteReference"/>
        </w:rPr>
        <w:footnoteRef/>
      </w:r>
      <w:r>
        <w:t xml:space="preserve"> MacDowell, 1978, p.6</w:t>
      </w:r>
      <w:r w:rsidR="00F62917">
        <w:t>7</w:t>
      </w:r>
    </w:p>
  </w:footnote>
  <w:footnote w:id="3">
    <w:p w14:paraId="0374FF74" w14:textId="4CB29B49" w:rsidR="006E2A64" w:rsidRDefault="006E2A64">
      <w:pPr>
        <w:pStyle w:val="FootnoteText"/>
      </w:pPr>
      <w:r>
        <w:rPr>
          <w:rStyle w:val="FootnoteReference"/>
        </w:rPr>
        <w:footnoteRef/>
      </w:r>
      <w:r>
        <w:t xml:space="preserve"> </w:t>
      </w:r>
      <w:r w:rsidR="00F62917">
        <w:t>MacDowell, 1978, p.67</w:t>
      </w:r>
    </w:p>
  </w:footnote>
  <w:footnote w:id="4">
    <w:p w14:paraId="0BE29869" w14:textId="2F733B75" w:rsidR="00F62917" w:rsidRDefault="00F62917">
      <w:pPr>
        <w:pStyle w:val="FootnoteText"/>
      </w:pPr>
      <w:r>
        <w:rPr>
          <w:rStyle w:val="FootnoteReference"/>
        </w:rPr>
        <w:footnoteRef/>
      </w:r>
      <w:r>
        <w:t xml:space="preserve"> Ps. </w:t>
      </w:r>
      <w:proofErr w:type="spellStart"/>
      <w:r w:rsidRPr="00F62917">
        <w:t>Arist</w:t>
      </w:r>
      <w:proofErr w:type="spellEnd"/>
      <w:r w:rsidRPr="00F62917">
        <w:t xml:space="preserve">. Const. </w:t>
      </w:r>
      <w:proofErr w:type="spellStart"/>
      <w:r w:rsidRPr="00F62917">
        <w:t>Ath</w:t>
      </w:r>
      <w:proofErr w:type="spellEnd"/>
      <w:r w:rsidRPr="00F62917">
        <w:t>. 2</w:t>
      </w:r>
      <w:r>
        <w:t>7.3;</w:t>
      </w:r>
      <w:r w:rsidR="001B78CA">
        <w:t xml:space="preserve"> </w:t>
      </w:r>
      <w:r>
        <w:t>MacDowell, 1978, p.67</w:t>
      </w:r>
    </w:p>
  </w:footnote>
  <w:footnote w:id="5">
    <w:p w14:paraId="080F0AB8" w14:textId="3EA9ABDD" w:rsidR="00843056" w:rsidRDefault="00843056">
      <w:pPr>
        <w:pStyle w:val="FootnoteText"/>
      </w:pPr>
      <w:r>
        <w:rPr>
          <w:rStyle w:val="FootnoteReference"/>
        </w:rPr>
        <w:footnoteRef/>
      </w:r>
      <w:r>
        <w:t xml:space="preserve"> </w:t>
      </w:r>
      <w:r>
        <w:t xml:space="preserve">Ps. </w:t>
      </w:r>
      <w:proofErr w:type="spellStart"/>
      <w:r>
        <w:t>Arist</w:t>
      </w:r>
      <w:proofErr w:type="spellEnd"/>
      <w:r>
        <w:t xml:space="preserve">. </w:t>
      </w:r>
      <w:proofErr w:type="spellStart"/>
      <w:r>
        <w:t>Const</w:t>
      </w:r>
      <w:proofErr w:type="spellEnd"/>
      <w:r>
        <w:t xml:space="preserve">, </w:t>
      </w:r>
      <w:proofErr w:type="spellStart"/>
      <w:r>
        <w:t>Ath</w:t>
      </w:r>
      <w:proofErr w:type="spellEnd"/>
      <w:r w:rsidR="001B78CA">
        <w:t>.</w:t>
      </w:r>
      <w:r>
        <w:t xml:space="preserve"> 14.2</w:t>
      </w:r>
    </w:p>
  </w:footnote>
  <w:footnote w:id="6">
    <w:p w14:paraId="7E4AAD59" w14:textId="3DC408A0" w:rsidR="00A934F9" w:rsidRDefault="00A934F9">
      <w:pPr>
        <w:pStyle w:val="FootnoteText"/>
      </w:pPr>
      <w:r>
        <w:rPr>
          <w:rStyle w:val="FootnoteReference"/>
        </w:rPr>
        <w:footnoteRef/>
      </w:r>
      <w:r>
        <w:t xml:space="preserve"> Ca</w:t>
      </w:r>
      <w:r>
        <w:t xml:space="preserve">lhoun, 2002, </w:t>
      </w:r>
      <w:r>
        <w:rPr>
          <w:i/>
          <w:iCs/>
        </w:rPr>
        <w:t>Oligarchy</w:t>
      </w:r>
    </w:p>
  </w:footnote>
  <w:footnote w:id="7">
    <w:p w14:paraId="45035F10" w14:textId="1093A067" w:rsidR="00265F1A" w:rsidRDefault="00265F1A">
      <w:pPr>
        <w:pStyle w:val="FootnoteText"/>
      </w:pPr>
      <w:r>
        <w:rPr>
          <w:rStyle w:val="FootnoteReference"/>
        </w:rPr>
        <w:footnoteRef/>
      </w:r>
      <w:r>
        <w:t xml:space="preserve"> </w:t>
      </w:r>
      <w:r w:rsidRPr="00265F1A">
        <w:t xml:space="preserve">Ps. Xen. Const. </w:t>
      </w:r>
      <w:proofErr w:type="spellStart"/>
      <w:r w:rsidRPr="00265F1A">
        <w:t>Ath</w:t>
      </w:r>
      <w:proofErr w:type="spellEnd"/>
      <w:r w:rsidRPr="00265F1A">
        <w:t>. 1.10</w:t>
      </w:r>
    </w:p>
  </w:footnote>
  <w:footnote w:id="8">
    <w:p w14:paraId="42B86CF8" w14:textId="73D3BB6B" w:rsidR="005C7BE9" w:rsidRDefault="005C7BE9">
      <w:pPr>
        <w:pStyle w:val="FootnoteText"/>
      </w:pPr>
      <w:r>
        <w:rPr>
          <w:rStyle w:val="FootnoteReference"/>
        </w:rPr>
        <w:footnoteRef/>
      </w:r>
      <w:r>
        <w:t xml:space="preserve"> Ps. </w:t>
      </w:r>
      <w:proofErr w:type="spellStart"/>
      <w:r>
        <w:t>Arist</w:t>
      </w:r>
      <w:proofErr w:type="spellEnd"/>
      <w:r>
        <w:t xml:space="preserve">. Const. </w:t>
      </w:r>
      <w:proofErr w:type="spellStart"/>
      <w:r>
        <w:t>Ath</w:t>
      </w:r>
      <w:proofErr w:type="spellEnd"/>
      <w:r>
        <w:t>. 22.1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A9AA21" w14:textId="1E2669B0" w:rsidR="007C01C2" w:rsidRDefault="007C01C2">
    <w:pPr>
      <w:pStyle w:val="Header"/>
    </w:pPr>
    <w:proofErr w:type="spellStart"/>
    <w:r>
      <w:t>Feryn</w:t>
    </w:r>
    <w:proofErr w:type="spellEnd"/>
    <w:r>
      <w:t xml:space="preserve"> Walmsley 1901540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1C2"/>
    <w:rsid w:val="000D5DD7"/>
    <w:rsid w:val="000E6D7B"/>
    <w:rsid w:val="001B78CA"/>
    <w:rsid w:val="00245D28"/>
    <w:rsid w:val="00265F1A"/>
    <w:rsid w:val="002D545F"/>
    <w:rsid w:val="00312941"/>
    <w:rsid w:val="00471397"/>
    <w:rsid w:val="005C7BE9"/>
    <w:rsid w:val="00691439"/>
    <w:rsid w:val="006E2A64"/>
    <w:rsid w:val="007C01C2"/>
    <w:rsid w:val="00843056"/>
    <w:rsid w:val="00882EC6"/>
    <w:rsid w:val="00A335AE"/>
    <w:rsid w:val="00A934F9"/>
    <w:rsid w:val="00B5536E"/>
    <w:rsid w:val="00B66C65"/>
    <w:rsid w:val="00C9430C"/>
    <w:rsid w:val="00DC3205"/>
    <w:rsid w:val="00EB7F76"/>
    <w:rsid w:val="00ED653C"/>
    <w:rsid w:val="00F02C2A"/>
    <w:rsid w:val="00F62917"/>
    <w:rsid w:val="00F77708"/>
    <w:rsid w:val="00FC27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A802C4"/>
  <w15:chartTrackingRefBased/>
  <w15:docId w15:val="{1887B482-F121-0149-A61C-E5F784C13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01C2"/>
    <w:pPr>
      <w:tabs>
        <w:tab w:val="center" w:pos="4513"/>
        <w:tab w:val="right" w:pos="9026"/>
      </w:tabs>
    </w:pPr>
  </w:style>
  <w:style w:type="character" w:customStyle="1" w:styleId="HeaderChar">
    <w:name w:val="Header Char"/>
    <w:basedOn w:val="DefaultParagraphFont"/>
    <w:link w:val="Header"/>
    <w:uiPriority w:val="99"/>
    <w:rsid w:val="007C01C2"/>
  </w:style>
  <w:style w:type="paragraph" w:styleId="Footer">
    <w:name w:val="footer"/>
    <w:basedOn w:val="Normal"/>
    <w:link w:val="FooterChar"/>
    <w:uiPriority w:val="99"/>
    <w:unhideWhenUsed/>
    <w:rsid w:val="007C01C2"/>
    <w:pPr>
      <w:tabs>
        <w:tab w:val="center" w:pos="4513"/>
        <w:tab w:val="right" w:pos="9026"/>
      </w:tabs>
    </w:pPr>
  </w:style>
  <w:style w:type="character" w:customStyle="1" w:styleId="FooterChar">
    <w:name w:val="Footer Char"/>
    <w:basedOn w:val="DefaultParagraphFont"/>
    <w:link w:val="Footer"/>
    <w:uiPriority w:val="99"/>
    <w:rsid w:val="007C01C2"/>
  </w:style>
  <w:style w:type="character" w:styleId="Hyperlink">
    <w:name w:val="Hyperlink"/>
    <w:basedOn w:val="DefaultParagraphFont"/>
    <w:uiPriority w:val="99"/>
    <w:unhideWhenUsed/>
    <w:rsid w:val="00B66C65"/>
    <w:rPr>
      <w:color w:val="0563C1" w:themeColor="hyperlink"/>
      <w:u w:val="single"/>
    </w:rPr>
  </w:style>
  <w:style w:type="paragraph" w:styleId="FootnoteText">
    <w:name w:val="footnote text"/>
    <w:basedOn w:val="Normal"/>
    <w:link w:val="FootnoteTextChar"/>
    <w:uiPriority w:val="99"/>
    <w:semiHidden/>
    <w:unhideWhenUsed/>
    <w:rsid w:val="00ED653C"/>
    <w:rPr>
      <w:sz w:val="20"/>
      <w:szCs w:val="20"/>
    </w:rPr>
  </w:style>
  <w:style w:type="character" w:customStyle="1" w:styleId="FootnoteTextChar">
    <w:name w:val="Footnote Text Char"/>
    <w:basedOn w:val="DefaultParagraphFont"/>
    <w:link w:val="FootnoteText"/>
    <w:uiPriority w:val="99"/>
    <w:semiHidden/>
    <w:rsid w:val="00ED653C"/>
    <w:rPr>
      <w:sz w:val="20"/>
      <w:szCs w:val="20"/>
    </w:rPr>
  </w:style>
  <w:style w:type="character" w:styleId="FootnoteReference">
    <w:name w:val="footnote reference"/>
    <w:basedOn w:val="DefaultParagraphFont"/>
    <w:uiPriority w:val="99"/>
    <w:semiHidden/>
    <w:unhideWhenUsed/>
    <w:rsid w:val="00ED653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ferenceworks.brillonline.com/subjects/Classical%20Studies" TargetMode="External"/><Relationship Id="rId3" Type="http://schemas.openxmlformats.org/officeDocument/2006/relationships/settings" Target="settings.xml"/><Relationship Id="rId7" Type="http://schemas.openxmlformats.org/officeDocument/2006/relationships/hyperlink" Target="https://www-oxfordreference-com.ezproxy.uwtsd.ac.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3C2B3F-4F41-DD45-A975-F74BBFBCC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432</TotalTime>
  <Pages>3</Pages>
  <Words>810</Words>
  <Characters>4621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Feryn Walmsley (1901540)</dc:creator>
  <cp:keywords/>
  <dc:description/>
  <cp:lastModifiedBy>Feryn Walmsley (1901540)</cp:lastModifiedBy>
  <cp:revision>11</cp:revision>
  <dcterms:created xsi:type="dcterms:W3CDTF">2019-10-11T13:20:00Z</dcterms:created>
  <dcterms:modified xsi:type="dcterms:W3CDTF">2019-10-13T19:47:00Z</dcterms:modified>
</cp:coreProperties>
</file>