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7610963"/>
        <w:docPartObj>
          <w:docPartGallery w:val="Cover Pages"/>
          <w:docPartUnique/>
        </w:docPartObj>
      </w:sdtPr>
      <w:sdtEndPr>
        <w:rPr>
          <w:rFonts w:ascii="Times New Roman" w:hAnsi="Times New Roman" w:cs="Times New Roman"/>
          <w:b/>
          <w:bCs/>
        </w:rPr>
      </w:sdtEndPr>
      <w:sdtContent>
        <w:p w14:paraId="6B19185B" w14:textId="5A3D761B" w:rsidR="00BA00C4" w:rsidRDefault="00BA00C4"/>
        <w:p w14:paraId="68EA076D" w14:textId="060B15BD" w:rsidR="00BA00C4" w:rsidRPr="00BA00C4" w:rsidRDefault="00BA00C4" w:rsidP="00BA00C4">
          <w:pPr>
            <w:rPr>
              <w:rFonts w:ascii="Times New Roman" w:hAnsi="Times New Roman" w:cs="Times New Roman"/>
              <w:b/>
              <w:bCs/>
            </w:rPr>
          </w:pPr>
          <w:r w:rsidRPr="00BA00C4">
            <w:rPr>
              <w:rFonts w:ascii="Times New Roman" w:hAnsi="Times New Roman" w:cs="Times New Roman"/>
              <w:b/>
              <w:bCs/>
            </w:rPr>
            <w:t>Student name:</w:t>
          </w:r>
          <w:r>
            <w:rPr>
              <w:rFonts w:ascii="Times New Roman" w:hAnsi="Times New Roman" w:cs="Times New Roman"/>
              <w:b/>
              <w:bCs/>
            </w:rPr>
            <w:t xml:space="preserve"> Doru Pascu</w:t>
          </w:r>
          <w:r w:rsidRPr="00BA00C4">
            <w:rPr>
              <w:rFonts w:ascii="Times New Roman" w:hAnsi="Times New Roman" w:cs="Times New Roman"/>
              <w:b/>
              <w:bCs/>
            </w:rPr>
            <w:tab/>
            <w:t xml:space="preserve">     </w:t>
          </w:r>
        </w:p>
        <w:p w14:paraId="752BC440" w14:textId="3ED85DC4" w:rsidR="00BA00C4" w:rsidRPr="00BA00C4" w:rsidRDefault="00BA00C4" w:rsidP="00BA00C4">
          <w:pPr>
            <w:rPr>
              <w:rFonts w:ascii="Times New Roman" w:hAnsi="Times New Roman" w:cs="Times New Roman"/>
              <w:b/>
              <w:bCs/>
            </w:rPr>
          </w:pPr>
          <w:r w:rsidRPr="00BA00C4">
            <w:rPr>
              <w:rFonts w:ascii="Times New Roman" w:hAnsi="Times New Roman" w:cs="Times New Roman"/>
              <w:b/>
              <w:bCs/>
            </w:rPr>
            <w:t>Programme:</w:t>
          </w:r>
          <w:r w:rsidRPr="00BA00C4">
            <w:rPr>
              <w:rFonts w:ascii="Times New Roman" w:hAnsi="Times New Roman" w:cs="Times New Roman"/>
              <w:b/>
              <w:bCs/>
            </w:rPr>
            <w:tab/>
            <w:t xml:space="preserve">BA Business and Management </w:t>
          </w:r>
        </w:p>
        <w:p w14:paraId="2B14BB6B" w14:textId="26C44A64" w:rsidR="00BA00C4" w:rsidRPr="00BA00C4" w:rsidRDefault="00BA00C4" w:rsidP="00BA00C4">
          <w:pPr>
            <w:rPr>
              <w:rFonts w:ascii="Times New Roman" w:hAnsi="Times New Roman" w:cs="Times New Roman"/>
              <w:b/>
              <w:bCs/>
            </w:rPr>
          </w:pPr>
          <w:r w:rsidRPr="00BA00C4">
            <w:rPr>
              <w:rFonts w:ascii="Times New Roman" w:hAnsi="Times New Roman" w:cs="Times New Roman"/>
              <w:b/>
              <w:bCs/>
            </w:rPr>
            <w:t>Module:</w:t>
          </w:r>
          <w:r>
            <w:rPr>
              <w:rFonts w:ascii="Times New Roman" w:hAnsi="Times New Roman" w:cs="Times New Roman"/>
              <w:b/>
              <w:bCs/>
            </w:rPr>
            <w:t xml:space="preserve"> </w:t>
          </w:r>
          <w:r w:rsidRPr="00BA00C4">
            <w:rPr>
              <w:rFonts w:ascii="Times New Roman" w:hAnsi="Times New Roman" w:cs="Times New Roman"/>
              <w:b/>
              <w:bCs/>
            </w:rPr>
            <w:t>Distinctiveness and Regeneration</w:t>
          </w:r>
        </w:p>
        <w:p w14:paraId="5566CE90" w14:textId="77777777" w:rsidR="00BA00C4" w:rsidRPr="00BA00C4" w:rsidRDefault="00BA00C4" w:rsidP="00BA00C4">
          <w:pPr>
            <w:rPr>
              <w:rFonts w:ascii="Times New Roman" w:hAnsi="Times New Roman" w:cs="Times New Roman"/>
              <w:b/>
              <w:bCs/>
            </w:rPr>
          </w:pPr>
          <w:r w:rsidRPr="00BA00C4">
            <w:rPr>
              <w:rFonts w:ascii="Times New Roman" w:hAnsi="Times New Roman" w:cs="Times New Roman"/>
              <w:b/>
              <w:bCs/>
            </w:rPr>
            <w:t>Module code:</w:t>
          </w:r>
          <w:r w:rsidRPr="00BA00C4">
            <w:rPr>
              <w:rFonts w:ascii="Times New Roman" w:hAnsi="Times New Roman" w:cs="Times New Roman"/>
              <w:b/>
              <w:bCs/>
            </w:rPr>
            <w:tab/>
            <w:t>BMSP4016D</w:t>
          </w:r>
        </w:p>
        <w:p w14:paraId="640F4A38" w14:textId="238F3F82" w:rsidR="00BA00C4" w:rsidRPr="00BA00C4" w:rsidRDefault="00BA00C4" w:rsidP="00BA00C4">
          <w:pPr>
            <w:rPr>
              <w:rFonts w:ascii="Times New Roman" w:hAnsi="Times New Roman" w:cs="Times New Roman"/>
              <w:b/>
              <w:bCs/>
            </w:rPr>
          </w:pPr>
          <w:r w:rsidRPr="00BA00C4">
            <w:rPr>
              <w:rFonts w:ascii="Times New Roman" w:hAnsi="Times New Roman" w:cs="Times New Roman"/>
              <w:b/>
              <w:bCs/>
            </w:rPr>
            <w:t>Lecturer:</w:t>
          </w:r>
          <w:r>
            <w:rPr>
              <w:rFonts w:ascii="Times New Roman" w:hAnsi="Times New Roman" w:cs="Times New Roman"/>
              <w:b/>
              <w:bCs/>
            </w:rPr>
            <w:t xml:space="preserve"> </w:t>
          </w:r>
          <w:r w:rsidRPr="00BA00C4">
            <w:rPr>
              <w:rFonts w:ascii="Times New Roman" w:hAnsi="Times New Roman" w:cs="Times New Roman"/>
              <w:b/>
              <w:bCs/>
            </w:rPr>
            <w:t xml:space="preserve">Jessica Shore </w:t>
          </w:r>
        </w:p>
        <w:p w14:paraId="4276394D" w14:textId="77777777" w:rsidR="00BA00C4" w:rsidRDefault="00BA00C4" w:rsidP="00BA00C4">
          <w:pPr>
            <w:rPr>
              <w:rFonts w:ascii="Times New Roman" w:hAnsi="Times New Roman" w:cs="Times New Roman"/>
              <w:b/>
              <w:bCs/>
            </w:rPr>
          </w:pPr>
        </w:p>
        <w:p w14:paraId="0F14DB93" w14:textId="77777777" w:rsidR="00BA00C4" w:rsidRDefault="00BA00C4" w:rsidP="00BA00C4">
          <w:pPr>
            <w:rPr>
              <w:rFonts w:ascii="Times New Roman" w:hAnsi="Times New Roman" w:cs="Times New Roman"/>
              <w:b/>
              <w:bCs/>
            </w:rPr>
          </w:pPr>
        </w:p>
        <w:p w14:paraId="41E9DDBA" w14:textId="77777777" w:rsidR="00BA00C4" w:rsidRDefault="00BA00C4" w:rsidP="00BA00C4">
          <w:pPr>
            <w:rPr>
              <w:rFonts w:ascii="Times New Roman" w:hAnsi="Times New Roman" w:cs="Times New Roman"/>
              <w:b/>
              <w:bCs/>
            </w:rPr>
          </w:pPr>
        </w:p>
        <w:p w14:paraId="50E5DF27" w14:textId="77777777" w:rsidR="00BA00C4" w:rsidRDefault="00BA00C4" w:rsidP="00BA00C4">
          <w:pPr>
            <w:rPr>
              <w:rFonts w:ascii="Times New Roman" w:hAnsi="Times New Roman" w:cs="Times New Roman"/>
              <w:b/>
              <w:bCs/>
            </w:rPr>
          </w:pPr>
        </w:p>
        <w:p w14:paraId="512F4D3C" w14:textId="77777777" w:rsidR="00BA00C4" w:rsidRDefault="00BA00C4" w:rsidP="00BA00C4">
          <w:pPr>
            <w:rPr>
              <w:rFonts w:ascii="Times New Roman" w:hAnsi="Times New Roman" w:cs="Times New Roman"/>
              <w:b/>
              <w:bCs/>
            </w:rPr>
          </w:pPr>
        </w:p>
        <w:p w14:paraId="4FC0CEF1" w14:textId="77777777" w:rsidR="00BA00C4" w:rsidRDefault="00BA00C4" w:rsidP="00BA00C4">
          <w:pPr>
            <w:rPr>
              <w:rFonts w:ascii="Times New Roman" w:hAnsi="Times New Roman" w:cs="Times New Roman"/>
              <w:b/>
              <w:bCs/>
            </w:rPr>
          </w:pPr>
        </w:p>
        <w:p w14:paraId="6BA508DD" w14:textId="77777777" w:rsidR="00BA00C4" w:rsidRDefault="00BA00C4" w:rsidP="00BA00C4">
          <w:pPr>
            <w:rPr>
              <w:rFonts w:ascii="Times New Roman" w:hAnsi="Times New Roman" w:cs="Times New Roman"/>
              <w:b/>
              <w:bCs/>
            </w:rPr>
          </w:pPr>
        </w:p>
        <w:p w14:paraId="26935DF3" w14:textId="77777777" w:rsidR="00BA00C4" w:rsidRDefault="00BA00C4" w:rsidP="00BA00C4">
          <w:pPr>
            <w:rPr>
              <w:rFonts w:ascii="Times New Roman" w:hAnsi="Times New Roman" w:cs="Times New Roman"/>
              <w:b/>
              <w:bCs/>
            </w:rPr>
          </w:pPr>
        </w:p>
        <w:p w14:paraId="422A4391" w14:textId="77777777" w:rsidR="00BA00C4" w:rsidRDefault="00BA00C4" w:rsidP="00BA00C4">
          <w:pPr>
            <w:rPr>
              <w:rFonts w:ascii="Times New Roman" w:hAnsi="Times New Roman" w:cs="Times New Roman"/>
              <w:b/>
              <w:bCs/>
            </w:rPr>
          </w:pPr>
        </w:p>
        <w:p w14:paraId="39E6D44D" w14:textId="77777777" w:rsidR="00BA00C4" w:rsidRDefault="00BA00C4" w:rsidP="00BA00C4">
          <w:pPr>
            <w:rPr>
              <w:rFonts w:ascii="Times New Roman" w:hAnsi="Times New Roman" w:cs="Times New Roman"/>
              <w:b/>
              <w:bCs/>
            </w:rPr>
          </w:pPr>
        </w:p>
        <w:p w14:paraId="13C74BFC" w14:textId="6A6EDB7A" w:rsidR="00BA00C4" w:rsidRDefault="00BA00C4" w:rsidP="00BA00C4">
          <w:pPr>
            <w:jc w:val="center"/>
            <w:rPr>
              <w:rFonts w:ascii="Times New Roman" w:hAnsi="Times New Roman" w:cs="Times New Roman"/>
              <w:b/>
              <w:bCs/>
            </w:rPr>
          </w:pPr>
          <w:r w:rsidRPr="00BA00C4">
            <w:rPr>
              <w:rFonts w:ascii="Times New Roman" w:hAnsi="Times New Roman" w:cs="Times New Roman"/>
              <w:b/>
              <w:bCs/>
              <w:sz w:val="144"/>
              <w:szCs w:val="144"/>
              <w:u w:val="thick"/>
            </w:rPr>
            <w:t>Assignment Title:</w:t>
          </w:r>
          <w:r w:rsidRPr="00BA00C4">
            <w:rPr>
              <w:rFonts w:ascii="Times New Roman" w:hAnsi="Times New Roman" w:cs="Times New Roman"/>
              <w:b/>
              <w:bCs/>
              <w:sz w:val="144"/>
              <w:szCs w:val="144"/>
              <w:u w:val="thick"/>
            </w:rPr>
            <w:tab/>
            <w:t>Report</w:t>
          </w:r>
          <w:r>
            <w:rPr>
              <w:noProof/>
            </w:rPr>
            <mc:AlternateContent>
              <mc:Choice Requires="wps">
                <w:drawing>
                  <wp:anchor distT="0" distB="0" distL="114300" distR="114300" simplePos="0" relativeHeight="251659264" behindDoc="0" locked="0" layoutInCell="1" allowOverlap="1" wp14:anchorId="12566AF7" wp14:editId="29236B6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4-25T00:00:00Z">
                                    <w:dateFormat w:val="yyyy"/>
                                    <w:lid w:val="en-US"/>
                                    <w:storeMappedDataAs w:val="dateTime"/>
                                    <w:calendar w:val="gregorian"/>
                                  </w:date>
                                </w:sdtPr>
                                <w:sdtContent>
                                  <w:p w14:paraId="62A35548" w14:textId="2276E32A" w:rsidR="00BA00C4" w:rsidRPr="00BA00C4" w:rsidRDefault="00BA00C4">
                                    <w:pPr>
                                      <w:pStyle w:val="NoSpacing"/>
                                      <w:jc w:val="right"/>
                                      <w:rPr>
                                        <w:rFonts w:ascii="Times New Roman" w:hAnsi="Times New Roman" w:cs="Times New Roman"/>
                                        <w:b/>
                                        <w:bCs/>
                                        <w:color w:val="FFFFFF" w:themeColor="background1"/>
                                        <w:sz w:val="24"/>
                                        <w:szCs w:val="24"/>
                                      </w:rPr>
                                    </w:pPr>
                                    <w:r w:rsidRPr="00BA00C4">
                                      <w:rPr>
                                        <w:rFonts w:ascii="Times New Roman" w:hAnsi="Times New Roman" w:cs="Times New Roman"/>
                                        <w:b/>
                                        <w:bCs/>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2566AF7" id="Rectangle 132" o:spid="_x0000_s1026"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" fillcolor="#156082 [3204]" stroked="f" strokeweight="1.5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4-25T00:00:00Z">
                              <w:dateFormat w:val="yyyy"/>
                              <w:lid w:val="en-US"/>
                              <w:storeMappedDataAs w:val="dateTime"/>
                              <w:calendar w:val="gregorian"/>
                            </w:date>
                          </w:sdtPr>
                          <w:sdtContent>
                            <w:p w14:paraId="62A35548" w14:textId="2276E32A" w:rsidR="00BA00C4" w:rsidRPr="00BA00C4" w:rsidRDefault="00BA00C4">
                              <w:pPr>
                                <w:pStyle w:val="NoSpacing"/>
                                <w:jc w:val="right"/>
                                <w:rPr>
                                  <w:rFonts w:ascii="Times New Roman" w:hAnsi="Times New Roman" w:cs="Times New Roman"/>
                                  <w:b/>
                                  <w:bCs/>
                                  <w:color w:val="FFFFFF" w:themeColor="background1"/>
                                  <w:sz w:val="24"/>
                                  <w:szCs w:val="24"/>
                                </w:rPr>
                              </w:pPr>
                              <w:r w:rsidRPr="00BA00C4">
                                <w:rPr>
                                  <w:rFonts w:ascii="Times New Roman" w:hAnsi="Times New Roman" w:cs="Times New Roman"/>
                                  <w:b/>
                                  <w:bCs/>
                                  <w:color w:val="FFFFFF" w:themeColor="background1"/>
                                  <w:sz w:val="24"/>
                                  <w:szCs w:val="24"/>
                                </w:rPr>
                                <w:t>2026</w:t>
                              </w:r>
                            </w:p>
                          </w:sdtContent>
                        </w:sdt>
                      </w:txbxContent>
                    </v:textbox>
                    <w10:wrap anchorx="margin" anchory="page"/>
                  </v:rect>
                </w:pict>
              </mc:Fallback>
            </mc:AlternateContent>
          </w:r>
          <w:r>
            <w:rPr>
              <w:rFonts w:ascii="Times New Roman" w:hAnsi="Times New Roman" w:cs="Times New Roman"/>
              <w:b/>
              <w:bCs/>
            </w:rPr>
            <w:br w:type="page"/>
          </w:r>
        </w:p>
      </w:sdtContent>
    </w:sdt>
    <w:p w14:paraId="3CDFB38C" w14:textId="7CCB068D" w:rsidR="00121EDB" w:rsidRPr="00121EDB" w:rsidRDefault="00121EDB" w:rsidP="00121EDB">
      <w:pPr>
        <w:spacing w:line="480" w:lineRule="auto"/>
        <w:jc w:val="center"/>
        <w:rPr>
          <w:rFonts w:ascii="Times New Roman" w:hAnsi="Times New Roman" w:cs="Times New Roman"/>
          <w:b/>
          <w:bCs/>
        </w:rPr>
      </w:pPr>
      <w:r w:rsidRPr="00121EDB">
        <w:rPr>
          <w:rFonts w:ascii="Times New Roman" w:hAnsi="Times New Roman" w:cs="Times New Roman"/>
          <w:b/>
          <w:bCs/>
        </w:rPr>
        <w:lastRenderedPageBreak/>
        <w:t>Introduction</w:t>
      </w:r>
    </w:p>
    <w:p w14:paraId="27E89438" w14:textId="77FDBC8C"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The Royal Docks</w:t>
      </w:r>
      <w:r>
        <w:rPr>
          <w:rFonts w:ascii="Times New Roman" w:hAnsi="Times New Roman" w:cs="Times New Roman"/>
        </w:rPr>
        <w:t>,</w:t>
      </w:r>
      <w:r w:rsidRPr="00121EDB">
        <w:rPr>
          <w:rFonts w:ascii="Times New Roman" w:hAnsi="Times New Roman" w:cs="Times New Roman"/>
        </w:rPr>
        <w:t xml:space="preserve"> located in Newham</w:t>
      </w:r>
      <w:r>
        <w:rPr>
          <w:rFonts w:ascii="Times New Roman" w:hAnsi="Times New Roman" w:cs="Times New Roman"/>
        </w:rPr>
        <w:t>,</w:t>
      </w:r>
      <w:r w:rsidRPr="00121EDB">
        <w:rPr>
          <w:rFonts w:ascii="Times New Roman" w:hAnsi="Times New Roman" w:cs="Times New Roman"/>
        </w:rPr>
        <w:t xml:space="preserve"> is one of the largest urban regeneration projects in the UK. Once significant to the industrial component of London’s economy, </w:t>
      </w:r>
      <w:r>
        <w:rPr>
          <w:rFonts w:ascii="Times New Roman" w:hAnsi="Times New Roman" w:cs="Times New Roman"/>
        </w:rPr>
        <w:t xml:space="preserve">the </w:t>
      </w:r>
      <w:r w:rsidRPr="00121EDB">
        <w:rPr>
          <w:rFonts w:ascii="Times New Roman" w:hAnsi="Times New Roman" w:cs="Times New Roman"/>
        </w:rPr>
        <w:t xml:space="preserve">Royal Docks have undergone substantial change with the decline of </w:t>
      </w:r>
      <w:r>
        <w:rPr>
          <w:rFonts w:ascii="Times New Roman" w:hAnsi="Times New Roman" w:cs="Times New Roman"/>
        </w:rPr>
        <w:t xml:space="preserve">the </w:t>
      </w:r>
      <w:r w:rsidRPr="00121EDB">
        <w:rPr>
          <w:rFonts w:ascii="Times New Roman" w:hAnsi="Times New Roman" w:cs="Times New Roman"/>
        </w:rPr>
        <w:t xml:space="preserve">associated industry. This report identifies the transition of Royal Docks as an economic location, the characteristics of the asset base and stakeholders currently in the area, and the planning frameworks that will facilitate their regeneration. The report will also consider the larger social/economic context in which the regeneration of Royal Docks takes place, and how the regeneration can help reduce inequality and address sustainable development concerns. </w:t>
      </w:r>
    </w:p>
    <w:p w14:paraId="208AEFAD" w14:textId="2A471473" w:rsidR="00121EDB" w:rsidRPr="00121EDB" w:rsidRDefault="00121EDB" w:rsidP="00121EDB">
      <w:pPr>
        <w:spacing w:line="480" w:lineRule="auto"/>
        <w:jc w:val="center"/>
        <w:rPr>
          <w:rFonts w:ascii="Times New Roman" w:hAnsi="Times New Roman" w:cs="Times New Roman"/>
          <w:b/>
          <w:bCs/>
        </w:rPr>
      </w:pPr>
      <w:r w:rsidRPr="00121EDB">
        <w:rPr>
          <w:rFonts w:ascii="Times New Roman" w:hAnsi="Times New Roman" w:cs="Times New Roman"/>
          <w:b/>
          <w:bCs/>
        </w:rPr>
        <w:t>Changing Fortunes</w:t>
      </w:r>
    </w:p>
    <w:p w14:paraId="0D1996B1" w14:textId="5BBD4DE6"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The Royal Docks used to be one of the pillars of London’s international trade economy, having supported extensive shipping, warehousing, and industrial production from the 19th century until the early twentieth century. But, with the rise of containerisation (mid-20th century), traditional dock operations changed dramatically. By the 1980s, the Docks were nearly abandoned, leaving many with extensive dereliction, high unemployment rates, and high levels of socio-economic deprivation. The fate of Royal Docks has mirrored the effects of deindustrialisation evident in many UK cities, </w:t>
      </w:r>
      <w:r w:rsidRPr="00121EDB">
        <w:rPr>
          <w:rFonts w:ascii="Times New Roman" w:hAnsi="Times New Roman" w:cs="Times New Roman"/>
        </w:rPr>
        <w:t>because of</w:t>
      </w:r>
      <w:r w:rsidRPr="00121EDB">
        <w:rPr>
          <w:rFonts w:ascii="Times New Roman" w:hAnsi="Times New Roman" w:cs="Times New Roman"/>
        </w:rPr>
        <w:t xml:space="preserve"> major economic restructuring that has produced significant long-term difficulties for the local communities (Webb, 2023).</w:t>
      </w:r>
    </w:p>
    <w:p w14:paraId="64B49C6F" w14:textId="7F09236B"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The negative effects of previous generations’ loss of jobs </w:t>
      </w:r>
      <w:r>
        <w:rPr>
          <w:rFonts w:ascii="Times New Roman" w:hAnsi="Times New Roman" w:cs="Times New Roman"/>
        </w:rPr>
        <w:t>are</w:t>
      </w:r>
      <w:r w:rsidRPr="00121EDB">
        <w:rPr>
          <w:rFonts w:ascii="Times New Roman" w:hAnsi="Times New Roman" w:cs="Times New Roman"/>
        </w:rPr>
        <w:t xml:space="preserve"> today represented by poverty, lack of employment, and a disparate urban landscape within the Royal Docks area. While the earlier regeneration programmes were significantly focused on attracting private investment and developing the physical infrastructure, such as the creation of new roads, improved transport links, etc., those attempts were often unsuccessful in generating any real benefits to the existing residents of the area. Over time, with continuing support from both </w:t>
      </w:r>
      <w:r>
        <w:rPr>
          <w:rFonts w:ascii="Times New Roman" w:hAnsi="Times New Roman" w:cs="Times New Roman"/>
        </w:rPr>
        <w:t>l</w:t>
      </w:r>
      <w:r w:rsidRPr="00121EDB">
        <w:rPr>
          <w:rFonts w:ascii="Times New Roman" w:hAnsi="Times New Roman" w:cs="Times New Roman"/>
        </w:rPr>
        <w:t xml:space="preserve">ocal and central </w:t>
      </w:r>
      <w:r w:rsidRPr="00121EDB">
        <w:rPr>
          <w:rFonts w:ascii="Times New Roman" w:hAnsi="Times New Roman" w:cs="Times New Roman"/>
        </w:rPr>
        <w:lastRenderedPageBreak/>
        <w:t xml:space="preserve">Government, this move toward how regeneration will be accomplished in Royal Docks is following the evolution of the regeneration programmes to include more inclusive and sustainable </w:t>
      </w:r>
      <w:r w:rsidRPr="00121EDB">
        <w:rPr>
          <w:rFonts w:ascii="Times New Roman" w:hAnsi="Times New Roman" w:cs="Times New Roman"/>
        </w:rPr>
        <w:t>processes. The</w:t>
      </w:r>
      <w:r w:rsidRPr="00121EDB">
        <w:rPr>
          <w:rFonts w:ascii="Times New Roman" w:hAnsi="Times New Roman" w:cs="Times New Roman"/>
        </w:rPr>
        <w:t xml:space="preserve"> changes that have taken place within the Royal Docks also reflect a broader transformation in the way people view their cities</w:t>
      </w:r>
      <w:r>
        <w:rPr>
          <w:rFonts w:ascii="Times New Roman" w:hAnsi="Times New Roman" w:cs="Times New Roman"/>
        </w:rPr>
        <w:t>,</w:t>
      </w:r>
      <w:r w:rsidRPr="00121EDB">
        <w:rPr>
          <w:rFonts w:ascii="Times New Roman" w:hAnsi="Times New Roman" w:cs="Times New Roman"/>
        </w:rPr>
        <w:t xml:space="preserve"> as previous industrial zones are re-branded as modern, mixed-use developments to attract both investment and global attention (Bradley &amp; Hall, 2025).</w:t>
      </w:r>
    </w:p>
    <w:p w14:paraId="23EEF0A1" w14:textId="3CA49E61"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Although significant amounts of money have been invested in the regeneration of the area, the economic benefits of these developments have not been shared equally with the local community. The London Borough of Newham continues to experience higher numbers of people who live in poverty and lower levels of employment than other boroughs within London. This demonstrates the need to incorporate social sustainability into regeneration projects </w:t>
      </w:r>
      <w:r w:rsidRPr="00121EDB">
        <w:rPr>
          <w:rFonts w:ascii="Times New Roman" w:hAnsi="Times New Roman" w:cs="Times New Roman"/>
        </w:rPr>
        <w:t>to</w:t>
      </w:r>
      <w:r w:rsidRPr="00121EDB">
        <w:rPr>
          <w:rFonts w:ascii="Times New Roman" w:hAnsi="Times New Roman" w:cs="Times New Roman"/>
        </w:rPr>
        <w:t xml:space="preserve"> ensure that economic success results in better outcomes for residents living within the community (</w:t>
      </w:r>
      <w:proofErr w:type="spellStart"/>
      <w:r w:rsidRPr="00121EDB">
        <w:rPr>
          <w:rFonts w:ascii="Times New Roman" w:hAnsi="Times New Roman" w:cs="Times New Roman"/>
        </w:rPr>
        <w:t>Akotia</w:t>
      </w:r>
      <w:proofErr w:type="spellEnd"/>
      <w:r w:rsidRPr="00121EDB">
        <w:rPr>
          <w:rFonts w:ascii="Times New Roman" w:hAnsi="Times New Roman" w:cs="Times New Roman"/>
        </w:rPr>
        <w:t xml:space="preserve"> &amp; </w:t>
      </w:r>
      <w:proofErr w:type="spellStart"/>
      <w:r w:rsidRPr="00121EDB">
        <w:rPr>
          <w:rFonts w:ascii="Times New Roman" w:hAnsi="Times New Roman" w:cs="Times New Roman"/>
        </w:rPr>
        <w:t>Awuzie</w:t>
      </w:r>
      <w:proofErr w:type="spellEnd"/>
      <w:r w:rsidRPr="00121EDB">
        <w:rPr>
          <w:rFonts w:ascii="Times New Roman" w:hAnsi="Times New Roman" w:cs="Times New Roman"/>
        </w:rPr>
        <w:t>, 2025).</w:t>
      </w:r>
    </w:p>
    <w:p w14:paraId="1D66E421" w14:textId="77777777" w:rsidR="00121EDB" w:rsidRPr="00121EDB" w:rsidRDefault="00121EDB" w:rsidP="00121EDB">
      <w:pPr>
        <w:spacing w:line="480" w:lineRule="auto"/>
        <w:jc w:val="center"/>
        <w:rPr>
          <w:rFonts w:ascii="Times New Roman" w:hAnsi="Times New Roman" w:cs="Times New Roman"/>
          <w:b/>
          <w:bCs/>
        </w:rPr>
      </w:pPr>
      <w:r w:rsidRPr="00121EDB">
        <w:rPr>
          <w:rFonts w:ascii="Times New Roman" w:hAnsi="Times New Roman" w:cs="Times New Roman"/>
          <w:b/>
          <w:bCs/>
        </w:rPr>
        <w:t>Existing natural, built and economic assets</w:t>
      </w:r>
    </w:p>
    <w:p w14:paraId="37C95467" w14:textId="635ACDBF"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The Royal Docks have many physical and economic assets that will assist in </w:t>
      </w:r>
      <w:r>
        <w:rPr>
          <w:rFonts w:ascii="Times New Roman" w:hAnsi="Times New Roman" w:cs="Times New Roman"/>
        </w:rPr>
        <w:t>their</w:t>
      </w:r>
      <w:r w:rsidRPr="00121EDB">
        <w:rPr>
          <w:rFonts w:ascii="Times New Roman" w:hAnsi="Times New Roman" w:cs="Times New Roman"/>
        </w:rPr>
        <w:t xml:space="preserve"> ability to regenerate. There is a large amount of brownfield land in the Royal Docks that can be redeveloped on an extensive scale. The waterfront provides a unique environmental and recreational opportunity, as well as proximity to central London</w:t>
      </w:r>
      <w:r>
        <w:rPr>
          <w:rFonts w:ascii="Times New Roman" w:hAnsi="Times New Roman" w:cs="Times New Roman"/>
        </w:rPr>
        <w:t>,</w:t>
      </w:r>
      <w:r w:rsidRPr="00121EDB">
        <w:rPr>
          <w:rFonts w:ascii="Times New Roman" w:hAnsi="Times New Roman" w:cs="Times New Roman"/>
        </w:rPr>
        <w:t xml:space="preserve"> which makes it appealing for future investments.</w:t>
      </w:r>
    </w:p>
    <w:p w14:paraId="31E7CBBA" w14:textId="77777777" w:rsid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The strength of the transport infrastructure will also help facilitate regeneration within the Royal Docks</w:t>
      </w:r>
      <w:r>
        <w:rPr>
          <w:rFonts w:ascii="Times New Roman" w:hAnsi="Times New Roman" w:cs="Times New Roman"/>
        </w:rPr>
        <w:t>,</w:t>
      </w:r>
      <w:r w:rsidRPr="00121EDB">
        <w:rPr>
          <w:rFonts w:ascii="Times New Roman" w:hAnsi="Times New Roman" w:cs="Times New Roman"/>
        </w:rPr>
        <w:t xml:space="preserve"> as the Elizabeth Line, Docklands Light Railway and London City Airport will provide a strong connection to the region and around the globe. These transport systems will be integral in supporting economic growth and improving connectivity and are two key components necessary for regeneration successes (Huang, 2025).</w:t>
      </w:r>
    </w:p>
    <w:p w14:paraId="638EF4BF" w14:textId="487ED47A"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lastRenderedPageBreak/>
        <w:t xml:space="preserve">The Royal Docks continues to develop into a more diverse economic area, shifting from its historic industrial economy towards a mixed-use economy. These sectors include events &amp; exhibitions, education, creative industries and emerging innovation-based activities. Additionally, the presence of such large institutions like ExCeL </w:t>
      </w:r>
      <w:r>
        <w:rPr>
          <w:rFonts w:ascii="Times New Roman" w:hAnsi="Times New Roman" w:cs="Times New Roman"/>
        </w:rPr>
        <w:t>London Investment</w:t>
      </w:r>
      <w:r w:rsidRPr="00121EDB">
        <w:rPr>
          <w:rFonts w:ascii="Times New Roman" w:hAnsi="Times New Roman" w:cs="Times New Roman"/>
        </w:rPr>
        <w:t xml:space="preserve"> from the private sector is critical in creating the new emerging economy. Regeneration strategies that attract investment to stimulate growth depend on that investment supporting long-term sustainability rather than just giving a return for quick projects (Lo &amp; Jackson, 2025).</w:t>
      </w:r>
    </w:p>
    <w:p w14:paraId="62950AB5" w14:textId="77777777"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Another significant aspect of regeneration is the area’s environmental assets. The docks that are part of the area support opportunities for blue-green infrastructure that will provide for biodiversity, climate resilience and wellbeing for the public. The inclusion of green infrastructure as part of regeneration projects is increasingly viewed as essential to creating sustainable urban areas (Butt &amp; Rigoni, 2025).</w:t>
      </w:r>
    </w:p>
    <w:p w14:paraId="4DC95F19" w14:textId="77777777" w:rsidR="00121EDB" w:rsidRPr="00121EDB" w:rsidRDefault="00121EDB" w:rsidP="00121EDB">
      <w:pPr>
        <w:spacing w:line="480" w:lineRule="auto"/>
        <w:jc w:val="center"/>
        <w:rPr>
          <w:rFonts w:ascii="Times New Roman" w:hAnsi="Times New Roman" w:cs="Times New Roman"/>
          <w:b/>
          <w:bCs/>
        </w:rPr>
      </w:pPr>
      <w:r w:rsidRPr="00121EDB">
        <w:rPr>
          <w:rFonts w:ascii="Times New Roman" w:hAnsi="Times New Roman" w:cs="Times New Roman"/>
          <w:b/>
          <w:bCs/>
        </w:rPr>
        <w:t>Key players and interest groups</w:t>
      </w:r>
    </w:p>
    <w:p w14:paraId="0434535C" w14:textId="491B7685"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There are numerous key players and interest groups involved in the Royal Docks regeneration with differing levels of interest, priorities and perspectives. There are numerous public sector bodies</w:t>
      </w:r>
      <w:r>
        <w:rPr>
          <w:rFonts w:ascii="Times New Roman" w:hAnsi="Times New Roman" w:cs="Times New Roman"/>
        </w:rPr>
        <w:t>,</w:t>
      </w:r>
      <w:r w:rsidRPr="00121EDB">
        <w:rPr>
          <w:rFonts w:ascii="Times New Roman" w:hAnsi="Times New Roman" w:cs="Times New Roman"/>
        </w:rPr>
        <w:t xml:space="preserve"> such as the Greater London Authority and </w:t>
      </w:r>
      <w:r>
        <w:rPr>
          <w:rFonts w:ascii="Times New Roman" w:hAnsi="Times New Roman" w:cs="Times New Roman"/>
        </w:rPr>
        <w:t xml:space="preserve">the </w:t>
      </w:r>
      <w:r w:rsidRPr="00121EDB">
        <w:rPr>
          <w:rFonts w:ascii="Times New Roman" w:hAnsi="Times New Roman" w:cs="Times New Roman"/>
        </w:rPr>
        <w:t>London Borough of Newham</w:t>
      </w:r>
      <w:r>
        <w:rPr>
          <w:rFonts w:ascii="Times New Roman" w:hAnsi="Times New Roman" w:cs="Times New Roman"/>
        </w:rPr>
        <w:t>,</w:t>
      </w:r>
      <w:r w:rsidRPr="00121EDB">
        <w:rPr>
          <w:rFonts w:ascii="Times New Roman" w:hAnsi="Times New Roman" w:cs="Times New Roman"/>
        </w:rPr>
        <w:t xml:space="preserve"> that have a main role in the creation of plans and policies for the regeneration area. There are also delivery organisations like the Royal Docks Team that are responsible for implementing the strategies created and coordinating the projects that fit into those strategies.</w:t>
      </w:r>
    </w:p>
    <w:p w14:paraId="6F67DCA4" w14:textId="77777777" w:rsid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Developers and investors in the private sector are important contributors to providing funding for development as well as delivering new development. Residents and local communities also represent key stakeholders whose needs and viewpoints must be </w:t>
      </w:r>
      <w:r w:rsidRPr="00121EDB">
        <w:rPr>
          <w:rFonts w:ascii="Times New Roman" w:hAnsi="Times New Roman" w:cs="Times New Roman"/>
        </w:rPr>
        <w:t>considered</w:t>
      </w:r>
      <w:r w:rsidRPr="00121EDB">
        <w:rPr>
          <w:rFonts w:ascii="Times New Roman" w:hAnsi="Times New Roman" w:cs="Times New Roman"/>
        </w:rPr>
        <w:t>. Educational institutions like the University of East London and other major venue operators such as ExCeL London also contribute to the economic and social development of the area.</w:t>
      </w:r>
    </w:p>
    <w:p w14:paraId="3892C7A5" w14:textId="09236FD1"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lastRenderedPageBreak/>
        <w:t xml:space="preserve">One of the challenges of carrying out the regeneration strategy is balancing </w:t>
      </w:r>
      <w:r w:rsidRPr="00121EDB">
        <w:rPr>
          <w:rFonts w:ascii="Times New Roman" w:hAnsi="Times New Roman" w:cs="Times New Roman"/>
        </w:rPr>
        <w:t>all</w:t>
      </w:r>
      <w:r w:rsidRPr="00121EDB">
        <w:rPr>
          <w:rFonts w:ascii="Times New Roman" w:hAnsi="Times New Roman" w:cs="Times New Roman"/>
        </w:rPr>
        <w:t xml:space="preserve"> the differing interests of </w:t>
      </w:r>
      <w:proofErr w:type="gramStart"/>
      <w:r w:rsidRPr="00121EDB">
        <w:rPr>
          <w:rFonts w:ascii="Times New Roman" w:hAnsi="Times New Roman" w:cs="Times New Roman"/>
        </w:rPr>
        <w:t>all of</w:t>
      </w:r>
      <w:proofErr w:type="gramEnd"/>
      <w:r w:rsidRPr="00121EDB">
        <w:rPr>
          <w:rFonts w:ascii="Times New Roman" w:hAnsi="Times New Roman" w:cs="Times New Roman"/>
        </w:rPr>
        <w:t xml:space="preserve"> the involved stakeholders. Even though the private sector is a vital source of economic growth, </w:t>
      </w:r>
      <w:r>
        <w:rPr>
          <w:rFonts w:ascii="Times New Roman" w:hAnsi="Times New Roman" w:cs="Times New Roman"/>
        </w:rPr>
        <w:t>its</w:t>
      </w:r>
      <w:r w:rsidRPr="00121EDB">
        <w:rPr>
          <w:rFonts w:ascii="Times New Roman" w:hAnsi="Times New Roman" w:cs="Times New Roman"/>
        </w:rPr>
        <w:t xml:space="preserve"> contributions must be provided in a way that also </w:t>
      </w:r>
      <w:r>
        <w:rPr>
          <w:rFonts w:ascii="Times New Roman" w:hAnsi="Times New Roman" w:cs="Times New Roman"/>
        </w:rPr>
        <w:t>meets</w:t>
      </w:r>
      <w:r w:rsidRPr="00121EDB">
        <w:rPr>
          <w:rFonts w:ascii="Times New Roman" w:hAnsi="Times New Roman" w:cs="Times New Roman"/>
        </w:rPr>
        <w:t xml:space="preserve"> social and environmental objectives to create sustainable results (Lo &amp; Jackson, 2025).</w:t>
      </w:r>
      <w:r>
        <w:rPr>
          <w:rFonts w:ascii="Times New Roman" w:hAnsi="Times New Roman" w:cs="Times New Roman"/>
        </w:rPr>
        <w:t xml:space="preserve"> </w:t>
      </w:r>
      <w:r w:rsidRPr="00121EDB">
        <w:rPr>
          <w:rFonts w:ascii="Times New Roman" w:hAnsi="Times New Roman" w:cs="Times New Roman"/>
        </w:rPr>
        <w:t>Inclusive community engagement is crucial in allowing for equitable distribution of regeneration outcomes through decisions made collaboratively (Doyle, 2025).</w:t>
      </w:r>
    </w:p>
    <w:p w14:paraId="4E5EDE39" w14:textId="77777777" w:rsidR="00121EDB" w:rsidRPr="00121EDB" w:rsidRDefault="00121EDB" w:rsidP="00121EDB">
      <w:pPr>
        <w:spacing w:line="480" w:lineRule="auto"/>
        <w:jc w:val="center"/>
        <w:rPr>
          <w:rFonts w:ascii="Times New Roman" w:hAnsi="Times New Roman" w:cs="Times New Roman"/>
          <w:b/>
          <w:bCs/>
        </w:rPr>
      </w:pPr>
      <w:r w:rsidRPr="00121EDB">
        <w:rPr>
          <w:rFonts w:ascii="Times New Roman" w:hAnsi="Times New Roman" w:cs="Times New Roman"/>
          <w:b/>
          <w:bCs/>
        </w:rPr>
        <w:t>Local and regional development plans</w:t>
      </w:r>
    </w:p>
    <w:p w14:paraId="52DC71A2" w14:textId="41009D6A" w:rsidR="00121EDB" w:rsidRPr="00121EDB" w:rsidRDefault="00121EDB" w:rsidP="00121EDB">
      <w:pPr>
        <w:spacing w:line="480" w:lineRule="auto"/>
        <w:jc w:val="both"/>
        <w:rPr>
          <w:rFonts w:ascii="Times New Roman" w:hAnsi="Times New Roman" w:cs="Times New Roman"/>
        </w:rPr>
      </w:pPr>
      <w:r>
        <w:rPr>
          <w:rFonts w:ascii="Times New Roman" w:hAnsi="Times New Roman" w:cs="Times New Roman"/>
        </w:rPr>
        <w:t>Several</w:t>
      </w:r>
      <w:r w:rsidRPr="00121EDB">
        <w:rPr>
          <w:rFonts w:ascii="Times New Roman" w:hAnsi="Times New Roman" w:cs="Times New Roman"/>
        </w:rPr>
        <w:t xml:space="preserve"> local and regional strategies influence the redevelopment of the Royal Docks. The London Plan identifies the area as an Opportunity Area, meaning it has the potential for considerable housing and employment growth. This will facilitate large-scale development and investment while stressing the importance of sustainable and inclusive growth.</w:t>
      </w:r>
    </w:p>
    <w:p w14:paraId="1B274B78" w14:textId="0854612D"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Urban policy plays a key role in guiding regeneration and determining land use, infrastructure and the economy. Well-developed policy frameworks are integral to allowing for </w:t>
      </w:r>
      <w:r>
        <w:rPr>
          <w:rFonts w:ascii="Times New Roman" w:hAnsi="Times New Roman" w:cs="Times New Roman"/>
        </w:rPr>
        <w:t>the coordination</w:t>
      </w:r>
      <w:r w:rsidRPr="00121EDB">
        <w:rPr>
          <w:rFonts w:ascii="Times New Roman" w:hAnsi="Times New Roman" w:cs="Times New Roman"/>
        </w:rPr>
        <w:t xml:space="preserve"> of the many stakeholders and ensuring the regeneration matches the broader goals of the spatial planning (Webb, 2024).</w:t>
      </w:r>
    </w:p>
    <w:p w14:paraId="513642DC" w14:textId="77777777"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Transport and mobility strategies are also integral to the redevelopment of the Royal Docks. Improving connectivity through different modes of public transport and through active travel infrastructure improves access, decreases environmental impact and creates economic opportunities. Sustainable mobility has become a key element of urban regeneration (Ribeiro et al., 2025).</w:t>
      </w:r>
    </w:p>
    <w:p w14:paraId="01DE094E" w14:textId="3E179CAC" w:rsid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The Royal Docks form part of the wider regeneration effort of the Thames Gateway, which aims to create long-term growth opportunities and development in East London. The larger physical context shows the importance of greater integration and </w:t>
      </w:r>
      <w:r>
        <w:rPr>
          <w:rFonts w:ascii="Times New Roman" w:hAnsi="Times New Roman" w:cs="Times New Roman"/>
        </w:rPr>
        <w:t>coordination</w:t>
      </w:r>
      <w:r w:rsidRPr="00121EDB">
        <w:rPr>
          <w:rFonts w:ascii="Times New Roman" w:hAnsi="Times New Roman" w:cs="Times New Roman"/>
        </w:rPr>
        <w:t xml:space="preserve"> of regeneration </w:t>
      </w:r>
      <w:r w:rsidRPr="00121EDB">
        <w:rPr>
          <w:rFonts w:ascii="Times New Roman" w:hAnsi="Times New Roman" w:cs="Times New Roman"/>
        </w:rPr>
        <w:lastRenderedPageBreak/>
        <w:t xml:space="preserve">at different spatial </w:t>
      </w:r>
      <w:proofErr w:type="gramStart"/>
      <w:r w:rsidRPr="00121EDB">
        <w:rPr>
          <w:rFonts w:ascii="Times New Roman" w:hAnsi="Times New Roman" w:cs="Times New Roman"/>
        </w:rPr>
        <w:t>scales</w:t>
      </w:r>
      <w:r>
        <w:rPr>
          <w:rFonts w:ascii="Times New Roman" w:hAnsi="Times New Roman" w:cs="Times New Roman"/>
        </w:rPr>
        <w:t>,</w:t>
      </w:r>
      <w:r w:rsidRPr="00121EDB">
        <w:rPr>
          <w:rFonts w:ascii="Times New Roman" w:hAnsi="Times New Roman" w:cs="Times New Roman"/>
        </w:rPr>
        <w:t xml:space="preserve"> and</w:t>
      </w:r>
      <w:proofErr w:type="gramEnd"/>
      <w:r w:rsidRPr="00121EDB">
        <w:rPr>
          <w:rFonts w:ascii="Times New Roman" w:hAnsi="Times New Roman" w:cs="Times New Roman"/>
        </w:rPr>
        <w:t xml:space="preserve"> allowing time to ensure that the new development is economically viable and environmentally sustainable (Kemp, 2025).</w:t>
      </w:r>
      <w:r>
        <w:rPr>
          <w:rFonts w:ascii="Times New Roman" w:hAnsi="Times New Roman" w:cs="Times New Roman"/>
        </w:rPr>
        <w:t xml:space="preserve"> </w:t>
      </w:r>
    </w:p>
    <w:p w14:paraId="583A08BC" w14:textId="2D326875" w:rsidR="00121EDB" w:rsidRPr="00121EDB" w:rsidRDefault="00121EDB" w:rsidP="00121EDB">
      <w:pPr>
        <w:spacing w:line="480" w:lineRule="auto"/>
        <w:jc w:val="center"/>
        <w:rPr>
          <w:rFonts w:ascii="Times New Roman" w:hAnsi="Times New Roman" w:cs="Times New Roman"/>
          <w:b/>
          <w:bCs/>
        </w:rPr>
      </w:pPr>
      <w:r w:rsidRPr="00121EDB">
        <w:rPr>
          <w:rFonts w:ascii="Times New Roman" w:hAnsi="Times New Roman" w:cs="Times New Roman"/>
          <w:b/>
          <w:bCs/>
        </w:rPr>
        <w:t>Future Regeneration Opportunities - Including Sustainable Jobs and Skills</w:t>
      </w:r>
    </w:p>
    <w:p w14:paraId="274F6FA1" w14:textId="77777777"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Creating a sustainable jobs and skills hub focusing on providing training and employment opportunities in the green labour force (for example, renewable energy, retrofitting for construction industries, and environmental management systems) is one of the most significant opportunities for regeneration in the Royal Docks.</w:t>
      </w:r>
    </w:p>
    <w:p w14:paraId="42AE5DF9" w14:textId="7D08EE2F"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This model addresses the need to ensure that there </w:t>
      </w:r>
      <w:proofErr w:type="gramStart"/>
      <w:r>
        <w:rPr>
          <w:rFonts w:ascii="Times New Roman" w:hAnsi="Times New Roman" w:cs="Times New Roman"/>
        </w:rPr>
        <w:t>are</w:t>
      </w:r>
      <w:proofErr w:type="gramEnd"/>
      <w:r w:rsidRPr="00121EDB">
        <w:rPr>
          <w:rFonts w:ascii="Times New Roman" w:hAnsi="Times New Roman" w:cs="Times New Roman"/>
        </w:rPr>
        <w:t xml:space="preserve"> social sustainability goals embedded within all regeneration developments. It will also ensure that all residents can benefit from the new economic opportunities while meeting trends in sustainable urban development that incorporate innovative technology and environmental management systems.</w:t>
      </w:r>
    </w:p>
    <w:p w14:paraId="641B1EF0" w14:textId="77777777"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Linking with local education providers and employers will enable the development of this hub, reduce inequality, and create long-term resilience in the local economy.</w:t>
      </w:r>
    </w:p>
    <w:p w14:paraId="3FB865BE" w14:textId="77777777"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Another significant regeneration opportunity is the creation of a circular economy district focused on food, logistics, and sustainability. Wholesale market relocation to the Royal Docks would serve as an ideal foundation for the development of a circular economy district that incorporates low-carbon food logistics and food waste recycling, with a focus on creating a sustainable and resilient economy.</w:t>
      </w:r>
    </w:p>
    <w:p w14:paraId="37770BF3" w14:textId="77777777" w:rsid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Retail regeneration must also recognise the need for adaptation to changing consumer behaviours and technological advancements. Retailers must develop flexible and innovative strategies to meet the demands of their customers if they wish to thrive in the future (Bahar 2025).</w:t>
      </w:r>
    </w:p>
    <w:p w14:paraId="30D28F40" w14:textId="765FE57A"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lastRenderedPageBreak/>
        <w:t xml:space="preserve">The housing development component of the circular economy district must support mixed-use development and provide communities with the opportunity to live sustainably in and around the circular economy district. Recent studies show that there is a need to link housing regeneration with broader urban regeneration strategies to create balanced, equitable, and inclusive communities (Chin et al. 2025).To build on the idea of creating an entire 'circular economy' for the Royal Docks (an area in east London), imagine that all parts of the food supply chain from point of production to consumption could be designed as one continuous process through which waste produced from food production, delivery and consumption would be used to feed back into food production therefore optimising resources while also minimising waste. For example, the Royal Docks could create a system in which excess produce from food markets can be redistributed to local communities </w:t>
      </w:r>
      <w:r w:rsidRPr="00121EDB">
        <w:rPr>
          <w:rFonts w:ascii="Times New Roman" w:hAnsi="Times New Roman" w:cs="Times New Roman"/>
        </w:rPr>
        <w:t>and</w:t>
      </w:r>
      <w:r w:rsidRPr="00121EDB">
        <w:rPr>
          <w:rFonts w:ascii="Times New Roman" w:hAnsi="Times New Roman" w:cs="Times New Roman"/>
        </w:rPr>
        <w:t xml:space="preserve"> </w:t>
      </w:r>
      <w:r>
        <w:rPr>
          <w:rFonts w:ascii="Times New Roman" w:hAnsi="Times New Roman" w:cs="Times New Roman"/>
        </w:rPr>
        <w:t>utilise</w:t>
      </w:r>
      <w:r w:rsidRPr="00121EDB">
        <w:rPr>
          <w:rFonts w:ascii="Times New Roman" w:hAnsi="Times New Roman" w:cs="Times New Roman"/>
        </w:rPr>
        <w:t xml:space="preserve"> food waste in anaerobic digestion for the generation of energy. Such systems are not only environmentally friendly, but they also promote social wellbeing by providing opportunities for people to access food who may otherwise not be able to.</w:t>
      </w:r>
    </w:p>
    <w:p w14:paraId="3EAF3160" w14:textId="56F5464E"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Another key element of the circular economy is the creation of a business hub for small and </w:t>
      </w:r>
      <w:r w:rsidR="00C54E3D">
        <w:rPr>
          <w:rFonts w:ascii="Times New Roman" w:hAnsi="Times New Roman" w:cs="Times New Roman"/>
        </w:rPr>
        <w:t>medium-sized</w:t>
      </w:r>
      <w:r w:rsidRPr="00121EDB">
        <w:rPr>
          <w:rFonts w:ascii="Times New Roman" w:hAnsi="Times New Roman" w:cs="Times New Roman"/>
        </w:rPr>
        <w:t xml:space="preserve"> enterprises (SMEs) that will support local entrepreneurs and commercial innovation. The creation of flexible commercial and </w:t>
      </w:r>
      <w:r w:rsidR="00C54E3D" w:rsidRPr="00121EDB">
        <w:rPr>
          <w:rFonts w:ascii="Times New Roman" w:hAnsi="Times New Roman" w:cs="Times New Roman"/>
        </w:rPr>
        <w:t>workspace</w:t>
      </w:r>
      <w:r w:rsidRPr="00121EDB">
        <w:rPr>
          <w:rFonts w:ascii="Times New Roman" w:hAnsi="Times New Roman" w:cs="Times New Roman"/>
        </w:rPr>
        <w:t xml:space="preserve"> for small, independent businesses to exist alongside larger commercial businesses will help ensure that the positive effect regeneration has on the local community can continue, especially in those areas where rising property values often force out smaller businesses.</w:t>
      </w:r>
    </w:p>
    <w:p w14:paraId="6B62381B" w14:textId="77777777" w:rsidR="00C54E3D"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The addition of digital technology (e.g., smart logistics and online distribution) will increase the operational efficiency, competitiveness and resiliency of SMEs operating in a circular economy. The effective use of digital technologies aligns with current policies regarding the regeneration of areas that demonstrate that societies </w:t>
      </w:r>
      <w:r w:rsidR="00C54E3D" w:rsidRPr="00121EDB">
        <w:rPr>
          <w:rFonts w:ascii="Times New Roman" w:hAnsi="Times New Roman" w:cs="Times New Roman"/>
        </w:rPr>
        <w:t>must</w:t>
      </w:r>
      <w:r w:rsidRPr="00121EDB">
        <w:rPr>
          <w:rFonts w:ascii="Times New Roman" w:hAnsi="Times New Roman" w:cs="Times New Roman"/>
        </w:rPr>
        <w:t xml:space="preserve"> continually adapt and be resilient to survive in an ever-changing global economy (Bahar, 2025).</w:t>
      </w:r>
    </w:p>
    <w:p w14:paraId="564648A2" w14:textId="3498F7AB"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lastRenderedPageBreak/>
        <w:t>In summary, this effort will change the Royal Docks into a model of sustainable urban economies by showing how environmental, economic and social objectives can be realised at the same time.</w:t>
      </w:r>
    </w:p>
    <w:p w14:paraId="5641175D" w14:textId="10211F6F"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The Royal Docks </w:t>
      </w:r>
      <w:r w:rsidR="00C54E3D">
        <w:rPr>
          <w:rFonts w:ascii="Times New Roman" w:hAnsi="Times New Roman" w:cs="Times New Roman"/>
        </w:rPr>
        <w:t>represent</w:t>
      </w:r>
      <w:r w:rsidRPr="00121EDB">
        <w:rPr>
          <w:rFonts w:ascii="Times New Roman" w:hAnsi="Times New Roman" w:cs="Times New Roman"/>
        </w:rPr>
        <w:t xml:space="preserve"> a great opportunity to innovate and create blue-green infrastructure. Through transforming its waterfront into a system of public, ecological, and recreational spaces, it can improve environmental sustainability and quality of life at the same time.</w:t>
      </w:r>
    </w:p>
    <w:p w14:paraId="064156A6" w14:textId="77777777" w:rsidR="00C54E3D" w:rsidRPr="00C54E3D" w:rsidRDefault="00121EDB" w:rsidP="00C54E3D">
      <w:pPr>
        <w:spacing w:line="480" w:lineRule="auto"/>
        <w:jc w:val="center"/>
        <w:rPr>
          <w:rFonts w:ascii="Times New Roman" w:hAnsi="Times New Roman" w:cs="Times New Roman"/>
          <w:b/>
          <w:bCs/>
        </w:rPr>
      </w:pPr>
      <w:r w:rsidRPr="00C54E3D">
        <w:rPr>
          <w:rFonts w:ascii="Times New Roman" w:hAnsi="Times New Roman" w:cs="Times New Roman"/>
          <w:b/>
          <w:bCs/>
        </w:rPr>
        <w:t>Blue-Green Infrastructure and Climate Resilient Public Space</w:t>
      </w:r>
    </w:p>
    <w:p w14:paraId="4DA40811" w14:textId="77F0BA6D"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Urban areas </w:t>
      </w:r>
      <w:r w:rsidR="00C54E3D">
        <w:rPr>
          <w:rFonts w:ascii="Times New Roman" w:hAnsi="Times New Roman" w:cs="Times New Roman"/>
        </w:rPr>
        <w:t>recognise</w:t>
      </w:r>
      <w:r w:rsidRPr="00121EDB">
        <w:rPr>
          <w:rFonts w:ascii="Times New Roman" w:hAnsi="Times New Roman" w:cs="Times New Roman"/>
        </w:rPr>
        <w:t xml:space="preserve"> that nature-based solutions are vital for addressing climate change; they have numerous benefits</w:t>
      </w:r>
      <w:r w:rsidR="00C54E3D">
        <w:rPr>
          <w:rFonts w:ascii="Times New Roman" w:hAnsi="Times New Roman" w:cs="Times New Roman"/>
        </w:rPr>
        <w:t>,</w:t>
      </w:r>
      <w:r w:rsidRPr="00121EDB">
        <w:rPr>
          <w:rFonts w:ascii="Times New Roman" w:hAnsi="Times New Roman" w:cs="Times New Roman"/>
        </w:rPr>
        <w:t xml:space="preserve"> including flood management, cooling capabilities, and enhancing biodiversity (Macaione et al. 2026).</w:t>
      </w:r>
    </w:p>
    <w:p w14:paraId="4067A208" w14:textId="77777777"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The integration of sustainable transportation infrastructure will help to reduce car dependency and improve the environmental sustainability of our cities. In particular, the role of transportation is critical to the success of regeneration activities because it affects both accessibility to and the sustainability of these developments (Dindar 2025).</w:t>
      </w:r>
    </w:p>
    <w:p w14:paraId="7585B042" w14:textId="00994A3F"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There is potential for further development of blue and green infrastructure at the Royal Docks through the establishment of floating parks, wetlands, and green corridors that connect various elements of the Royal Docks. These types of projects would not only help to support the area's biodiversity, but they </w:t>
      </w:r>
      <w:r w:rsidR="00C54E3D">
        <w:rPr>
          <w:rFonts w:ascii="Times New Roman" w:hAnsi="Times New Roman" w:cs="Times New Roman"/>
        </w:rPr>
        <w:t>would</w:t>
      </w:r>
      <w:r w:rsidRPr="00121EDB">
        <w:rPr>
          <w:rFonts w:ascii="Times New Roman" w:hAnsi="Times New Roman" w:cs="Times New Roman"/>
        </w:rPr>
        <w:t xml:space="preserve"> also improve the resilience of the Royal Docks to climate-related risks such as flooding and heat waves. As climate change continues to affect urban areas, incorporating adaptive design into regeneration projects is becoming increasingly important.</w:t>
      </w:r>
    </w:p>
    <w:p w14:paraId="7C357BCA" w14:textId="77777777" w:rsidR="00C54E3D"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Public spaces should also be designed to foster social interaction and community cohesion. Developing accessible waterfront areas, pedestrian pathways, and bike networks will help promote healthy living, as well as create a sense of place and belonging among the residents. </w:t>
      </w:r>
      <w:r w:rsidRPr="00121EDB">
        <w:rPr>
          <w:rFonts w:ascii="Times New Roman" w:hAnsi="Times New Roman" w:cs="Times New Roman"/>
        </w:rPr>
        <w:lastRenderedPageBreak/>
        <w:t>This is consistent with the broader regeneration goals of promoting social inclusion and well-being (Doyle 2025).</w:t>
      </w:r>
    </w:p>
    <w:p w14:paraId="6E2A1545" w14:textId="6568B004"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Integrating green infrastructure into urban design can also yield substantial economic benefits, including increased property values and attracting investment. However, it will be crucial to ensure that these benefits are distributed fairly and do not displace existing communities.</w:t>
      </w:r>
    </w:p>
    <w:p w14:paraId="233E354E" w14:textId="2DF42415"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To </w:t>
      </w:r>
      <w:r w:rsidR="00C54E3D">
        <w:rPr>
          <w:rFonts w:ascii="Times New Roman" w:hAnsi="Times New Roman" w:cs="Times New Roman"/>
        </w:rPr>
        <w:t>summarise</w:t>
      </w:r>
      <w:r w:rsidRPr="00121EDB">
        <w:rPr>
          <w:rFonts w:ascii="Times New Roman" w:hAnsi="Times New Roman" w:cs="Times New Roman"/>
        </w:rPr>
        <w:t>, developing blue and green infrastructure at the Royal Docks represents a comprehensive approach to regeneration, in that it combines the principles of environmentally sustainable development, economic growth, and social well-being.</w:t>
      </w:r>
    </w:p>
    <w:p w14:paraId="36172CB5" w14:textId="77777777" w:rsidR="00121EDB" w:rsidRPr="00C54E3D" w:rsidRDefault="00121EDB" w:rsidP="00C54E3D">
      <w:pPr>
        <w:spacing w:line="480" w:lineRule="auto"/>
        <w:jc w:val="center"/>
        <w:rPr>
          <w:rFonts w:ascii="Times New Roman" w:hAnsi="Times New Roman" w:cs="Times New Roman"/>
          <w:b/>
          <w:bCs/>
        </w:rPr>
      </w:pPr>
      <w:r w:rsidRPr="00C54E3D">
        <w:rPr>
          <w:rFonts w:ascii="Times New Roman" w:hAnsi="Times New Roman" w:cs="Times New Roman"/>
          <w:b/>
          <w:bCs/>
        </w:rPr>
        <w:t>Conclusions</w:t>
      </w:r>
    </w:p>
    <w:p w14:paraId="509CEAC2" w14:textId="3684D808" w:rsidR="00121EDB" w:rsidRP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 xml:space="preserve">The Royal Docks </w:t>
      </w:r>
      <w:r w:rsidR="00C54E3D">
        <w:rPr>
          <w:rFonts w:ascii="Times New Roman" w:hAnsi="Times New Roman" w:cs="Times New Roman"/>
        </w:rPr>
        <w:t>have</w:t>
      </w:r>
      <w:r w:rsidRPr="00121EDB">
        <w:rPr>
          <w:rFonts w:ascii="Times New Roman" w:hAnsi="Times New Roman" w:cs="Times New Roman"/>
        </w:rPr>
        <w:t xml:space="preserve"> transitioned from an industrial hub to a major regeneration area. Although it has tremendous assets, benefits from significant investment, and has made considerable advances in improving the workforce and economy, significant hurdles remain </w:t>
      </w:r>
      <w:r w:rsidR="00C54E3D" w:rsidRPr="00121EDB">
        <w:rPr>
          <w:rFonts w:ascii="Times New Roman" w:hAnsi="Times New Roman" w:cs="Times New Roman"/>
        </w:rPr>
        <w:t>in</w:t>
      </w:r>
      <w:r w:rsidRPr="00121EDB">
        <w:rPr>
          <w:rFonts w:ascii="Times New Roman" w:hAnsi="Times New Roman" w:cs="Times New Roman"/>
        </w:rPr>
        <w:t xml:space="preserve"> unequal access, inclusion, and sustainability.</w:t>
      </w:r>
    </w:p>
    <w:p w14:paraId="7D6F6BAD" w14:textId="6EBB6F4A" w:rsidR="00121EDB" w:rsidRDefault="00121EDB" w:rsidP="00121EDB">
      <w:pPr>
        <w:spacing w:line="480" w:lineRule="auto"/>
        <w:jc w:val="both"/>
        <w:rPr>
          <w:rFonts w:ascii="Times New Roman" w:hAnsi="Times New Roman" w:cs="Times New Roman"/>
        </w:rPr>
      </w:pPr>
      <w:r w:rsidRPr="00121EDB">
        <w:rPr>
          <w:rFonts w:ascii="Times New Roman" w:hAnsi="Times New Roman" w:cs="Times New Roman"/>
        </w:rPr>
        <w:t>Looking ahead to future regeneration efforts, it will be important to focus on inclusivity, sustainability and community engagement as the key principles that will guide the success of the Royal Docks as a sustainable urban regeneration example of how economic development can achieve social and environmental goals.</w:t>
      </w:r>
    </w:p>
    <w:p w14:paraId="0B872AF4" w14:textId="77777777" w:rsidR="00C54E3D" w:rsidRDefault="00C54E3D" w:rsidP="00121EDB">
      <w:pPr>
        <w:spacing w:line="480" w:lineRule="auto"/>
        <w:jc w:val="both"/>
        <w:rPr>
          <w:rFonts w:ascii="Times New Roman" w:hAnsi="Times New Roman" w:cs="Times New Roman"/>
        </w:rPr>
      </w:pPr>
    </w:p>
    <w:p w14:paraId="7BDA3FEB" w14:textId="77777777" w:rsidR="00C54E3D" w:rsidRDefault="00C54E3D" w:rsidP="00121EDB">
      <w:pPr>
        <w:spacing w:line="480" w:lineRule="auto"/>
        <w:jc w:val="both"/>
        <w:rPr>
          <w:rFonts w:ascii="Times New Roman" w:hAnsi="Times New Roman" w:cs="Times New Roman"/>
        </w:rPr>
      </w:pPr>
    </w:p>
    <w:p w14:paraId="00FA8A65" w14:textId="77777777" w:rsidR="00C54E3D" w:rsidRDefault="00C54E3D" w:rsidP="00121EDB">
      <w:pPr>
        <w:spacing w:line="480" w:lineRule="auto"/>
        <w:jc w:val="both"/>
        <w:rPr>
          <w:rFonts w:ascii="Times New Roman" w:hAnsi="Times New Roman" w:cs="Times New Roman"/>
        </w:rPr>
      </w:pPr>
    </w:p>
    <w:p w14:paraId="49F0CB42" w14:textId="77777777" w:rsidR="00C54E3D" w:rsidRDefault="00C54E3D" w:rsidP="00121EDB">
      <w:pPr>
        <w:spacing w:line="480" w:lineRule="auto"/>
        <w:jc w:val="both"/>
        <w:rPr>
          <w:rFonts w:ascii="Times New Roman" w:hAnsi="Times New Roman" w:cs="Times New Roman"/>
        </w:rPr>
      </w:pPr>
    </w:p>
    <w:p w14:paraId="1B3BC1C6" w14:textId="77777777" w:rsidR="00C54E3D" w:rsidRDefault="00C54E3D" w:rsidP="00121EDB">
      <w:pPr>
        <w:spacing w:line="480" w:lineRule="auto"/>
        <w:jc w:val="both"/>
        <w:rPr>
          <w:rFonts w:ascii="Times New Roman" w:hAnsi="Times New Roman" w:cs="Times New Roman"/>
        </w:rPr>
      </w:pPr>
    </w:p>
    <w:p w14:paraId="4127FD48" w14:textId="0768DF89" w:rsidR="00C54E3D" w:rsidRPr="00C54E3D" w:rsidRDefault="00C54E3D" w:rsidP="00C54E3D">
      <w:pPr>
        <w:spacing w:line="480" w:lineRule="auto"/>
        <w:jc w:val="center"/>
        <w:rPr>
          <w:rFonts w:ascii="Times New Roman" w:hAnsi="Times New Roman" w:cs="Times New Roman"/>
          <w:b/>
          <w:bCs/>
        </w:rPr>
      </w:pPr>
      <w:r w:rsidRPr="00C54E3D">
        <w:rPr>
          <w:rFonts w:ascii="Times New Roman" w:hAnsi="Times New Roman" w:cs="Times New Roman"/>
          <w:b/>
          <w:bCs/>
        </w:rPr>
        <w:lastRenderedPageBreak/>
        <w:t>References</w:t>
      </w:r>
    </w:p>
    <w:p w14:paraId="32FA274E" w14:textId="06296E70" w:rsidR="00C54E3D" w:rsidRPr="00C54E3D" w:rsidRDefault="00C54E3D" w:rsidP="00C54E3D">
      <w:pPr>
        <w:spacing w:line="480" w:lineRule="auto"/>
        <w:rPr>
          <w:rFonts w:ascii="Times New Roman" w:hAnsi="Times New Roman" w:cs="Times New Roman"/>
        </w:rPr>
      </w:pPr>
      <w:proofErr w:type="spellStart"/>
      <w:r w:rsidRPr="00C54E3D">
        <w:rPr>
          <w:rFonts w:ascii="Times New Roman" w:hAnsi="Times New Roman" w:cs="Times New Roman"/>
        </w:rPr>
        <w:t>Akotia</w:t>
      </w:r>
      <w:proofErr w:type="spellEnd"/>
      <w:r w:rsidRPr="00C54E3D">
        <w:rPr>
          <w:rFonts w:ascii="Times New Roman" w:hAnsi="Times New Roman" w:cs="Times New Roman"/>
        </w:rPr>
        <w:t xml:space="preserve">, J., &amp; </w:t>
      </w:r>
      <w:proofErr w:type="spellStart"/>
      <w:r w:rsidRPr="00C54E3D">
        <w:rPr>
          <w:rFonts w:ascii="Times New Roman" w:hAnsi="Times New Roman" w:cs="Times New Roman"/>
        </w:rPr>
        <w:t>Awuzie</w:t>
      </w:r>
      <w:proofErr w:type="spellEnd"/>
      <w:r w:rsidRPr="00C54E3D">
        <w:rPr>
          <w:rFonts w:ascii="Times New Roman" w:hAnsi="Times New Roman" w:cs="Times New Roman"/>
        </w:rPr>
        <w:t xml:space="preserve">, B. (2025). Evaluating social sustainability factors </w:t>
      </w:r>
      <w:r>
        <w:rPr>
          <w:rFonts w:ascii="Times New Roman" w:hAnsi="Times New Roman" w:cs="Times New Roman"/>
        </w:rPr>
        <w:t>prioritisation</w:t>
      </w:r>
      <w:r w:rsidRPr="00C54E3D">
        <w:rPr>
          <w:rFonts w:ascii="Times New Roman" w:hAnsi="Times New Roman" w:cs="Times New Roman"/>
        </w:rPr>
        <w:t xml:space="preserve"> in sustainable urban regeneration: The case of UK construction industry projects. </w:t>
      </w:r>
      <w:r w:rsidRPr="00C54E3D">
        <w:rPr>
          <w:rFonts w:ascii="Times New Roman" w:hAnsi="Times New Roman" w:cs="Times New Roman"/>
          <w:i/>
          <w:iCs/>
        </w:rPr>
        <w:t>Construction Economics and Building, 25</w:t>
      </w:r>
      <w:r w:rsidRPr="00C54E3D">
        <w:rPr>
          <w:rFonts w:ascii="Times New Roman" w:hAnsi="Times New Roman" w:cs="Times New Roman"/>
        </w:rPr>
        <w:t>(1).</w:t>
      </w:r>
    </w:p>
    <w:p w14:paraId="620CDACA"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Bahar, U. (2025). Transforming urban retail environments: A strategic framework for digital-age regeneration. </w:t>
      </w:r>
      <w:r w:rsidRPr="00C54E3D">
        <w:rPr>
          <w:rFonts w:ascii="Times New Roman" w:hAnsi="Times New Roman" w:cs="Times New Roman"/>
          <w:i/>
          <w:iCs/>
        </w:rPr>
        <w:t>Journal of Urban Regeneration &amp; Renewal, 18</w:t>
      </w:r>
      <w:r w:rsidRPr="00C54E3D">
        <w:rPr>
          <w:rFonts w:ascii="Times New Roman" w:hAnsi="Times New Roman" w:cs="Times New Roman"/>
        </w:rPr>
        <w:t>(3), 239–251.</w:t>
      </w:r>
    </w:p>
    <w:p w14:paraId="0353BBFD"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Bradley, A., &amp; Hall, T. (2025). Urban image change over two decades: Comparing the images of six British urban areas 20 years apart. </w:t>
      </w:r>
      <w:r w:rsidRPr="00C54E3D">
        <w:rPr>
          <w:rFonts w:ascii="Times New Roman" w:hAnsi="Times New Roman" w:cs="Times New Roman"/>
          <w:i/>
          <w:iCs/>
        </w:rPr>
        <w:t>Cities, 162</w:t>
      </w:r>
      <w:r w:rsidRPr="00C54E3D">
        <w:rPr>
          <w:rFonts w:ascii="Times New Roman" w:hAnsi="Times New Roman" w:cs="Times New Roman"/>
        </w:rPr>
        <w:t>, 105942.</w:t>
      </w:r>
    </w:p>
    <w:p w14:paraId="743A50E2"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Butt, A. N., &amp; Rigoni, C. (2025). The green blueprint: Designing future cities with urban green infrastructure and ecosystem services in the UK. </w:t>
      </w:r>
      <w:r w:rsidRPr="00C54E3D">
        <w:rPr>
          <w:rFonts w:ascii="Times New Roman" w:hAnsi="Times New Roman" w:cs="Times New Roman"/>
          <w:i/>
          <w:iCs/>
        </w:rPr>
        <w:t>Land, 14</w:t>
      </w:r>
      <w:r w:rsidRPr="00C54E3D">
        <w:rPr>
          <w:rFonts w:ascii="Times New Roman" w:hAnsi="Times New Roman" w:cs="Times New Roman"/>
        </w:rPr>
        <w:t>(6), 1306.</w:t>
      </w:r>
    </w:p>
    <w:p w14:paraId="6EFD374E"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Chin, C. P., Alias, A., &amp; </w:t>
      </w:r>
      <w:proofErr w:type="spellStart"/>
      <w:r w:rsidRPr="00C54E3D">
        <w:rPr>
          <w:rFonts w:ascii="Times New Roman" w:hAnsi="Times New Roman" w:cs="Times New Roman"/>
        </w:rPr>
        <w:t>Alkharabsheh</w:t>
      </w:r>
      <w:proofErr w:type="spellEnd"/>
      <w:r w:rsidRPr="00C54E3D">
        <w:rPr>
          <w:rFonts w:ascii="Times New Roman" w:hAnsi="Times New Roman" w:cs="Times New Roman"/>
        </w:rPr>
        <w:t xml:space="preserve">, O. H. (2025). Urban housing regeneration strategies for sustainable city development: A systematic literature review. </w:t>
      </w:r>
      <w:r w:rsidRPr="00C54E3D">
        <w:rPr>
          <w:rFonts w:ascii="Times New Roman" w:hAnsi="Times New Roman" w:cs="Times New Roman"/>
          <w:i/>
          <w:iCs/>
        </w:rPr>
        <w:t>Discover Sustainability, 6</w:t>
      </w:r>
      <w:r w:rsidRPr="00C54E3D">
        <w:rPr>
          <w:rFonts w:ascii="Times New Roman" w:hAnsi="Times New Roman" w:cs="Times New Roman"/>
        </w:rPr>
        <w:t>(1), 1050.</w:t>
      </w:r>
    </w:p>
    <w:p w14:paraId="39ECFE2D"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Dindar, S. (2025). A systematic review of urban regeneration's impact on sustainable transport: Traffic dynamics, policy responses, and environmental implications. </w:t>
      </w:r>
      <w:r w:rsidRPr="00C54E3D">
        <w:rPr>
          <w:rFonts w:ascii="Times New Roman" w:hAnsi="Times New Roman" w:cs="Times New Roman"/>
          <w:i/>
          <w:iCs/>
        </w:rPr>
        <w:t>Sustainable Development, 33</w:t>
      </w:r>
      <w:r w:rsidRPr="00C54E3D">
        <w:rPr>
          <w:rFonts w:ascii="Times New Roman" w:hAnsi="Times New Roman" w:cs="Times New Roman"/>
        </w:rPr>
        <w:t>, 399–426.</w:t>
      </w:r>
    </w:p>
    <w:p w14:paraId="4F50151E"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Doyle, C. (2025). </w:t>
      </w:r>
      <w:r w:rsidRPr="00C54E3D">
        <w:rPr>
          <w:rFonts w:ascii="Times New Roman" w:hAnsi="Times New Roman" w:cs="Times New Roman"/>
          <w:i/>
          <w:iCs/>
        </w:rPr>
        <w:t>Sustainability, urban regeneration and social inclusion</w:t>
      </w:r>
      <w:r w:rsidRPr="00C54E3D">
        <w:rPr>
          <w:rFonts w:ascii="Times New Roman" w:hAnsi="Times New Roman" w:cs="Times New Roman"/>
        </w:rPr>
        <w:t>. WIT Transactions on Ecology and the Environment, 84.</w:t>
      </w:r>
    </w:p>
    <w:p w14:paraId="1779B036"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Huang, J. (2025). Urban regeneration potential land evaluation based on GIS and MCDA: A case study of London. </w:t>
      </w:r>
      <w:r w:rsidRPr="00C54E3D">
        <w:rPr>
          <w:rFonts w:ascii="Times New Roman" w:hAnsi="Times New Roman" w:cs="Times New Roman"/>
          <w:i/>
          <w:iCs/>
        </w:rPr>
        <w:t>Science and Technology of Engineering, Chemistry and Environmental Protection, 1</w:t>
      </w:r>
      <w:r w:rsidRPr="00C54E3D">
        <w:rPr>
          <w:rFonts w:ascii="Times New Roman" w:hAnsi="Times New Roman" w:cs="Times New Roman"/>
        </w:rPr>
        <w:t>(1).</w:t>
      </w:r>
    </w:p>
    <w:p w14:paraId="44DB7D10" w14:textId="77777777" w:rsid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Kemp, M. (2025). </w:t>
      </w:r>
      <w:r w:rsidRPr="00C54E3D">
        <w:rPr>
          <w:rFonts w:ascii="Times New Roman" w:hAnsi="Times New Roman" w:cs="Times New Roman"/>
          <w:i/>
          <w:iCs/>
        </w:rPr>
        <w:t>Strategies for sustainable growth in the Thames Gateway</w:t>
      </w:r>
      <w:r w:rsidRPr="00C54E3D">
        <w:rPr>
          <w:rFonts w:ascii="Times New Roman" w:hAnsi="Times New Roman" w:cs="Times New Roman"/>
        </w:rPr>
        <w:t>. SSRN.</w:t>
      </w:r>
    </w:p>
    <w:p w14:paraId="1EF5113A" w14:textId="0B2FD3C2"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lastRenderedPageBreak/>
        <w:t xml:space="preserve">Lo, C. L., &amp; Jackson, C. (2025). Urban regeneration and office market sustainability: Capturing private-sector investment. </w:t>
      </w:r>
      <w:r w:rsidRPr="00C54E3D">
        <w:rPr>
          <w:rFonts w:ascii="Times New Roman" w:hAnsi="Times New Roman" w:cs="Times New Roman"/>
          <w:i/>
          <w:iCs/>
        </w:rPr>
        <w:t>Journal of Property Research, 42</w:t>
      </w:r>
      <w:r w:rsidRPr="00C54E3D">
        <w:rPr>
          <w:rFonts w:ascii="Times New Roman" w:hAnsi="Times New Roman" w:cs="Times New Roman"/>
        </w:rPr>
        <w:t>(4), 295–320.</w:t>
      </w:r>
    </w:p>
    <w:p w14:paraId="0DCCCA76"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Macaione, I., Andaloro, B., &amp; Raffa, A. (2026). Designing urban streetscapes in the climate crisis: A design-driven framework for nature-based urban regeneration. </w:t>
      </w:r>
      <w:r w:rsidRPr="00C54E3D">
        <w:rPr>
          <w:rFonts w:ascii="Times New Roman" w:hAnsi="Times New Roman" w:cs="Times New Roman"/>
          <w:i/>
          <w:iCs/>
        </w:rPr>
        <w:t>Sustainability, 18</w:t>
      </w:r>
      <w:r w:rsidRPr="00C54E3D">
        <w:rPr>
          <w:rFonts w:ascii="Times New Roman" w:hAnsi="Times New Roman" w:cs="Times New Roman"/>
        </w:rPr>
        <w:t>(7), 3544.</w:t>
      </w:r>
    </w:p>
    <w:p w14:paraId="33F57D24" w14:textId="77777777"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Ribeiro, V. D. T., Bertolini, A. C. F., Verdini, G., &amp; Perini, R. D. L. (2025). </w:t>
      </w:r>
      <w:r w:rsidRPr="00C54E3D">
        <w:rPr>
          <w:rFonts w:ascii="Times New Roman" w:hAnsi="Times New Roman" w:cs="Times New Roman"/>
          <w:i/>
          <w:iCs/>
        </w:rPr>
        <w:t>Strategies and sustainability in motion: An analysis of mobility and climate change policies in Greater London.</w:t>
      </w:r>
      <w:r w:rsidRPr="00C54E3D">
        <w:rPr>
          <w:rFonts w:ascii="Times New Roman" w:hAnsi="Times New Roman" w:cs="Times New Roman"/>
        </w:rPr>
        <w:t xml:space="preserve"> SSRN.</w:t>
      </w:r>
    </w:p>
    <w:p w14:paraId="734EA58E" w14:textId="10BC2AF3" w:rsidR="00C54E3D" w:rsidRPr="00C54E3D"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Webb, D. (2024). Urban policies and regeneration. In </w:t>
      </w:r>
      <w:r w:rsidRPr="00C54E3D">
        <w:rPr>
          <w:rFonts w:ascii="Times New Roman" w:hAnsi="Times New Roman" w:cs="Times New Roman"/>
          <w:i/>
          <w:iCs/>
        </w:rPr>
        <w:t xml:space="preserve">Town and </w:t>
      </w:r>
      <w:r w:rsidRPr="00C54E3D">
        <w:rPr>
          <w:rFonts w:ascii="Times New Roman" w:hAnsi="Times New Roman" w:cs="Times New Roman"/>
          <w:i/>
          <w:iCs/>
        </w:rPr>
        <w:t>Country Planning</w:t>
      </w:r>
      <w:r w:rsidRPr="00C54E3D">
        <w:rPr>
          <w:rFonts w:ascii="Times New Roman" w:hAnsi="Times New Roman" w:cs="Times New Roman"/>
          <w:i/>
          <w:iCs/>
        </w:rPr>
        <w:t xml:space="preserve"> in the UK</w:t>
      </w:r>
      <w:r w:rsidRPr="00C54E3D">
        <w:rPr>
          <w:rFonts w:ascii="Times New Roman" w:hAnsi="Times New Roman" w:cs="Times New Roman"/>
        </w:rPr>
        <w:t xml:space="preserve"> (pp. 465–524). Routledge.</w:t>
      </w:r>
    </w:p>
    <w:p w14:paraId="04A0A509" w14:textId="407FF1B7" w:rsidR="00C54E3D" w:rsidRPr="00121EDB" w:rsidRDefault="00C54E3D" w:rsidP="00C54E3D">
      <w:pPr>
        <w:spacing w:line="480" w:lineRule="auto"/>
        <w:rPr>
          <w:rFonts w:ascii="Times New Roman" w:hAnsi="Times New Roman" w:cs="Times New Roman"/>
        </w:rPr>
      </w:pPr>
      <w:r w:rsidRPr="00C54E3D">
        <w:rPr>
          <w:rFonts w:ascii="Times New Roman" w:hAnsi="Times New Roman" w:cs="Times New Roman"/>
        </w:rPr>
        <w:t xml:space="preserve">Wu, L., &amp; Leng, J. (2025). An overview of sustainable urban regeneration development: A synergistic perspective of CIM and BIM. </w:t>
      </w:r>
      <w:r w:rsidRPr="00C54E3D">
        <w:rPr>
          <w:rFonts w:ascii="Times New Roman" w:hAnsi="Times New Roman" w:cs="Times New Roman"/>
          <w:i/>
          <w:iCs/>
        </w:rPr>
        <w:t>Buildings, 15</w:t>
      </w:r>
      <w:r w:rsidRPr="00C54E3D">
        <w:rPr>
          <w:rFonts w:ascii="Times New Roman" w:hAnsi="Times New Roman" w:cs="Times New Roman"/>
        </w:rPr>
        <w:t>(5), 833.</w:t>
      </w:r>
    </w:p>
    <w:sectPr w:rsidR="00C54E3D" w:rsidRPr="00121EDB" w:rsidSect="00BA00C4">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DF6EB" w14:textId="77777777" w:rsidR="00D866DC" w:rsidRDefault="00D866DC" w:rsidP="00121EDB">
      <w:pPr>
        <w:spacing w:after="0" w:line="240" w:lineRule="auto"/>
      </w:pPr>
      <w:r>
        <w:separator/>
      </w:r>
    </w:p>
  </w:endnote>
  <w:endnote w:type="continuationSeparator" w:id="0">
    <w:p w14:paraId="5B527BB3" w14:textId="77777777" w:rsidR="00D866DC" w:rsidRDefault="00D866DC" w:rsidP="00121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872938"/>
      <w:docPartObj>
        <w:docPartGallery w:val="Page Numbers (Bottom of Page)"/>
        <w:docPartUnique/>
      </w:docPartObj>
    </w:sdtPr>
    <w:sdtEndPr>
      <w:rPr>
        <w:noProof/>
      </w:rPr>
    </w:sdtEndPr>
    <w:sdtContent>
      <w:p w14:paraId="6B64657B" w14:textId="678964DE" w:rsidR="00121EDB" w:rsidRDefault="00121E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50C75" w14:textId="77777777" w:rsidR="00121EDB" w:rsidRDefault="00121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5DAD8" w14:textId="77777777" w:rsidR="00D866DC" w:rsidRDefault="00D866DC" w:rsidP="00121EDB">
      <w:pPr>
        <w:spacing w:after="0" w:line="240" w:lineRule="auto"/>
      </w:pPr>
      <w:r>
        <w:separator/>
      </w:r>
    </w:p>
  </w:footnote>
  <w:footnote w:type="continuationSeparator" w:id="0">
    <w:p w14:paraId="42CA34B8" w14:textId="77777777" w:rsidR="00D866DC" w:rsidRDefault="00D866DC" w:rsidP="00121E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EDB"/>
    <w:rsid w:val="00121EDB"/>
    <w:rsid w:val="00BA00C4"/>
    <w:rsid w:val="00C54E3D"/>
    <w:rsid w:val="00D866DC"/>
    <w:rsid w:val="00F20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0A5DD"/>
  <w15:chartTrackingRefBased/>
  <w15:docId w15:val="{62CA1C0B-A0E9-44D4-8B45-9F2E7F9F3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E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E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1E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E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E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E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E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E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E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E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E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E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E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E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E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E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E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EDB"/>
    <w:rPr>
      <w:rFonts w:eastAsiaTheme="majorEastAsia" w:cstheme="majorBidi"/>
      <w:color w:val="272727" w:themeColor="text1" w:themeTint="D8"/>
    </w:rPr>
  </w:style>
  <w:style w:type="paragraph" w:styleId="Title">
    <w:name w:val="Title"/>
    <w:basedOn w:val="Normal"/>
    <w:next w:val="Normal"/>
    <w:link w:val="TitleChar"/>
    <w:uiPriority w:val="10"/>
    <w:qFormat/>
    <w:rsid w:val="00121E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E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E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E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EDB"/>
    <w:pPr>
      <w:spacing w:before="160"/>
      <w:jc w:val="center"/>
    </w:pPr>
    <w:rPr>
      <w:i/>
      <w:iCs/>
      <w:color w:val="404040" w:themeColor="text1" w:themeTint="BF"/>
    </w:rPr>
  </w:style>
  <w:style w:type="character" w:customStyle="1" w:styleId="QuoteChar">
    <w:name w:val="Quote Char"/>
    <w:basedOn w:val="DefaultParagraphFont"/>
    <w:link w:val="Quote"/>
    <w:uiPriority w:val="29"/>
    <w:rsid w:val="00121EDB"/>
    <w:rPr>
      <w:i/>
      <w:iCs/>
      <w:color w:val="404040" w:themeColor="text1" w:themeTint="BF"/>
    </w:rPr>
  </w:style>
  <w:style w:type="paragraph" w:styleId="ListParagraph">
    <w:name w:val="List Paragraph"/>
    <w:basedOn w:val="Normal"/>
    <w:uiPriority w:val="34"/>
    <w:qFormat/>
    <w:rsid w:val="00121EDB"/>
    <w:pPr>
      <w:ind w:left="720"/>
      <w:contextualSpacing/>
    </w:pPr>
  </w:style>
  <w:style w:type="character" w:styleId="IntenseEmphasis">
    <w:name w:val="Intense Emphasis"/>
    <w:basedOn w:val="DefaultParagraphFont"/>
    <w:uiPriority w:val="21"/>
    <w:qFormat/>
    <w:rsid w:val="00121EDB"/>
    <w:rPr>
      <w:i/>
      <w:iCs/>
      <w:color w:val="0F4761" w:themeColor="accent1" w:themeShade="BF"/>
    </w:rPr>
  </w:style>
  <w:style w:type="paragraph" w:styleId="IntenseQuote">
    <w:name w:val="Intense Quote"/>
    <w:basedOn w:val="Normal"/>
    <w:next w:val="Normal"/>
    <w:link w:val="IntenseQuoteChar"/>
    <w:uiPriority w:val="30"/>
    <w:qFormat/>
    <w:rsid w:val="00121E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EDB"/>
    <w:rPr>
      <w:i/>
      <w:iCs/>
      <w:color w:val="0F4761" w:themeColor="accent1" w:themeShade="BF"/>
    </w:rPr>
  </w:style>
  <w:style w:type="character" w:styleId="IntenseReference">
    <w:name w:val="Intense Reference"/>
    <w:basedOn w:val="DefaultParagraphFont"/>
    <w:uiPriority w:val="32"/>
    <w:qFormat/>
    <w:rsid w:val="00121EDB"/>
    <w:rPr>
      <w:b/>
      <w:bCs/>
      <w:smallCaps/>
      <w:color w:val="0F4761" w:themeColor="accent1" w:themeShade="BF"/>
      <w:spacing w:val="5"/>
    </w:rPr>
  </w:style>
  <w:style w:type="paragraph" w:styleId="Header">
    <w:name w:val="header"/>
    <w:basedOn w:val="Normal"/>
    <w:link w:val="HeaderChar"/>
    <w:uiPriority w:val="99"/>
    <w:unhideWhenUsed/>
    <w:rsid w:val="00121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EDB"/>
  </w:style>
  <w:style w:type="paragraph" w:styleId="Footer">
    <w:name w:val="footer"/>
    <w:basedOn w:val="Normal"/>
    <w:link w:val="FooterChar"/>
    <w:uiPriority w:val="99"/>
    <w:unhideWhenUsed/>
    <w:rsid w:val="00121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EDB"/>
  </w:style>
  <w:style w:type="paragraph" w:styleId="NoSpacing">
    <w:name w:val="No Spacing"/>
    <w:link w:val="NoSpacingChar"/>
    <w:uiPriority w:val="1"/>
    <w:qFormat/>
    <w:rsid w:val="00BA00C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A00C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2611</Words>
  <Characters>14887</Characters>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2026-04-26T18:24:00Z</dcterms:created>
  <dcterms:modified xsi:type="dcterms:W3CDTF">2026-04-26T18:50:00Z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9f0fd7d3-bd25-4917-b60d-a07a65bb2f14</vt:lpwstr>
  </property>
</Properties>
</file>