
<file path=[Content_Types].xml><?xml version="1.0" encoding="utf-8"?>
<Types xmlns="http://schemas.openxmlformats.org/package/2006/content-types">
  <Default Extension="jpeg" ContentType="image/jpeg"/>
  <Default Extension="odttf" ContentType="application/vnd.openxmlformats-officedocument.obfuscatedFont"/>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charts/chart1.xml" ContentType="application/vnd.openxmlformats-officedocument.drawingml.chart+xml"/>
  <Override PartName="/word/charts/style1.xml" ContentType="application/vnd.ms-office.chartstyle+xml"/>
  <Override PartName="/word/charts/colors1.xml" ContentType="application/vnd.ms-office.chartcolorstyle+xml"/>
  <Override PartName="/word/charts/chart2.xml" ContentType="application/vnd.openxmlformats-officedocument.drawingml.chart+xml"/>
  <Override PartName="/word/charts/style2.xml" ContentType="application/vnd.ms-office.chartstyle+xml"/>
  <Override PartName="/word/charts/colors2.xml" ContentType="application/vnd.ms-office.chartcolorstyle+xml"/>
  <Override PartName="/word/charts/chart3.xml" ContentType="application/vnd.openxmlformats-officedocument.drawingml.chart+xml"/>
  <Override PartName="/word/charts/style3.xml" ContentType="application/vnd.ms-office.chartstyle+xml"/>
  <Override PartName="/word/charts/colors3.xml" ContentType="application/vnd.ms-office.chartcolorstyle+xml"/>
  <Override PartName="/word/charts/chart4.xml" ContentType="application/vnd.openxmlformats-officedocument.drawingml.chart+xml"/>
  <Override PartName="/word/charts/style4.xml" ContentType="application/vnd.ms-office.chartstyle+xml"/>
  <Override PartName="/word/charts/colors4.xml" ContentType="application/vnd.ms-office.chartcolorstyle+xml"/>
  <Override PartName="/word/charts/chart5.xml" ContentType="application/vnd.openxmlformats-officedocument.drawingml.chart+xml"/>
  <Override PartName="/word/charts/style5.xml" ContentType="application/vnd.ms-office.chartstyle+xml"/>
  <Override PartName="/word/charts/colors5.xml" ContentType="application/vnd.ms-office.chartcolorstyle+xml"/>
  <Override PartName="/word/charts/chart6.xml" ContentType="application/vnd.openxmlformats-officedocument.drawingml.chart+xml"/>
  <Override PartName="/word/charts/style6.xml" ContentType="application/vnd.ms-office.chartstyle+xml"/>
  <Override PartName="/word/charts/colors6.xml" ContentType="application/vnd.ms-office.chartcolorstyle+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m="http://schemas.openxmlformats.org/officeDocument/2006/math" xmlns:aink="http://schemas.microsoft.com/office/drawing/2016/ink" xmlns:am3d="http://schemas.microsoft.com/office/drawing/2017/model3d" xmlns:oel="http://schemas.microsoft.com/office/2019/extlst" xmlns:r="http://schemas.openxmlformats.org/officeDocument/2006/relationships" xmlns:wp14="http://schemas.microsoft.com/office/word/2010/wordprocessingDrawing" xmlns:wp="http://schemas.openxmlformats.org/drawingml/2006/wordprocessingDrawing" xmlns:wpg="http://schemas.microsoft.com/office/word/2010/wordprocessingGroup" xmlns:wpi="http://schemas.microsoft.com/office/word/2010/wordprocessingInk" xmlns:wps="http://schemas.microsoft.com/office/word/2010/wordprocessingShape" xmlns:o="urn:schemas-microsoft-com:office:office" xmlns:v="urn:schemas-microsoft-com:vml" xmlns:w10="urn:schemas-microsoft-com:office:word" xmlns:w="http://schemas.openxmlformats.org/wordprocessingml/2006/main" xmlns:w14="http://schemas.microsoft.com/office/word/2010/wordml" xmlns:w15="http://schemas.microsoft.com/office/word/2012/wordml" xmlns:w16cei="http://schemas.microsoft.com/office/word/2026/wordml/cei" xmlns:w16cex="http://schemas.microsoft.com/office/word/2018/wordml/cex" xmlns:w16cid="http://schemas.microsoft.com/office/word/2016/wordml/cid" xmlns:w16="http://schemas.microsoft.com/office/word/2018/wordml" xmlns:w16sdtdh="http://schemas.microsoft.com/office/word/2020/wordml/sdtdatahash" xmlns:w16sdtfl="http://schemas.microsoft.com/office/word/2024/wordml/sdtformatlock" xmlns:w16se="http://schemas.microsoft.com/office/word/2015/wordml/symex" xmlns:w16du="http://schemas.microsoft.com/office/word/2023/wordml/word16du" xmlns:wne="http://schemas.microsoft.com/office/word/2006/wordml" mc:Ignorable="w14 w15 w16se w16cid w16 w16cex w16sdtdh w16sdtfl w16du wp14">
  <w:body>
    <w:p w14:paraId="4B582CAB" w14:textId="77777777" w:rsidR="001D1B0E" w:rsidRPr="00886FD2" w:rsidRDefault="001D1B0E" w:rsidP="001D1B0E">
      <w:pPr>
        <w:spacing w:after="240" w:line="360" w:lineRule="auto"/>
        <w:jc w:val="center"/>
        <w:rPr>
          <w:rFonts w:eastAsia="Times New Roman"/>
          <w:b/>
          <w:bCs/>
          <w:sz w:val="32"/>
          <w:szCs w:val="32"/>
        </w:rPr>
      </w:pPr>
    </w:p>
    <w:p w14:paraId="43ACE678" w14:textId="77777777" w:rsidR="001D1B0E" w:rsidRPr="00886FD2" w:rsidRDefault="001D1B0E" w:rsidP="001D1B0E">
      <w:pPr>
        <w:spacing w:after="240" w:line="360" w:lineRule="auto"/>
        <w:jc w:val="center"/>
        <w:rPr>
          <w:rFonts w:eastAsia="Times New Roman"/>
          <w:b/>
          <w:bCs/>
          <w:sz w:val="32"/>
          <w:szCs w:val="32"/>
        </w:rPr>
      </w:pPr>
    </w:p>
    <w:p w14:paraId="6BB6E868" w14:textId="363436E3" w:rsidR="001D1B0E" w:rsidRPr="00886FD2" w:rsidRDefault="005A2CC9" w:rsidP="001D1B0E">
      <w:pPr>
        <w:spacing w:after="240" w:line="360" w:lineRule="auto"/>
        <w:jc w:val="center"/>
        <w:rPr>
          <w:rFonts w:eastAsia="Times New Roman"/>
          <w:b/>
          <w:bCs/>
          <w:sz w:val="32"/>
          <w:szCs w:val="32"/>
        </w:rPr>
      </w:pPr>
      <w:r w:rsidRPr="00886FD2">
        <w:rPr>
          <w:rFonts w:ascii="Times New Roman"/>
          <w:noProof/>
          <w:sz w:val="20"/>
        </w:rPr>
        <w:drawing>
          <wp:inline distT="0" distB="0" distL="0" distR="0" wp14:anchorId="0C2A727E" wp14:editId="5376FEF3">
            <wp:extent cx="1816607" cy="637031"/>
            <wp:effectExtent l="0" t="0" r="0" b="0"/>
            <wp:docPr id="2" name="Image 2"/>
            <wp:cNvGraphicFramePr>
              <a:graphicFrameLocks xmlns:a="http://schemas.openxmlformats.org/drawingml/2006/main"/>
            </wp:cNvGraphicFramePr>
            <a:graphic xmlns:a="http://schemas.openxmlformats.org/drawingml/2006/main">
              <a:graphicData uri="http://schemas.openxmlformats.org/drawingml/2006/picture">
                <pic:pic xmlns:pic="http://schemas.openxmlformats.org/drawingml/2006/picture">
                  <pic:nvPicPr>
                    <pic:cNvPr id="2" name="Image 2"/>
                    <pic:cNvPicPr/>
                  </pic:nvPicPr>
                  <pic:blipFill>
                    <a:blip r:embed="rId7" cstate="print"/>
                    <a:stretch>
                      <a:fillRect/>
                    </a:stretch>
                  </pic:blipFill>
                  <pic:spPr>
                    <a:xfrm>
                      <a:off x="0" y="0"/>
                      <a:ext cx="1816607" cy="637031"/>
                    </a:xfrm>
                    <a:prstGeom prst="rect">
                      <a:avLst/>
                    </a:prstGeom>
                  </pic:spPr>
                </pic:pic>
              </a:graphicData>
            </a:graphic>
          </wp:inline>
        </w:drawing>
      </w:r>
    </w:p>
    <w:p w14:paraId="652F128B" w14:textId="5B1264EE" w:rsidR="001D1B0E" w:rsidRPr="00886FD2" w:rsidRDefault="001D1B0E" w:rsidP="001D1B0E">
      <w:pPr>
        <w:spacing w:after="240" w:line="360" w:lineRule="auto"/>
        <w:jc w:val="center"/>
        <w:rPr>
          <w:rFonts w:eastAsia="Times New Roman"/>
          <w:b/>
          <w:bCs/>
          <w:sz w:val="32"/>
          <w:szCs w:val="32"/>
        </w:rPr>
      </w:pPr>
      <w:r w:rsidRPr="00886FD2">
        <w:rPr>
          <w:rFonts w:eastAsia="Times New Roman"/>
          <w:b/>
          <w:bCs/>
          <w:sz w:val="32"/>
          <w:szCs w:val="32"/>
        </w:rPr>
        <w:t>Programme: Master of Business Administration</w:t>
      </w:r>
    </w:p>
    <w:p w14:paraId="59E74ED0" w14:textId="77777777" w:rsidR="001D1B0E" w:rsidRPr="00886FD2" w:rsidRDefault="001D1B0E" w:rsidP="001D1B0E">
      <w:pPr>
        <w:spacing w:after="240" w:line="360" w:lineRule="auto"/>
        <w:jc w:val="center"/>
        <w:rPr>
          <w:rFonts w:eastAsia="Times New Roman"/>
          <w:b/>
          <w:bCs/>
          <w:sz w:val="32"/>
          <w:szCs w:val="32"/>
        </w:rPr>
      </w:pPr>
      <w:r w:rsidRPr="00886FD2">
        <w:rPr>
          <w:rFonts w:eastAsia="Times New Roman"/>
          <w:b/>
          <w:bCs/>
          <w:sz w:val="32"/>
          <w:szCs w:val="32"/>
        </w:rPr>
        <w:t>Module: Financial Management</w:t>
      </w:r>
    </w:p>
    <w:p w14:paraId="25BCFB97" w14:textId="28DF04A9" w:rsidR="001D1B0E" w:rsidRPr="00886FD2" w:rsidRDefault="001D1B0E" w:rsidP="00886FD2">
      <w:pPr>
        <w:spacing w:after="240" w:line="360" w:lineRule="auto"/>
        <w:jc w:val="center"/>
        <w:rPr>
          <w:rFonts w:eastAsia="Times New Roman"/>
          <w:b/>
          <w:bCs/>
          <w:sz w:val="32"/>
          <w:szCs w:val="32"/>
        </w:rPr>
      </w:pPr>
      <w:r w:rsidRPr="00886FD2">
        <w:rPr>
          <w:rFonts w:eastAsia="Times New Roman"/>
          <w:b/>
          <w:bCs/>
          <w:sz w:val="32"/>
          <w:szCs w:val="32"/>
        </w:rPr>
        <w:t>Module code: LCMB7002</w:t>
      </w:r>
    </w:p>
    <w:p w14:paraId="1004821D" w14:textId="4A4BEE51" w:rsidR="001D1B0E" w:rsidRPr="00886FD2" w:rsidRDefault="001D1B0E" w:rsidP="00886FD2">
      <w:pPr>
        <w:spacing w:after="240" w:line="360" w:lineRule="auto"/>
        <w:jc w:val="center"/>
        <w:rPr>
          <w:rFonts w:eastAsia="Times New Roman"/>
          <w:b/>
          <w:bCs/>
          <w:sz w:val="32"/>
          <w:szCs w:val="32"/>
        </w:rPr>
      </w:pPr>
      <w:r w:rsidRPr="00886FD2">
        <w:rPr>
          <w:rFonts w:eastAsia="Times New Roman"/>
          <w:b/>
          <w:bCs/>
          <w:sz w:val="32"/>
          <w:szCs w:val="32"/>
        </w:rPr>
        <w:t>Assignment Title: Financial performance and management</w:t>
      </w:r>
    </w:p>
    <w:p w14:paraId="09D89DB4" w14:textId="30D468E0" w:rsidR="001D1B0E" w:rsidRPr="00886FD2" w:rsidRDefault="001D1B0E" w:rsidP="001D1B0E">
      <w:pPr>
        <w:spacing w:after="240" w:line="360" w:lineRule="auto"/>
        <w:jc w:val="center"/>
        <w:rPr>
          <w:rFonts w:eastAsia="Times New Roman"/>
          <w:b/>
          <w:bCs/>
          <w:sz w:val="32"/>
          <w:szCs w:val="32"/>
        </w:rPr>
      </w:pPr>
      <w:r w:rsidRPr="00886FD2">
        <w:rPr>
          <w:rFonts w:eastAsia="Times New Roman"/>
          <w:b/>
          <w:bCs/>
          <w:sz w:val="32"/>
          <w:szCs w:val="32"/>
        </w:rPr>
        <w:t xml:space="preserve">Student </w:t>
      </w:r>
      <w:r w:rsidR="00886FD2" w:rsidRPr="00886FD2">
        <w:rPr>
          <w:rFonts w:eastAsia="Times New Roman"/>
          <w:b/>
          <w:bCs/>
          <w:sz w:val="32"/>
          <w:szCs w:val="32"/>
        </w:rPr>
        <w:t>Name:</w:t>
      </w:r>
      <w:r w:rsidR="00D2176F">
        <w:rPr>
          <w:rFonts w:eastAsia="Times New Roman"/>
          <w:b/>
          <w:bCs/>
          <w:sz w:val="32"/>
          <w:szCs w:val="32"/>
        </w:rPr>
        <w:t xml:space="preserve"> Humbal Shivani</w:t>
      </w:r>
    </w:p>
    <w:p w14:paraId="5E14AC8D" w14:textId="2B686292" w:rsidR="001D1B0E" w:rsidRPr="00886FD2" w:rsidRDefault="001D1B0E" w:rsidP="001D1B0E">
      <w:pPr>
        <w:spacing w:after="240" w:line="360" w:lineRule="auto"/>
        <w:jc w:val="center"/>
        <w:rPr>
          <w:rFonts w:eastAsia="Times New Roman"/>
          <w:b/>
          <w:bCs/>
          <w:sz w:val="32"/>
          <w:szCs w:val="32"/>
        </w:rPr>
      </w:pPr>
      <w:r w:rsidRPr="00886FD2">
        <w:rPr>
          <w:rFonts w:eastAsia="Times New Roman"/>
          <w:b/>
          <w:bCs/>
          <w:sz w:val="32"/>
          <w:szCs w:val="32"/>
        </w:rPr>
        <w:t>Student ID</w:t>
      </w:r>
      <w:r w:rsidR="00886FD2" w:rsidRPr="00886FD2">
        <w:rPr>
          <w:rFonts w:eastAsia="Times New Roman"/>
          <w:b/>
          <w:bCs/>
          <w:sz w:val="32"/>
          <w:szCs w:val="32"/>
        </w:rPr>
        <w:t>:</w:t>
      </w:r>
      <w:r w:rsidR="00D2176F">
        <w:rPr>
          <w:rFonts w:eastAsia="Times New Roman"/>
          <w:b/>
          <w:bCs/>
          <w:sz w:val="32"/>
          <w:szCs w:val="32"/>
        </w:rPr>
        <w:t xml:space="preserve"> 2544428</w:t>
      </w:r>
    </w:p>
    <w:p w14:paraId="635FBA25" w14:textId="77777777" w:rsidR="00886FD2" w:rsidRPr="00886FD2" w:rsidRDefault="00886FD2">
      <w:pPr>
        <w:rPr>
          <w:b/>
          <w:sz w:val="28"/>
          <w:szCs w:val="40"/>
        </w:rPr>
      </w:pPr>
      <w:bookmarkStart w:id="0" w:name="_Toc235207141"/>
      <w:r w:rsidRPr="00886FD2">
        <w:br w:type="page"/>
      </w:r>
    </w:p>
    <w:sdt>
      <w:sdtPr>
        <w:rPr>
          <w:rFonts w:ascii="Arial" w:eastAsia="Arial" w:hAnsi="Arial" w:cs="Arial"/>
          <w:b/>
          <w:color w:val="auto"/>
          <w:sz w:val="36"/>
          <w:szCs w:val="22"/>
          <w:lang w:val="en-GB"/>
        </w:rPr>
        <w:id w:val="2053656689"/>
        <w:docPartObj>
          <w:docPartGallery w:val="Table of Contents"/>
          <w:docPartUnique/>
        </w:docPartObj>
      </w:sdtPr>
      <w:sdtEndPr>
        <w:rPr>
          <w:bCs/>
          <w:noProof/>
          <w:sz w:val="22"/>
        </w:rPr>
      </w:sdtEndPr>
      <w:sdtContent>
        <w:p w14:paraId="295C19FD" w14:textId="262D9187" w:rsidR="00886FD2" w:rsidRPr="00886FD2" w:rsidRDefault="00886FD2" w:rsidP="00886FD2">
          <w:pPr>
            <w:pStyle w:val="TOCHeading"/>
            <w:spacing w:before="0" w:after="240" w:line="360" w:lineRule="auto"/>
            <w:jc w:val="center"/>
            <w:rPr>
              <w:rFonts w:ascii="Arial" w:hAnsi="Arial" w:cs="Arial"/>
              <w:b/>
              <w:color w:val="auto"/>
              <w:sz w:val="28"/>
              <w:szCs w:val="24"/>
            </w:rPr>
          </w:pPr>
          <w:r w:rsidRPr="00886FD2">
            <w:rPr>
              <w:rFonts w:ascii="Arial" w:hAnsi="Arial" w:cs="Arial"/>
              <w:b/>
              <w:color w:val="auto"/>
              <w:sz w:val="28"/>
              <w:szCs w:val="24"/>
            </w:rPr>
            <w:t>Table of Contents</w:t>
          </w:r>
        </w:p>
        <w:p w14:paraId="3726EE00" w14:textId="128BE9E6" w:rsidR="00886FD2" w:rsidRPr="00886FD2" w:rsidRDefault="00886FD2" w:rsidP="00886FD2">
          <w:pPr>
            <w:pStyle w:val="TOC1"/>
            <w:tabs>
              <w:tab w:val="right" w:leader="dot" w:pos="9019"/>
            </w:tabs>
            <w:spacing w:line="240" w:lineRule="auto"/>
            <w:jc w:val="both"/>
            <w:rPr>
              <w:rFonts w:eastAsiaTheme="minorEastAsia"/>
              <w:noProof/>
              <w:sz w:val="24"/>
              <w:szCs w:val="24"/>
              <w:lang w:val="en-US"/>
            </w:rPr>
          </w:pPr>
          <w:r w:rsidRPr="00886FD2">
            <w:rPr>
              <w:sz w:val="24"/>
              <w:szCs w:val="24"/>
            </w:rPr>
            <w:fldChar w:fldCharType="begin"/>
          </w:r>
          <w:r w:rsidRPr="00886FD2">
            <w:rPr>
              <w:sz w:val="24"/>
              <w:szCs w:val="24"/>
            </w:rPr>
            <w:instrText xml:space="preserve"> TOC \o "1-3" \h \z \u </w:instrText>
          </w:r>
          <w:r w:rsidRPr="00886FD2">
            <w:rPr>
              <w:sz w:val="24"/>
              <w:szCs w:val="24"/>
            </w:rPr>
            <w:fldChar w:fldCharType="separate"/>
          </w:r>
          <w:hyperlink w:anchor="_Toc235207366" w:history="1">
            <w:r w:rsidRPr="00886FD2">
              <w:rPr>
                <w:rStyle w:val="Hyperlink"/>
                <w:noProof/>
                <w:sz w:val="24"/>
                <w:szCs w:val="24"/>
              </w:rPr>
              <w:t>1. Introduction</w:t>
            </w:r>
            <w:r w:rsidRPr="00886FD2">
              <w:rPr>
                <w:noProof/>
                <w:webHidden/>
                <w:sz w:val="24"/>
                <w:szCs w:val="24"/>
              </w:rPr>
              <w:tab/>
            </w:r>
            <w:r w:rsidRPr="00886FD2">
              <w:rPr>
                <w:noProof/>
                <w:webHidden/>
                <w:sz w:val="24"/>
                <w:szCs w:val="24"/>
              </w:rPr>
              <w:fldChar w:fldCharType="begin"/>
            </w:r>
            <w:r w:rsidRPr="00886FD2">
              <w:rPr>
                <w:noProof/>
                <w:webHidden/>
                <w:sz w:val="24"/>
                <w:szCs w:val="24"/>
              </w:rPr>
              <w:instrText xml:space="preserve"> PAGEREF _Toc235207366 \h </w:instrText>
            </w:r>
            <w:r w:rsidRPr="00886FD2">
              <w:rPr>
                <w:noProof/>
                <w:webHidden/>
                <w:sz w:val="24"/>
                <w:szCs w:val="24"/>
              </w:rPr>
            </w:r>
            <w:r w:rsidRPr="00886FD2">
              <w:rPr>
                <w:noProof/>
                <w:webHidden/>
                <w:sz w:val="24"/>
                <w:szCs w:val="24"/>
              </w:rPr>
              <w:fldChar w:fldCharType="separate"/>
            </w:r>
            <w:r w:rsidRPr="00886FD2">
              <w:rPr>
                <w:noProof/>
                <w:webHidden/>
                <w:sz w:val="24"/>
                <w:szCs w:val="24"/>
              </w:rPr>
              <w:t>3</w:t>
            </w:r>
            <w:r w:rsidRPr="00886FD2">
              <w:rPr>
                <w:noProof/>
                <w:webHidden/>
                <w:sz w:val="24"/>
                <w:szCs w:val="24"/>
              </w:rPr>
              <w:fldChar w:fldCharType="end"/>
            </w:r>
          </w:hyperlink>
        </w:p>
        <w:p w14:paraId="6B8556E1" w14:textId="0D9772A9" w:rsidR="00886FD2" w:rsidRPr="00886FD2" w:rsidRDefault="00886FD2" w:rsidP="00886FD2">
          <w:pPr>
            <w:pStyle w:val="TOC1"/>
            <w:tabs>
              <w:tab w:val="right" w:leader="dot" w:pos="9019"/>
            </w:tabs>
            <w:spacing w:line="240" w:lineRule="auto"/>
            <w:jc w:val="both"/>
            <w:rPr>
              <w:rFonts w:eastAsiaTheme="minorEastAsia"/>
              <w:noProof/>
              <w:sz w:val="24"/>
              <w:szCs w:val="24"/>
              <w:lang w:val="en-US"/>
            </w:rPr>
          </w:pPr>
          <w:hyperlink w:anchor="_Toc235207367" w:history="1">
            <w:r w:rsidRPr="00886FD2">
              <w:rPr>
                <w:rStyle w:val="Hyperlink"/>
                <w:noProof/>
                <w:sz w:val="24"/>
                <w:szCs w:val="24"/>
              </w:rPr>
              <w:t>2. Financial Health Check</w:t>
            </w:r>
            <w:r w:rsidRPr="00886FD2">
              <w:rPr>
                <w:noProof/>
                <w:webHidden/>
                <w:sz w:val="24"/>
                <w:szCs w:val="24"/>
              </w:rPr>
              <w:tab/>
            </w:r>
            <w:r w:rsidRPr="00886FD2">
              <w:rPr>
                <w:noProof/>
                <w:webHidden/>
                <w:sz w:val="24"/>
                <w:szCs w:val="24"/>
              </w:rPr>
              <w:fldChar w:fldCharType="begin"/>
            </w:r>
            <w:r w:rsidRPr="00886FD2">
              <w:rPr>
                <w:noProof/>
                <w:webHidden/>
                <w:sz w:val="24"/>
                <w:szCs w:val="24"/>
              </w:rPr>
              <w:instrText xml:space="preserve"> PAGEREF _Toc235207367 \h </w:instrText>
            </w:r>
            <w:r w:rsidRPr="00886FD2">
              <w:rPr>
                <w:noProof/>
                <w:webHidden/>
                <w:sz w:val="24"/>
                <w:szCs w:val="24"/>
              </w:rPr>
            </w:r>
            <w:r w:rsidRPr="00886FD2">
              <w:rPr>
                <w:noProof/>
                <w:webHidden/>
                <w:sz w:val="24"/>
                <w:szCs w:val="24"/>
              </w:rPr>
              <w:fldChar w:fldCharType="separate"/>
            </w:r>
            <w:r w:rsidRPr="00886FD2">
              <w:rPr>
                <w:noProof/>
                <w:webHidden/>
                <w:sz w:val="24"/>
                <w:szCs w:val="24"/>
              </w:rPr>
              <w:t>3</w:t>
            </w:r>
            <w:r w:rsidRPr="00886FD2">
              <w:rPr>
                <w:noProof/>
                <w:webHidden/>
                <w:sz w:val="24"/>
                <w:szCs w:val="24"/>
              </w:rPr>
              <w:fldChar w:fldCharType="end"/>
            </w:r>
          </w:hyperlink>
        </w:p>
        <w:p w14:paraId="7562F09E" w14:textId="4293B320" w:rsidR="00886FD2" w:rsidRPr="00886FD2" w:rsidRDefault="00886FD2" w:rsidP="00886FD2">
          <w:pPr>
            <w:pStyle w:val="TOC2"/>
            <w:tabs>
              <w:tab w:val="right" w:leader="dot" w:pos="9019"/>
            </w:tabs>
            <w:spacing w:line="240" w:lineRule="auto"/>
            <w:jc w:val="both"/>
            <w:rPr>
              <w:rFonts w:eastAsiaTheme="minorEastAsia"/>
              <w:noProof/>
              <w:sz w:val="24"/>
              <w:szCs w:val="24"/>
              <w:lang w:val="en-US"/>
            </w:rPr>
          </w:pPr>
          <w:hyperlink w:anchor="_Toc235207368" w:history="1">
            <w:r w:rsidRPr="00886FD2">
              <w:rPr>
                <w:rStyle w:val="Hyperlink"/>
                <w:noProof/>
                <w:sz w:val="24"/>
                <w:szCs w:val="24"/>
              </w:rPr>
              <w:t>2.1 5-year financial analysis</w:t>
            </w:r>
            <w:r w:rsidRPr="00886FD2">
              <w:rPr>
                <w:noProof/>
                <w:webHidden/>
                <w:sz w:val="24"/>
                <w:szCs w:val="24"/>
              </w:rPr>
              <w:tab/>
            </w:r>
            <w:r w:rsidRPr="00886FD2">
              <w:rPr>
                <w:noProof/>
                <w:webHidden/>
                <w:sz w:val="24"/>
                <w:szCs w:val="24"/>
              </w:rPr>
              <w:fldChar w:fldCharType="begin"/>
            </w:r>
            <w:r w:rsidRPr="00886FD2">
              <w:rPr>
                <w:noProof/>
                <w:webHidden/>
                <w:sz w:val="24"/>
                <w:szCs w:val="24"/>
              </w:rPr>
              <w:instrText xml:space="preserve"> PAGEREF _Toc235207368 \h </w:instrText>
            </w:r>
            <w:r w:rsidRPr="00886FD2">
              <w:rPr>
                <w:noProof/>
                <w:webHidden/>
                <w:sz w:val="24"/>
                <w:szCs w:val="24"/>
              </w:rPr>
            </w:r>
            <w:r w:rsidRPr="00886FD2">
              <w:rPr>
                <w:noProof/>
                <w:webHidden/>
                <w:sz w:val="24"/>
                <w:szCs w:val="24"/>
              </w:rPr>
              <w:fldChar w:fldCharType="separate"/>
            </w:r>
            <w:r w:rsidRPr="00886FD2">
              <w:rPr>
                <w:noProof/>
                <w:webHidden/>
                <w:sz w:val="24"/>
                <w:szCs w:val="24"/>
              </w:rPr>
              <w:t>3</w:t>
            </w:r>
            <w:r w:rsidRPr="00886FD2">
              <w:rPr>
                <w:noProof/>
                <w:webHidden/>
                <w:sz w:val="24"/>
                <w:szCs w:val="24"/>
              </w:rPr>
              <w:fldChar w:fldCharType="end"/>
            </w:r>
          </w:hyperlink>
        </w:p>
        <w:p w14:paraId="6FB5D967" w14:textId="143A4924" w:rsidR="00886FD2" w:rsidRPr="00886FD2" w:rsidRDefault="00886FD2" w:rsidP="00886FD2">
          <w:pPr>
            <w:pStyle w:val="TOC2"/>
            <w:tabs>
              <w:tab w:val="right" w:leader="dot" w:pos="9019"/>
            </w:tabs>
            <w:spacing w:line="240" w:lineRule="auto"/>
            <w:jc w:val="both"/>
            <w:rPr>
              <w:rFonts w:eastAsiaTheme="minorEastAsia"/>
              <w:noProof/>
              <w:sz w:val="24"/>
              <w:szCs w:val="24"/>
              <w:lang w:val="en-US"/>
            </w:rPr>
          </w:pPr>
          <w:hyperlink w:anchor="_Toc235207369" w:history="1">
            <w:r w:rsidRPr="00886FD2">
              <w:rPr>
                <w:rStyle w:val="Hyperlink"/>
                <w:noProof/>
                <w:sz w:val="24"/>
                <w:szCs w:val="24"/>
              </w:rPr>
              <w:t>2.2 Ratio analysis</w:t>
            </w:r>
            <w:r w:rsidRPr="00886FD2">
              <w:rPr>
                <w:noProof/>
                <w:webHidden/>
                <w:sz w:val="24"/>
                <w:szCs w:val="24"/>
              </w:rPr>
              <w:tab/>
            </w:r>
            <w:r w:rsidRPr="00886FD2">
              <w:rPr>
                <w:noProof/>
                <w:webHidden/>
                <w:sz w:val="24"/>
                <w:szCs w:val="24"/>
              </w:rPr>
              <w:fldChar w:fldCharType="begin"/>
            </w:r>
            <w:r w:rsidRPr="00886FD2">
              <w:rPr>
                <w:noProof/>
                <w:webHidden/>
                <w:sz w:val="24"/>
                <w:szCs w:val="24"/>
              </w:rPr>
              <w:instrText xml:space="preserve"> PAGEREF _Toc235207369 \h </w:instrText>
            </w:r>
            <w:r w:rsidRPr="00886FD2">
              <w:rPr>
                <w:noProof/>
                <w:webHidden/>
                <w:sz w:val="24"/>
                <w:szCs w:val="24"/>
              </w:rPr>
            </w:r>
            <w:r w:rsidRPr="00886FD2">
              <w:rPr>
                <w:noProof/>
                <w:webHidden/>
                <w:sz w:val="24"/>
                <w:szCs w:val="24"/>
              </w:rPr>
              <w:fldChar w:fldCharType="separate"/>
            </w:r>
            <w:r w:rsidRPr="00886FD2">
              <w:rPr>
                <w:noProof/>
                <w:webHidden/>
                <w:sz w:val="24"/>
                <w:szCs w:val="24"/>
              </w:rPr>
              <w:t>3</w:t>
            </w:r>
            <w:r w:rsidRPr="00886FD2">
              <w:rPr>
                <w:noProof/>
                <w:webHidden/>
                <w:sz w:val="24"/>
                <w:szCs w:val="24"/>
              </w:rPr>
              <w:fldChar w:fldCharType="end"/>
            </w:r>
          </w:hyperlink>
        </w:p>
        <w:p w14:paraId="2E6235F0" w14:textId="73108D71" w:rsidR="00886FD2" w:rsidRPr="00886FD2" w:rsidRDefault="00886FD2" w:rsidP="00886FD2">
          <w:pPr>
            <w:pStyle w:val="TOC2"/>
            <w:tabs>
              <w:tab w:val="right" w:leader="dot" w:pos="9019"/>
            </w:tabs>
            <w:spacing w:line="240" w:lineRule="auto"/>
            <w:jc w:val="both"/>
            <w:rPr>
              <w:rFonts w:eastAsiaTheme="minorEastAsia"/>
              <w:noProof/>
              <w:sz w:val="24"/>
              <w:szCs w:val="24"/>
              <w:lang w:val="en-US"/>
            </w:rPr>
          </w:pPr>
          <w:hyperlink w:anchor="_Toc235207370" w:history="1">
            <w:r w:rsidRPr="00886FD2">
              <w:rPr>
                <w:rStyle w:val="Hyperlink"/>
                <w:noProof/>
                <w:sz w:val="24"/>
                <w:szCs w:val="24"/>
              </w:rPr>
              <w:t>2.3 Identification of trends, strengths, and potential threats</w:t>
            </w:r>
            <w:r w:rsidRPr="00886FD2">
              <w:rPr>
                <w:noProof/>
                <w:webHidden/>
                <w:sz w:val="24"/>
                <w:szCs w:val="24"/>
              </w:rPr>
              <w:tab/>
            </w:r>
            <w:r w:rsidRPr="00886FD2">
              <w:rPr>
                <w:noProof/>
                <w:webHidden/>
                <w:sz w:val="24"/>
                <w:szCs w:val="24"/>
              </w:rPr>
              <w:fldChar w:fldCharType="begin"/>
            </w:r>
            <w:r w:rsidRPr="00886FD2">
              <w:rPr>
                <w:noProof/>
                <w:webHidden/>
                <w:sz w:val="24"/>
                <w:szCs w:val="24"/>
              </w:rPr>
              <w:instrText xml:space="preserve"> PAGEREF _Toc235207370 \h </w:instrText>
            </w:r>
            <w:r w:rsidRPr="00886FD2">
              <w:rPr>
                <w:noProof/>
                <w:webHidden/>
                <w:sz w:val="24"/>
                <w:szCs w:val="24"/>
              </w:rPr>
            </w:r>
            <w:r w:rsidRPr="00886FD2">
              <w:rPr>
                <w:noProof/>
                <w:webHidden/>
                <w:sz w:val="24"/>
                <w:szCs w:val="24"/>
              </w:rPr>
              <w:fldChar w:fldCharType="separate"/>
            </w:r>
            <w:r w:rsidRPr="00886FD2">
              <w:rPr>
                <w:noProof/>
                <w:webHidden/>
                <w:sz w:val="24"/>
                <w:szCs w:val="24"/>
              </w:rPr>
              <w:t>5</w:t>
            </w:r>
            <w:r w:rsidRPr="00886FD2">
              <w:rPr>
                <w:noProof/>
                <w:webHidden/>
                <w:sz w:val="24"/>
                <w:szCs w:val="24"/>
              </w:rPr>
              <w:fldChar w:fldCharType="end"/>
            </w:r>
          </w:hyperlink>
        </w:p>
        <w:p w14:paraId="08BBF2DC" w14:textId="6FCEDF39" w:rsidR="00886FD2" w:rsidRPr="00886FD2" w:rsidRDefault="00886FD2" w:rsidP="00886FD2">
          <w:pPr>
            <w:pStyle w:val="TOC2"/>
            <w:tabs>
              <w:tab w:val="right" w:leader="dot" w:pos="9019"/>
            </w:tabs>
            <w:spacing w:line="240" w:lineRule="auto"/>
            <w:jc w:val="both"/>
            <w:rPr>
              <w:rFonts w:eastAsiaTheme="minorEastAsia"/>
              <w:noProof/>
              <w:sz w:val="24"/>
              <w:szCs w:val="24"/>
              <w:lang w:val="en-US"/>
            </w:rPr>
          </w:pPr>
          <w:hyperlink w:anchor="_Toc235207371" w:history="1">
            <w:r w:rsidRPr="00886FD2">
              <w:rPr>
                <w:rStyle w:val="Hyperlink"/>
                <w:noProof/>
                <w:sz w:val="24"/>
                <w:szCs w:val="24"/>
              </w:rPr>
              <w:t>2.4 Comparison</w:t>
            </w:r>
            <w:r w:rsidRPr="00886FD2">
              <w:rPr>
                <w:noProof/>
                <w:webHidden/>
                <w:sz w:val="24"/>
                <w:szCs w:val="24"/>
              </w:rPr>
              <w:tab/>
            </w:r>
            <w:r w:rsidRPr="00886FD2">
              <w:rPr>
                <w:noProof/>
                <w:webHidden/>
                <w:sz w:val="24"/>
                <w:szCs w:val="24"/>
              </w:rPr>
              <w:fldChar w:fldCharType="begin"/>
            </w:r>
            <w:r w:rsidRPr="00886FD2">
              <w:rPr>
                <w:noProof/>
                <w:webHidden/>
                <w:sz w:val="24"/>
                <w:szCs w:val="24"/>
              </w:rPr>
              <w:instrText xml:space="preserve"> PAGEREF _Toc235207371 \h </w:instrText>
            </w:r>
            <w:r w:rsidRPr="00886FD2">
              <w:rPr>
                <w:noProof/>
                <w:webHidden/>
                <w:sz w:val="24"/>
                <w:szCs w:val="24"/>
              </w:rPr>
            </w:r>
            <w:r w:rsidRPr="00886FD2">
              <w:rPr>
                <w:noProof/>
                <w:webHidden/>
                <w:sz w:val="24"/>
                <w:szCs w:val="24"/>
              </w:rPr>
              <w:fldChar w:fldCharType="separate"/>
            </w:r>
            <w:r w:rsidRPr="00886FD2">
              <w:rPr>
                <w:noProof/>
                <w:webHidden/>
                <w:sz w:val="24"/>
                <w:szCs w:val="24"/>
              </w:rPr>
              <w:t>6</w:t>
            </w:r>
            <w:r w:rsidRPr="00886FD2">
              <w:rPr>
                <w:noProof/>
                <w:webHidden/>
                <w:sz w:val="24"/>
                <w:szCs w:val="24"/>
              </w:rPr>
              <w:fldChar w:fldCharType="end"/>
            </w:r>
          </w:hyperlink>
        </w:p>
        <w:p w14:paraId="2D609E04" w14:textId="73D3FB44" w:rsidR="00886FD2" w:rsidRPr="00886FD2" w:rsidRDefault="00886FD2" w:rsidP="00886FD2">
          <w:pPr>
            <w:pStyle w:val="TOC1"/>
            <w:tabs>
              <w:tab w:val="right" w:leader="dot" w:pos="9019"/>
            </w:tabs>
            <w:spacing w:line="240" w:lineRule="auto"/>
            <w:jc w:val="both"/>
            <w:rPr>
              <w:rFonts w:eastAsiaTheme="minorEastAsia"/>
              <w:noProof/>
              <w:sz w:val="24"/>
              <w:szCs w:val="24"/>
              <w:lang w:val="en-US"/>
            </w:rPr>
          </w:pPr>
          <w:hyperlink w:anchor="_Toc235207372" w:history="1">
            <w:r w:rsidRPr="00886FD2">
              <w:rPr>
                <w:rStyle w:val="Hyperlink"/>
                <w:noProof/>
                <w:sz w:val="24"/>
                <w:szCs w:val="24"/>
              </w:rPr>
              <w:t>3. Working Capital Management Analysis</w:t>
            </w:r>
            <w:r w:rsidRPr="00886FD2">
              <w:rPr>
                <w:noProof/>
                <w:webHidden/>
                <w:sz w:val="24"/>
                <w:szCs w:val="24"/>
              </w:rPr>
              <w:tab/>
            </w:r>
            <w:r w:rsidRPr="00886FD2">
              <w:rPr>
                <w:noProof/>
                <w:webHidden/>
                <w:sz w:val="24"/>
                <w:szCs w:val="24"/>
              </w:rPr>
              <w:fldChar w:fldCharType="begin"/>
            </w:r>
            <w:r w:rsidRPr="00886FD2">
              <w:rPr>
                <w:noProof/>
                <w:webHidden/>
                <w:sz w:val="24"/>
                <w:szCs w:val="24"/>
              </w:rPr>
              <w:instrText xml:space="preserve"> PAGEREF _Toc235207372 \h </w:instrText>
            </w:r>
            <w:r w:rsidRPr="00886FD2">
              <w:rPr>
                <w:noProof/>
                <w:webHidden/>
                <w:sz w:val="24"/>
                <w:szCs w:val="24"/>
              </w:rPr>
            </w:r>
            <w:r w:rsidRPr="00886FD2">
              <w:rPr>
                <w:noProof/>
                <w:webHidden/>
                <w:sz w:val="24"/>
                <w:szCs w:val="24"/>
              </w:rPr>
              <w:fldChar w:fldCharType="separate"/>
            </w:r>
            <w:r w:rsidRPr="00886FD2">
              <w:rPr>
                <w:noProof/>
                <w:webHidden/>
                <w:sz w:val="24"/>
                <w:szCs w:val="24"/>
              </w:rPr>
              <w:t>7</w:t>
            </w:r>
            <w:r w:rsidRPr="00886FD2">
              <w:rPr>
                <w:noProof/>
                <w:webHidden/>
                <w:sz w:val="24"/>
                <w:szCs w:val="24"/>
              </w:rPr>
              <w:fldChar w:fldCharType="end"/>
            </w:r>
          </w:hyperlink>
        </w:p>
        <w:p w14:paraId="6E9ACCDA" w14:textId="581E4F58" w:rsidR="00886FD2" w:rsidRPr="00886FD2" w:rsidRDefault="00886FD2" w:rsidP="00886FD2">
          <w:pPr>
            <w:pStyle w:val="TOC2"/>
            <w:tabs>
              <w:tab w:val="right" w:leader="dot" w:pos="9019"/>
            </w:tabs>
            <w:spacing w:line="240" w:lineRule="auto"/>
            <w:jc w:val="both"/>
            <w:rPr>
              <w:rFonts w:eastAsiaTheme="minorEastAsia"/>
              <w:noProof/>
              <w:sz w:val="24"/>
              <w:szCs w:val="24"/>
              <w:lang w:val="en-US"/>
            </w:rPr>
          </w:pPr>
          <w:hyperlink w:anchor="_Toc235207373" w:history="1">
            <w:r w:rsidRPr="00886FD2">
              <w:rPr>
                <w:rStyle w:val="Hyperlink"/>
                <w:noProof/>
                <w:sz w:val="24"/>
                <w:szCs w:val="24"/>
              </w:rPr>
              <w:t>3.1 Assessment of the Cash Operating Cycle</w:t>
            </w:r>
            <w:r w:rsidRPr="00886FD2">
              <w:rPr>
                <w:noProof/>
                <w:webHidden/>
                <w:sz w:val="24"/>
                <w:szCs w:val="24"/>
              </w:rPr>
              <w:tab/>
            </w:r>
            <w:r w:rsidRPr="00886FD2">
              <w:rPr>
                <w:noProof/>
                <w:webHidden/>
                <w:sz w:val="24"/>
                <w:szCs w:val="24"/>
              </w:rPr>
              <w:fldChar w:fldCharType="begin"/>
            </w:r>
            <w:r w:rsidRPr="00886FD2">
              <w:rPr>
                <w:noProof/>
                <w:webHidden/>
                <w:sz w:val="24"/>
                <w:szCs w:val="24"/>
              </w:rPr>
              <w:instrText xml:space="preserve"> PAGEREF _Toc235207373 \h </w:instrText>
            </w:r>
            <w:r w:rsidRPr="00886FD2">
              <w:rPr>
                <w:noProof/>
                <w:webHidden/>
                <w:sz w:val="24"/>
                <w:szCs w:val="24"/>
              </w:rPr>
            </w:r>
            <w:r w:rsidRPr="00886FD2">
              <w:rPr>
                <w:noProof/>
                <w:webHidden/>
                <w:sz w:val="24"/>
                <w:szCs w:val="24"/>
              </w:rPr>
              <w:fldChar w:fldCharType="separate"/>
            </w:r>
            <w:r w:rsidRPr="00886FD2">
              <w:rPr>
                <w:noProof/>
                <w:webHidden/>
                <w:sz w:val="24"/>
                <w:szCs w:val="24"/>
              </w:rPr>
              <w:t>7</w:t>
            </w:r>
            <w:r w:rsidRPr="00886FD2">
              <w:rPr>
                <w:noProof/>
                <w:webHidden/>
                <w:sz w:val="24"/>
                <w:szCs w:val="24"/>
              </w:rPr>
              <w:fldChar w:fldCharType="end"/>
            </w:r>
          </w:hyperlink>
        </w:p>
        <w:p w14:paraId="43B1B963" w14:textId="4EA0811B" w:rsidR="00886FD2" w:rsidRPr="00886FD2" w:rsidRDefault="00886FD2" w:rsidP="00886FD2">
          <w:pPr>
            <w:pStyle w:val="TOC2"/>
            <w:tabs>
              <w:tab w:val="right" w:leader="dot" w:pos="9019"/>
            </w:tabs>
            <w:spacing w:line="240" w:lineRule="auto"/>
            <w:jc w:val="both"/>
            <w:rPr>
              <w:rFonts w:eastAsiaTheme="minorEastAsia"/>
              <w:noProof/>
              <w:sz w:val="24"/>
              <w:szCs w:val="24"/>
              <w:lang w:val="en-US"/>
            </w:rPr>
          </w:pPr>
          <w:hyperlink w:anchor="_Toc235207374" w:history="1">
            <w:r w:rsidRPr="00886FD2">
              <w:rPr>
                <w:rStyle w:val="Hyperlink"/>
                <w:noProof/>
                <w:sz w:val="24"/>
                <w:szCs w:val="24"/>
              </w:rPr>
              <w:t>3.2 Strategies to Improve Liquidity through Working Capital Reforms</w:t>
            </w:r>
            <w:r w:rsidRPr="00886FD2">
              <w:rPr>
                <w:noProof/>
                <w:webHidden/>
                <w:sz w:val="24"/>
                <w:szCs w:val="24"/>
              </w:rPr>
              <w:tab/>
            </w:r>
            <w:r w:rsidRPr="00886FD2">
              <w:rPr>
                <w:noProof/>
                <w:webHidden/>
                <w:sz w:val="24"/>
                <w:szCs w:val="24"/>
              </w:rPr>
              <w:fldChar w:fldCharType="begin"/>
            </w:r>
            <w:r w:rsidRPr="00886FD2">
              <w:rPr>
                <w:noProof/>
                <w:webHidden/>
                <w:sz w:val="24"/>
                <w:szCs w:val="24"/>
              </w:rPr>
              <w:instrText xml:space="preserve"> PAGEREF _Toc235207374 \h </w:instrText>
            </w:r>
            <w:r w:rsidRPr="00886FD2">
              <w:rPr>
                <w:noProof/>
                <w:webHidden/>
                <w:sz w:val="24"/>
                <w:szCs w:val="24"/>
              </w:rPr>
            </w:r>
            <w:r w:rsidRPr="00886FD2">
              <w:rPr>
                <w:noProof/>
                <w:webHidden/>
                <w:sz w:val="24"/>
                <w:szCs w:val="24"/>
              </w:rPr>
              <w:fldChar w:fldCharType="separate"/>
            </w:r>
            <w:r w:rsidRPr="00886FD2">
              <w:rPr>
                <w:noProof/>
                <w:webHidden/>
                <w:sz w:val="24"/>
                <w:szCs w:val="24"/>
              </w:rPr>
              <w:t>9</w:t>
            </w:r>
            <w:r w:rsidRPr="00886FD2">
              <w:rPr>
                <w:noProof/>
                <w:webHidden/>
                <w:sz w:val="24"/>
                <w:szCs w:val="24"/>
              </w:rPr>
              <w:fldChar w:fldCharType="end"/>
            </w:r>
          </w:hyperlink>
        </w:p>
        <w:p w14:paraId="1421DDEA" w14:textId="3132EE37" w:rsidR="00886FD2" w:rsidRPr="00886FD2" w:rsidRDefault="00886FD2" w:rsidP="00886FD2">
          <w:pPr>
            <w:pStyle w:val="TOC2"/>
            <w:tabs>
              <w:tab w:val="right" w:leader="dot" w:pos="9019"/>
            </w:tabs>
            <w:spacing w:line="240" w:lineRule="auto"/>
            <w:jc w:val="both"/>
            <w:rPr>
              <w:rFonts w:eastAsiaTheme="minorEastAsia"/>
              <w:noProof/>
              <w:sz w:val="24"/>
              <w:szCs w:val="24"/>
              <w:lang w:val="en-US"/>
            </w:rPr>
          </w:pPr>
          <w:hyperlink w:anchor="_Toc235207375" w:history="1">
            <w:r w:rsidRPr="00886FD2">
              <w:rPr>
                <w:rStyle w:val="Hyperlink"/>
                <w:noProof/>
                <w:sz w:val="24"/>
                <w:szCs w:val="24"/>
              </w:rPr>
              <w:t>3.3 Comparison of Short-Term and Long-Term Financing Options</w:t>
            </w:r>
            <w:r w:rsidRPr="00886FD2">
              <w:rPr>
                <w:noProof/>
                <w:webHidden/>
                <w:sz w:val="24"/>
                <w:szCs w:val="24"/>
              </w:rPr>
              <w:tab/>
            </w:r>
            <w:r w:rsidRPr="00886FD2">
              <w:rPr>
                <w:noProof/>
                <w:webHidden/>
                <w:sz w:val="24"/>
                <w:szCs w:val="24"/>
              </w:rPr>
              <w:fldChar w:fldCharType="begin"/>
            </w:r>
            <w:r w:rsidRPr="00886FD2">
              <w:rPr>
                <w:noProof/>
                <w:webHidden/>
                <w:sz w:val="24"/>
                <w:szCs w:val="24"/>
              </w:rPr>
              <w:instrText xml:space="preserve"> PAGEREF _Toc235207375 \h </w:instrText>
            </w:r>
            <w:r w:rsidRPr="00886FD2">
              <w:rPr>
                <w:noProof/>
                <w:webHidden/>
                <w:sz w:val="24"/>
                <w:szCs w:val="24"/>
              </w:rPr>
            </w:r>
            <w:r w:rsidRPr="00886FD2">
              <w:rPr>
                <w:noProof/>
                <w:webHidden/>
                <w:sz w:val="24"/>
                <w:szCs w:val="24"/>
              </w:rPr>
              <w:fldChar w:fldCharType="separate"/>
            </w:r>
            <w:r w:rsidRPr="00886FD2">
              <w:rPr>
                <w:noProof/>
                <w:webHidden/>
                <w:sz w:val="24"/>
                <w:szCs w:val="24"/>
              </w:rPr>
              <w:t>10</w:t>
            </w:r>
            <w:r w:rsidRPr="00886FD2">
              <w:rPr>
                <w:noProof/>
                <w:webHidden/>
                <w:sz w:val="24"/>
                <w:szCs w:val="24"/>
              </w:rPr>
              <w:fldChar w:fldCharType="end"/>
            </w:r>
          </w:hyperlink>
        </w:p>
        <w:p w14:paraId="724B1067" w14:textId="25A33753" w:rsidR="00886FD2" w:rsidRPr="00886FD2" w:rsidRDefault="00886FD2" w:rsidP="00886FD2">
          <w:pPr>
            <w:pStyle w:val="TOC1"/>
            <w:tabs>
              <w:tab w:val="right" w:leader="dot" w:pos="9019"/>
            </w:tabs>
            <w:spacing w:line="240" w:lineRule="auto"/>
            <w:jc w:val="both"/>
            <w:rPr>
              <w:rFonts w:eastAsiaTheme="minorEastAsia"/>
              <w:noProof/>
              <w:sz w:val="24"/>
              <w:szCs w:val="24"/>
              <w:lang w:val="en-US"/>
            </w:rPr>
          </w:pPr>
          <w:hyperlink w:anchor="_Toc235207376" w:history="1">
            <w:r w:rsidRPr="00886FD2">
              <w:rPr>
                <w:rStyle w:val="Hyperlink"/>
                <w:noProof/>
                <w:sz w:val="24"/>
                <w:szCs w:val="24"/>
              </w:rPr>
              <w:t>4. Strategic Financial Restructuring Plan</w:t>
            </w:r>
            <w:r w:rsidRPr="00886FD2">
              <w:rPr>
                <w:noProof/>
                <w:webHidden/>
                <w:sz w:val="24"/>
                <w:szCs w:val="24"/>
              </w:rPr>
              <w:tab/>
            </w:r>
            <w:r w:rsidRPr="00886FD2">
              <w:rPr>
                <w:noProof/>
                <w:webHidden/>
                <w:sz w:val="24"/>
                <w:szCs w:val="24"/>
              </w:rPr>
              <w:fldChar w:fldCharType="begin"/>
            </w:r>
            <w:r w:rsidRPr="00886FD2">
              <w:rPr>
                <w:noProof/>
                <w:webHidden/>
                <w:sz w:val="24"/>
                <w:szCs w:val="24"/>
              </w:rPr>
              <w:instrText xml:space="preserve"> PAGEREF _Toc235207376 \h </w:instrText>
            </w:r>
            <w:r w:rsidRPr="00886FD2">
              <w:rPr>
                <w:noProof/>
                <w:webHidden/>
                <w:sz w:val="24"/>
                <w:szCs w:val="24"/>
              </w:rPr>
            </w:r>
            <w:r w:rsidRPr="00886FD2">
              <w:rPr>
                <w:noProof/>
                <w:webHidden/>
                <w:sz w:val="24"/>
                <w:szCs w:val="24"/>
              </w:rPr>
              <w:fldChar w:fldCharType="separate"/>
            </w:r>
            <w:r w:rsidRPr="00886FD2">
              <w:rPr>
                <w:noProof/>
                <w:webHidden/>
                <w:sz w:val="24"/>
                <w:szCs w:val="24"/>
              </w:rPr>
              <w:t>10</w:t>
            </w:r>
            <w:r w:rsidRPr="00886FD2">
              <w:rPr>
                <w:noProof/>
                <w:webHidden/>
                <w:sz w:val="24"/>
                <w:szCs w:val="24"/>
              </w:rPr>
              <w:fldChar w:fldCharType="end"/>
            </w:r>
          </w:hyperlink>
        </w:p>
        <w:p w14:paraId="44C13AAD" w14:textId="45C9C070" w:rsidR="00886FD2" w:rsidRPr="00886FD2" w:rsidRDefault="00886FD2" w:rsidP="00886FD2">
          <w:pPr>
            <w:pStyle w:val="TOC2"/>
            <w:tabs>
              <w:tab w:val="right" w:leader="dot" w:pos="9019"/>
            </w:tabs>
            <w:spacing w:line="240" w:lineRule="auto"/>
            <w:jc w:val="both"/>
            <w:rPr>
              <w:rFonts w:eastAsiaTheme="minorEastAsia"/>
              <w:noProof/>
              <w:sz w:val="24"/>
              <w:szCs w:val="24"/>
              <w:lang w:val="en-US"/>
            </w:rPr>
          </w:pPr>
          <w:hyperlink w:anchor="_Toc235207377" w:history="1">
            <w:r w:rsidRPr="00886FD2">
              <w:rPr>
                <w:rStyle w:val="Hyperlink"/>
                <w:noProof/>
                <w:sz w:val="24"/>
                <w:szCs w:val="24"/>
              </w:rPr>
              <w:t>4.1 Recommended Financial Restructuring Options</w:t>
            </w:r>
            <w:r w:rsidRPr="00886FD2">
              <w:rPr>
                <w:noProof/>
                <w:webHidden/>
                <w:sz w:val="24"/>
                <w:szCs w:val="24"/>
              </w:rPr>
              <w:tab/>
            </w:r>
            <w:r w:rsidRPr="00886FD2">
              <w:rPr>
                <w:noProof/>
                <w:webHidden/>
                <w:sz w:val="24"/>
                <w:szCs w:val="24"/>
              </w:rPr>
              <w:fldChar w:fldCharType="begin"/>
            </w:r>
            <w:r w:rsidRPr="00886FD2">
              <w:rPr>
                <w:noProof/>
                <w:webHidden/>
                <w:sz w:val="24"/>
                <w:szCs w:val="24"/>
              </w:rPr>
              <w:instrText xml:space="preserve"> PAGEREF _Toc235207377 \h </w:instrText>
            </w:r>
            <w:r w:rsidRPr="00886FD2">
              <w:rPr>
                <w:noProof/>
                <w:webHidden/>
                <w:sz w:val="24"/>
                <w:szCs w:val="24"/>
              </w:rPr>
            </w:r>
            <w:r w:rsidRPr="00886FD2">
              <w:rPr>
                <w:noProof/>
                <w:webHidden/>
                <w:sz w:val="24"/>
                <w:szCs w:val="24"/>
              </w:rPr>
              <w:fldChar w:fldCharType="separate"/>
            </w:r>
            <w:r w:rsidRPr="00886FD2">
              <w:rPr>
                <w:noProof/>
                <w:webHidden/>
                <w:sz w:val="24"/>
                <w:szCs w:val="24"/>
              </w:rPr>
              <w:t>10</w:t>
            </w:r>
            <w:r w:rsidRPr="00886FD2">
              <w:rPr>
                <w:noProof/>
                <w:webHidden/>
                <w:sz w:val="24"/>
                <w:szCs w:val="24"/>
              </w:rPr>
              <w:fldChar w:fldCharType="end"/>
            </w:r>
          </w:hyperlink>
        </w:p>
        <w:p w14:paraId="43F4D10B" w14:textId="44F39618" w:rsidR="00886FD2" w:rsidRPr="00886FD2" w:rsidRDefault="00886FD2" w:rsidP="00886FD2">
          <w:pPr>
            <w:pStyle w:val="TOC2"/>
            <w:tabs>
              <w:tab w:val="right" w:leader="dot" w:pos="9019"/>
            </w:tabs>
            <w:spacing w:line="240" w:lineRule="auto"/>
            <w:jc w:val="both"/>
            <w:rPr>
              <w:rFonts w:eastAsiaTheme="minorEastAsia"/>
              <w:noProof/>
              <w:sz w:val="24"/>
              <w:szCs w:val="24"/>
              <w:lang w:val="en-US"/>
            </w:rPr>
          </w:pPr>
          <w:hyperlink w:anchor="_Toc235207378" w:history="1">
            <w:r w:rsidRPr="00886FD2">
              <w:rPr>
                <w:rStyle w:val="Hyperlink"/>
                <w:noProof/>
                <w:sz w:val="24"/>
                <w:szCs w:val="24"/>
              </w:rPr>
              <w:t>4.2 Evaluation of the Impact of Financial Restructuring</w:t>
            </w:r>
            <w:r w:rsidRPr="00886FD2">
              <w:rPr>
                <w:noProof/>
                <w:webHidden/>
                <w:sz w:val="24"/>
                <w:szCs w:val="24"/>
              </w:rPr>
              <w:tab/>
            </w:r>
            <w:r w:rsidRPr="00886FD2">
              <w:rPr>
                <w:noProof/>
                <w:webHidden/>
                <w:sz w:val="24"/>
                <w:szCs w:val="24"/>
              </w:rPr>
              <w:fldChar w:fldCharType="begin"/>
            </w:r>
            <w:r w:rsidRPr="00886FD2">
              <w:rPr>
                <w:noProof/>
                <w:webHidden/>
                <w:sz w:val="24"/>
                <w:szCs w:val="24"/>
              </w:rPr>
              <w:instrText xml:space="preserve"> PAGEREF _Toc235207378 \h </w:instrText>
            </w:r>
            <w:r w:rsidRPr="00886FD2">
              <w:rPr>
                <w:noProof/>
                <w:webHidden/>
                <w:sz w:val="24"/>
                <w:szCs w:val="24"/>
              </w:rPr>
            </w:r>
            <w:r w:rsidRPr="00886FD2">
              <w:rPr>
                <w:noProof/>
                <w:webHidden/>
                <w:sz w:val="24"/>
                <w:szCs w:val="24"/>
              </w:rPr>
              <w:fldChar w:fldCharType="separate"/>
            </w:r>
            <w:r w:rsidRPr="00886FD2">
              <w:rPr>
                <w:noProof/>
                <w:webHidden/>
                <w:sz w:val="24"/>
                <w:szCs w:val="24"/>
              </w:rPr>
              <w:t>11</w:t>
            </w:r>
            <w:r w:rsidRPr="00886FD2">
              <w:rPr>
                <w:noProof/>
                <w:webHidden/>
                <w:sz w:val="24"/>
                <w:szCs w:val="24"/>
              </w:rPr>
              <w:fldChar w:fldCharType="end"/>
            </w:r>
          </w:hyperlink>
        </w:p>
        <w:p w14:paraId="220476CD" w14:textId="4FBE184B" w:rsidR="00886FD2" w:rsidRPr="00886FD2" w:rsidRDefault="00886FD2" w:rsidP="00886FD2">
          <w:pPr>
            <w:pStyle w:val="TOC2"/>
            <w:tabs>
              <w:tab w:val="right" w:leader="dot" w:pos="9019"/>
            </w:tabs>
            <w:spacing w:line="240" w:lineRule="auto"/>
            <w:jc w:val="both"/>
            <w:rPr>
              <w:rFonts w:eastAsiaTheme="minorEastAsia"/>
              <w:noProof/>
              <w:sz w:val="24"/>
              <w:szCs w:val="24"/>
              <w:lang w:val="en-US"/>
            </w:rPr>
          </w:pPr>
          <w:hyperlink w:anchor="_Toc235207379" w:history="1">
            <w:r w:rsidRPr="00886FD2">
              <w:rPr>
                <w:rStyle w:val="Hyperlink"/>
                <w:noProof/>
                <w:sz w:val="24"/>
                <w:szCs w:val="24"/>
              </w:rPr>
              <w:t>4.3 International and Ethical Considerations</w:t>
            </w:r>
            <w:r w:rsidRPr="00886FD2">
              <w:rPr>
                <w:noProof/>
                <w:webHidden/>
                <w:sz w:val="24"/>
                <w:szCs w:val="24"/>
              </w:rPr>
              <w:tab/>
            </w:r>
            <w:r w:rsidRPr="00886FD2">
              <w:rPr>
                <w:noProof/>
                <w:webHidden/>
                <w:sz w:val="24"/>
                <w:szCs w:val="24"/>
              </w:rPr>
              <w:fldChar w:fldCharType="begin"/>
            </w:r>
            <w:r w:rsidRPr="00886FD2">
              <w:rPr>
                <w:noProof/>
                <w:webHidden/>
                <w:sz w:val="24"/>
                <w:szCs w:val="24"/>
              </w:rPr>
              <w:instrText xml:space="preserve"> PAGEREF _Toc235207379 \h </w:instrText>
            </w:r>
            <w:r w:rsidRPr="00886FD2">
              <w:rPr>
                <w:noProof/>
                <w:webHidden/>
                <w:sz w:val="24"/>
                <w:szCs w:val="24"/>
              </w:rPr>
            </w:r>
            <w:r w:rsidRPr="00886FD2">
              <w:rPr>
                <w:noProof/>
                <w:webHidden/>
                <w:sz w:val="24"/>
                <w:szCs w:val="24"/>
              </w:rPr>
              <w:fldChar w:fldCharType="separate"/>
            </w:r>
            <w:r w:rsidRPr="00886FD2">
              <w:rPr>
                <w:noProof/>
                <w:webHidden/>
                <w:sz w:val="24"/>
                <w:szCs w:val="24"/>
              </w:rPr>
              <w:t>12</w:t>
            </w:r>
            <w:r w:rsidRPr="00886FD2">
              <w:rPr>
                <w:noProof/>
                <w:webHidden/>
                <w:sz w:val="24"/>
                <w:szCs w:val="24"/>
              </w:rPr>
              <w:fldChar w:fldCharType="end"/>
            </w:r>
          </w:hyperlink>
        </w:p>
        <w:p w14:paraId="204E6E37" w14:textId="0794F5D9" w:rsidR="00886FD2" w:rsidRPr="00886FD2" w:rsidRDefault="00886FD2" w:rsidP="00886FD2">
          <w:pPr>
            <w:pStyle w:val="TOC1"/>
            <w:tabs>
              <w:tab w:val="right" w:leader="dot" w:pos="9019"/>
            </w:tabs>
            <w:spacing w:line="240" w:lineRule="auto"/>
            <w:jc w:val="both"/>
            <w:rPr>
              <w:rFonts w:eastAsiaTheme="minorEastAsia"/>
              <w:noProof/>
              <w:sz w:val="24"/>
              <w:szCs w:val="24"/>
              <w:lang w:val="en-US"/>
            </w:rPr>
          </w:pPr>
          <w:hyperlink w:anchor="_Toc235207380" w:history="1">
            <w:r w:rsidRPr="00886FD2">
              <w:rPr>
                <w:rStyle w:val="Hyperlink"/>
                <w:noProof/>
                <w:sz w:val="24"/>
                <w:szCs w:val="24"/>
              </w:rPr>
              <w:t>5. Investment Appraisal and Capital Budgeting</w:t>
            </w:r>
            <w:r w:rsidRPr="00886FD2">
              <w:rPr>
                <w:noProof/>
                <w:webHidden/>
                <w:sz w:val="24"/>
                <w:szCs w:val="24"/>
              </w:rPr>
              <w:tab/>
            </w:r>
            <w:r w:rsidRPr="00886FD2">
              <w:rPr>
                <w:noProof/>
                <w:webHidden/>
                <w:sz w:val="24"/>
                <w:szCs w:val="24"/>
              </w:rPr>
              <w:fldChar w:fldCharType="begin"/>
            </w:r>
            <w:r w:rsidRPr="00886FD2">
              <w:rPr>
                <w:noProof/>
                <w:webHidden/>
                <w:sz w:val="24"/>
                <w:szCs w:val="24"/>
              </w:rPr>
              <w:instrText xml:space="preserve"> PAGEREF _Toc235207380 \h </w:instrText>
            </w:r>
            <w:r w:rsidRPr="00886FD2">
              <w:rPr>
                <w:noProof/>
                <w:webHidden/>
                <w:sz w:val="24"/>
                <w:szCs w:val="24"/>
              </w:rPr>
            </w:r>
            <w:r w:rsidRPr="00886FD2">
              <w:rPr>
                <w:noProof/>
                <w:webHidden/>
                <w:sz w:val="24"/>
                <w:szCs w:val="24"/>
              </w:rPr>
              <w:fldChar w:fldCharType="separate"/>
            </w:r>
            <w:r w:rsidRPr="00886FD2">
              <w:rPr>
                <w:noProof/>
                <w:webHidden/>
                <w:sz w:val="24"/>
                <w:szCs w:val="24"/>
              </w:rPr>
              <w:t>14</w:t>
            </w:r>
            <w:r w:rsidRPr="00886FD2">
              <w:rPr>
                <w:noProof/>
                <w:webHidden/>
                <w:sz w:val="24"/>
                <w:szCs w:val="24"/>
              </w:rPr>
              <w:fldChar w:fldCharType="end"/>
            </w:r>
          </w:hyperlink>
        </w:p>
        <w:p w14:paraId="7BE7025A" w14:textId="78EA027E" w:rsidR="00886FD2" w:rsidRPr="00886FD2" w:rsidRDefault="00886FD2" w:rsidP="00886FD2">
          <w:pPr>
            <w:pStyle w:val="TOC2"/>
            <w:tabs>
              <w:tab w:val="right" w:leader="dot" w:pos="9019"/>
            </w:tabs>
            <w:spacing w:line="240" w:lineRule="auto"/>
            <w:jc w:val="both"/>
            <w:rPr>
              <w:rFonts w:eastAsiaTheme="minorEastAsia"/>
              <w:noProof/>
              <w:sz w:val="24"/>
              <w:szCs w:val="24"/>
              <w:lang w:val="en-US"/>
            </w:rPr>
          </w:pPr>
          <w:hyperlink w:anchor="_Toc235207381" w:history="1">
            <w:r w:rsidRPr="00886FD2">
              <w:rPr>
                <w:rStyle w:val="Hyperlink"/>
                <w:noProof/>
                <w:sz w:val="24"/>
                <w:szCs w:val="24"/>
              </w:rPr>
              <w:t>5.1 Investment Appraisal Overview</w:t>
            </w:r>
            <w:r w:rsidRPr="00886FD2">
              <w:rPr>
                <w:noProof/>
                <w:webHidden/>
                <w:sz w:val="24"/>
                <w:szCs w:val="24"/>
              </w:rPr>
              <w:tab/>
            </w:r>
            <w:r w:rsidRPr="00886FD2">
              <w:rPr>
                <w:noProof/>
                <w:webHidden/>
                <w:sz w:val="24"/>
                <w:szCs w:val="24"/>
              </w:rPr>
              <w:fldChar w:fldCharType="begin"/>
            </w:r>
            <w:r w:rsidRPr="00886FD2">
              <w:rPr>
                <w:noProof/>
                <w:webHidden/>
                <w:sz w:val="24"/>
                <w:szCs w:val="24"/>
              </w:rPr>
              <w:instrText xml:space="preserve"> PAGEREF _Toc235207381 \h </w:instrText>
            </w:r>
            <w:r w:rsidRPr="00886FD2">
              <w:rPr>
                <w:noProof/>
                <w:webHidden/>
                <w:sz w:val="24"/>
                <w:szCs w:val="24"/>
              </w:rPr>
            </w:r>
            <w:r w:rsidRPr="00886FD2">
              <w:rPr>
                <w:noProof/>
                <w:webHidden/>
                <w:sz w:val="24"/>
                <w:szCs w:val="24"/>
              </w:rPr>
              <w:fldChar w:fldCharType="separate"/>
            </w:r>
            <w:r w:rsidRPr="00886FD2">
              <w:rPr>
                <w:noProof/>
                <w:webHidden/>
                <w:sz w:val="24"/>
                <w:szCs w:val="24"/>
              </w:rPr>
              <w:t>14</w:t>
            </w:r>
            <w:r w:rsidRPr="00886FD2">
              <w:rPr>
                <w:noProof/>
                <w:webHidden/>
                <w:sz w:val="24"/>
                <w:szCs w:val="24"/>
              </w:rPr>
              <w:fldChar w:fldCharType="end"/>
            </w:r>
          </w:hyperlink>
        </w:p>
        <w:p w14:paraId="685236BF" w14:textId="4DBD7834" w:rsidR="00886FD2" w:rsidRPr="00886FD2" w:rsidRDefault="00886FD2" w:rsidP="00886FD2">
          <w:pPr>
            <w:pStyle w:val="TOC2"/>
            <w:tabs>
              <w:tab w:val="right" w:leader="dot" w:pos="9019"/>
            </w:tabs>
            <w:spacing w:line="240" w:lineRule="auto"/>
            <w:jc w:val="both"/>
            <w:rPr>
              <w:rFonts w:eastAsiaTheme="minorEastAsia"/>
              <w:noProof/>
              <w:sz w:val="24"/>
              <w:szCs w:val="24"/>
              <w:lang w:val="en-US"/>
            </w:rPr>
          </w:pPr>
          <w:hyperlink w:anchor="_Toc235207382" w:history="1">
            <w:r w:rsidRPr="00886FD2">
              <w:rPr>
                <w:rStyle w:val="Hyperlink"/>
                <w:noProof/>
                <w:sz w:val="24"/>
                <w:szCs w:val="24"/>
              </w:rPr>
              <w:t>5.2 Investment Appraisal Calculations</w:t>
            </w:r>
            <w:r w:rsidRPr="00886FD2">
              <w:rPr>
                <w:noProof/>
                <w:webHidden/>
                <w:sz w:val="24"/>
                <w:szCs w:val="24"/>
              </w:rPr>
              <w:tab/>
            </w:r>
            <w:r w:rsidRPr="00886FD2">
              <w:rPr>
                <w:noProof/>
                <w:webHidden/>
                <w:sz w:val="24"/>
                <w:szCs w:val="24"/>
              </w:rPr>
              <w:fldChar w:fldCharType="begin"/>
            </w:r>
            <w:r w:rsidRPr="00886FD2">
              <w:rPr>
                <w:noProof/>
                <w:webHidden/>
                <w:sz w:val="24"/>
                <w:szCs w:val="24"/>
              </w:rPr>
              <w:instrText xml:space="preserve"> PAGEREF _Toc235207382 \h </w:instrText>
            </w:r>
            <w:r w:rsidRPr="00886FD2">
              <w:rPr>
                <w:noProof/>
                <w:webHidden/>
                <w:sz w:val="24"/>
                <w:szCs w:val="24"/>
              </w:rPr>
            </w:r>
            <w:r w:rsidRPr="00886FD2">
              <w:rPr>
                <w:noProof/>
                <w:webHidden/>
                <w:sz w:val="24"/>
                <w:szCs w:val="24"/>
              </w:rPr>
              <w:fldChar w:fldCharType="separate"/>
            </w:r>
            <w:r w:rsidRPr="00886FD2">
              <w:rPr>
                <w:noProof/>
                <w:webHidden/>
                <w:sz w:val="24"/>
                <w:szCs w:val="24"/>
              </w:rPr>
              <w:t>14</w:t>
            </w:r>
            <w:r w:rsidRPr="00886FD2">
              <w:rPr>
                <w:noProof/>
                <w:webHidden/>
                <w:sz w:val="24"/>
                <w:szCs w:val="24"/>
              </w:rPr>
              <w:fldChar w:fldCharType="end"/>
            </w:r>
          </w:hyperlink>
        </w:p>
        <w:p w14:paraId="350B2790" w14:textId="0F267AD4" w:rsidR="00886FD2" w:rsidRPr="00886FD2" w:rsidRDefault="00886FD2" w:rsidP="00886FD2">
          <w:pPr>
            <w:pStyle w:val="TOC2"/>
            <w:tabs>
              <w:tab w:val="right" w:leader="dot" w:pos="9019"/>
            </w:tabs>
            <w:spacing w:line="240" w:lineRule="auto"/>
            <w:jc w:val="both"/>
            <w:rPr>
              <w:rFonts w:eastAsiaTheme="minorEastAsia"/>
              <w:noProof/>
              <w:sz w:val="24"/>
              <w:szCs w:val="24"/>
              <w:lang w:val="en-US"/>
            </w:rPr>
          </w:pPr>
          <w:hyperlink w:anchor="_Toc235207383" w:history="1">
            <w:r w:rsidRPr="00886FD2">
              <w:rPr>
                <w:rStyle w:val="Hyperlink"/>
                <w:noProof/>
                <w:sz w:val="24"/>
                <w:szCs w:val="24"/>
              </w:rPr>
              <w:t>5.3 Comparative Evaluation of Investment Projects</w:t>
            </w:r>
            <w:r w:rsidRPr="00886FD2">
              <w:rPr>
                <w:noProof/>
                <w:webHidden/>
                <w:sz w:val="24"/>
                <w:szCs w:val="24"/>
              </w:rPr>
              <w:tab/>
            </w:r>
            <w:r w:rsidRPr="00886FD2">
              <w:rPr>
                <w:noProof/>
                <w:webHidden/>
                <w:sz w:val="24"/>
                <w:szCs w:val="24"/>
              </w:rPr>
              <w:fldChar w:fldCharType="begin"/>
            </w:r>
            <w:r w:rsidRPr="00886FD2">
              <w:rPr>
                <w:noProof/>
                <w:webHidden/>
                <w:sz w:val="24"/>
                <w:szCs w:val="24"/>
              </w:rPr>
              <w:instrText xml:space="preserve"> PAGEREF _Toc235207383 \h </w:instrText>
            </w:r>
            <w:r w:rsidRPr="00886FD2">
              <w:rPr>
                <w:noProof/>
                <w:webHidden/>
                <w:sz w:val="24"/>
                <w:szCs w:val="24"/>
              </w:rPr>
            </w:r>
            <w:r w:rsidRPr="00886FD2">
              <w:rPr>
                <w:noProof/>
                <w:webHidden/>
                <w:sz w:val="24"/>
                <w:szCs w:val="24"/>
              </w:rPr>
              <w:fldChar w:fldCharType="separate"/>
            </w:r>
            <w:r w:rsidRPr="00886FD2">
              <w:rPr>
                <w:noProof/>
                <w:webHidden/>
                <w:sz w:val="24"/>
                <w:szCs w:val="24"/>
              </w:rPr>
              <w:t>15</w:t>
            </w:r>
            <w:r w:rsidRPr="00886FD2">
              <w:rPr>
                <w:noProof/>
                <w:webHidden/>
                <w:sz w:val="24"/>
                <w:szCs w:val="24"/>
              </w:rPr>
              <w:fldChar w:fldCharType="end"/>
            </w:r>
          </w:hyperlink>
        </w:p>
        <w:p w14:paraId="07F9818E" w14:textId="0212B2CA" w:rsidR="00886FD2" w:rsidRPr="00886FD2" w:rsidRDefault="00886FD2" w:rsidP="00886FD2">
          <w:pPr>
            <w:pStyle w:val="TOC2"/>
            <w:tabs>
              <w:tab w:val="right" w:leader="dot" w:pos="9019"/>
            </w:tabs>
            <w:spacing w:line="240" w:lineRule="auto"/>
            <w:jc w:val="both"/>
            <w:rPr>
              <w:rFonts w:eastAsiaTheme="minorEastAsia"/>
              <w:noProof/>
              <w:sz w:val="24"/>
              <w:szCs w:val="24"/>
              <w:lang w:val="en-US"/>
            </w:rPr>
          </w:pPr>
          <w:hyperlink w:anchor="_Toc235207384" w:history="1">
            <w:r w:rsidRPr="00886FD2">
              <w:rPr>
                <w:rStyle w:val="Hyperlink"/>
                <w:noProof/>
                <w:sz w:val="24"/>
                <w:szCs w:val="24"/>
              </w:rPr>
              <w:t>5.4 Recommended Investment Project</w:t>
            </w:r>
            <w:r w:rsidRPr="00886FD2">
              <w:rPr>
                <w:noProof/>
                <w:webHidden/>
                <w:sz w:val="24"/>
                <w:szCs w:val="24"/>
              </w:rPr>
              <w:tab/>
            </w:r>
            <w:r w:rsidRPr="00886FD2">
              <w:rPr>
                <w:noProof/>
                <w:webHidden/>
                <w:sz w:val="24"/>
                <w:szCs w:val="24"/>
              </w:rPr>
              <w:fldChar w:fldCharType="begin"/>
            </w:r>
            <w:r w:rsidRPr="00886FD2">
              <w:rPr>
                <w:noProof/>
                <w:webHidden/>
                <w:sz w:val="24"/>
                <w:szCs w:val="24"/>
              </w:rPr>
              <w:instrText xml:space="preserve"> PAGEREF _Toc235207384 \h </w:instrText>
            </w:r>
            <w:r w:rsidRPr="00886FD2">
              <w:rPr>
                <w:noProof/>
                <w:webHidden/>
                <w:sz w:val="24"/>
                <w:szCs w:val="24"/>
              </w:rPr>
            </w:r>
            <w:r w:rsidRPr="00886FD2">
              <w:rPr>
                <w:noProof/>
                <w:webHidden/>
                <w:sz w:val="24"/>
                <w:szCs w:val="24"/>
              </w:rPr>
              <w:fldChar w:fldCharType="separate"/>
            </w:r>
            <w:r w:rsidRPr="00886FD2">
              <w:rPr>
                <w:noProof/>
                <w:webHidden/>
                <w:sz w:val="24"/>
                <w:szCs w:val="24"/>
              </w:rPr>
              <w:t>16</w:t>
            </w:r>
            <w:r w:rsidRPr="00886FD2">
              <w:rPr>
                <w:noProof/>
                <w:webHidden/>
                <w:sz w:val="24"/>
                <w:szCs w:val="24"/>
              </w:rPr>
              <w:fldChar w:fldCharType="end"/>
            </w:r>
          </w:hyperlink>
        </w:p>
        <w:p w14:paraId="09EBC795" w14:textId="78F98AEB" w:rsidR="00886FD2" w:rsidRPr="00886FD2" w:rsidRDefault="00886FD2" w:rsidP="00886FD2">
          <w:pPr>
            <w:pStyle w:val="TOC2"/>
            <w:tabs>
              <w:tab w:val="right" w:leader="dot" w:pos="9019"/>
            </w:tabs>
            <w:spacing w:line="240" w:lineRule="auto"/>
            <w:jc w:val="both"/>
            <w:rPr>
              <w:rFonts w:eastAsiaTheme="minorEastAsia"/>
              <w:noProof/>
              <w:sz w:val="24"/>
              <w:szCs w:val="24"/>
              <w:lang w:val="en-US"/>
            </w:rPr>
          </w:pPr>
          <w:hyperlink w:anchor="_Toc235207385" w:history="1">
            <w:r w:rsidRPr="00886FD2">
              <w:rPr>
                <w:rStyle w:val="Hyperlink"/>
                <w:noProof/>
                <w:sz w:val="24"/>
                <w:szCs w:val="24"/>
              </w:rPr>
              <w:t>5.5 Capital Rationing Decision</w:t>
            </w:r>
            <w:r w:rsidRPr="00886FD2">
              <w:rPr>
                <w:noProof/>
                <w:webHidden/>
                <w:sz w:val="24"/>
                <w:szCs w:val="24"/>
              </w:rPr>
              <w:tab/>
            </w:r>
            <w:r w:rsidRPr="00886FD2">
              <w:rPr>
                <w:noProof/>
                <w:webHidden/>
                <w:sz w:val="24"/>
                <w:szCs w:val="24"/>
              </w:rPr>
              <w:fldChar w:fldCharType="begin"/>
            </w:r>
            <w:r w:rsidRPr="00886FD2">
              <w:rPr>
                <w:noProof/>
                <w:webHidden/>
                <w:sz w:val="24"/>
                <w:szCs w:val="24"/>
              </w:rPr>
              <w:instrText xml:space="preserve"> PAGEREF _Toc235207385 \h </w:instrText>
            </w:r>
            <w:r w:rsidRPr="00886FD2">
              <w:rPr>
                <w:noProof/>
                <w:webHidden/>
                <w:sz w:val="24"/>
                <w:szCs w:val="24"/>
              </w:rPr>
            </w:r>
            <w:r w:rsidRPr="00886FD2">
              <w:rPr>
                <w:noProof/>
                <w:webHidden/>
                <w:sz w:val="24"/>
                <w:szCs w:val="24"/>
              </w:rPr>
              <w:fldChar w:fldCharType="separate"/>
            </w:r>
            <w:r w:rsidRPr="00886FD2">
              <w:rPr>
                <w:noProof/>
                <w:webHidden/>
                <w:sz w:val="24"/>
                <w:szCs w:val="24"/>
              </w:rPr>
              <w:t>16</w:t>
            </w:r>
            <w:r w:rsidRPr="00886FD2">
              <w:rPr>
                <w:noProof/>
                <w:webHidden/>
                <w:sz w:val="24"/>
                <w:szCs w:val="24"/>
              </w:rPr>
              <w:fldChar w:fldCharType="end"/>
            </w:r>
          </w:hyperlink>
        </w:p>
        <w:p w14:paraId="35544BF0" w14:textId="41B2108C" w:rsidR="00886FD2" w:rsidRPr="00886FD2" w:rsidRDefault="00886FD2" w:rsidP="00886FD2">
          <w:pPr>
            <w:pStyle w:val="TOC1"/>
            <w:tabs>
              <w:tab w:val="right" w:leader="dot" w:pos="9019"/>
            </w:tabs>
            <w:spacing w:line="240" w:lineRule="auto"/>
            <w:jc w:val="both"/>
            <w:rPr>
              <w:rFonts w:eastAsiaTheme="minorEastAsia"/>
              <w:noProof/>
              <w:sz w:val="24"/>
              <w:szCs w:val="24"/>
              <w:lang w:val="en-US"/>
            </w:rPr>
          </w:pPr>
          <w:hyperlink w:anchor="_Toc235207386" w:history="1">
            <w:r w:rsidRPr="00886FD2">
              <w:rPr>
                <w:rStyle w:val="Hyperlink"/>
                <w:noProof/>
                <w:sz w:val="24"/>
                <w:szCs w:val="24"/>
              </w:rPr>
              <w:t>6. Critical Reflection on AI Usage</w:t>
            </w:r>
            <w:r w:rsidRPr="00886FD2">
              <w:rPr>
                <w:noProof/>
                <w:webHidden/>
                <w:sz w:val="24"/>
                <w:szCs w:val="24"/>
              </w:rPr>
              <w:tab/>
            </w:r>
            <w:r w:rsidRPr="00886FD2">
              <w:rPr>
                <w:noProof/>
                <w:webHidden/>
                <w:sz w:val="24"/>
                <w:szCs w:val="24"/>
              </w:rPr>
              <w:fldChar w:fldCharType="begin"/>
            </w:r>
            <w:r w:rsidRPr="00886FD2">
              <w:rPr>
                <w:noProof/>
                <w:webHidden/>
                <w:sz w:val="24"/>
                <w:szCs w:val="24"/>
              </w:rPr>
              <w:instrText xml:space="preserve"> PAGEREF _Toc235207386 \h </w:instrText>
            </w:r>
            <w:r w:rsidRPr="00886FD2">
              <w:rPr>
                <w:noProof/>
                <w:webHidden/>
                <w:sz w:val="24"/>
                <w:szCs w:val="24"/>
              </w:rPr>
            </w:r>
            <w:r w:rsidRPr="00886FD2">
              <w:rPr>
                <w:noProof/>
                <w:webHidden/>
                <w:sz w:val="24"/>
                <w:szCs w:val="24"/>
              </w:rPr>
              <w:fldChar w:fldCharType="separate"/>
            </w:r>
            <w:r w:rsidRPr="00886FD2">
              <w:rPr>
                <w:noProof/>
                <w:webHidden/>
                <w:sz w:val="24"/>
                <w:szCs w:val="24"/>
              </w:rPr>
              <w:t>17</w:t>
            </w:r>
            <w:r w:rsidRPr="00886FD2">
              <w:rPr>
                <w:noProof/>
                <w:webHidden/>
                <w:sz w:val="24"/>
                <w:szCs w:val="24"/>
              </w:rPr>
              <w:fldChar w:fldCharType="end"/>
            </w:r>
          </w:hyperlink>
        </w:p>
        <w:p w14:paraId="7DF2017D" w14:textId="087F290E" w:rsidR="00886FD2" w:rsidRPr="00886FD2" w:rsidRDefault="00886FD2" w:rsidP="00886FD2">
          <w:pPr>
            <w:pStyle w:val="TOC2"/>
            <w:tabs>
              <w:tab w:val="right" w:leader="dot" w:pos="9019"/>
            </w:tabs>
            <w:spacing w:line="240" w:lineRule="auto"/>
            <w:jc w:val="both"/>
            <w:rPr>
              <w:rFonts w:eastAsiaTheme="minorEastAsia"/>
              <w:noProof/>
              <w:sz w:val="24"/>
              <w:szCs w:val="24"/>
              <w:lang w:val="en-US"/>
            </w:rPr>
          </w:pPr>
          <w:hyperlink w:anchor="_Toc235207387" w:history="1">
            <w:r w:rsidRPr="00886FD2">
              <w:rPr>
                <w:rStyle w:val="Hyperlink"/>
                <w:noProof/>
                <w:sz w:val="24"/>
                <w:szCs w:val="24"/>
              </w:rPr>
              <w:t>6.1 Tool Disclosure</w:t>
            </w:r>
            <w:r w:rsidRPr="00886FD2">
              <w:rPr>
                <w:noProof/>
                <w:webHidden/>
                <w:sz w:val="24"/>
                <w:szCs w:val="24"/>
              </w:rPr>
              <w:tab/>
            </w:r>
            <w:r w:rsidRPr="00886FD2">
              <w:rPr>
                <w:noProof/>
                <w:webHidden/>
                <w:sz w:val="24"/>
                <w:szCs w:val="24"/>
              </w:rPr>
              <w:fldChar w:fldCharType="begin"/>
            </w:r>
            <w:r w:rsidRPr="00886FD2">
              <w:rPr>
                <w:noProof/>
                <w:webHidden/>
                <w:sz w:val="24"/>
                <w:szCs w:val="24"/>
              </w:rPr>
              <w:instrText xml:space="preserve"> PAGEREF _Toc235207387 \h </w:instrText>
            </w:r>
            <w:r w:rsidRPr="00886FD2">
              <w:rPr>
                <w:noProof/>
                <w:webHidden/>
                <w:sz w:val="24"/>
                <w:szCs w:val="24"/>
              </w:rPr>
            </w:r>
            <w:r w:rsidRPr="00886FD2">
              <w:rPr>
                <w:noProof/>
                <w:webHidden/>
                <w:sz w:val="24"/>
                <w:szCs w:val="24"/>
              </w:rPr>
              <w:fldChar w:fldCharType="separate"/>
            </w:r>
            <w:r w:rsidRPr="00886FD2">
              <w:rPr>
                <w:noProof/>
                <w:webHidden/>
                <w:sz w:val="24"/>
                <w:szCs w:val="24"/>
              </w:rPr>
              <w:t>17</w:t>
            </w:r>
            <w:r w:rsidRPr="00886FD2">
              <w:rPr>
                <w:noProof/>
                <w:webHidden/>
                <w:sz w:val="24"/>
                <w:szCs w:val="24"/>
              </w:rPr>
              <w:fldChar w:fldCharType="end"/>
            </w:r>
          </w:hyperlink>
        </w:p>
        <w:p w14:paraId="4830074E" w14:textId="01AA5EA3" w:rsidR="00886FD2" w:rsidRPr="00886FD2" w:rsidRDefault="00886FD2" w:rsidP="00886FD2">
          <w:pPr>
            <w:pStyle w:val="TOC2"/>
            <w:tabs>
              <w:tab w:val="right" w:leader="dot" w:pos="9019"/>
            </w:tabs>
            <w:spacing w:line="240" w:lineRule="auto"/>
            <w:jc w:val="both"/>
            <w:rPr>
              <w:rFonts w:eastAsiaTheme="minorEastAsia"/>
              <w:noProof/>
              <w:sz w:val="24"/>
              <w:szCs w:val="24"/>
              <w:lang w:val="en-US"/>
            </w:rPr>
          </w:pPr>
          <w:hyperlink w:anchor="_Toc235207388" w:history="1">
            <w:r w:rsidRPr="00886FD2">
              <w:rPr>
                <w:rStyle w:val="Hyperlink"/>
                <w:noProof/>
                <w:sz w:val="24"/>
                <w:szCs w:val="24"/>
              </w:rPr>
              <w:t>6.2 Critical Evaluation of AI Output</w:t>
            </w:r>
            <w:r w:rsidRPr="00886FD2">
              <w:rPr>
                <w:noProof/>
                <w:webHidden/>
                <w:sz w:val="24"/>
                <w:szCs w:val="24"/>
              </w:rPr>
              <w:tab/>
            </w:r>
            <w:r w:rsidRPr="00886FD2">
              <w:rPr>
                <w:noProof/>
                <w:webHidden/>
                <w:sz w:val="24"/>
                <w:szCs w:val="24"/>
              </w:rPr>
              <w:fldChar w:fldCharType="begin"/>
            </w:r>
            <w:r w:rsidRPr="00886FD2">
              <w:rPr>
                <w:noProof/>
                <w:webHidden/>
                <w:sz w:val="24"/>
                <w:szCs w:val="24"/>
              </w:rPr>
              <w:instrText xml:space="preserve"> PAGEREF _Toc235207388 \h </w:instrText>
            </w:r>
            <w:r w:rsidRPr="00886FD2">
              <w:rPr>
                <w:noProof/>
                <w:webHidden/>
                <w:sz w:val="24"/>
                <w:szCs w:val="24"/>
              </w:rPr>
            </w:r>
            <w:r w:rsidRPr="00886FD2">
              <w:rPr>
                <w:noProof/>
                <w:webHidden/>
                <w:sz w:val="24"/>
                <w:szCs w:val="24"/>
              </w:rPr>
              <w:fldChar w:fldCharType="separate"/>
            </w:r>
            <w:r w:rsidRPr="00886FD2">
              <w:rPr>
                <w:noProof/>
                <w:webHidden/>
                <w:sz w:val="24"/>
                <w:szCs w:val="24"/>
              </w:rPr>
              <w:t>17</w:t>
            </w:r>
            <w:r w:rsidRPr="00886FD2">
              <w:rPr>
                <w:noProof/>
                <w:webHidden/>
                <w:sz w:val="24"/>
                <w:szCs w:val="24"/>
              </w:rPr>
              <w:fldChar w:fldCharType="end"/>
            </w:r>
          </w:hyperlink>
        </w:p>
        <w:p w14:paraId="75950E94" w14:textId="2E773C0C" w:rsidR="00886FD2" w:rsidRPr="00886FD2" w:rsidRDefault="00886FD2" w:rsidP="00886FD2">
          <w:pPr>
            <w:pStyle w:val="TOC2"/>
            <w:tabs>
              <w:tab w:val="right" w:leader="dot" w:pos="9019"/>
            </w:tabs>
            <w:spacing w:line="240" w:lineRule="auto"/>
            <w:jc w:val="both"/>
            <w:rPr>
              <w:rFonts w:eastAsiaTheme="minorEastAsia"/>
              <w:noProof/>
              <w:sz w:val="24"/>
              <w:szCs w:val="24"/>
              <w:lang w:val="en-US"/>
            </w:rPr>
          </w:pPr>
          <w:hyperlink w:anchor="_Toc235207389" w:history="1">
            <w:r w:rsidRPr="00886FD2">
              <w:rPr>
                <w:rStyle w:val="Hyperlink"/>
                <w:noProof/>
                <w:sz w:val="24"/>
                <w:szCs w:val="24"/>
              </w:rPr>
              <w:t>6.3 Contribution Analysis</w:t>
            </w:r>
            <w:r w:rsidRPr="00886FD2">
              <w:rPr>
                <w:noProof/>
                <w:webHidden/>
                <w:sz w:val="24"/>
                <w:szCs w:val="24"/>
              </w:rPr>
              <w:tab/>
            </w:r>
            <w:r w:rsidRPr="00886FD2">
              <w:rPr>
                <w:noProof/>
                <w:webHidden/>
                <w:sz w:val="24"/>
                <w:szCs w:val="24"/>
              </w:rPr>
              <w:fldChar w:fldCharType="begin"/>
            </w:r>
            <w:r w:rsidRPr="00886FD2">
              <w:rPr>
                <w:noProof/>
                <w:webHidden/>
                <w:sz w:val="24"/>
                <w:szCs w:val="24"/>
              </w:rPr>
              <w:instrText xml:space="preserve"> PAGEREF _Toc235207389 \h </w:instrText>
            </w:r>
            <w:r w:rsidRPr="00886FD2">
              <w:rPr>
                <w:noProof/>
                <w:webHidden/>
                <w:sz w:val="24"/>
                <w:szCs w:val="24"/>
              </w:rPr>
            </w:r>
            <w:r w:rsidRPr="00886FD2">
              <w:rPr>
                <w:noProof/>
                <w:webHidden/>
                <w:sz w:val="24"/>
                <w:szCs w:val="24"/>
              </w:rPr>
              <w:fldChar w:fldCharType="separate"/>
            </w:r>
            <w:r w:rsidRPr="00886FD2">
              <w:rPr>
                <w:noProof/>
                <w:webHidden/>
                <w:sz w:val="24"/>
                <w:szCs w:val="24"/>
              </w:rPr>
              <w:t>18</w:t>
            </w:r>
            <w:r w:rsidRPr="00886FD2">
              <w:rPr>
                <w:noProof/>
                <w:webHidden/>
                <w:sz w:val="24"/>
                <w:szCs w:val="24"/>
              </w:rPr>
              <w:fldChar w:fldCharType="end"/>
            </w:r>
          </w:hyperlink>
        </w:p>
        <w:p w14:paraId="725D3C66" w14:textId="26AB1B4E" w:rsidR="00886FD2" w:rsidRPr="00886FD2" w:rsidRDefault="00886FD2" w:rsidP="00886FD2">
          <w:pPr>
            <w:pStyle w:val="TOC2"/>
            <w:tabs>
              <w:tab w:val="right" w:leader="dot" w:pos="9019"/>
            </w:tabs>
            <w:spacing w:line="240" w:lineRule="auto"/>
            <w:jc w:val="both"/>
            <w:rPr>
              <w:rFonts w:eastAsiaTheme="minorEastAsia"/>
              <w:noProof/>
              <w:sz w:val="24"/>
              <w:szCs w:val="24"/>
              <w:lang w:val="en-US"/>
            </w:rPr>
          </w:pPr>
          <w:hyperlink w:anchor="_Toc235207390" w:history="1">
            <w:r w:rsidRPr="00886FD2">
              <w:rPr>
                <w:rStyle w:val="Hyperlink"/>
                <w:noProof/>
                <w:sz w:val="24"/>
                <w:szCs w:val="24"/>
              </w:rPr>
              <w:t>6.4 Ethical and Professional Reflection</w:t>
            </w:r>
            <w:r w:rsidRPr="00886FD2">
              <w:rPr>
                <w:noProof/>
                <w:webHidden/>
                <w:sz w:val="24"/>
                <w:szCs w:val="24"/>
              </w:rPr>
              <w:tab/>
            </w:r>
            <w:r w:rsidRPr="00886FD2">
              <w:rPr>
                <w:noProof/>
                <w:webHidden/>
                <w:sz w:val="24"/>
                <w:szCs w:val="24"/>
              </w:rPr>
              <w:fldChar w:fldCharType="begin"/>
            </w:r>
            <w:r w:rsidRPr="00886FD2">
              <w:rPr>
                <w:noProof/>
                <w:webHidden/>
                <w:sz w:val="24"/>
                <w:szCs w:val="24"/>
              </w:rPr>
              <w:instrText xml:space="preserve"> PAGEREF _Toc235207390 \h </w:instrText>
            </w:r>
            <w:r w:rsidRPr="00886FD2">
              <w:rPr>
                <w:noProof/>
                <w:webHidden/>
                <w:sz w:val="24"/>
                <w:szCs w:val="24"/>
              </w:rPr>
            </w:r>
            <w:r w:rsidRPr="00886FD2">
              <w:rPr>
                <w:noProof/>
                <w:webHidden/>
                <w:sz w:val="24"/>
                <w:szCs w:val="24"/>
              </w:rPr>
              <w:fldChar w:fldCharType="separate"/>
            </w:r>
            <w:r w:rsidRPr="00886FD2">
              <w:rPr>
                <w:noProof/>
                <w:webHidden/>
                <w:sz w:val="24"/>
                <w:szCs w:val="24"/>
              </w:rPr>
              <w:t>18</w:t>
            </w:r>
            <w:r w:rsidRPr="00886FD2">
              <w:rPr>
                <w:noProof/>
                <w:webHidden/>
                <w:sz w:val="24"/>
                <w:szCs w:val="24"/>
              </w:rPr>
              <w:fldChar w:fldCharType="end"/>
            </w:r>
          </w:hyperlink>
        </w:p>
        <w:p w14:paraId="7DE2FFF9" w14:textId="1D4FD87B" w:rsidR="00886FD2" w:rsidRPr="00886FD2" w:rsidRDefault="00886FD2" w:rsidP="00886FD2">
          <w:pPr>
            <w:pStyle w:val="TOC1"/>
            <w:tabs>
              <w:tab w:val="right" w:leader="dot" w:pos="9019"/>
            </w:tabs>
            <w:spacing w:line="240" w:lineRule="auto"/>
            <w:jc w:val="both"/>
            <w:rPr>
              <w:rFonts w:eastAsiaTheme="minorEastAsia"/>
              <w:noProof/>
              <w:sz w:val="24"/>
              <w:szCs w:val="24"/>
              <w:lang w:val="en-US"/>
            </w:rPr>
          </w:pPr>
          <w:hyperlink w:anchor="_Toc235207391" w:history="1">
            <w:r w:rsidRPr="00886FD2">
              <w:rPr>
                <w:rStyle w:val="Hyperlink"/>
                <w:noProof/>
                <w:sz w:val="24"/>
                <w:szCs w:val="24"/>
              </w:rPr>
              <w:t>7. Conclusion</w:t>
            </w:r>
            <w:r w:rsidRPr="00886FD2">
              <w:rPr>
                <w:noProof/>
                <w:webHidden/>
                <w:sz w:val="24"/>
                <w:szCs w:val="24"/>
              </w:rPr>
              <w:tab/>
            </w:r>
            <w:r w:rsidRPr="00886FD2">
              <w:rPr>
                <w:noProof/>
                <w:webHidden/>
                <w:sz w:val="24"/>
                <w:szCs w:val="24"/>
              </w:rPr>
              <w:fldChar w:fldCharType="begin"/>
            </w:r>
            <w:r w:rsidRPr="00886FD2">
              <w:rPr>
                <w:noProof/>
                <w:webHidden/>
                <w:sz w:val="24"/>
                <w:szCs w:val="24"/>
              </w:rPr>
              <w:instrText xml:space="preserve"> PAGEREF _Toc235207391 \h </w:instrText>
            </w:r>
            <w:r w:rsidRPr="00886FD2">
              <w:rPr>
                <w:noProof/>
                <w:webHidden/>
                <w:sz w:val="24"/>
                <w:szCs w:val="24"/>
              </w:rPr>
            </w:r>
            <w:r w:rsidRPr="00886FD2">
              <w:rPr>
                <w:noProof/>
                <w:webHidden/>
                <w:sz w:val="24"/>
                <w:szCs w:val="24"/>
              </w:rPr>
              <w:fldChar w:fldCharType="separate"/>
            </w:r>
            <w:r w:rsidRPr="00886FD2">
              <w:rPr>
                <w:noProof/>
                <w:webHidden/>
                <w:sz w:val="24"/>
                <w:szCs w:val="24"/>
              </w:rPr>
              <w:t>19</w:t>
            </w:r>
            <w:r w:rsidRPr="00886FD2">
              <w:rPr>
                <w:noProof/>
                <w:webHidden/>
                <w:sz w:val="24"/>
                <w:szCs w:val="24"/>
              </w:rPr>
              <w:fldChar w:fldCharType="end"/>
            </w:r>
          </w:hyperlink>
        </w:p>
        <w:p w14:paraId="0882FB75" w14:textId="5EA77A0B" w:rsidR="00886FD2" w:rsidRPr="00886FD2" w:rsidRDefault="00886FD2" w:rsidP="00886FD2">
          <w:pPr>
            <w:pStyle w:val="TOC1"/>
            <w:tabs>
              <w:tab w:val="right" w:leader="dot" w:pos="9019"/>
            </w:tabs>
            <w:spacing w:line="240" w:lineRule="auto"/>
            <w:jc w:val="both"/>
            <w:rPr>
              <w:rFonts w:eastAsiaTheme="minorEastAsia"/>
              <w:noProof/>
              <w:sz w:val="24"/>
              <w:szCs w:val="24"/>
              <w:lang w:val="en-US"/>
            </w:rPr>
          </w:pPr>
          <w:hyperlink w:anchor="_Toc235207392" w:history="1">
            <w:r w:rsidRPr="00886FD2">
              <w:rPr>
                <w:rStyle w:val="Hyperlink"/>
                <w:noProof/>
                <w:sz w:val="24"/>
                <w:szCs w:val="24"/>
              </w:rPr>
              <w:t>References</w:t>
            </w:r>
            <w:r w:rsidRPr="00886FD2">
              <w:rPr>
                <w:noProof/>
                <w:webHidden/>
                <w:sz w:val="24"/>
                <w:szCs w:val="24"/>
              </w:rPr>
              <w:tab/>
            </w:r>
            <w:r w:rsidRPr="00886FD2">
              <w:rPr>
                <w:noProof/>
                <w:webHidden/>
                <w:sz w:val="24"/>
                <w:szCs w:val="24"/>
              </w:rPr>
              <w:fldChar w:fldCharType="begin"/>
            </w:r>
            <w:r w:rsidRPr="00886FD2">
              <w:rPr>
                <w:noProof/>
                <w:webHidden/>
                <w:sz w:val="24"/>
                <w:szCs w:val="24"/>
              </w:rPr>
              <w:instrText xml:space="preserve"> PAGEREF _Toc235207392 \h </w:instrText>
            </w:r>
            <w:r w:rsidRPr="00886FD2">
              <w:rPr>
                <w:noProof/>
                <w:webHidden/>
                <w:sz w:val="24"/>
                <w:szCs w:val="24"/>
              </w:rPr>
            </w:r>
            <w:r w:rsidRPr="00886FD2">
              <w:rPr>
                <w:noProof/>
                <w:webHidden/>
                <w:sz w:val="24"/>
                <w:szCs w:val="24"/>
              </w:rPr>
              <w:fldChar w:fldCharType="separate"/>
            </w:r>
            <w:r w:rsidRPr="00886FD2">
              <w:rPr>
                <w:noProof/>
                <w:webHidden/>
                <w:sz w:val="24"/>
                <w:szCs w:val="24"/>
              </w:rPr>
              <w:t>20</w:t>
            </w:r>
            <w:r w:rsidRPr="00886FD2">
              <w:rPr>
                <w:noProof/>
                <w:webHidden/>
                <w:sz w:val="24"/>
                <w:szCs w:val="24"/>
              </w:rPr>
              <w:fldChar w:fldCharType="end"/>
            </w:r>
          </w:hyperlink>
        </w:p>
        <w:p w14:paraId="23F55EB2" w14:textId="0BCF4B3A" w:rsidR="00886FD2" w:rsidRPr="00886FD2" w:rsidRDefault="00886FD2" w:rsidP="00886FD2">
          <w:pPr>
            <w:pStyle w:val="TOC1"/>
            <w:tabs>
              <w:tab w:val="right" w:leader="dot" w:pos="9019"/>
            </w:tabs>
            <w:spacing w:line="240" w:lineRule="auto"/>
            <w:jc w:val="both"/>
            <w:rPr>
              <w:rFonts w:eastAsiaTheme="minorEastAsia"/>
              <w:noProof/>
              <w:sz w:val="24"/>
              <w:szCs w:val="24"/>
              <w:lang w:val="en-US"/>
            </w:rPr>
          </w:pPr>
          <w:hyperlink w:anchor="_Toc235207393" w:history="1">
            <w:r w:rsidRPr="00886FD2">
              <w:rPr>
                <w:rStyle w:val="Hyperlink"/>
                <w:noProof/>
                <w:sz w:val="24"/>
                <w:szCs w:val="24"/>
              </w:rPr>
              <w:t>Appendices</w:t>
            </w:r>
            <w:r w:rsidRPr="00886FD2">
              <w:rPr>
                <w:noProof/>
                <w:webHidden/>
                <w:sz w:val="24"/>
                <w:szCs w:val="24"/>
              </w:rPr>
              <w:tab/>
            </w:r>
            <w:r w:rsidRPr="00886FD2">
              <w:rPr>
                <w:noProof/>
                <w:webHidden/>
                <w:sz w:val="24"/>
                <w:szCs w:val="24"/>
              </w:rPr>
              <w:fldChar w:fldCharType="begin"/>
            </w:r>
            <w:r w:rsidRPr="00886FD2">
              <w:rPr>
                <w:noProof/>
                <w:webHidden/>
                <w:sz w:val="24"/>
                <w:szCs w:val="24"/>
              </w:rPr>
              <w:instrText xml:space="preserve"> PAGEREF _Toc235207393 \h </w:instrText>
            </w:r>
            <w:r w:rsidRPr="00886FD2">
              <w:rPr>
                <w:noProof/>
                <w:webHidden/>
                <w:sz w:val="24"/>
                <w:szCs w:val="24"/>
              </w:rPr>
            </w:r>
            <w:r w:rsidRPr="00886FD2">
              <w:rPr>
                <w:noProof/>
                <w:webHidden/>
                <w:sz w:val="24"/>
                <w:szCs w:val="24"/>
              </w:rPr>
              <w:fldChar w:fldCharType="separate"/>
            </w:r>
            <w:r w:rsidRPr="00886FD2">
              <w:rPr>
                <w:noProof/>
                <w:webHidden/>
                <w:sz w:val="24"/>
                <w:szCs w:val="24"/>
              </w:rPr>
              <w:t>26</w:t>
            </w:r>
            <w:r w:rsidRPr="00886FD2">
              <w:rPr>
                <w:noProof/>
                <w:webHidden/>
                <w:sz w:val="24"/>
                <w:szCs w:val="24"/>
              </w:rPr>
              <w:fldChar w:fldCharType="end"/>
            </w:r>
          </w:hyperlink>
        </w:p>
        <w:p w14:paraId="173E8611" w14:textId="2933AE5A" w:rsidR="00886FD2" w:rsidRPr="00886FD2" w:rsidRDefault="00886FD2" w:rsidP="00886FD2">
          <w:pPr>
            <w:pStyle w:val="TOC2"/>
            <w:tabs>
              <w:tab w:val="right" w:leader="dot" w:pos="9019"/>
            </w:tabs>
            <w:spacing w:line="240" w:lineRule="auto"/>
            <w:jc w:val="both"/>
            <w:rPr>
              <w:rFonts w:eastAsiaTheme="minorEastAsia"/>
              <w:noProof/>
              <w:sz w:val="24"/>
              <w:szCs w:val="24"/>
              <w:lang w:val="en-US"/>
            </w:rPr>
          </w:pPr>
          <w:hyperlink w:anchor="_Toc235207394" w:history="1">
            <w:r w:rsidRPr="00886FD2">
              <w:rPr>
                <w:rStyle w:val="Hyperlink"/>
                <w:noProof/>
                <w:sz w:val="24"/>
                <w:szCs w:val="24"/>
              </w:rPr>
              <w:t>Appendix A: Ratio tables and graphs.</w:t>
            </w:r>
            <w:r w:rsidRPr="00886FD2">
              <w:rPr>
                <w:noProof/>
                <w:webHidden/>
                <w:sz w:val="24"/>
                <w:szCs w:val="24"/>
              </w:rPr>
              <w:tab/>
            </w:r>
            <w:r w:rsidRPr="00886FD2">
              <w:rPr>
                <w:noProof/>
                <w:webHidden/>
                <w:sz w:val="24"/>
                <w:szCs w:val="24"/>
              </w:rPr>
              <w:fldChar w:fldCharType="begin"/>
            </w:r>
            <w:r w:rsidRPr="00886FD2">
              <w:rPr>
                <w:noProof/>
                <w:webHidden/>
                <w:sz w:val="24"/>
                <w:szCs w:val="24"/>
              </w:rPr>
              <w:instrText xml:space="preserve"> PAGEREF _Toc235207394 \h </w:instrText>
            </w:r>
            <w:r w:rsidRPr="00886FD2">
              <w:rPr>
                <w:noProof/>
                <w:webHidden/>
                <w:sz w:val="24"/>
                <w:szCs w:val="24"/>
              </w:rPr>
            </w:r>
            <w:r w:rsidRPr="00886FD2">
              <w:rPr>
                <w:noProof/>
                <w:webHidden/>
                <w:sz w:val="24"/>
                <w:szCs w:val="24"/>
              </w:rPr>
              <w:fldChar w:fldCharType="separate"/>
            </w:r>
            <w:r w:rsidRPr="00886FD2">
              <w:rPr>
                <w:noProof/>
                <w:webHidden/>
                <w:sz w:val="24"/>
                <w:szCs w:val="24"/>
              </w:rPr>
              <w:t>26</w:t>
            </w:r>
            <w:r w:rsidRPr="00886FD2">
              <w:rPr>
                <w:noProof/>
                <w:webHidden/>
                <w:sz w:val="24"/>
                <w:szCs w:val="24"/>
              </w:rPr>
              <w:fldChar w:fldCharType="end"/>
            </w:r>
          </w:hyperlink>
        </w:p>
        <w:p w14:paraId="54AA04E1" w14:textId="65290769" w:rsidR="00886FD2" w:rsidRPr="00886FD2" w:rsidRDefault="00886FD2" w:rsidP="00886FD2">
          <w:pPr>
            <w:pStyle w:val="TOC2"/>
            <w:tabs>
              <w:tab w:val="right" w:leader="dot" w:pos="9019"/>
            </w:tabs>
            <w:spacing w:line="240" w:lineRule="auto"/>
            <w:jc w:val="both"/>
            <w:rPr>
              <w:rFonts w:eastAsiaTheme="minorEastAsia"/>
              <w:noProof/>
              <w:sz w:val="24"/>
              <w:szCs w:val="24"/>
              <w:lang w:val="en-US"/>
            </w:rPr>
          </w:pPr>
          <w:hyperlink w:anchor="_Toc235207395" w:history="1">
            <w:r w:rsidRPr="00886FD2">
              <w:rPr>
                <w:rStyle w:val="Hyperlink"/>
                <w:noProof/>
                <w:sz w:val="24"/>
                <w:szCs w:val="24"/>
              </w:rPr>
              <w:t>Appendix B: Investment appraisal calculations</w:t>
            </w:r>
            <w:r w:rsidRPr="00886FD2">
              <w:rPr>
                <w:noProof/>
                <w:webHidden/>
                <w:sz w:val="24"/>
                <w:szCs w:val="24"/>
              </w:rPr>
              <w:tab/>
            </w:r>
            <w:r w:rsidRPr="00886FD2">
              <w:rPr>
                <w:noProof/>
                <w:webHidden/>
                <w:sz w:val="24"/>
                <w:szCs w:val="24"/>
              </w:rPr>
              <w:fldChar w:fldCharType="begin"/>
            </w:r>
            <w:r w:rsidRPr="00886FD2">
              <w:rPr>
                <w:noProof/>
                <w:webHidden/>
                <w:sz w:val="24"/>
                <w:szCs w:val="24"/>
              </w:rPr>
              <w:instrText xml:space="preserve"> PAGEREF _Toc235207395 \h </w:instrText>
            </w:r>
            <w:r w:rsidRPr="00886FD2">
              <w:rPr>
                <w:noProof/>
                <w:webHidden/>
                <w:sz w:val="24"/>
                <w:szCs w:val="24"/>
              </w:rPr>
            </w:r>
            <w:r w:rsidRPr="00886FD2">
              <w:rPr>
                <w:noProof/>
                <w:webHidden/>
                <w:sz w:val="24"/>
                <w:szCs w:val="24"/>
              </w:rPr>
              <w:fldChar w:fldCharType="separate"/>
            </w:r>
            <w:r w:rsidRPr="00886FD2">
              <w:rPr>
                <w:noProof/>
                <w:webHidden/>
                <w:sz w:val="24"/>
                <w:szCs w:val="24"/>
              </w:rPr>
              <w:t>30</w:t>
            </w:r>
            <w:r w:rsidRPr="00886FD2">
              <w:rPr>
                <w:noProof/>
                <w:webHidden/>
                <w:sz w:val="24"/>
                <w:szCs w:val="24"/>
              </w:rPr>
              <w:fldChar w:fldCharType="end"/>
            </w:r>
          </w:hyperlink>
        </w:p>
        <w:p w14:paraId="4D5DB888" w14:textId="720E35A9" w:rsidR="00886FD2" w:rsidRDefault="00886FD2" w:rsidP="00886FD2">
          <w:pPr>
            <w:spacing w:line="240" w:lineRule="auto"/>
            <w:jc w:val="both"/>
          </w:pPr>
          <w:r w:rsidRPr="00886FD2">
            <w:rPr>
              <w:b/>
              <w:bCs/>
              <w:noProof/>
              <w:sz w:val="24"/>
              <w:szCs w:val="24"/>
            </w:rPr>
            <w:fldChar w:fldCharType="end"/>
          </w:r>
        </w:p>
      </w:sdtContent>
    </w:sdt>
    <w:p w14:paraId="76E1C331" w14:textId="77777777" w:rsidR="00886FD2" w:rsidRPr="00886FD2" w:rsidRDefault="00886FD2">
      <w:pPr>
        <w:rPr>
          <w:b/>
          <w:sz w:val="28"/>
          <w:szCs w:val="40"/>
        </w:rPr>
      </w:pPr>
      <w:r w:rsidRPr="00886FD2">
        <w:br w:type="page"/>
      </w:r>
    </w:p>
    <w:p w14:paraId="00000001" w14:textId="3DB8D575" w:rsidR="00E36F9D" w:rsidRPr="00886FD2" w:rsidRDefault="00B94DE4" w:rsidP="00EA21F4">
      <w:pPr>
        <w:pStyle w:val="Heading1"/>
      </w:pPr>
      <w:bookmarkStart w:id="1" w:name="_Toc235207366"/>
      <w:r w:rsidRPr="00886FD2">
        <w:lastRenderedPageBreak/>
        <w:t>1. Introduction</w:t>
      </w:r>
      <w:bookmarkEnd w:id="0"/>
      <w:bookmarkEnd w:id="1"/>
      <w:r w:rsidRPr="00886FD2">
        <w:t xml:space="preserve"> </w:t>
      </w:r>
    </w:p>
    <w:p w14:paraId="00000002" w14:textId="77777777" w:rsidR="00E36F9D" w:rsidRPr="00886FD2" w:rsidRDefault="00B94DE4">
      <w:pPr>
        <w:spacing w:after="200" w:line="360" w:lineRule="auto"/>
        <w:jc w:val="both"/>
        <w:rPr>
          <w:rFonts w:eastAsia="Times New Roman"/>
          <w:sz w:val="24"/>
          <w:szCs w:val="24"/>
        </w:rPr>
      </w:pPr>
      <w:r w:rsidRPr="00886FD2">
        <w:rPr>
          <w:rFonts w:eastAsia="Times New Roman"/>
          <w:sz w:val="24"/>
          <w:szCs w:val="24"/>
        </w:rPr>
        <w:t>The objective of this report is to evaluate the financial performance and strategic financial position of Hilton Worldwide Holdings Inc. five years for executive decision-making. The objective is to determine the overall financial health of the company by using financial statement analysis, ratio analysis, benchmarking on industry standards to discover strengths, weaknesses, opportunities and financial risks. Also, the report investigates Hilton’s working capital management, recommends financially viable restructuring strategies, and assesses alternative investment projects using capital budgeting techniques like PBP, ARR, NPV, PI and IRR.</w:t>
      </w:r>
    </w:p>
    <w:p w14:paraId="00000003" w14:textId="77777777" w:rsidR="00E36F9D" w:rsidRPr="00886FD2" w:rsidRDefault="00B94DE4" w:rsidP="00EA21F4">
      <w:pPr>
        <w:pStyle w:val="Heading1"/>
      </w:pPr>
      <w:bookmarkStart w:id="2" w:name="_Toc235207142"/>
      <w:bookmarkStart w:id="3" w:name="_Toc235207367"/>
      <w:r w:rsidRPr="00886FD2">
        <w:t>2. Financial Health Check</w:t>
      </w:r>
      <w:bookmarkEnd w:id="2"/>
      <w:bookmarkEnd w:id="3"/>
    </w:p>
    <w:p w14:paraId="00000004" w14:textId="60593C04" w:rsidR="00E36F9D" w:rsidRPr="00886FD2" w:rsidRDefault="00B94DE4" w:rsidP="00EA21F4">
      <w:pPr>
        <w:pStyle w:val="Heading2"/>
      </w:pPr>
      <w:bookmarkStart w:id="4" w:name="_Toc235207143"/>
      <w:bookmarkStart w:id="5" w:name="_Toc235207368"/>
      <w:r w:rsidRPr="00886FD2">
        <w:t xml:space="preserve">2.1 </w:t>
      </w:r>
      <w:r w:rsidR="00EA21F4" w:rsidRPr="00886FD2">
        <w:t>5-year</w:t>
      </w:r>
      <w:r w:rsidRPr="00886FD2">
        <w:t xml:space="preserve"> financial analysis</w:t>
      </w:r>
      <w:bookmarkEnd w:id="4"/>
      <w:bookmarkEnd w:id="5"/>
      <w:r w:rsidRPr="00886FD2">
        <w:t xml:space="preserve"> </w:t>
      </w:r>
    </w:p>
    <w:p w14:paraId="00000006" w14:textId="3AE3026D" w:rsidR="00E36F9D" w:rsidRPr="00886FD2" w:rsidRDefault="00B94DE4">
      <w:pPr>
        <w:spacing w:after="200" w:line="360" w:lineRule="auto"/>
        <w:jc w:val="both"/>
        <w:rPr>
          <w:rFonts w:eastAsia="Times New Roman"/>
          <w:sz w:val="24"/>
          <w:szCs w:val="24"/>
        </w:rPr>
      </w:pPr>
      <w:r w:rsidRPr="00886FD2">
        <w:rPr>
          <w:rFonts w:eastAsia="Times New Roman"/>
          <w:sz w:val="24"/>
          <w:szCs w:val="24"/>
        </w:rPr>
        <w:t>Hilton Worldwide Holdings Inc.'s financials broad-based strong performance and resilience during the past five years after speedy and continued global travel recovery. A smart asset-light franchise model and strong demand for travel for leisure and business has boosted the company. The total revenue registered a steady increase from US$8.77 billion in 2022 to US$12.28 billion (TTM), or roughly 40% cumulative growth (Finance Yahoo, 2026).  The gross profit also rose from US$2.70 billion to US$3.55 billion, showcasing effective pricing and better occupancy over Hilton’s entire portfolio (Hilton, 2025). While EBITDA increased from US$2.31 billion to US$3.00 billion in 2022 across the operating income increased from US$2.09 billion to US$2.84 billion to enhance efficiencies across cost management.</w:t>
      </w:r>
      <w:r w:rsidR="006E55C7" w:rsidRPr="00886FD2">
        <w:rPr>
          <w:rFonts w:eastAsia="Times New Roman"/>
          <w:sz w:val="24"/>
          <w:szCs w:val="24"/>
        </w:rPr>
        <w:t xml:space="preserve"> </w:t>
      </w:r>
      <w:r w:rsidRPr="00886FD2">
        <w:rPr>
          <w:rFonts w:eastAsia="Times New Roman"/>
          <w:sz w:val="24"/>
          <w:szCs w:val="24"/>
        </w:rPr>
        <w:t>As a result, diluted shares outstanding declined from 277 million to 235 million. The prospective company managed to keep operating expenses in check even as revenues grew.</w:t>
      </w:r>
    </w:p>
    <w:p w14:paraId="00000007" w14:textId="77777777" w:rsidR="00E36F9D" w:rsidRPr="00886FD2" w:rsidRDefault="00B94DE4" w:rsidP="00EA21F4">
      <w:pPr>
        <w:pStyle w:val="Heading2"/>
      </w:pPr>
      <w:bookmarkStart w:id="6" w:name="_Toc235207144"/>
      <w:bookmarkStart w:id="7" w:name="_Toc235207369"/>
      <w:r w:rsidRPr="00886FD2">
        <w:t>2.2 Ratio analysis</w:t>
      </w:r>
      <w:bookmarkEnd w:id="6"/>
      <w:bookmarkEnd w:id="7"/>
    </w:p>
    <w:p w14:paraId="00000008" w14:textId="77777777" w:rsidR="00E36F9D" w:rsidRPr="00886FD2" w:rsidRDefault="00B94DE4">
      <w:pPr>
        <w:spacing w:after="200" w:line="360" w:lineRule="auto"/>
        <w:jc w:val="both"/>
        <w:rPr>
          <w:rFonts w:eastAsia="Times New Roman"/>
          <w:b/>
          <w:bCs/>
          <w:sz w:val="24"/>
          <w:szCs w:val="24"/>
        </w:rPr>
      </w:pPr>
      <w:r w:rsidRPr="00886FD2">
        <w:rPr>
          <w:rFonts w:eastAsia="Times New Roman"/>
          <w:b/>
          <w:bCs/>
          <w:sz w:val="24"/>
          <w:szCs w:val="24"/>
        </w:rPr>
        <w:t>Profitability Ratio Analysis</w:t>
      </w:r>
    </w:p>
    <w:p w14:paraId="33BE75F6" w14:textId="52FFAB84" w:rsidR="00BE0856" w:rsidRDefault="00BE0856" w:rsidP="00BE0856">
      <w:pPr>
        <w:spacing w:after="200" w:line="360" w:lineRule="auto"/>
        <w:jc w:val="center"/>
        <w:rPr>
          <w:rFonts w:eastAsia="Times New Roman"/>
          <w:sz w:val="24"/>
          <w:szCs w:val="24"/>
        </w:rPr>
      </w:pPr>
      <w:r>
        <w:rPr>
          <w:noProof/>
        </w:rPr>
        <w:lastRenderedPageBreak/>
        <w:drawing>
          <wp:inline distT="0" distB="0" distL="0" distR="0" wp14:anchorId="3563D134" wp14:editId="515D8118">
            <wp:extent cx="4572000" cy="2743200"/>
            <wp:effectExtent l="0" t="0" r="0" b="0"/>
            <wp:docPr id="1859479327" name="Chart 1">
              <a:extLst xmlns:a="http://schemas.openxmlformats.org/drawingml/2006/main">
                <a:ext uri="{FF2B5EF4-FFF2-40B4-BE49-F238E27FC236}">
                  <a16:creationId xmlns:a16="http://schemas.microsoft.com/office/drawing/2014/main" id="{7921169C-5832-5415-5B40-7558BD4E51EE}"/>
                </a:ext>
              </a:extLst>
            </wp:docPr>
            <wp:cNvGraphicFramePr/>
            <a:graphic xmlns:a="http://schemas.openxmlformats.org/drawingml/2006/main">
              <a:graphicData uri="http://schemas.openxmlformats.org/drawingml/2006/chart">
                <c:chart xmlns:c="http://schemas.openxmlformats.org/drawingml/2006/chart" xmlns:r="http://schemas.openxmlformats.org/officeDocument/2006/relationships" r:id="rId8"/>
              </a:graphicData>
            </a:graphic>
          </wp:inline>
        </w:drawing>
      </w:r>
    </w:p>
    <w:p w14:paraId="42D9622C" w14:textId="65A9EC7B" w:rsidR="00BE0856" w:rsidRPr="00BE0856" w:rsidRDefault="00BE0856" w:rsidP="00BE0856">
      <w:pPr>
        <w:spacing w:after="200" w:line="360" w:lineRule="auto"/>
        <w:jc w:val="center"/>
        <w:rPr>
          <w:rFonts w:eastAsia="Times New Roman"/>
          <w:b/>
          <w:bCs/>
          <w:sz w:val="24"/>
          <w:szCs w:val="24"/>
        </w:rPr>
      </w:pPr>
      <w:r w:rsidRPr="00BE0856">
        <w:rPr>
          <w:rFonts w:eastAsia="Times New Roman"/>
          <w:b/>
          <w:bCs/>
          <w:sz w:val="24"/>
          <w:szCs w:val="24"/>
        </w:rPr>
        <w:t>Figure 1: GPM</w:t>
      </w:r>
    </w:p>
    <w:p w14:paraId="764CBDE6" w14:textId="20A24557" w:rsidR="00BE0856" w:rsidRDefault="00BE0856" w:rsidP="00BE0856">
      <w:pPr>
        <w:spacing w:after="200" w:line="360" w:lineRule="auto"/>
        <w:jc w:val="center"/>
        <w:rPr>
          <w:rFonts w:eastAsia="Times New Roman"/>
          <w:sz w:val="24"/>
          <w:szCs w:val="24"/>
        </w:rPr>
      </w:pPr>
      <w:r>
        <w:rPr>
          <w:rFonts w:eastAsia="Times New Roman"/>
          <w:sz w:val="24"/>
          <w:szCs w:val="24"/>
        </w:rPr>
        <w:t>(Source: Self-developed)</w:t>
      </w:r>
    </w:p>
    <w:p w14:paraId="00000009" w14:textId="0A45D30E" w:rsidR="00E36F9D" w:rsidRPr="00886FD2" w:rsidRDefault="00B94DE4">
      <w:pPr>
        <w:spacing w:after="200" w:line="360" w:lineRule="auto"/>
        <w:jc w:val="both"/>
        <w:rPr>
          <w:rFonts w:eastAsia="Times New Roman"/>
          <w:sz w:val="24"/>
          <w:szCs w:val="24"/>
        </w:rPr>
      </w:pPr>
      <w:r w:rsidRPr="00886FD2">
        <w:rPr>
          <w:rFonts w:eastAsia="Times New Roman"/>
          <w:sz w:val="24"/>
          <w:szCs w:val="24"/>
        </w:rPr>
        <w:t xml:space="preserve">Between 2021 and 2025, demand for global travel recovered post-pandemic and Hilton post-lockdown demand for hotels was high.  The gross profit margin expanded from 88.3% to 90.9% as a result of Hilton’s asset-light franchise and management business model in which high margins are generated by fee income (Andini, 2026). The operating profit margin increased from 17.4 percent to 22.4 percent and the </w:t>
      </w:r>
      <w:proofErr w:type="spellStart"/>
      <w:r w:rsidRPr="00886FD2">
        <w:rPr>
          <w:rFonts w:eastAsia="Times New Roman"/>
          <w:sz w:val="24"/>
          <w:szCs w:val="24"/>
        </w:rPr>
        <w:t>Ebitda</w:t>
      </w:r>
      <w:proofErr w:type="spellEnd"/>
      <w:r w:rsidRPr="00886FD2">
        <w:rPr>
          <w:rFonts w:eastAsia="Times New Roman"/>
          <w:sz w:val="24"/>
          <w:szCs w:val="24"/>
        </w:rPr>
        <w:t xml:space="preserve"> margin rose to 24.5 percent. Although our interest expenses were higher, the net profit margin increased from 7.1% to 12.1%. Hilton’s impressive results reflect a recovering industry, with higher occupancy rates and more international and leisure travel.</w:t>
      </w:r>
    </w:p>
    <w:p w14:paraId="0000000A" w14:textId="77777777" w:rsidR="00E36F9D" w:rsidRPr="00886FD2" w:rsidRDefault="00B94DE4">
      <w:pPr>
        <w:spacing w:after="200" w:line="360" w:lineRule="auto"/>
        <w:jc w:val="both"/>
        <w:rPr>
          <w:rFonts w:eastAsia="Times New Roman"/>
          <w:b/>
          <w:bCs/>
          <w:sz w:val="24"/>
          <w:szCs w:val="24"/>
        </w:rPr>
      </w:pPr>
      <w:r w:rsidRPr="00886FD2">
        <w:rPr>
          <w:rFonts w:eastAsia="Times New Roman"/>
          <w:b/>
          <w:bCs/>
          <w:sz w:val="24"/>
          <w:szCs w:val="24"/>
        </w:rPr>
        <w:t>Liquidity Ratio Analysis</w:t>
      </w:r>
    </w:p>
    <w:p w14:paraId="31EF9254" w14:textId="1BDE4B41" w:rsidR="00BE0856" w:rsidRDefault="00BE0856" w:rsidP="00BE0856">
      <w:pPr>
        <w:spacing w:after="200" w:line="360" w:lineRule="auto"/>
        <w:jc w:val="center"/>
        <w:rPr>
          <w:rFonts w:eastAsia="Times New Roman"/>
          <w:sz w:val="24"/>
          <w:szCs w:val="24"/>
        </w:rPr>
      </w:pPr>
      <w:r>
        <w:rPr>
          <w:noProof/>
        </w:rPr>
        <w:lastRenderedPageBreak/>
        <w:drawing>
          <wp:inline distT="0" distB="0" distL="0" distR="0" wp14:anchorId="39F9B410" wp14:editId="3B7D8D2C">
            <wp:extent cx="4572000" cy="2743200"/>
            <wp:effectExtent l="0" t="0" r="0" b="0"/>
            <wp:docPr id="2145287090" name="Chart 1">
              <a:extLst xmlns:a="http://schemas.openxmlformats.org/drawingml/2006/main">
                <a:ext uri="{FF2B5EF4-FFF2-40B4-BE49-F238E27FC236}">
                  <a16:creationId xmlns:a16="http://schemas.microsoft.com/office/drawing/2014/main" id="{872A77CC-DF54-4F4F-F88B-0DFEB3ACD95E}"/>
                </a:ext>
              </a:extLst>
            </wp:docPr>
            <wp:cNvGraphicFramePr/>
            <a:graphic xmlns:a="http://schemas.openxmlformats.org/drawingml/2006/main">
              <a:graphicData uri="http://schemas.openxmlformats.org/drawingml/2006/chart">
                <c:chart xmlns:c="http://schemas.openxmlformats.org/drawingml/2006/chart" xmlns:r="http://schemas.openxmlformats.org/officeDocument/2006/relationships" r:id="rId9"/>
              </a:graphicData>
            </a:graphic>
          </wp:inline>
        </w:drawing>
      </w:r>
    </w:p>
    <w:p w14:paraId="0C7E633F" w14:textId="4558D2C7" w:rsidR="00BE0856" w:rsidRPr="00BE0856" w:rsidRDefault="00BE0856" w:rsidP="00BE0856">
      <w:pPr>
        <w:spacing w:after="200" w:line="360" w:lineRule="auto"/>
        <w:jc w:val="center"/>
        <w:rPr>
          <w:rFonts w:eastAsia="Times New Roman"/>
          <w:b/>
          <w:bCs/>
          <w:sz w:val="24"/>
          <w:szCs w:val="24"/>
        </w:rPr>
      </w:pPr>
      <w:r w:rsidRPr="00BE0856">
        <w:rPr>
          <w:rFonts w:eastAsia="Times New Roman"/>
          <w:b/>
          <w:bCs/>
          <w:sz w:val="24"/>
          <w:szCs w:val="24"/>
        </w:rPr>
        <w:t>Figure 2: Current Ratio</w:t>
      </w:r>
    </w:p>
    <w:p w14:paraId="0320852F" w14:textId="35D38F14" w:rsidR="00BE0856" w:rsidRDefault="00BE0856" w:rsidP="00BE0856">
      <w:pPr>
        <w:spacing w:after="200" w:line="360" w:lineRule="auto"/>
        <w:jc w:val="center"/>
        <w:rPr>
          <w:rFonts w:eastAsia="Times New Roman"/>
          <w:sz w:val="24"/>
          <w:szCs w:val="24"/>
        </w:rPr>
      </w:pPr>
      <w:r>
        <w:rPr>
          <w:rFonts w:eastAsia="Times New Roman"/>
          <w:sz w:val="24"/>
          <w:szCs w:val="24"/>
        </w:rPr>
        <w:t>(Source: Self-developed)</w:t>
      </w:r>
    </w:p>
    <w:p w14:paraId="0000000B" w14:textId="0C4AF041" w:rsidR="00E36F9D" w:rsidRPr="00886FD2" w:rsidRDefault="00B94DE4">
      <w:pPr>
        <w:spacing w:after="200" w:line="360" w:lineRule="auto"/>
        <w:jc w:val="both"/>
        <w:rPr>
          <w:rFonts w:eastAsia="Times New Roman"/>
          <w:sz w:val="24"/>
          <w:szCs w:val="24"/>
        </w:rPr>
      </w:pPr>
      <w:r w:rsidRPr="00886FD2">
        <w:rPr>
          <w:rFonts w:eastAsia="Times New Roman"/>
          <w:sz w:val="24"/>
          <w:szCs w:val="24"/>
        </w:rPr>
        <w:t>Due to current liabilities exceeding current assets, Hilton’s liquidity position remained relatively weak as evidenced by the fall in the current ratio from 0.95 in 2021 to 0.67 in 2025. Nonetheless, the cash ratio was exceptionally strong, remaining above 3.5 in the time period which suggests that the company had lots of cash to settle short term obligations (MORDI et al., 2025). Hilton generated a lot of operating cash and managed its treasury during a round of shareholder returns. Hilton, like other major hotel players globally, prioritises maintaining liquidity while financing expansion and share buybacks. Owing to the strong cash position, the company was able to continue investing in new hotels despite the rise in global interest rates.</w:t>
      </w:r>
    </w:p>
    <w:p w14:paraId="0000000C" w14:textId="77777777" w:rsidR="00E36F9D" w:rsidRPr="00886FD2" w:rsidRDefault="00B94DE4">
      <w:pPr>
        <w:spacing w:after="200" w:line="360" w:lineRule="auto"/>
        <w:jc w:val="both"/>
        <w:rPr>
          <w:rFonts w:eastAsia="Times New Roman"/>
          <w:b/>
          <w:bCs/>
          <w:sz w:val="24"/>
          <w:szCs w:val="24"/>
        </w:rPr>
      </w:pPr>
      <w:r w:rsidRPr="00886FD2">
        <w:rPr>
          <w:rFonts w:eastAsia="Times New Roman"/>
          <w:b/>
          <w:bCs/>
          <w:sz w:val="24"/>
          <w:szCs w:val="24"/>
        </w:rPr>
        <w:t>Efficiency Ratio Analysis</w:t>
      </w:r>
    </w:p>
    <w:p w14:paraId="7C17654F" w14:textId="4AB82212" w:rsidR="00BE0856" w:rsidRDefault="00BE0856" w:rsidP="00BE0856">
      <w:pPr>
        <w:spacing w:after="200" w:line="360" w:lineRule="auto"/>
        <w:jc w:val="center"/>
        <w:rPr>
          <w:rFonts w:eastAsia="Times New Roman"/>
          <w:b/>
          <w:bCs/>
          <w:sz w:val="24"/>
          <w:szCs w:val="24"/>
        </w:rPr>
      </w:pPr>
      <w:r>
        <w:rPr>
          <w:noProof/>
        </w:rPr>
        <w:lastRenderedPageBreak/>
        <w:drawing>
          <wp:inline distT="0" distB="0" distL="0" distR="0" wp14:anchorId="14FFE21C" wp14:editId="37921048">
            <wp:extent cx="4572000" cy="2743200"/>
            <wp:effectExtent l="0" t="0" r="0" b="0"/>
            <wp:docPr id="539811003" name="Chart 1">
              <a:extLst xmlns:a="http://schemas.openxmlformats.org/drawingml/2006/main">
                <a:ext uri="{FF2B5EF4-FFF2-40B4-BE49-F238E27FC236}">
                  <a16:creationId xmlns:a16="http://schemas.microsoft.com/office/drawing/2014/main" id="{D1849E8D-748E-85B4-2EAB-533BBA52962D}"/>
                </a:ext>
              </a:extLst>
            </wp:docPr>
            <wp:cNvGraphicFramePr/>
            <a:graphic xmlns:a="http://schemas.openxmlformats.org/drawingml/2006/main">
              <a:graphicData uri="http://schemas.openxmlformats.org/drawingml/2006/chart">
                <c:chart xmlns:c="http://schemas.openxmlformats.org/drawingml/2006/chart" xmlns:r="http://schemas.openxmlformats.org/officeDocument/2006/relationships" r:id="rId10"/>
              </a:graphicData>
            </a:graphic>
          </wp:inline>
        </w:drawing>
      </w:r>
    </w:p>
    <w:p w14:paraId="5FD433B1" w14:textId="70B4289A" w:rsidR="00BE0856" w:rsidRPr="00BE0856" w:rsidRDefault="00BE0856" w:rsidP="00BE0856">
      <w:pPr>
        <w:spacing w:after="200" w:line="360" w:lineRule="auto"/>
        <w:jc w:val="center"/>
        <w:rPr>
          <w:rFonts w:eastAsia="Times New Roman"/>
          <w:b/>
          <w:bCs/>
          <w:sz w:val="24"/>
          <w:szCs w:val="24"/>
        </w:rPr>
      </w:pPr>
      <w:r w:rsidRPr="00BE0856">
        <w:rPr>
          <w:rFonts w:eastAsia="Times New Roman"/>
          <w:b/>
          <w:bCs/>
          <w:sz w:val="24"/>
          <w:szCs w:val="24"/>
        </w:rPr>
        <w:t xml:space="preserve">Figure </w:t>
      </w:r>
      <w:r>
        <w:rPr>
          <w:rFonts w:eastAsia="Times New Roman"/>
          <w:b/>
          <w:bCs/>
          <w:sz w:val="24"/>
          <w:szCs w:val="24"/>
        </w:rPr>
        <w:t>3</w:t>
      </w:r>
      <w:r w:rsidRPr="00BE0856">
        <w:rPr>
          <w:rFonts w:eastAsia="Times New Roman"/>
          <w:b/>
          <w:bCs/>
          <w:sz w:val="24"/>
          <w:szCs w:val="24"/>
        </w:rPr>
        <w:t xml:space="preserve">: </w:t>
      </w:r>
      <w:r>
        <w:rPr>
          <w:rFonts w:eastAsia="Times New Roman"/>
          <w:b/>
          <w:bCs/>
          <w:sz w:val="24"/>
          <w:szCs w:val="24"/>
        </w:rPr>
        <w:t>Asset Turnover</w:t>
      </w:r>
      <w:r w:rsidRPr="00BE0856">
        <w:rPr>
          <w:rFonts w:eastAsia="Times New Roman"/>
          <w:b/>
          <w:bCs/>
          <w:sz w:val="24"/>
          <w:szCs w:val="24"/>
        </w:rPr>
        <w:t xml:space="preserve"> Ratio</w:t>
      </w:r>
    </w:p>
    <w:p w14:paraId="6CF3ADC8" w14:textId="47E29F38" w:rsidR="00BE0856" w:rsidRPr="00BE0856" w:rsidRDefault="00BE0856" w:rsidP="00BE0856">
      <w:pPr>
        <w:spacing w:after="200" w:line="360" w:lineRule="auto"/>
        <w:jc w:val="center"/>
        <w:rPr>
          <w:rFonts w:eastAsia="Times New Roman"/>
          <w:sz w:val="24"/>
          <w:szCs w:val="24"/>
        </w:rPr>
      </w:pPr>
      <w:r>
        <w:rPr>
          <w:rFonts w:eastAsia="Times New Roman"/>
          <w:sz w:val="24"/>
          <w:szCs w:val="24"/>
        </w:rPr>
        <w:t>(Source: Self-developed)</w:t>
      </w:r>
    </w:p>
    <w:p w14:paraId="0000000D" w14:textId="1024C058" w:rsidR="00E36F9D" w:rsidRPr="00886FD2" w:rsidRDefault="00B94DE4">
      <w:pPr>
        <w:spacing w:after="200" w:line="360" w:lineRule="auto"/>
        <w:jc w:val="both"/>
        <w:rPr>
          <w:rFonts w:eastAsia="Times New Roman"/>
          <w:sz w:val="24"/>
          <w:szCs w:val="24"/>
        </w:rPr>
      </w:pPr>
      <w:r w:rsidRPr="00886FD2">
        <w:rPr>
          <w:rFonts w:eastAsia="Times New Roman"/>
          <w:sz w:val="24"/>
          <w:szCs w:val="24"/>
        </w:rPr>
        <w:t>The efficiency ratio of Hilton shows improving operational performance and effective use of assets. Indicating greater revenue generation from existing assets highlight the total asset turnover has increased from 0.38 in 2021 to 0.72 by 2025 highlight better management of working capital (Kumawat, 2024). Hilton uses an asset-light business model, resulting in extremely high fixed asset turnover because of franchising and hotel management, not property ownership. Using this strategy allows Hilton to make huge revenues with less physical assets like Marriott International, helps to improve the capital efficiency and mitigates investment risk.</w:t>
      </w:r>
    </w:p>
    <w:p w14:paraId="0000000E" w14:textId="77777777" w:rsidR="00E36F9D" w:rsidRPr="00886FD2" w:rsidRDefault="00B94DE4">
      <w:pPr>
        <w:spacing w:after="200" w:line="360" w:lineRule="auto"/>
        <w:jc w:val="both"/>
        <w:rPr>
          <w:rFonts w:eastAsia="Times New Roman"/>
          <w:b/>
          <w:bCs/>
          <w:sz w:val="24"/>
          <w:szCs w:val="24"/>
        </w:rPr>
      </w:pPr>
      <w:r w:rsidRPr="00886FD2">
        <w:rPr>
          <w:rFonts w:eastAsia="Times New Roman"/>
          <w:b/>
          <w:bCs/>
          <w:sz w:val="24"/>
          <w:szCs w:val="24"/>
        </w:rPr>
        <w:t>Gearing (Leverage) Ratio Analysis</w:t>
      </w:r>
    </w:p>
    <w:p w14:paraId="28243AEF" w14:textId="3ED69C5C" w:rsidR="00BE0856" w:rsidRDefault="00BE0856" w:rsidP="00BE0856">
      <w:pPr>
        <w:spacing w:after="200" w:line="360" w:lineRule="auto"/>
        <w:jc w:val="center"/>
        <w:rPr>
          <w:rFonts w:eastAsia="Times New Roman"/>
          <w:sz w:val="24"/>
          <w:szCs w:val="24"/>
        </w:rPr>
      </w:pPr>
      <w:r>
        <w:rPr>
          <w:noProof/>
        </w:rPr>
        <w:lastRenderedPageBreak/>
        <w:drawing>
          <wp:inline distT="0" distB="0" distL="0" distR="0" wp14:anchorId="4A393BEE" wp14:editId="10BCF062">
            <wp:extent cx="4572000" cy="2743200"/>
            <wp:effectExtent l="0" t="0" r="0" b="0"/>
            <wp:docPr id="1348713762" name="Chart 1">
              <a:extLst xmlns:a="http://schemas.openxmlformats.org/drawingml/2006/main">
                <a:ext uri="{FF2B5EF4-FFF2-40B4-BE49-F238E27FC236}">
                  <a16:creationId xmlns:a16="http://schemas.microsoft.com/office/drawing/2014/main" id="{AACA2F63-1864-D792-A8C0-DFB2E68B7AB8}"/>
                </a:ext>
              </a:extLst>
            </wp:docPr>
            <wp:cNvGraphicFramePr/>
            <a:graphic xmlns:a="http://schemas.openxmlformats.org/drawingml/2006/main">
              <a:graphicData uri="http://schemas.openxmlformats.org/drawingml/2006/chart">
                <c:chart xmlns:c="http://schemas.openxmlformats.org/drawingml/2006/chart" xmlns:r="http://schemas.openxmlformats.org/officeDocument/2006/relationships" r:id="rId11"/>
              </a:graphicData>
            </a:graphic>
          </wp:inline>
        </w:drawing>
      </w:r>
    </w:p>
    <w:p w14:paraId="1440B479" w14:textId="2AA49A0B" w:rsidR="00BE0856" w:rsidRPr="00BE0856" w:rsidRDefault="00BE0856" w:rsidP="00BE0856">
      <w:pPr>
        <w:spacing w:after="200" w:line="360" w:lineRule="auto"/>
        <w:jc w:val="center"/>
        <w:rPr>
          <w:rFonts w:eastAsia="Times New Roman"/>
          <w:b/>
          <w:bCs/>
          <w:sz w:val="24"/>
          <w:szCs w:val="24"/>
        </w:rPr>
      </w:pPr>
      <w:r w:rsidRPr="00BE0856">
        <w:rPr>
          <w:rFonts w:eastAsia="Times New Roman"/>
          <w:b/>
          <w:bCs/>
          <w:sz w:val="24"/>
          <w:szCs w:val="24"/>
        </w:rPr>
        <w:t xml:space="preserve">Figure </w:t>
      </w:r>
      <w:r>
        <w:rPr>
          <w:rFonts w:eastAsia="Times New Roman"/>
          <w:b/>
          <w:bCs/>
          <w:sz w:val="24"/>
          <w:szCs w:val="24"/>
        </w:rPr>
        <w:t>4</w:t>
      </w:r>
      <w:r w:rsidRPr="00BE0856">
        <w:rPr>
          <w:rFonts w:eastAsia="Times New Roman"/>
          <w:b/>
          <w:bCs/>
          <w:sz w:val="24"/>
          <w:szCs w:val="24"/>
        </w:rPr>
        <w:t xml:space="preserve">: </w:t>
      </w:r>
      <w:r>
        <w:rPr>
          <w:rFonts w:eastAsia="Times New Roman"/>
          <w:b/>
          <w:bCs/>
          <w:sz w:val="24"/>
          <w:szCs w:val="24"/>
        </w:rPr>
        <w:t>Debt</w:t>
      </w:r>
      <w:r w:rsidRPr="00BE0856">
        <w:rPr>
          <w:rFonts w:eastAsia="Times New Roman"/>
          <w:b/>
          <w:bCs/>
          <w:sz w:val="24"/>
          <w:szCs w:val="24"/>
        </w:rPr>
        <w:t xml:space="preserve"> Ratio</w:t>
      </w:r>
    </w:p>
    <w:p w14:paraId="5B6B999C" w14:textId="03B0E5B2" w:rsidR="00BE0856" w:rsidRDefault="00BE0856" w:rsidP="00BE0856">
      <w:pPr>
        <w:spacing w:after="200" w:line="360" w:lineRule="auto"/>
        <w:jc w:val="center"/>
        <w:rPr>
          <w:rFonts w:eastAsia="Times New Roman"/>
          <w:sz w:val="24"/>
          <w:szCs w:val="24"/>
        </w:rPr>
      </w:pPr>
      <w:r>
        <w:rPr>
          <w:rFonts w:eastAsia="Times New Roman"/>
          <w:sz w:val="24"/>
          <w:szCs w:val="24"/>
        </w:rPr>
        <w:t>(Source: Self-developed)</w:t>
      </w:r>
    </w:p>
    <w:p w14:paraId="0000000F" w14:textId="4A86958E" w:rsidR="00E36F9D" w:rsidRPr="00886FD2" w:rsidRDefault="00B94DE4">
      <w:pPr>
        <w:spacing w:after="200" w:line="360" w:lineRule="auto"/>
        <w:jc w:val="both"/>
        <w:rPr>
          <w:rFonts w:eastAsia="Times New Roman"/>
          <w:sz w:val="24"/>
          <w:szCs w:val="24"/>
        </w:rPr>
      </w:pPr>
      <w:r w:rsidRPr="00886FD2">
        <w:rPr>
          <w:rFonts w:eastAsia="Times New Roman"/>
          <w:sz w:val="24"/>
          <w:szCs w:val="24"/>
        </w:rPr>
        <w:t>Hilton is highly leveraged, as evidenced by debt ratio growing from 1.05 in 2021 to 1.32 in 2025. This is common to asset-light hospitality companies so, negative equity ratio of -0.05 to -0.32 and negative debt-to-equity ratio are due to share repurchases that have exceeded retained equity (</w:t>
      </w:r>
      <w:proofErr w:type="spellStart"/>
      <w:r w:rsidRPr="00886FD2">
        <w:rPr>
          <w:rFonts w:eastAsia="Times New Roman"/>
          <w:sz w:val="24"/>
          <w:szCs w:val="24"/>
        </w:rPr>
        <w:t>Hasidi</w:t>
      </w:r>
      <w:proofErr w:type="spellEnd"/>
      <w:r w:rsidRPr="00886FD2">
        <w:rPr>
          <w:rFonts w:eastAsia="Times New Roman"/>
          <w:sz w:val="24"/>
          <w:szCs w:val="24"/>
        </w:rPr>
        <w:t xml:space="preserve"> et al., 2024). </w:t>
      </w:r>
    </w:p>
    <w:p w14:paraId="00000010" w14:textId="77777777" w:rsidR="00E36F9D" w:rsidRPr="00886FD2" w:rsidRDefault="00B94DE4">
      <w:pPr>
        <w:spacing w:after="200" w:line="360" w:lineRule="auto"/>
        <w:jc w:val="both"/>
        <w:rPr>
          <w:rFonts w:eastAsia="Times New Roman"/>
          <w:b/>
          <w:bCs/>
          <w:sz w:val="24"/>
          <w:szCs w:val="24"/>
        </w:rPr>
      </w:pPr>
      <w:r w:rsidRPr="00886FD2">
        <w:rPr>
          <w:rFonts w:eastAsia="Times New Roman"/>
          <w:b/>
          <w:bCs/>
          <w:sz w:val="24"/>
          <w:szCs w:val="24"/>
        </w:rPr>
        <w:t>Investment Ratio Analysis</w:t>
      </w:r>
    </w:p>
    <w:p w14:paraId="7E9DE8BE" w14:textId="28E66F31" w:rsidR="00BE0856" w:rsidRDefault="00BE0856" w:rsidP="00BE0856">
      <w:pPr>
        <w:spacing w:after="200" w:line="360" w:lineRule="auto"/>
        <w:jc w:val="center"/>
        <w:rPr>
          <w:rFonts w:eastAsia="Times New Roman"/>
          <w:b/>
          <w:bCs/>
          <w:sz w:val="24"/>
          <w:szCs w:val="24"/>
        </w:rPr>
      </w:pPr>
      <w:r>
        <w:rPr>
          <w:noProof/>
        </w:rPr>
        <w:drawing>
          <wp:inline distT="0" distB="0" distL="0" distR="0" wp14:anchorId="2B44749B" wp14:editId="7C3A34EC">
            <wp:extent cx="4572000" cy="2743200"/>
            <wp:effectExtent l="0" t="0" r="0" b="0"/>
            <wp:docPr id="936505837" name="Chart 1">
              <a:extLst xmlns:a="http://schemas.openxmlformats.org/drawingml/2006/main">
                <a:ext uri="{FF2B5EF4-FFF2-40B4-BE49-F238E27FC236}">
                  <a16:creationId xmlns:a16="http://schemas.microsoft.com/office/drawing/2014/main" id="{2614AB1A-5741-E0E9-EEB8-90026B7886B2}"/>
                </a:ext>
              </a:extLst>
            </wp:docPr>
            <wp:cNvGraphicFramePr/>
            <a:graphic xmlns:a="http://schemas.openxmlformats.org/drawingml/2006/main">
              <a:graphicData uri="http://schemas.openxmlformats.org/drawingml/2006/chart">
                <c:chart xmlns:c="http://schemas.openxmlformats.org/drawingml/2006/chart" xmlns:r="http://schemas.openxmlformats.org/officeDocument/2006/relationships" r:id="rId12"/>
              </a:graphicData>
            </a:graphic>
          </wp:inline>
        </w:drawing>
      </w:r>
    </w:p>
    <w:p w14:paraId="352FAAEF" w14:textId="68DE604B" w:rsidR="00BE0856" w:rsidRPr="00BE0856" w:rsidRDefault="00BE0856" w:rsidP="00BE0856">
      <w:pPr>
        <w:spacing w:after="200" w:line="360" w:lineRule="auto"/>
        <w:jc w:val="center"/>
        <w:rPr>
          <w:rFonts w:eastAsia="Times New Roman"/>
          <w:b/>
          <w:bCs/>
          <w:sz w:val="24"/>
          <w:szCs w:val="24"/>
        </w:rPr>
      </w:pPr>
      <w:r w:rsidRPr="00BE0856">
        <w:rPr>
          <w:rFonts w:eastAsia="Times New Roman"/>
          <w:b/>
          <w:bCs/>
          <w:sz w:val="24"/>
          <w:szCs w:val="24"/>
        </w:rPr>
        <w:t xml:space="preserve">Figure </w:t>
      </w:r>
      <w:r>
        <w:rPr>
          <w:rFonts w:eastAsia="Times New Roman"/>
          <w:b/>
          <w:bCs/>
          <w:sz w:val="24"/>
          <w:szCs w:val="24"/>
        </w:rPr>
        <w:t>5</w:t>
      </w:r>
      <w:r w:rsidRPr="00BE0856">
        <w:rPr>
          <w:rFonts w:eastAsia="Times New Roman"/>
          <w:b/>
          <w:bCs/>
          <w:sz w:val="24"/>
          <w:szCs w:val="24"/>
        </w:rPr>
        <w:t xml:space="preserve">: </w:t>
      </w:r>
      <w:r>
        <w:rPr>
          <w:rFonts w:eastAsia="Times New Roman"/>
          <w:b/>
          <w:bCs/>
          <w:sz w:val="24"/>
          <w:szCs w:val="24"/>
        </w:rPr>
        <w:t>EPS</w:t>
      </w:r>
    </w:p>
    <w:p w14:paraId="7901210A" w14:textId="7D3B1038" w:rsidR="00BE0856" w:rsidRDefault="00BE0856" w:rsidP="00BE0856">
      <w:pPr>
        <w:spacing w:after="200" w:line="360" w:lineRule="auto"/>
        <w:jc w:val="center"/>
        <w:rPr>
          <w:rFonts w:eastAsia="Times New Roman"/>
          <w:sz w:val="24"/>
          <w:szCs w:val="24"/>
        </w:rPr>
      </w:pPr>
      <w:r>
        <w:rPr>
          <w:rFonts w:eastAsia="Times New Roman"/>
          <w:sz w:val="24"/>
          <w:szCs w:val="24"/>
        </w:rPr>
        <w:t>(Source: Self-developed)</w:t>
      </w:r>
    </w:p>
    <w:p w14:paraId="00000011" w14:textId="07B655AA" w:rsidR="00E36F9D" w:rsidRPr="00886FD2" w:rsidRDefault="00B94DE4">
      <w:pPr>
        <w:spacing w:after="200" w:line="360" w:lineRule="auto"/>
        <w:jc w:val="both"/>
        <w:rPr>
          <w:rFonts w:eastAsia="Times New Roman"/>
          <w:sz w:val="24"/>
          <w:szCs w:val="24"/>
        </w:rPr>
      </w:pPr>
      <w:r w:rsidRPr="00886FD2">
        <w:rPr>
          <w:rFonts w:eastAsia="Times New Roman"/>
          <w:sz w:val="24"/>
          <w:szCs w:val="24"/>
        </w:rPr>
        <w:lastRenderedPageBreak/>
        <w:t>The payment of dividends was small compared to the reported earnings of Hilton and therefore, sufficient funds were retained for expansion and other strategic investments (</w:t>
      </w:r>
      <w:proofErr w:type="spellStart"/>
      <w:r w:rsidRPr="00886FD2">
        <w:rPr>
          <w:rFonts w:eastAsia="Times New Roman"/>
          <w:sz w:val="24"/>
          <w:szCs w:val="24"/>
        </w:rPr>
        <w:t>Hasidi</w:t>
      </w:r>
      <w:proofErr w:type="spellEnd"/>
      <w:r w:rsidRPr="00886FD2">
        <w:rPr>
          <w:rFonts w:eastAsia="Times New Roman"/>
          <w:sz w:val="24"/>
          <w:szCs w:val="24"/>
        </w:rPr>
        <w:t xml:space="preserve"> et al., 2024). The firm continued to grow its worldwide hotel portfolio and business by franchise and management agreements rather than ownership. This strategy offers long-term earnings growth along with maximization of return of shareholders through capital gain and buybacks. </w:t>
      </w:r>
    </w:p>
    <w:p w14:paraId="00000012" w14:textId="77777777" w:rsidR="00E36F9D" w:rsidRPr="00886FD2" w:rsidRDefault="00B94DE4">
      <w:pPr>
        <w:spacing w:after="200" w:line="360" w:lineRule="auto"/>
        <w:jc w:val="both"/>
        <w:rPr>
          <w:rFonts w:eastAsia="Times New Roman"/>
          <w:b/>
          <w:bCs/>
          <w:sz w:val="24"/>
          <w:szCs w:val="24"/>
        </w:rPr>
      </w:pPr>
      <w:r w:rsidRPr="00886FD2">
        <w:rPr>
          <w:rFonts w:eastAsia="Times New Roman"/>
          <w:b/>
          <w:bCs/>
          <w:sz w:val="24"/>
          <w:szCs w:val="24"/>
        </w:rPr>
        <w:t>Cash Flow Ratio Analysis</w:t>
      </w:r>
    </w:p>
    <w:p w14:paraId="2A12B466" w14:textId="61744DCD" w:rsidR="00BE0856" w:rsidRDefault="00BE0856" w:rsidP="00BE0856">
      <w:pPr>
        <w:spacing w:after="200" w:line="360" w:lineRule="auto"/>
        <w:jc w:val="center"/>
        <w:rPr>
          <w:rFonts w:eastAsia="Times New Roman"/>
          <w:sz w:val="24"/>
          <w:szCs w:val="24"/>
        </w:rPr>
      </w:pPr>
      <w:r>
        <w:rPr>
          <w:noProof/>
        </w:rPr>
        <w:drawing>
          <wp:inline distT="0" distB="0" distL="0" distR="0" wp14:anchorId="45D9A636" wp14:editId="49CA3F4E">
            <wp:extent cx="4572000" cy="2743200"/>
            <wp:effectExtent l="0" t="0" r="0" b="0"/>
            <wp:docPr id="256966295" name="Chart 1">
              <a:extLst xmlns:a="http://schemas.openxmlformats.org/drawingml/2006/main">
                <a:ext uri="{FF2B5EF4-FFF2-40B4-BE49-F238E27FC236}">
                  <a16:creationId xmlns:a16="http://schemas.microsoft.com/office/drawing/2014/main" id="{A742721F-4666-DBAE-02A7-FB367A974596}"/>
                </a:ext>
              </a:extLst>
            </wp:docPr>
            <wp:cNvGraphicFramePr/>
            <a:graphic xmlns:a="http://schemas.openxmlformats.org/drawingml/2006/main">
              <a:graphicData uri="http://schemas.openxmlformats.org/drawingml/2006/chart">
                <c:chart xmlns:c="http://schemas.openxmlformats.org/drawingml/2006/chart" xmlns:r="http://schemas.openxmlformats.org/officeDocument/2006/relationships" r:id="rId13"/>
              </a:graphicData>
            </a:graphic>
          </wp:inline>
        </w:drawing>
      </w:r>
    </w:p>
    <w:p w14:paraId="234EFCDD" w14:textId="0DF26A70" w:rsidR="00BE0856" w:rsidRPr="00BE0856" w:rsidRDefault="00BE0856" w:rsidP="00BE0856">
      <w:pPr>
        <w:spacing w:after="200" w:line="360" w:lineRule="auto"/>
        <w:jc w:val="center"/>
        <w:rPr>
          <w:rFonts w:eastAsia="Times New Roman"/>
          <w:b/>
          <w:bCs/>
          <w:sz w:val="24"/>
          <w:szCs w:val="24"/>
        </w:rPr>
      </w:pPr>
      <w:r w:rsidRPr="00BE0856">
        <w:rPr>
          <w:rFonts w:eastAsia="Times New Roman"/>
          <w:b/>
          <w:bCs/>
          <w:sz w:val="24"/>
          <w:szCs w:val="24"/>
        </w:rPr>
        <w:t>Figure</w:t>
      </w:r>
      <w:r>
        <w:rPr>
          <w:rFonts w:eastAsia="Times New Roman"/>
          <w:b/>
          <w:bCs/>
          <w:sz w:val="24"/>
          <w:szCs w:val="24"/>
        </w:rPr>
        <w:t xml:space="preserve"> 6</w:t>
      </w:r>
      <w:r w:rsidRPr="00BE0856">
        <w:rPr>
          <w:rFonts w:eastAsia="Times New Roman"/>
          <w:b/>
          <w:bCs/>
          <w:sz w:val="24"/>
          <w:szCs w:val="24"/>
        </w:rPr>
        <w:t xml:space="preserve">: </w:t>
      </w:r>
      <w:r>
        <w:rPr>
          <w:rFonts w:eastAsia="Times New Roman"/>
          <w:b/>
          <w:bCs/>
          <w:sz w:val="24"/>
          <w:szCs w:val="24"/>
        </w:rPr>
        <w:t>Cash Flow</w:t>
      </w:r>
    </w:p>
    <w:p w14:paraId="00504AB7" w14:textId="5765E50F" w:rsidR="00BE0856" w:rsidRDefault="00BE0856" w:rsidP="00BE0856">
      <w:pPr>
        <w:spacing w:after="200" w:line="360" w:lineRule="auto"/>
        <w:jc w:val="center"/>
        <w:rPr>
          <w:rFonts w:eastAsia="Times New Roman"/>
          <w:sz w:val="24"/>
          <w:szCs w:val="24"/>
        </w:rPr>
      </w:pPr>
      <w:r>
        <w:rPr>
          <w:rFonts w:eastAsia="Times New Roman"/>
          <w:sz w:val="24"/>
          <w:szCs w:val="24"/>
        </w:rPr>
        <w:t>(Source: Self-developed)</w:t>
      </w:r>
    </w:p>
    <w:p w14:paraId="00000013" w14:textId="3620F98F" w:rsidR="00E36F9D" w:rsidRPr="00886FD2" w:rsidRDefault="00B94DE4">
      <w:pPr>
        <w:spacing w:after="200" w:line="360" w:lineRule="auto"/>
        <w:jc w:val="both"/>
        <w:rPr>
          <w:rFonts w:eastAsia="Times New Roman"/>
          <w:sz w:val="24"/>
          <w:szCs w:val="24"/>
        </w:rPr>
      </w:pPr>
      <w:r w:rsidRPr="00886FD2">
        <w:rPr>
          <w:rFonts w:eastAsia="Times New Roman"/>
          <w:sz w:val="24"/>
          <w:szCs w:val="24"/>
        </w:rPr>
        <w:t>Hilton's cash flow ratios suggest a strong level of cash generation through operations post pandemic. The operating cash flow ratio increased significantly from 2021 to 2025, going from level 0.04 to 0.47, showing improved ability to pay short-term liabilities from operating activities Accordingly, operating cash flow margin rose from 1.9% to 17.7%. Indicating capacity of the firms to service their debt highlight the cash flow to debt ratio declined in 2023 across higher borrowings but continued to remain in the positive territory (Ahmed et al., 2025). Moreover, these have continued despite rising costs of financing which are supported by sound cash flows from operations.</w:t>
      </w:r>
    </w:p>
    <w:p w14:paraId="00000014" w14:textId="77777777" w:rsidR="00E36F9D" w:rsidRPr="00886FD2" w:rsidRDefault="00B94DE4" w:rsidP="00EA21F4">
      <w:pPr>
        <w:pStyle w:val="Heading2"/>
      </w:pPr>
      <w:bookmarkStart w:id="8" w:name="_Toc235207145"/>
      <w:bookmarkStart w:id="9" w:name="_Toc235207370"/>
      <w:r w:rsidRPr="00886FD2">
        <w:t>2.3 Identification of trends, strengths, and potential threats</w:t>
      </w:r>
      <w:bookmarkEnd w:id="8"/>
      <w:bookmarkEnd w:id="9"/>
    </w:p>
    <w:p w14:paraId="00000015" w14:textId="77777777" w:rsidR="00E36F9D" w:rsidRPr="00886FD2" w:rsidRDefault="00B94DE4">
      <w:pPr>
        <w:spacing w:after="200" w:line="360" w:lineRule="auto"/>
        <w:jc w:val="both"/>
        <w:rPr>
          <w:rFonts w:eastAsia="Times New Roman"/>
          <w:b/>
          <w:bCs/>
          <w:sz w:val="24"/>
          <w:szCs w:val="24"/>
        </w:rPr>
      </w:pPr>
      <w:r w:rsidRPr="00886FD2">
        <w:rPr>
          <w:rFonts w:eastAsia="Times New Roman"/>
          <w:b/>
          <w:bCs/>
          <w:sz w:val="24"/>
          <w:szCs w:val="24"/>
        </w:rPr>
        <w:t xml:space="preserve">Trends </w:t>
      </w:r>
    </w:p>
    <w:p w14:paraId="00000016" w14:textId="77777777" w:rsidR="00E36F9D" w:rsidRPr="00886FD2" w:rsidRDefault="00B94DE4">
      <w:pPr>
        <w:spacing w:after="200" w:line="360" w:lineRule="auto"/>
        <w:jc w:val="both"/>
        <w:rPr>
          <w:rFonts w:eastAsia="Times New Roman"/>
          <w:sz w:val="24"/>
          <w:szCs w:val="24"/>
        </w:rPr>
      </w:pPr>
      <w:r w:rsidRPr="00886FD2">
        <w:rPr>
          <w:rFonts w:eastAsia="Times New Roman"/>
          <w:sz w:val="24"/>
          <w:szCs w:val="24"/>
        </w:rPr>
        <w:lastRenderedPageBreak/>
        <w:t xml:space="preserve">The financial performance of Hilton is showing an upward trend from 2021 to 2025 due to the global recovery of the hospitality industry from COVID-19. The scenario of international tourism, corporate travel, and group events improved because of which their revenue, operating profit, EBITDA and the earning per share consistently went up. The improvement in gross profit margin from 88.3% to 90.9% illustrates the strength of the company’s asset-light business model, whereby franchise and management fee income is high-margin. The total asset turnover has increased from 0.38 to 0.72 indicating the better utilisation of the assets (Pratama, and </w:t>
      </w:r>
      <w:proofErr w:type="spellStart"/>
      <w:r w:rsidRPr="00886FD2">
        <w:rPr>
          <w:rFonts w:eastAsia="Times New Roman"/>
          <w:sz w:val="24"/>
          <w:szCs w:val="24"/>
        </w:rPr>
        <w:t>Makaliwe</w:t>
      </w:r>
      <w:proofErr w:type="spellEnd"/>
      <w:r w:rsidRPr="00886FD2">
        <w:rPr>
          <w:rFonts w:eastAsia="Times New Roman"/>
          <w:sz w:val="24"/>
          <w:szCs w:val="24"/>
        </w:rPr>
        <w:t>, 2025). In contrast to rivals Marriott International and Hyatt Hotels, Hilton benefitted from an expanding global pipeline that limited capital expenditure by way of franchising. Leverage kept rising, and the debt ratio rose to 1.32 on account of continuing share repurchases and debt financing (</w:t>
      </w:r>
      <w:proofErr w:type="spellStart"/>
      <w:r w:rsidRPr="00886FD2">
        <w:rPr>
          <w:rFonts w:eastAsia="Times New Roman"/>
          <w:sz w:val="24"/>
          <w:szCs w:val="24"/>
        </w:rPr>
        <w:t>Garbelli</w:t>
      </w:r>
      <w:proofErr w:type="spellEnd"/>
      <w:r w:rsidRPr="00886FD2">
        <w:rPr>
          <w:rFonts w:eastAsia="Times New Roman"/>
          <w:sz w:val="24"/>
          <w:szCs w:val="24"/>
        </w:rPr>
        <w:t xml:space="preserve">, 2025). </w:t>
      </w:r>
    </w:p>
    <w:p w14:paraId="00000017" w14:textId="77777777" w:rsidR="00E36F9D" w:rsidRPr="00886FD2" w:rsidRDefault="00B94DE4">
      <w:pPr>
        <w:spacing w:after="200" w:line="360" w:lineRule="auto"/>
        <w:jc w:val="both"/>
        <w:rPr>
          <w:rFonts w:eastAsia="Times New Roman"/>
          <w:b/>
          <w:bCs/>
          <w:sz w:val="24"/>
          <w:szCs w:val="24"/>
        </w:rPr>
      </w:pPr>
      <w:r w:rsidRPr="00886FD2">
        <w:rPr>
          <w:rFonts w:eastAsia="Times New Roman"/>
          <w:b/>
          <w:bCs/>
          <w:sz w:val="24"/>
          <w:szCs w:val="24"/>
        </w:rPr>
        <w:t xml:space="preserve">Strengths </w:t>
      </w:r>
    </w:p>
    <w:p w14:paraId="00000018" w14:textId="59935441" w:rsidR="00E36F9D" w:rsidRPr="00886FD2" w:rsidRDefault="00B94DE4">
      <w:pPr>
        <w:spacing w:after="200" w:line="360" w:lineRule="auto"/>
        <w:jc w:val="both"/>
        <w:rPr>
          <w:rFonts w:eastAsia="Times New Roman"/>
          <w:sz w:val="24"/>
          <w:szCs w:val="24"/>
        </w:rPr>
      </w:pPr>
      <w:r w:rsidRPr="00886FD2">
        <w:rPr>
          <w:rFonts w:eastAsia="Times New Roman"/>
          <w:sz w:val="24"/>
          <w:szCs w:val="24"/>
        </w:rPr>
        <w:t>Requiring a relatively low level of capital expenditure is a strength of Hilton that highlights their asset-light operating model, highly profitable results in strong margins. By the year 2025, the gross profit margin surpassed 90%, and the EBITDA margin withstood at 24.5%. The company also delivered consistent earnings per share growth (up from US$1.46 to US$6.12), backed by regions’ greater franchise operations and share buyback programmes (TĂTĂRANU et al., 2025). Despite economic uncertainty, Hilton continued to hold a solid cash position. Accordingly, the company is investing in digital guest experiences, loyalty programmes, new hotel openings, and rewarding shareholders.</w:t>
      </w:r>
    </w:p>
    <w:p w14:paraId="00000019" w14:textId="77777777" w:rsidR="00E36F9D" w:rsidRPr="00886FD2" w:rsidRDefault="00B94DE4">
      <w:pPr>
        <w:spacing w:after="200" w:line="360" w:lineRule="auto"/>
        <w:jc w:val="both"/>
        <w:rPr>
          <w:rFonts w:eastAsia="Times New Roman"/>
          <w:b/>
          <w:bCs/>
          <w:sz w:val="24"/>
          <w:szCs w:val="24"/>
        </w:rPr>
      </w:pPr>
      <w:r w:rsidRPr="00886FD2">
        <w:rPr>
          <w:rFonts w:eastAsia="Times New Roman"/>
          <w:b/>
          <w:bCs/>
          <w:sz w:val="24"/>
          <w:szCs w:val="24"/>
        </w:rPr>
        <w:t xml:space="preserve">Threats </w:t>
      </w:r>
    </w:p>
    <w:p w14:paraId="0000001A" w14:textId="77777777" w:rsidR="00E36F9D" w:rsidRPr="00886FD2" w:rsidRDefault="00B94DE4">
      <w:pPr>
        <w:spacing w:after="200" w:line="360" w:lineRule="auto"/>
        <w:jc w:val="both"/>
        <w:rPr>
          <w:rFonts w:eastAsia="Times New Roman"/>
          <w:sz w:val="24"/>
          <w:szCs w:val="24"/>
        </w:rPr>
      </w:pPr>
      <w:r w:rsidRPr="00886FD2">
        <w:rPr>
          <w:rFonts w:eastAsia="Times New Roman"/>
          <w:sz w:val="24"/>
          <w:szCs w:val="24"/>
        </w:rPr>
        <w:t xml:space="preserve">Even though Hilton has performed well financially, it has various financial and operational risks. The firm’s debt ratio climbed from 1.05 to 1.32. Negative equity shows that the firm has bought back shares but partly borrowed for repurchases. Interest expenses have already gone up due to rising interest rates globally. This may eat into the profitability going ahead if refinancing costs remain high (TĂTĂRANU et al., 2025). Liquidity continues to be relatively weak, with the current standing of the ratio at 0.67, indicating dependence on the continuous generation of cash. Hilton is susceptible to the economic slowdown which reduces discretionary travel spending. Labour shortages in the hospitality industry continues to see rising costs due to </w:t>
      </w:r>
      <w:r w:rsidRPr="00886FD2">
        <w:rPr>
          <w:rFonts w:eastAsia="Times New Roman"/>
          <w:sz w:val="24"/>
          <w:szCs w:val="24"/>
        </w:rPr>
        <w:lastRenderedPageBreak/>
        <w:t xml:space="preserve">geopolitical tensions (Pratama, and </w:t>
      </w:r>
      <w:proofErr w:type="spellStart"/>
      <w:r w:rsidRPr="00886FD2">
        <w:rPr>
          <w:rFonts w:eastAsia="Times New Roman"/>
          <w:sz w:val="24"/>
          <w:szCs w:val="24"/>
        </w:rPr>
        <w:t>Makaliwe</w:t>
      </w:r>
      <w:proofErr w:type="spellEnd"/>
      <w:r w:rsidRPr="00886FD2">
        <w:rPr>
          <w:rFonts w:eastAsia="Times New Roman"/>
          <w:sz w:val="24"/>
          <w:szCs w:val="24"/>
        </w:rPr>
        <w:t>, 2025). Personalising guest experiences will continue to raise consumer expectations related to sustainability, digital services (</w:t>
      </w:r>
      <w:proofErr w:type="spellStart"/>
      <w:r w:rsidRPr="00886FD2">
        <w:rPr>
          <w:rFonts w:eastAsia="Times New Roman"/>
          <w:sz w:val="24"/>
          <w:szCs w:val="24"/>
        </w:rPr>
        <w:t>Mičieta</w:t>
      </w:r>
      <w:proofErr w:type="spellEnd"/>
      <w:r w:rsidRPr="00886FD2">
        <w:rPr>
          <w:rFonts w:eastAsia="Times New Roman"/>
          <w:sz w:val="24"/>
          <w:szCs w:val="24"/>
        </w:rPr>
        <w:t xml:space="preserve"> et al., 2025). Changing market trends in Hilton lead to adapting competitive positions to improve their financial performance.</w:t>
      </w:r>
    </w:p>
    <w:p w14:paraId="0000001B" w14:textId="77777777" w:rsidR="00E36F9D" w:rsidRPr="00886FD2" w:rsidRDefault="00B94DE4" w:rsidP="00EA21F4">
      <w:pPr>
        <w:pStyle w:val="Heading2"/>
      </w:pPr>
      <w:bookmarkStart w:id="10" w:name="_Toc235207146"/>
      <w:bookmarkStart w:id="11" w:name="_Toc235207371"/>
      <w:r w:rsidRPr="00886FD2">
        <w:t>2.4 Comparison</w:t>
      </w:r>
      <w:bookmarkEnd w:id="10"/>
      <w:bookmarkEnd w:id="11"/>
    </w:p>
    <w:p w14:paraId="0000001C" w14:textId="73C15846" w:rsidR="00E36F9D" w:rsidRPr="00886FD2" w:rsidRDefault="00B94DE4">
      <w:pPr>
        <w:spacing w:after="200" w:line="360" w:lineRule="auto"/>
        <w:jc w:val="both"/>
        <w:rPr>
          <w:rFonts w:eastAsia="Times New Roman"/>
          <w:sz w:val="24"/>
          <w:szCs w:val="24"/>
        </w:rPr>
      </w:pPr>
      <w:r w:rsidRPr="00886FD2">
        <w:rPr>
          <w:rFonts w:eastAsia="Times New Roman"/>
          <w:sz w:val="24"/>
          <w:szCs w:val="24"/>
        </w:rPr>
        <w:t xml:space="preserve">The liquidity position of Hilton is a bit mixed versus what is very common in the hospitality industry. The company’s current ratio dropped from 0.95 in 2021 to 0.67 in 2025, remaining low from the generally acceptable range of 1.0-1.5 for lodging and hotel companies. The evidence suggests Hilton has a </w:t>
      </w:r>
      <w:r w:rsidR="006E55C7" w:rsidRPr="00886FD2">
        <w:rPr>
          <w:rFonts w:eastAsia="Times New Roman"/>
          <w:sz w:val="24"/>
          <w:szCs w:val="24"/>
        </w:rPr>
        <w:t>lower current asset</w:t>
      </w:r>
      <w:r w:rsidRPr="00886FD2">
        <w:rPr>
          <w:rFonts w:eastAsia="Times New Roman"/>
          <w:sz w:val="24"/>
          <w:szCs w:val="24"/>
        </w:rPr>
        <w:t xml:space="preserve"> to current liabilities ratio than that of several other firms. Competitors such as Marriott International and Hyatt Hotels have reported current ratios below 1.0 in recent years that reflect the asset-light nature of major global hotel chains that depend on fairly certain cash inflows across capital balances (Lussi et al., 2023). Thus, the relatively low current ratio of Hilton is not surprising within the industry, although access to short-term liquidity could be limited.</w:t>
      </w:r>
    </w:p>
    <w:p w14:paraId="0000001D" w14:textId="77777777" w:rsidR="00E36F9D" w:rsidRPr="00886FD2" w:rsidRDefault="00B94DE4">
      <w:pPr>
        <w:spacing w:after="200" w:line="360" w:lineRule="auto"/>
        <w:jc w:val="both"/>
        <w:rPr>
          <w:rFonts w:eastAsia="Times New Roman"/>
          <w:sz w:val="24"/>
          <w:szCs w:val="24"/>
        </w:rPr>
      </w:pPr>
      <w:r w:rsidRPr="00886FD2">
        <w:rPr>
          <w:rFonts w:eastAsia="Times New Roman"/>
          <w:sz w:val="24"/>
          <w:szCs w:val="24"/>
        </w:rPr>
        <w:t xml:space="preserve">On the contrary, Hilton’s cash ratio remained exceptionally robust, within a range of 3.5 to 5.1, which is significantly higher than that of its peers in the hospitality industry, which is approximately 0.2 to 0.5. This suggests that the company has high reserves of cash which are capable of covering current liabilities a few times over without having to rely on the receivables or other current assets (Nworie et al., 2023). The performance is stronger than many competitors and illustrates effective cash management and strong generation of operating cash. </w:t>
      </w:r>
    </w:p>
    <w:p w14:paraId="0000001E" w14:textId="6CAE8C41" w:rsidR="00E36F9D" w:rsidRPr="00886FD2" w:rsidRDefault="00B94DE4">
      <w:pPr>
        <w:spacing w:after="200" w:line="360" w:lineRule="auto"/>
        <w:jc w:val="both"/>
        <w:rPr>
          <w:rFonts w:eastAsia="Times New Roman"/>
          <w:sz w:val="24"/>
          <w:szCs w:val="24"/>
        </w:rPr>
      </w:pPr>
      <w:r w:rsidRPr="00886FD2">
        <w:rPr>
          <w:rFonts w:eastAsia="Times New Roman"/>
          <w:sz w:val="24"/>
          <w:szCs w:val="24"/>
        </w:rPr>
        <w:t>The firm seems set to cope with short-term liquidity needs as well as uncertainty in the global economy compared to many firms in the global hospitality sector.</w:t>
      </w:r>
    </w:p>
    <w:p w14:paraId="46A97789" w14:textId="77777777" w:rsidR="00351E7F" w:rsidRPr="00886FD2" w:rsidRDefault="00351E7F" w:rsidP="00351E7F">
      <w:pPr>
        <w:pStyle w:val="Heading1"/>
        <w:rPr>
          <w:b w:val="0"/>
        </w:rPr>
      </w:pPr>
      <w:bookmarkStart w:id="12" w:name="_kso3bse5cbsz" w:colFirst="0" w:colLast="0"/>
      <w:bookmarkStart w:id="13" w:name="_Toc235207147"/>
      <w:bookmarkStart w:id="14" w:name="_Toc235207372"/>
      <w:bookmarkEnd w:id="12"/>
      <w:r w:rsidRPr="00886FD2">
        <w:t>3. Working Capital Management Analysis</w:t>
      </w:r>
      <w:bookmarkEnd w:id="13"/>
      <w:bookmarkEnd w:id="14"/>
    </w:p>
    <w:p w14:paraId="6E5B9F01" w14:textId="77777777" w:rsidR="00351E7F" w:rsidRPr="00886FD2" w:rsidRDefault="00351E7F" w:rsidP="00351E7F">
      <w:pPr>
        <w:pStyle w:val="Heading2"/>
      </w:pPr>
      <w:bookmarkStart w:id="15" w:name="_88kwp2xcv25k" w:colFirst="0" w:colLast="0"/>
      <w:bookmarkStart w:id="16" w:name="_Toc235207148"/>
      <w:bookmarkStart w:id="17" w:name="_Toc235207373"/>
      <w:bookmarkEnd w:id="15"/>
      <w:r w:rsidRPr="00886FD2">
        <w:t>3.1 Assessment of the Cash Operating Cycle</w:t>
      </w:r>
      <w:bookmarkEnd w:id="16"/>
      <w:bookmarkEnd w:id="17"/>
    </w:p>
    <w:p w14:paraId="4BEFDA34" w14:textId="77777777" w:rsidR="00351E7F" w:rsidRPr="00886FD2" w:rsidRDefault="00351E7F" w:rsidP="00351E7F">
      <w:pPr>
        <w:spacing w:after="200" w:line="360" w:lineRule="auto"/>
        <w:jc w:val="both"/>
        <w:rPr>
          <w:rFonts w:eastAsia="Times New Roman"/>
          <w:sz w:val="24"/>
          <w:szCs w:val="24"/>
        </w:rPr>
      </w:pPr>
      <w:r w:rsidRPr="00886FD2">
        <w:rPr>
          <w:rFonts w:eastAsia="Times New Roman"/>
          <w:sz w:val="24"/>
          <w:szCs w:val="24"/>
        </w:rPr>
        <w:t xml:space="preserve">Working capital management closely examines how effectively an organisation manages its short-term assets and liabilities to manage their liquidity while supporting the daily operations (Ashfaq et al., 2025).  The Cash Conversion Cycle (CCC) model is an established framework which analyses this effectiveness through measuring the </w:t>
      </w:r>
      <w:r w:rsidRPr="00886FD2">
        <w:rPr>
          <w:rFonts w:eastAsia="Times New Roman"/>
          <w:sz w:val="24"/>
          <w:szCs w:val="24"/>
        </w:rPr>
        <w:lastRenderedPageBreak/>
        <w:t xml:space="preserve">time required to convert working capital into cash. Table 1 presents Hilton World wide’s cash operating cycle between 2021 and 2025. </w:t>
      </w:r>
    </w:p>
    <w:tbl>
      <w:tblPr>
        <w:tblW w:w="8985" w:type="dxa"/>
        <w:tblBorders>
          <w:top w:val="nil"/>
          <w:left w:val="nil"/>
          <w:bottom w:val="nil"/>
          <w:right w:val="nil"/>
          <w:insideH w:val="nil"/>
          <w:insideV w:val="nil"/>
        </w:tblBorders>
        <w:tblLayout w:type="fixed"/>
        <w:tblLook w:val="0600" w:firstRow="0" w:lastRow="0" w:firstColumn="0" w:lastColumn="0" w:noHBand="1" w:noVBand="1"/>
      </w:tblPr>
      <w:tblGrid>
        <w:gridCol w:w="2115"/>
        <w:gridCol w:w="2310"/>
        <w:gridCol w:w="915"/>
        <w:gridCol w:w="915"/>
        <w:gridCol w:w="915"/>
        <w:gridCol w:w="915"/>
        <w:gridCol w:w="900"/>
      </w:tblGrid>
      <w:tr w:rsidR="00351E7F" w:rsidRPr="00886FD2" w14:paraId="616C9FAB" w14:textId="77777777" w:rsidTr="002E3A2B">
        <w:trPr>
          <w:trHeight w:val="515"/>
        </w:trPr>
        <w:tc>
          <w:tcPr>
            <w:tcW w:w="2115" w:type="dxa"/>
            <w:tcBorders>
              <w:top w:val="single" w:sz="7" w:space="0" w:color="000000"/>
              <w:left w:val="single" w:sz="7" w:space="0" w:color="000000"/>
              <w:bottom w:val="single" w:sz="7" w:space="0" w:color="000000"/>
              <w:right w:val="single" w:sz="7" w:space="0" w:color="000000"/>
            </w:tcBorders>
            <w:shd w:val="clear" w:color="auto" w:fill="D9EAD3"/>
            <w:tcMar>
              <w:top w:w="100" w:type="dxa"/>
              <w:left w:w="100" w:type="dxa"/>
              <w:bottom w:w="100" w:type="dxa"/>
              <w:right w:w="100" w:type="dxa"/>
            </w:tcMar>
          </w:tcPr>
          <w:p w14:paraId="4B92EC02" w14:textId="77777777" w:rsidR="00351E7F" w:rsidRPr="00886FD2" w:rsidRDefault="00351E7F" w:rsidP="002E3A2B">
            <w:pPr>
              <w:spacing w:after="200" w:line="360" w:lineRule="auto"/>
              <w:jc w:val="both"/>
              <w:rPr>
                <w:rFonts w:eastAsia="Times New Roman"/>
                <w:b/>
                <w:bCs/>
                <w:sz w:val="24"/>
                <w:szCs w:val="24"/>
              </w:rPr>
            </w:pPr>
            <w:r w:rsidRPr="00886FD2">
              <w:rPr>
                <w:rFonts w:eastAsia="Times New Roman"/>
                <w:b/>
                <w:bCs/>
                <w:sz w:val="24"/>
                <w:szCs w:val="24"/>
              </w:rPr>
              <w:t>Particulars</w:t>
            </w:r>
          </w:p>
        </w:tc>
        <w:tc>
          <w:tcPr>
            <w:tcW w:w="2310" w:type="dxa"/>
            <w:tcBorders>
              <w:top w:val="single" w:sz="7" w:space="0" w:color="000000"/>
              <w:left w:val="nil"/>
              <w:bottom w:val="single" w:sz="7" w:space="0" w:color="000000"/>
              <w:right w:val="single" w:sz="7" w:space="0" w:color="000000"/>
            </w:tcBorders>
            <w:shd w:val="clear" w:color="auto" w:fill="D9EAD3"/>
            <w:tcMar>
              <w:top w:w="100" w:type="dxa"/>
              <w:left w:w="100" w:type="dxa"/>
              <w:bottom w:w="100" w:type="dxa"/>
              <w:right w:w="100" w:type="dxa"/>
            </w:tcMar>
          </w:tcPr>
          <w:p w14:paraId="5E74F0E0" w14:textId="77777777" w:rsidR="00351E7F" w:rsidRPr="00886FD2" w:rsidRDefault="00351E7F" w:rsidP="002E3A2B">
            <w:pPr>
              <w:spacing w:after="200" w:line="360" w:lineRule="auto"/>
              <w:jc w:val="both"/>
              <w:rPr>
                <w:rFonts w:eastAsia="Times New Roman"/>
                <w:b/>
                <w:bCs/>
                <w:sz w:val="24"/>
                <w:szCs w:val="24"/>
              </w:rPr>
            </w:pPr>
            <w:r w:rsidRPr="00886FD2">
              <w:rPr>
                <w:rFonts w:eastAsia="Times New Roman"/>
                <w:b/>
                <w:bCs/>
                <w:sz w:val="24"/>
                <w:szCs w:val="24"/>
              </w:rPr>
              <w:t>Formula</w:t>
            </w:r>
          </w:p>
        </w:tc>
        <w:tc>
          <w:tcPr>
            <w:tcW w:w="915" w:type="dxa"/>
            <w:tcBorders>
              <w:top w:val="single" w:sz="7" w:space="0" w:color="000000"/>
              <w:left w:val="nil"/>
              <w:bottom w:val="single" w:sz="7" w:space="0" w:color="000000"/>
              <w:right w:val="single" w:sz="7" w:space="0" w:color="000000"/>
            </w:tcBorders>
            <w:shd w:val="clear" w:color="auto" w:fill="D9EAD3"/>
            <w:tcMar>
              <w:top w:w="100" w:type="dxa"/>
              <w:left w:w="100" w:type="dxa"/>
              <w:bottom w:w="100" w:type="dxa"/>
              <w:right w:w="100" w:type="dxa"/>
            </w:tcMar>
          </w:tcPr>
          <w:p w14:paraId="4749ADA5" w14:textId="77777777" w:rsidR="00351E7F" w:rsidRPr="00886FD2" w:rsidRDefault="00351E7F" w:rsidP="002E3A2B">
            <w:pPr>
              <w:spacing w:after="200" w:line="360" w:lineRule="auto"/>
              <w:jc w:val="both"/>
              <w:rPr>
                <w:rFonts w:eastAsia="Times New Roman"/>
                <w:b/>
                <w:bCs/>
                <w:sz w:val="24"/>
                <w:szCs w:val="24"/>
              </w:rPr>
            </w:pPr>
            <w:r w:rsidRPr="00886FD2">
              <w:rPr>
                <w:rFonts w:eastAsia="Times New Roman"/>
                <w:b/>
                <w:bCs/>
                <w:sz w:val="24"/>
                <w:szCs w:val="24"/>
              </w:rPr>
              <w:t>2021</w:t>
            </w:r>
          </w:p>
        </w:tc>
        <w:tc>
          <w:tcPr>
            <w:tcW w:w="915" w:type="dxa"/>
            <w:tcBorders>
              <w:top w:val="single" w:sz="7" w:space="0" w:color="000000"/>
              <w:left w:val="nil"/>
              <w:bottom w:val="single" w:sz="7" w:space="0" w:color="000000"/>
              <w:right w:val="single" w:sz="7" w:space="0" w:color="000000"/>
            </w:tcBorders>
            <w:shd w:val="clear" w:color="auto" w:fill="D9EAD3"/>
            <w:tcMar>
              <w:top w:w="100" w:type="dxa"/>
              <w:left w:w="100" w:type="dxa"/>
              <w:bottom w:w="100" w:type="dxa"/>
              <w:right w:w="100" w:type="dxa"/>
            </w:tcMar>
          </w:tcPr>
          <w:p w14:paraId="70977ED6" w14:textId="77777777" w:rsidR="00351E7F" w:rsidRPr="00886FD2" w:rsidRDefault="00351E7F" w:rsidP="002E3A2B">
            <w:pPr>
              <w:spacing w:after="200" w:line="360" w:lineRule="auto"/>
              <w:jc w:val="both"/>
              <w:rPr>
                <w:rFonts w:eastAsia="Times New Roman"/>
                <w:b/>
                <w:bCs/>
                <w:sz w:val="24"/>
                <w:szCs w:val="24"/>
              </w:rPr>
            </w:pPr>
            <w:r w:rsidRPr="00886FD2">
              <w:rPr>
                <w:rFonts w:eastAsia="Times New Roman"/>
                <w:b/>
                <w:bCs/>
                <w:sz w:val="24"/>
                <w:szCs w:val="24"/>
              </w:rPr>
              <w:t>2022</w:t>
            </w:r>
          </w:p>
        </w:tc>
        <w:tc>
          <w:tcPr>
            <w:tcW w:w="915" w:type="dxa"/>
            <w:tcBorders>
              <w:top w:val="single" w:sz="7" w:space="0" w:color="000000"/>
              <w:left w:val="nil"/>
              <w:bottom w:val="single" w:sz="7" w:space="0" w:color="000000"/>
              <w:right w:val="single" w:sz="7" w:space="0" w:color="000000"/>
            </w:tcBorders>
            <w:shd w:val="clear" w:color="auto" w:fill="D9EAD3"/>
            <w:tcMar>
              <w:top w:w="100" w:type="dxa"/>
              <w:left w:w="100" w:type="dxa"/>
              <w:bottom w:w="100" w:type="dxa"/>
              <w:right w:w="100" w:type="dxa"/>
            </w:tcMar>
          </w:tcPr>
          <w:p w14:paraId="7EE9C728" w14:textId="77777777" w:rsidR="00351E7F" w:rsidRPr="00886FD2" w:rsidRDefault="00351E7F" w:rsidP="002E3A2B">
            <w:pPr>
              <w:spacing w:after="200" w:line="360" w:lineRule="auto"/>
              <w:jc w:val="both"/>
              <w:rPr>
                <w:rFonts w:eastAsia="Times New Roman"/>
                <w:b/>
                <w:bCs/>
                <w:sz w:val="24"/>
                <w:szCs w:val="24"/>
              </w:rPr>
            </w:pPr>
            <w:r w:rsidRPr="00886FD2">
              <w:rPr>
                <w:rFonts w:eastAsia="Times New Roman"/>
                <w:b/>
                <w:bCs/>
                <w:sz w:val="24"/>
                <w:szCs w:val="24"/>
              </w:rPr>
              <w:t>2023</w:t>
            </w:r>
          </w:p>
        </w:tc>
        <w:tc>
          <w:tcPr>
            <w:tcW w:w="915" w:type="dxa"/>
            <w:tcBorders>
              <w:top w:val="single" w:sz="7" w:space="0" w:color="000000"/>
              <w:left w:val="nil"/>
              <w:bottom w:val="single" w:sz="7" w:space="0" w:color="000000"/>
              <w:right w:val="single" w:sz="7" w:space="0" w:color="000000"/>
            </w:tcBorders>
            <w:shd w:val="clear" w:color="auto" w:fill="D9EAD3"/>
            <w:tcMar>
              <w:top w:w="100" w:type="dxa"/>
              <w:left w:w="100" w:type="dxa"/>
              <w:bottom w:w="100" w:type="dxa"/>
              <w:right w:w="100" w:type="dxa"/>
            </w:tcMar>
          </w:tcPr>
          <w:p w14:paraId="698A4DA1" w14:textId="77777777" w:rsidR="00351E7F" w:rsidRPr="00886FD2" w:rsidRDefault="00351E7F" w:rsidP="002E3A2B">
            <w:pPr>
              <w:spacing w:after="200" w:line="360" w:lineRule="auto"/>
              <w:jc w:val="both"/>
              <w:rPr>
                <w:rFonts w:eastAsia="Times New Roman"/>
                <w:b/>
                <w:bCs/>
                <w:sz w:val="24"/>
                <w:szCs w:val="24"/>
              </w:rPr>
            </w:pPr>
            <w:r w:rsidRPr="00886FD2">
              <w:rPr>
                <w:rFonts w:eastAsia="Times New Roman"/>
                <w:b/>
                <w:bCs/>
                <w:sz w:val="24"/>
                <w:szCs w:val="24"/>
              </w:rPr>
              <w:t>2024</w:t>
            </w:r>
          </w:p>
        </w:tc>
        <w:tc>
          <w:tcPr>
            <w:tcW w:w="900" w:type="dxa"/>
            <w:tcBorders>
              <w:top w:val="single" w:sz="7" w:space="0" w:color="000000"/>
              <w:left w:val="nil"/>
              <w:bottom w:val="single" w:sz="7" w:space="0" w:color="000000"/>
              <w:right w:val="single" w:sz="7" w:space="0" w:color="000000"/>
            </w:tcBorders>
            <w:shd w:val="clear" w:color="auto" w:fill="D9EAD3"/>
            <w:tcMar>
              <w:top w:w="100" w:type="dxa"/>
              <w:left w:w="100" w:type="dxa"/>
              <w:bottom w:w="100" w:type="dxa"/>
              <w:right w:w="100" w:type="dxa"/>
            </w:tcMar>
          </w:tcPr>
          <w:p w14:paraId="79D0FC51" w14:textId="77777777" w:rsidR="00351E7F" w:rsidRPr="00886FD2" w:rsidRDefault="00351E7F" w:rsidP="002E3A2B">
            <w:pPr>
              <w:spacing w:after="200" w:line="360" w:lineRule="auto"/>
              <w:jc w:val="both"/>
              <w:rPr>
                <w:rFonts w:eastAsia="Times New Roman"/>
                <w:b/>
                <w:bCs/>
                <w:sz w:val="24"/>
                <w:szCs w:val="24"/>
              </w:rPr>
            </w:pPr>
            <w:r w:rsidRPr="00886FD2">
              <w:rPr>
                <w:rFonts w:eastAsia="Times New Roman"/>
                <w:b/>
                <w:bCs/>
                <w:sz w:val="24"/>
                <w:szCs w:val="24"/>
              </w:rPr>
              <w:t>2025</w:t>
            </w:r>
          </w:p>
        </w:tc>
      </w:tr>
      <w:tr w:rsidR="00351E7F" w:rsidRPr="00886FD2" w14:paraId="00F83495" w14:textId="77777777" w:rsidTr="002E3A2B">
        <w:trPr>
          <w:trHeight w:val="515"/>
        </w:trPr>
        <w:tc>
          <w:tcPr>
            <w:tcW w:w="4425" w:type="dxa"/>
            <w:gridSpan w:val="2"/>
            <w:tcBorders>
              <w:top w:val="single" w:sz="7" w:space="0" w:color="000000"/>
              <w:left w:val="single" w:sz="7" w:space="0" w:color="000000"/>
              <w:bottom w:val="single" w:sz="7" w:space="0" w:color="000000"/>
              <w:right w:val="single" w:sz="7" w:space="0" w:color="000000"/>
            </w:tcBorders>
            <w:tcMar>
              <w:top w:w="100" w:type="dxa"/>
              <w:left w:w="100" w:type="dxa"/>
              <w:bottom w:w="100" w:type="dxa"/>
              <w:right w:w="100" w:type="dxa"/>
            </w:tcMar>
          </w:tcPr>
          <w:p w14:paraId="1F3640DC" w14:textId="77777777" w:rsidR="00351E7F" w:rsidRPr="00886FD2" w:rsidRDefault="00351E7F" w:rsidP="002E3A2B">
            <w:pPr>
              <w:spacing w:after="200" w:line="360" w:lineRule="auto"/>
              <w:jc w:val="both"/>
              <w:rPr>
                <w:rFonts w:eastAsia="Times New Roman"/>
                <w:sz w:val="24"/>
                <w:szCs w:val="24"/>
              </w:rPr>
            </w:pPr>
            <w:r w:rsidRPr="00886FD2">
              <w:rPr>
                <w:rFonts w:eastAsia="Times New Roman"/>
                <w:sz w:val="24"/>
                <w:szCs w:val="24"/>
              </w:rPr>
              <w:t>Revenue</w:t>
            </w:r>
          </w:p>
        </w:tc>
        <w:tc>
          <w:tcPr>
            <w:tcW w:w="915" w:type="dxa"/>
            <w:tcBorders>
              <w:top w:val="nil"/>
              <w:left w:val="nil"/>
              <w:bottom w:val="single" w:sz="7" w:space="0" w:color="000000"/>
              <w:right w:val="single" w:sz="7" w:space="0" w:color="000000"/>
            </w:tcBorders>
            <w:tcMar>
              <w:top w:w="100" w:type="dxa"/>
              <w:left w:w="100" w:type="dxa"/>
              <w:bottom w:w="100" w:type="dxa"/>
              <w:right w:w="100" w:type="dxa"/>
            </w:tcMar>
          </w:tcPr>
          <w:p w14:paraId="7F62F44F" w14:textId="77777777" w:rsidR="00351E7F" w:rsidRPr="00886FD2" w:rsidRDefault="00351E7F" w:rsidP="002E3A2B">
            <w:pPr>
              <w:spacing w:after="200" w:line="360" w:lineRule="auto"/>
              <w:jc w:val="both"/>
              <w:rPr>
                <w:rFonts w:eastAsia="Times New Roman"/>
                <w:sz w:val="24"/>
                <w:szCs w:val="24"/>
              </w:rPr>
            </w:pPr>
            <w:r w:rsidRPr="00886FD2">
              <w:rPr>
                <w:rFonts w:eastAsia="Times New Roman"/>
                <w:sz w:val="24"/>
                <w:szCs w:val="24"/>
              </w:rPr>
              <w:t>5,788</w:t>
            </w:r>
          </w:p>
        </w:tc>
        <w:tc>
          <w:tcPr>
            <w:tcW w:w="915" w:type="dxa"/>
            <w:tcBorders>
              <w:top w:val="nil"/>
              <w:left w:val="nil"/>
              <w:bottom w:val="single" w:sz="7" w:space="0" w:color="000000"/>
              <w:right w:val="single" w:sz="7" w:space="0" w:color="000000"/>
            </w:tcBorders>
            <w:tcMar>
              <w:top w:w="100" w:type="dxa"/>
              <w:left w:w="100" w:type="dxa"/>
              <w:bottom w:w="100" w:type="dxa"/>
              <w:right w:w="100" w:type="dxa"/>
            </w:tcMar>
          </w:tcPr>
          <w:p w14:paraId="12438A57" w14:textId="77777777" w:rsidR="00351E7F" w:rsidRPr="00886FD2" w:rsidRDefault="00351E7F" w:rsidP="002E3A2B">
            <w:pPr>
              <w:spacing w:after="200" w:line="360" w:lineRule="auto"/>
              <w:jc w:val="both"/>
              <w:rPr>
                <w:rFonts w:eastAsia="Times New Roman"/>
                <w:sz w:val="24"/>
                <w:szCs w:val="24"/>
              </w:rPr>
            </w:pPr>
            <w:r w:rsidRPr="00886FD2">
              <w:rPr>
                <w:rFonts w:eastAsia="Times New Roman"/>
                <w:sz w:val="24"/>
                <w:szCs w:val="24"/>
              </w:rPr>
              <w:t>8,773</w:t>
            </w:r>
          </w:p>
        </w:tc>
        <w:tc>
          <w:tcPr>
            <w:tcW w:w="915" w:type="dxa"/>
            <w:tcBorders>
              <w:top w:val="nil"/>
              <w:left w:val="nil"/>
              <w:bottom w:val="single" w:sz="7" w:space="0" w:color="000000"/>
              <w:right w:val="single" w:sz="7" w:space="0" w:color="000000"/>
            </w:tcBorders>
            <w:tcMar>
              <w:top w:w="100" w:type="dxa"/>
              <w:left w:w="100" w:type="dxa"/>
              <w:bottom w:w="100" w:type="dxa"/>
              <w:right w:w="100" w:type="dxa"/>
            </w:tcMar>
          </w:tcPr>
          <w:p w14:paraId="441EE706" w14:textId="77777777" w:rsidR="00351E7F" w:rsidRPr="00886FD2" w:rsidRDefault="00351E7F" w:rsidP="002E3A2B">
            <w:pPr>
              <w:spacing w:after="200" w:line="360" w:lineRule="auto"/>
              <w:jc w:val="both"/>
              <w:rPr>
                <w:rFonts w:eastAsia="Times New Roman"/>
                <w:sz w:val="24"/>
                <w:szCs w:val="24"/>
              </w:rPr>
            </w:pPr>
            <w:r w:rsidRPr="00886FD2">
              <w:rPr>
                <w:rFonts w:eastAsia="Times New Roman"/>
                <w:sz w:val="24"/>
                <w:szCs w:val="24"/>
              </w:rPr>
              <w:t>10,235</w:t>
            </w:r>
          </w:p>
        </w:tc>
        <w:tc>
          <w:tcPr>
            <w:tcW w:w="915" w:type="dxa"/>
            <w:tcBorders>
              <w:top w:val="nil"/>
              <w:left w:val="nil"/>
              <w:bottom w:val="single" w:sz="7" w:space="0" w:color="000000"/>
              <w:right w:val="single" w:sz="7" w:space="0" w:color="000000"/>
            </w:tcBorders>
            <w:tcMar>
              <w:top w:w="100" w:type="dxa"/>
              <w:left w:w="100" w:type="dxa"/>
              <w:bottom w:w="100" w:type="dxa"/>
              <w:right w:w="100" w:type="dxa"/>
            </w:tcMar>
          </w:tcPr>
          <w:p w14:paraId="7091AC97" w14:textId="77777777" w:rsidR="00351E7F" w:rsidRPr="00886FD2" w:rsidRDefault="00351E7F" w:rsidP="002E3A2B">
            <w:pPr>
              <w:spacing w:after="200" w:line="360" w:lineRule="auto"/>
              <w:jc w:val="both"/>
              <w:rPr>
                <w:rFonts w:eastAsia="Times New Roman"/>
                <w:sz w:val="24"/>
                <w:szCs w:val="24"/>
              </w:rPr>
            </w:pPr>
            <w:r w:rsidRPr="00886FD2">
              <w:rPr>
                <w:rFonts w:eastAsia="Times New Roman"/>
                <w:sz w:val="24"/>
                <w:szCs w:val="24"/>
              </w:rPr>
              <w:t>11,174</w:t>
            </w:r>
          </w:p>
        </w:tc>
        <w:tc>
          <w:tcPr>
            <w:tcW w:w="900" w:type="dxa"/>
            <w:tcBorders>
              <w:top w:val="nil"/>
              <w:left w:val="nil"/>
              <w:bottom w:val="single" w:sz="7" w:space="0" w:color="000000"/>
              <w:right w:val="single" w:sz="7" w:space="0" w:color="000000"/>
            </w:tcBorders>
            <w:tcMar>
              <w:top w:w="100" w:type="dxa"/>
              <w:left w:w="100" w:type="dxa"/>
              <w:bottom w:w="100" w:type="dxa"/>
              <w:right w:w="100" w:type="dxa"/>
            </w:tcMar>
          </w:tcPr>
          <w:p w14:paraId="1F970DC6" w14:textId="77777777" w:rsidR="00351E7F" w:rsidRPr="00886FD2" w:rsidRDefault="00351E7F" w:rsidP="002E3A2B">
            <w:pPr>
              <w:spacing w:after="200" w:line="360" w:lineRule="auto"/>
              <w:jc w:val="both"/>
              <w:rPr>
                <w:rFonts w:eastAsia="Times New Roman"/>
                <w:sz w:val="24"/>
                <w:szCs w:val="24"/>
              </w:rPr>
            </w:pPr>
            <w:r w:rsidRPr="00886FD2">
              <w:rPr>
                <w:rFonts w:eastAsia="Times New Roman"/>
                <w:sz w:val="24"/>
                <w:szCs w:val="24"/>
              </w:rPr>
              <w:t>12,039</w:t>
            </w:r>
          </w:p>
        </w:tc>
      </w:tr>
      <w:tr w:rsidR="00351E7F" w:rsidRPr="00886FD2" w14:paraId="124548B0" w14:textId="77777777" w:rsidTr="002E3A2B">
        <w:trPr>
          <w:trHeight w:val="515"/>
        </w:trPr>
        <w:tc>
          <w:tcPr>
            <w:tcW w:w="4425" w:type="dxa"/>
            <w:gridSpan w:val="2"/>
            <w:tcBorders>
              <w:top w:val="single" w:sz="7" w:space="0" w:color="000000"/>
              <w:left w:val="single" w:sz="7" w:space="0" w:color="000000"/>
              <w:bottom w:val="single" w:sz="7" w:space="0" w:color="000000"/>
              <w:right w:val="single" w:sz="7" w:space="0" w:color="000000"/>
            </w:tcBorders>
            <w:tcMar>
              <w:top w:w="100" w:type="dxa"/>
              <w:left w:w="100" w:type="dxa"/>
              <w:bottom w:w="100" w:type="dxa"/>
              <w:right w:w="100" w:type="dxa"/>
            </w:tcMar>
          </w:tcPr>
          <w:p w14:paraId="4D05EED3" w14:textId="77777777" w:rsidR="00351E7F" w:rsidRPr="00886FD2" w:rsidRDefault="00351E7F" w:rsidP="002E3A2B">
            <w:pPr>
              <w:spacing w:after="200" w:line="360" w:lineRule="auto"/>
              <w:jc w:val="both"/>
              <w:rPr>
                <w:rFonts w:eastAsia="Times New Roman"/>
                <w:sz w:val="24"/>
                <w:szCs w:val="24"/>
              </w:rPr>
            </w:pPr>
            <w:r w:rsidRPr="00886FD2">
              <w:rPr>
                <w:rFonts w:eastAsia="Times New Roman"/>
                <w:sz w:val="24"/>
                <w:szCs w:val="24"/>
              </w:rPr>
              <w:t>Accounts Receivable</w:t>
            </w:r>
          </w:p>
        </w:tc>
        <w:tc>
          <w:tcPr>
            <w:tcW w:w="915" w:type="dxa"/>
            <w:tcBorders>
              <w:top w:val="nil"/>
              <w:left w:val="nil"/>
              <w:bottom w:val="single" w:sz="7" w:space="0" w:color="000000"/>
              <w:right w:val="single" w:sz="7" w:space="0" w:color="000000"/>
            </w:tcBorders>
            <w:tcMar>
              <w:top w:w="100" w:type="dxa"/>
              <w:left w:w="100" w:type="dxa"/>
              <w:bottom w:w="100" w:type="dxa"/>
              <w:right w:w="100" w:type="dxa"/>
            </w:tcMar>
          </w:tcPr>
          <w:p w14:paraId="77A8056B" w14:textId="77777777" w:rsidR="00351E7F" w:rsidRPr="00886FD2" w:rsidRDefault="00351E7F" w:rsidP="002E3A2B">
            <w:pPr>
              <w:spacing w:after="200" w:line="360" w:lineRule="auto"/>
              <w:jc w:val="both"/>
              <w:rPr>
                <w:rFonts w:eastAsia="Times New Roman"/>
                <w:sz w:val="24"/>
                <w:szCs w:val="24"/>
              </w:rPr>
            </w:pPr>
            <w:r w:rsidRPr="00886FD2">
              <w:rPr>
                <w:rFonts w:eastAsia="Times New Roman"/>
                <w:sz w:val="24"/>
                <w:szCs w:val="24"/>
              </w:rPr>
              <w:t>1,068</w:t>
            </w:r>
          </w:p>
        </w:tc>
        <w:tc>
          <w:tcPr>
            <w:tcW w:w="915" w:type="dxa"/>
            <w:tcBorders>
              <w:top w:val="nil"/>
              <w:left w:val="nil"/>
              <w:bottom w:val="single" w:sz="7" w:space="0" w:color="000000"/>
              <w:right w:val="single" w:sz="7" w:space="0" w:color="000000"/>
            </w:tcBorders>
            <w:tcMar>
              <w:top w:w="100" w:type="dxa"/>
              <w:left w:w="100" w:type="dxa"/>
              <w:bottom w:w="100" w:type="dxa"/>
              <w:right w:w="100" w:type="dxa"/>
            </w:tcMar>
          </w:tcPr>
          <w:p w14:paraId="03E4CD57" w14:textId="77777777" w:rsidR="00351E7F" w:rsidRPr="00886FD2" w:rsidRDefault="00351E7F" w:rsidP="002E3A2B">
            <w:pPr>
              <w:spacing w:after="200" w:line="360" w:lineRule="auto"/>
              <w:jc w:val="both"/>
              <w:rPr>
                <w:rFonts w:eastAsia="Times New Roman"/>
                <w:sz w:val="24"/>
                <w:szCs w:val="24"/>
              </w:rPr>
            </w:pPr>
            <w:r w:rsidRPr="00886FD2">
              <w:rPr>
                <w:rFonts w:eastAsia="Times New Roman"/>
                <w:sz w:val="24"/>
                <w:szCs w:val="24"/>
              </w:rPr>
              <w:t>1,327</w:t>
            </w:r>
          </w:p>
        </w:tc>
        <w:tc>
          <w:tcPr>
            <w:tcW w:w="915" w:type="dxa"/>
            <w:tcBorders>
              <w:top w:val="nil"/>
              <w:left w:val="nil"/>
              <w:bottom w:val="single" w:sz="7" w:space="0" w:color="000000"/>
              <w:right w:val="single" w:sz="7" w:space="0" w:color="000000"/>
            </w:tcBorders>
            <w:tcMar>
              <w:top w:w="100" w:type="dxa"/>
              <w:left w:w="100" w:type="dxa"/>
              <w:bottom w:w="100" w:type="dxa"/>
              <w:right w:w="100" w:type="dxa"/>
            </w:tcMar>
          </w:tcPr>
          <w:p w14:paraId="7BA632A2" w14:textId="77777777" w:rsidR="00351E7F" w:rsidRPr="00886FD2" w:rsidRDefault="00351E7F" w:rsidP="002E3A2B">
            <w:pPr>
              <w:spacing w:after="200" w:line="360" w:lineRule="auto"/>
              <w:jc w:val="both"/>
              <w:rPr>
                <w:rFonts w:eastAsia="Times New Roman"/>
                <w:sz w:val="24"/>
                <w:szCs w:val="24"/>
              </w:rPr>
            </w:pPr>
            <w:r w:rsidRPr="00886FD2">
              <w:rPr>
                <w:rFonts w:eastAsia="Times New Roman"/>
                <w:sz w:val="24"/>
                <w:szCs w:val="24"/>
              </w:rPr>
              <w:t>1,487</w:t>
            </w:r>
          </w:p>
        </w:tc>
        <w:tc>
          <w:tcPr>
            <w:tcW w:w="915" w:type="dxa"/>
            <w:tcBorders>
              <w:top w:val="nil"/>
              <w:left w:val="nil"/>
              <w:bottom w:val="single" w:sz="7" w:space="0" w:color="000000"/>
              <w:right w:val="single" w:sz="7" w:space="0" w:color="000000"/>
            </w:tcBorders>
            <w:tcMar>
              <w:top w:w="100" w:type="dxa"/>
              <w:left w:w="100" w:type="dxa"/>
              <w:bottom w:w="100" w:type="dxa"/>
              <w:right w:w="100" w:type="dxa"/>
            </w:tcMar>
          </w:tcPr>
          <w:p w14:paraId="31F15B40" w14:textId="77777777" w:rsidR="00351E7F" w:rsidRPr="00886FD2" w:rsidRDefault="00351E7F" w:rsidP="002E3A2B">
            <w:pPr>
              <w:spacing w:after="200" w:line="360" w:lineRule="auto"/>
              <w:jc w:val="both"/>
              <w:rPr>
                <w:rFonts w:eastAsia="Times New Roman"/>
                <w:sz w:val="24"/>
                <w:szCs w:val="24"/>
              </w:rPr>
            </w:pPr>
            <w:r w:rsidRPr="00886FD2">
              <w:rPr>
                <w:rFonts w:eastAsia="Times New Roman"/>
                <w:sz w:val="24"/>
                <w:szCs w:val="24"/>
              </w:rPr>
              <w:t>1,583</w:t>
            </w:r>
          </w:p>
        </w:tc>
        <w:tc>
          <w:tcPr>
            <w:tcW w:w="900" w:type="dxa"/>
            <w:tcBorders>
              <w:top w:val="nil"/>
              <w:left w:val="nil"/>
              <w:bottom w:val="single" w:sz="7" w:space="0" w:color="000000"/>
              <w:right w:val="single" w:sz="7" w:space="0" w:color="000000"/>
            </w:tcBorders>
            <w:tcMar>
              <w:top w:w="100" w:type="dxa"/>
              <w:left w:w="100" w:type="dxa"/>
              <w:bottom w:w="100" w:type="dxa"/>
              <w:right w:w="100" w:type="dxa"/>
            </w:tcMar>
          </w:tcPr>
          <w:p w14:paraId="13467D65" w14:textId="77777777" w:rsidR="00351E7F" w:rsidRPr="00886FD2" w:rsidRDefault="00351E7F" w:rsidP="002E3A2B">
            <w:pPr>
              <w:spacing w:after="200" w:line="360" w:lineRule="auto"/>
              <w:jc w:val="both"/>
              <w:rPr>
                <w:rFonts w:eastAsia="Times New Roman"/>
                <w:sz w:val="24"/>
                <w:szCs w:val="24"/>
              </w:rPr>
            </w:pPr>
            <w:r w:rsidRPr="00886FD2">
              <w:rPr>
                <w:rFonts w:eastAsia="Times New Roman"/>
                <w:sz w:val="24"/>
                <w:szCs w:val="24"/>
              </w:rPr>
              <w:t>1,690</w:t>
            </w:r>
          </w:p>
        </w:tc>
      </w:tr>
      <w:tr w:rsidR="00351E7F" w:rsidRPr="00886FD2" w14:paraId="742232AA" w14:textId="77777777" w:rsidTr="002E3A2B">
        <w:trPr>
          <w:trHeight w:val="515"/>
        </w:trPr>
        <w:tc>
          <w:tcPr>
            <w:tcW w:w="4425" w:type="dxa"/>
            <w:gridSpan w:val="2"/>
            <w:tcBorders>
              <w:top w:val="single" w:sz="7" w:space="0" w:color="000000"/>
              <w:left w:val="single" w:sz="7" w:space="0" w:color="000000"/>
              <w:bottom w:val="single" w:sz="7" w:space="0" w:color="000000"/>
              <w:right w:val="single" w:sz="7" w:space="0" w:color="000000"/>
            </w:tcBorders>
            <w:tcMar>
              <w:top w:w="100" w:type="dxa"/>
              <w:left w:w="100" w:type="dxa"/>
              <w:bottom w:w="100" w:type="dxa"/>
              <w:right w:w="100" w:type="dxa"/>
            </w:tcMar>
          </w:tcPr>
          <w:p w14:paraId="070235DF" w14:textId="77777777" w:rsidR="00351E7F" w:rsidRPr="00886FD2" w:rsidRDefault="00351E7F" w:rsidP="002E3A2B">
            <w:pPr>
              <w:spacing w:after="200" w:line="360" w:lineRule="auto"/>
              <w:jc w:val="both"/>
              <w:rPr>
                <w:rFonts w:eastAsia="Times New Roman"/>
                <w:sz w:val="24"/>
                <w:szCs w:val="24"/>
              </w:rPr>
            </w:pPr>
            <w:r w:rsidRPr="00886FD2">
              <w:rPr>
                <w:rFonts w:eastAsia="Times New Roman"/>
                <w:sz w:val="24"/>
                <w:szCs w:val="24"/>
              </w:rPr>
              <w:t>Inventory</w:t>
            </w:r>
          </w:p>
        </w:tc>
        <w:tc>
          <w:tcPr>
            <w:tcW w:w="915" w:type="dxa"/>
            <w:tcBorders>
              <w:top w:val="nil"/>
              <w:left w:val="nil"/>
              <w:bottom w:val="single" w:sz="7" w:space="0" w:color="000000"/>
              <w:right w:val="single" w:sz="7" w:space="0" w:color="000000"/>
            </w:tcBorders>
            <w:tcMar>
              <w:top w:w="100" w:type="dxa"/>
              <w:left w:w="100" w:type="dxa"/>
              <w:bottom w:w="100" w:type="dxa"/>
              <w:right w:w="100" w:type="dxa"/>
            </w:tcMar>
          </w:tcPr>
          <w:p w14:paraId="7AD96CBF" w14:textId="77777777" w:rsidR="00351E7F" w:rsidRPr="00886FD2" w:rsidRDefault="00351E7F" w:rsidP="002E3A2B">
            <w:pPr>
              <w:spacing w:after="200" w:line="360" w:lineRule="auto"/>
              <w:jc w:val="both"/>
              <w:rPr>
                <w:rFonts w:eastAsia="Times New Roman"/>
                <w:sz w:val="24"/>
                <w:szCs w:val="24"/>
              </w:rPr>
            </w:pPr>
            <w:r w:rsidRPr="00886FD2">
              <w:rPr>
                <w:rFonts w:eastAsia="Times New Roman"/>
                <w:sz w:val="24"/>
                <w:szCs w:val="24"/>
              </w:rPr>
              <w:t>0</w:t>
            </w:r>
          </w:p>
        </w:tc>
        <w:tc>
          <w:tcPr>
            <w:tcW w:w="915" w:type="dxa"/>
            <w:tcBorders>
              <w:top w:val="nil"/>
              <w:left w:val="nil"/>
              <w:bottom w:val="single" w:sz="7" w:space="0" w:color="000000"/>
              <w:right w:val="single" w:sz="7" w:space="0" w:color="000000"/>
            </w:tcBorders>
            <w:tcMar>
              <w:top w:w="100" w:type="dxa"/>
              <w:left w:w="100" w:type="dxa"/>
              <w:bottom w:w="100" w:type="dxa"/>
              <w:right w:w="100" w:type="dxa"/>
            </w:tcMar>
          </w:tcPr>
          <w:p w14:paraId="022DD932" w14:textId="77777777" w:rsidR="00351E7F" w:rsidRPr="00886FD2" w:rsidRDefault="00351E7F" w:rsidP="002E3A2B">
            <w:pPr>
              <w:spacing w:after="200" w:line="360" w:lineRule="auto"/>
              <w:jc w:val="both"/>
              <w:rPr>
                <w:rFonts w:eastAsia="Times New Roman"/>
                <w:sz w:val="24"/>
                <w:szCs w:val="24"/>
              </w:rPr>
            </w:pPr>
            <w:r w:rsidRPr="00886FD2">
              <w:rPr>
                <w:rFonts w:eastAsia="Times New Roman"/>
                <w:sz w:val="24"/>
                <w:szCs w:val="24"/>
              </w:rPr>
              <w:t>0</w:t>
            </w:r>
          </w:p>
        </w:tc>
        <w:tc>
          <w:tcPr>
            <w:tcW w:w="915" w:type="dxa"/>
            <w:tcBorders>
              <w:top w:val="nil"/>
              <w:left w:val="nil"/>
              <w:bottom w:val="single" w:sz="7" w:space="0" w:color="000000"/>
              <w:right w:val="single" w:sz="7" w:space="0" w:color="000000"/>
            </w:tcBorders>
            <w:tcMar>
              <w:top w:w="100" w:type="dxa"/>
              <w:left w:w="100" w:type="dxa"/>
              <w:bottom w:w="100" w:type="dxa"/>
              <w:right w:w="100" w:type="dxa"/>
            </w:tcMar>
          </w:tcPr>
          <w:p w14:paraId="33F205BE" w14:textId="77777777" w:rsidR="00351E7F" w:rsidRPr="00886FD2" w:rsidRDefault="00351E7F" w:rsidP="002E3A2B">
            <w:pPr>
              <w:spacing w:after="200" w:line="360" w:lineRule="auto"/>
              <w:jc w:val="both"/>
              <w:rPr>
                <w:rFonts w:eastAsia="Times New Roman"/>
                <w:sz w:val="24"/>
                <w:szCs w:val="24"/>
              </w:rPr>
            </w:pPr>
            <w:r w:rsidRPr="00886FD2">
              <w:rPr>
                <w:rFonts w:eastAsia="Times New Roman"/>
                <w:sz w:val="24"/>
                <w:szCs w:val="24"/>
              </w:rPr>
              <w:t>0</w:t>
            </w:r>
          </w:p>
        </w:tc>
        <w:tc>
          <w:tcPr>
            <w:tcW w:w="915" w:type="dxa"/>
            <w:tcBorders>
              <w:top w:val="nil"/>
              <w:left w:val="nil"/>
              <w:bottom w:val="single" w:sz="7" w:space="0" w:color="000000"/>
              <w:right w:val="single" w:sz="7" w:space="0" w:color="000000"/>
            </w:tcBorders>
            <w:tcMar>
              <w:top w:w="100" w:type="dxa"/>
              <w:left w:w="100" w:type="dxa"/>
              <w:bottom w:w="100" w:type="dxa"/>
              <w:right w:w="100" w:type="dxa"/>
            </w:tcMar>
          </w:tcPr>
          <w:p w14:paraId="66D314CD" w14:textId="77777777" w:rsidR="00351E7F" w:rsidRPr="00886FD2" w:rsidRDefault="00351E7F" w:rsidP="002E3A2B">
            <w:pPr>
              <w:spacing w:after="200" w:line="360" w:lineRule="auto"/>
              <w:jc w:val="both"/>
              <w:rPr>
                <w:rFonts w:eastAsia="Times New Roman"/>
                <w:sz w:val="24"/>
                <w:szCs w:val="24"/>
              </w:rPr>
            </w:pPr>
            <w:r w:rsidRPr="00886FD2">
              <w:rPr>
                <w:rFonts w:eastAsia="Times New Roman"/>
                <w:sz w:val="24"/>
                <w:szCs w:val="24"/>
              </w:rPr>
              <w:t>0</w:t>
            </w:r>
          </w:p>
        </w:tc>
        <w:tc>
          <w:tcPr>
            <w:tcW w:w="900" w:type="dxa"/>
            <w:tcBorders>
              <w:top w:val="nil"/>
              <w:left w:val="nil"/>
              <w:bottom w:val="single" w:sz="7" w:space="0" w:color="000000"/>
              <w:right w:val="single" w:sz="7" w:space="0" w:color="000000"/>
            </w:tcBorders>
            <w:tcMar>
              <w:top w:w="100" w:type="dxa"/>
              <w:left w:w="100" w:type="dxa"/>
              <w:bottom w:w="100" w:type="dxa"/>
              <w:right w:w="100" w:type="dxa"/>
            </w:tcMar>
          </w:tcPr>
          <w:p w14:paraId="4AD1F7F4" w14:textId="77777777" w:rsidR="00351E7F" w:rsidRPr="00886FD2" w:rsidRDefault="00351E7F" w:rsidP="002E3A2B">
            <w:pPr>
              <w:spacing w:after="200" w:line="360" w:lineRule="auto"/>
              <w:jc w:val="both"/>
              <w:rPr>
                <w:rFonts w:eastAsia="Times New Roman"/>
                <w:sz w:val="24"/>
                <w:szCs w:val="24"/>
              </w:rPr>
            </w:pPr>
            <w:r w:rsidRPr="00886FD2">
              <w:rPr>
                <w:rFonts w:eastAsia="Times New Roman"/>
                <w:sz w:val="24"/>
                <w:szCs w:val="24"/>
              </w:rPr>
              <w:t>0</w:t>
            </w:r>
          </w:p>
        </w:tc>
      </w:tr>
      <w:tr w:rsidR="00351E7F" w:rsidRPr="00886FD2" w14:paraId="06619DDA" w14:textId="77777777" w:rsidTr="002E3A2B">
        <w:trPr>
          <w:trHeight w:val="515"/>
        </w:trPr>
        <w:tc>
          <w:tcPr>
            <w:tcW w:w="4425" w:type="dxa"/>
            <w:gridSpan w:val="2"/>
            <w:tcBorders>
              <w:top w:val="single" w:sz="7" w:space="0" w:color="000000"/>
              <w:left w:val="single" w:sz="7" w:space="0" w:color="000000"/>
              <w:bottom w:val="single" w:sz="7" w:space="0" w:color="000000"/>
              <w:right w:val="single" w:sz="7" w:space="0" w:color="000000"/>
            </w:tcBorders>
            <w:tcMar>
              <w:top w:w="100" w:type="dxa"/>
              <w:left w:w="100" w:type="dxa"/>
              <w:bottom w:w="100" w:type="dxa"/>
              <w:right w:w="100" w:type="dxa"/>
            </w:tcMar>
          </w:tcPr>
          <w:p w14:paraId="5EFE9A98" w14:textId="77777777" w:rsidR="00351E7F" w:rsidRPr="00886FD2" w:rsidRDefault="00351E7F" w:rsidP="002E3A2B">
            <w:pPr>
              <w:spacing w:after="200" w:line="360" w:lineRule="auto"/>
              <w:jc w:val="both"/>
              <w:rPr>
                <w:rFonts w:eastAsia="Times New Roman"/>
                <w:sz w:val="24"/>
                <w:szCs w:val="24"/>
              </w:rPr>
            </w:pPr>
            <w:r w:rsidRPr="00886FD2">
              <w:rPr>
                <w:rFonts w:eastAsia="Times New Roman"/>
                <w:sz w:val="24"/>
                <w:szCs w:val="24"/>
              </w:rPr>
              <w:t>Accounts Payable</w:t>
            </w:r>
          </w:p>
        </w:tc>
        <w:tc>
          <w:tcPr>
            <w:tcW w:w="915" w:type="dxa"/>
            <w:tcBorders>
              <w:top w:val="nil"/>
              <w:left w:val="nil"/>
              <w:bottom w:val="single" w:sz="7" w:space="0" w:color="000000"/>
              <w:right w:val="single" w:sz="7" w:space="0" w:color="000000"/>
            </w:tcBorders>
            <w:tcMar>
              <w:top w:w="100" w:type="dxa"/>
              <w:left w:w="100" w:type="dxa"/>
              <w:bottom w:w="100" w:type="dxa"/>
              <w:right w:w="100" w:type="dxa"/>
            </w:tcMar>
          </w:tcPr>
          <w:p w14:paraId="687D965A" w14:textId="77777777" w:rsidR="00351E7F" w:rsidRPr="00886FD2" w:rsidRDefault="00351E7F" w:rsidP="002E3A2B">
            <w:pPr>
              <w:spacing w:after="200" w:line="360" w:lineRule="auto"/>
              <w:jc w:val="both"/>
              <w:rPr>
                <w:rFonts w:eastAsia="Times New Roman"/>
                <w:sz w:val="24"/>
                <w:szCs w:val="24"/>
              </w:rPr>
            </w:pPr>
            <w:r w:rsidRPr="00886FD2">
              <w:rPr>
                <w:rFonts w:eastAsia="Times New Roman"/>
                <w:sz w:val="24"/>
                <w:szCs w:val="24"/>
              </w:rPr>
              <w:t>500</w:t>
            </w:r>
          </w:p>
        </w:tc>
        <w:tc>
          <w:tcPr>
            <w:tcW w:w="915" w:type="dxa"/>
            <w:tcBorders>
              <w:top w:val="nil"/>
              <w:left w:val="nil"/>
              <w:bottom w:val="single" w:sz="7" w:space="0" w:color="000000"/>
              <w:right w:val="single" w:sz="7" w:space="0" w:color="000000"/>
            </w:tcBorders>
            <w:tcMar>
              <w:top w:w="100" w:type="dxa"/>
              <w:left w:w="100" w:type="dxa"/>
              <w:bottom w:w="100" w:type="dxa"/>
              <w:right w:w="100" w:type="dxa"/>
            </w:tcMar>
          </w:tcPr>
          <w:p w14:paraId="34FDF26F" w14:textId="77777777" w:rsidR="00351E7F" w:rsidRPr="00886FD2" w:rsidRDefault="00351E7F" w:rsidP="002E3A2B">
            <w:pPr>
              <w:spacing w:after="200" w:line="360" w:lineRule="auto"/>
              <w:jc w:val="both"/>
              <w:rPr>
                <w:rFonts w:eastAsia="Times New Roman"/>
                <w:sz w:val="24"/>
                <w:szCs w:val="24"/>
              </w:rPr>
            </w:pPr>
            <w:r w:rsidRPr="00886FD2">
              <w:rPr>
                <w:rFonts w:eastAsia="Times New Roman"/>
                <w:sz w:val="24"/>
                <w:szCs w:val="24"/>
              </w:rPr>
              <w:t>520</w:t>
            </w:r>
          </w:p>
        </w:tc>
        <w:tc>
          <w:tcPr>
            <w:tcW w:w="915" w:type="dxa"/>
            <w:tcBorders>
              <w:top w:val="nil"/>
              <w:left w:val="nil"/>
              <w:bottom w:val="single" w:sz="7" w:space="0" w:color="000000"/>
              <w:right w:val="single" w:sz="7" w:space="0" w:color="000000"/>
            </w:tcBorders>
            <w:tcMar>
              <w:top w:w="100" w:type="dxa"/>
              <w:left w:w="100" w:type="dxa"/>
              <w:bottom w:w="100" w:type="dxa"/>
              <w:right w:w="100" w:type="dxa"/>
            </w:tcMar>
          </w:tcPr>
          <w:p w14:paraId="0D4A49D8" w14:textId="77777777" w:rsidR="00351E7F" w:rsidRPr="00886FD2" w:rsidRDefault="00351E7F" w:rsidP="002E3A2B">
            <w:pPr>
              <w:spacing w:after="200" w:line="360" w:lineRule="auto"/>
              <w:jc w:val="both"/>
              <w:rPr>
                <w:rFonts w:eastAsia="Times New Roman"/>
                <w:sz w:val="24"/>
                <w:szCs w:val="24"/>
              </w:rPr>
            </w:pPr>
            <w:r w:rsidRPr="00886FD2">
              <w:rPr>
                <w:rFonts w:eastAsia="Times New Roman"/>
                <w:sz w:val="24"/>
                <w:szCs w:val="24"/>
              </w:rPr>
              <w:t>550</w:t>
            </w:r>
          </w:p>
        </w:tc>
        <w:tc>
          <w:tcPr>
            <w:tcW w:w="915" w:type="dxa"/>
            <w:tcBorders>
              <w:top w:val="nil"/>
              <w:left w:val="nil"/>
              <w:bottom w:val="single" w:sz="7" w:space="0" w:color="000000"/>
              <w:right w:val="single" w:sz="7" w:space="0" w:color="000000"/>
            </w:tcBorders>
            <w:tcMar>
              <w:top w:w="100" w:type="dxa"/>
              <w:left w:w="100" w:type="dxa"/>
              <w:bottom w:w="100" w:type="dxa"/>
              <w:right w:w="100" w:type="dxa"/>
            </w:tcMar>
          </w:tcPr>
          <w:p w14:paraId="75FF9BD0" w14:textId="77777777" w:rsidR="00351E7F" w:rsidRPr="00886FD2" w:rsidRDefault="00351E7F" w:rsidP="002E3A2B">
            <w:pPr>
              <w:spacing w:after="200" w:line="360" w:lineRule="auto"/>
              <w:jc w:val="both"/>
              <w:rPr>
                <w:rFonts w:eastAsia="Times New Roman"/>
                <w:sz w:val="24"/>
                <w:szCs w:val="24"/>
              </w:rPr>
            </w:pPr>
            <w:r w:rsidRPr="00886FD2">
              <w:rPr>
                <w:rFonts w:eastAsia="Times New Roman"/>
                <w:sz w:val="24"/>
                <w:szCs w:val="24"/>
              </w:rPr>
              <w:t>600</w:t>
            </w:r>
          </w:p>
        </w:tc>
        <w:tc>
          <w:tcPr>
            <w:tcW w:w="900" w:type="dxa"/>
            <w:tcBorders>
              <w:top w:val="nil"/>
              <w:left w:val="nil"/>
              <w:bottom w:val="single" w:sz="7" w:space="0" w:color="000000"/>
              <w:right w:val="single" w:sz="7" w:space="0" w:color="000000"/>
            </w:tcBorders>
            <w:tcMar>
              <w:top w:w="100" w:type="dxa"/>
              <w:left w:w="100" w:type="dxa"/>
              <w:bottom w:w="100" w:type="dxa"/>
              <w:right w:w="100" w:type="dxa"/>
            </w:tcMar>
          </w:tcPr>
          <w:p w14:paraId="6A096B2D" w14:textId="77777777" w:rsidR="00351E7F" w:rsidRPr="00886FD2" w:rsidRDefault="00351E7F" w:rsidP="002E3A2B">
            <w:pPr>
              <w:spacing w:after="200" w:line="360" w:lineRule="auto"/>
              <w:jc w:val="both"/>
              <w:rPr>
                <w:rFonts w:eastAsia="Times New Roman"/>
                <w:sz w:val="24"/>
                <w:szCs w:val="24"/>
              </w:rPr>
            </w:pPr>
            <w:r w:rsidRPr="00886FD2">
              <w:rPr>
                <w:rFonts w:eastAsia="Times New Roman"/>
                <w:sz w:val="24"/>
                <w:szCs w:val="24"/>
              </w:rPr>
              <w:t>700</w:t>
            </w:r>
          </w:p>
        </w:tc>
      </w:tr>
      <w:tr w:rsidR="00351E7F" w:rsidRPr="00886FD2" w14:paraId="08D9492A" w14:textId="77777777" w:rsidTr="002E3A2B">
        <w:trPr>
          <w:trHeight w:val="515"/>
        </w:trPr>
        <w:tc>
          <w:tcPr>
            <w:tcW w:w="2115" w:type="dxa"/>
            <w:tcBorders>
              <w:top w:val="nil"/>
              <w:left w:val="single" w:sz="7" w:space="0" w:color="000000"/>
              <w:bottom w:val="single" w:sz="7" w:space="0" w:color="000000"/>
              <w:right w:val="single" w:sz="7" w:space="0" w:color="000000"/>
            </w:tcBorders>
            <w:tcMar>
              <w:top w:w="100" w:type="dxa"/>
              <w:left w:w="100" w:type="dxa"/>
              <w:bottom w:w="100" w:type="dxa"/>
              <w:right w:w="100" w:type="dxa"/>
            </w:tcMar>
          </w:tcPr>
          <w:p w14:paraId="69F17B60" w14:textId="77777777" w:rsidR="00351E7F" w:rsidRPr="00886FD2" w:rsidRDefault="00351E7F" w:rsidP="002E3A2B">
            <w:pPr>
              <w:spacing w:after="200" w:line="360" w:lineRule="auto"/>
              <w:jc w:val="both"/>
              <w:rPr>
                <w:rFonts w:eastAsia="Times New Roman"/>
                <w:sz w:val="24"/>
                <w:szCs w:val="24"/>
              </w:rPr>
            </w:pPr>
            <w:r w:rsidRPr="00886FD2">
              <w:rPr>
                <w:rFonts w:eastAsia="Times New Roman"/>
                <w:sz w:val="24"/>
                <w:szCs w:val="24"/>
              </w:rPr>
              <w:t>DIO</w:t>
            </w:r>
          </w:p>
        </w:tc>
        <w:tc>
          <w:tcPr>
            <w:tcW w:w="2310" w:type="dxa"/>
            <w:tcBorders>
              <w:top w:val="nil"/>
              <w:left w:val="nil"/>
              <w:bottom w:val="single" w:sz="7" w:space="0" w:color="000000"/>
              <w:right w:val="single" w:sz="7" w:space="0" w:color="000000"/>
            </w:tcBorders>
            <w:tcMar>
              <w:top w:w="100" w:type="dxa"/>
              <w:left w:w="100" w:type="dxa"/>
              <w:bottom w:w="100" w:type="dxa"/>
              <w:right w:w="100" w:type="dxa"/>
            </w:tcMar>
          </w:tcPr>
          <w:p w14:paraId="70170124" w14:textId="77777777" w:rsidR="00351E7F" w:rsidRPr="00886FD2" w:rsidRDefault="00351E7F" w:rsidP="002E3A2B">
            <w:pPr>
              <w:spacing w:after="200" w:line="360" w:lineRule="auto"/>
              <w:jc w:val="both"/>
              <w:rPr>
                <w:rFonts w:eastAsia="Times New Roman"/>
                <w:sz w:val="24"/>
                <w:szCs w:val="24"/>
              </w:rPr>
            </w:pPr>
            <w:r w:rsidRPr="00886FD2">
              <w:rPr>
                <w:rFonts w:eastAsia="Times New Roman"/>
                <w:sz w:val="24"/>
                <w:szCs w:val="24"/>
              </w:rPr>
              <w:t>(Inventory/</w:t>
            </w:r>
            <w:proofErr w:type="gramStart"/>
            <w:r w:rsidRPr="00886FD2">
              <w:rPr>
                <w:rFonts w:eastAsia="Times New Roman"/>
                <w:sz w:val="24"/>
                <w:szCs w:val="24"/>
              </w:rPr>
              <w:t>Revenue)*</w:t>
            </w:r>
            <w:proofErr w:type="gramEnd"/>
            <w:r w:rsidRPr="00886FD2">
              <w:rPr>
                <w:rFonts w:eastAsia="Times New Roman"/>
                <w:sz w:val="24"/>
                <w:szCs w:val="24"/>
              </w:rPr>
              <w:t>365</w:t>
            </w:r>
          </w:p>
        </w:tc>
        <w:tc>
          <w:tcPr>
            <w:tcW w:w="915" w:type="dxa"/>
            <w:tcBorders>
              <w:top w:val="nil"/>
              <w:left w:val="nil"/>
              <w:bottom w:val="single" w:sz="7" w:space="0" w:color="000000"/>
              <w:right w:val="single" w:sz="7" w:space="0" w:color="000000"/>
            </w:tcBorders>
            <w:tcMar>
              <w:top w:w="100" w:type="dxa"/>
              <w:left w:w="100" w:type="dxa"/>
              <w:bottom w:w="100" w:type="dxa"/>
              <w:right w:w="100" w:type="dxa"/>
            </w:tcMar>
          </w:tcPr>
          <w:p w14:paraId="3D93B82A" w14:textId="77777777" w:rsidR="00351E7F" w:rsidRPr="00886FD2" w:rsidRDefault="00351E7F" w:rsidP="002E3A2B">
            <w:pPr>
              <w:spacing w:after="200" w:line="360" w:lineRule="auto"/>
              <w:jc w:val="both"/>
              <w:rPr>
                <w:rFonts w:eastAsia="Times New Roman"/>
                <w:sz w:val="24"/>
                <w:szCs w:val="24"/>
              </w:rPr>
            </w:pPr>
            <w:r w:rsidRPr="00886FD2">
              <w:rPr>
                <w:rFonts w:eastAsia="Times New Roman"/>
                <w:sz w:val="24"/>
                <w:szCs w:val="24"/>
              </w:rPr>
              <w:t>0.00</w:t>
            </w:r>
          </w:p>
        </w:tc>
        <w:tc>
          <w:tcPr>
            <w:tcW w:w="915" w:type="dxa"/>
            <w:tcBorders>
              <w:top w:val="nil"/>
              <w:left w:val="nil"/>
              <w:bottom w:val="single" w:sz="7" w:space="0" w:color="000000"/>
              <w:right w:val="single" w:sz="7" w:space="0" w:color="000000"/>
            </w:tcBorders>
            <w:tcMar>
              <w:top w:w="100" w:type="dxa"/>
              <w:left w:w="100" w:type="dxa"/>
              <w:bottom w:w="100" w:type="dxa"/>
              <w:right w:w="100" w:type="dxa"/>
            </w:tcMar>
          </w:tcPr>
          <w:p w14:paraId="670D0749" w14:textId="77777777" w:rsidR="00351E7F" w:rsidRPr="00886FD2" w:rsidRDefault="00351E7F" w:rsidP="002E3A2B">
            <w:pPr>
              <w:spacing w:after="200" w:line="360" w:lineRule="auto"/>
              <w:jc w:val="both"/>
              <w:rPr>
                <w:rFonts w:eastAsia="Times New Roman"/>
                <w:sz w:val="24"/>
                <w:szCs w:val="24"/>
              </w:rPr>
            </w:pPr>
            <w:r w:rsidRPr="00886FD2">
              <w:rPr>
                <w:rFonts w:eastAsia="Times New Roman"/>
                <w:sz w:val="24"/>
                <w:szCs w:val="24"/>
              </w:rPr>
              <w:t>0.00</w:t>
            </w:r>
          </w:p>
        </w:tc>
        <w:tc>
          <w:tcPr>
            <w:tcW w:w="915" w:type="dxa"/>
            <w:tcBorders>
              <w:top w:val="nil"/>
              <w:left w:val="nil"/>
              <w:bottom w:val="single" w:sz="7" w:space="0" w:color="000000"/>
              <w:right w:val="single" w:sz="7" w:space="0" w:color="000000"/>
            </w:tcBorders>
            <w:tcMar>
              <w:top w:w="100" w:type="dxa"/>
              <w:left w:w="100" w:type="dxa"/>
              <w:bottom w:w="100" w:type="dxa"/>
              <w:right w:w="100" w:type="dxa"/>
            </w:tcMar>
          </w:tcPr>
          <w:p w14:paraId="79DD682A" w14:textId="77777777" w:rsidR="00351E7F" w:rsidRPr="00886FD2" w:rsidRDefault="00351E7F" w:rsidP="002E3A2B">
            <w:pPr>
              <w:spacing w:after="200" w:line="360" w:lineRule="auto"/>
              <w:jc w:val="both"/>
              <w:rPr>
                <w:rFonts w:eastAsia="Times New Roman"/>
                <w:sz w:val="24"/>
                <w:szCs w:val="24"/>
              </w:rPr>
            </w:pPr>
            <w:r w:rsidRPr="00886FD2">
              <w:rPr>
                <w:rFonts w:eastAsia="Times New Roman"/>
                <w:sz w:val="24"/>
                <w:szCs w:val="24"/>
              </w:rPr>
              <w:t>0.00</w:t>
            </w:r>
          </w:p>
        </w:tc>
        <w:tc>
          <w:tcPr>
            <w:tcW w:w="915" w:type="dxa"/>
            <w:tcBorders>
              <w:top w:val="nil"/>
              <w:left w:val="nil"/>
              <w:bottom w:val="single" w:sz="7" w:space="0" w:color="000000"/>
              <w:right w:val="single" w:sz="7" w:space="0" w:color="000000"/>
            </w:tcBorders>
            <w:tcMar>
              <w:top w:w="100" w:type="dxa"/>
              <w:left w:w="100" w:type="dxa"/>
              <w:bottom w:w="100" w:type="dxa"/>
              <w:right w:w="100" w:type="dxa"/>
            </w:tcMar>
          </w:tcPr>
          <w:p w14:paraId="3DF1FBA2" w14:textId="77777777" w:rsidR="00351E7F" w:rsidRPr="00886FD2" w:rsidRDefault="00351E7F" w:rsidP="002E3A2B">
            <w:pPr>
              <w:spacing w:after="200" w:line="360" w:lineRule="auto"/>
              <w:jc w:val="both"/>
              <w:rPr>
                <w:rFonts w:eastAsia="Times New Roman"/>
                <w:sz w:val="24"/>
                <w:szCs w:val="24"/>
              </w:rPr>
            </w:pPr>
            <w:r w:rsidRPr="00886FD2">
              <w:rPr>
                <w:rFonts w:eastAsia="Times New Roman"/>
                <w:sz w:val="24"/>
                <w:szCs w:val="24"/>
              </w:rPr>
              <w:t>0.00</w:t>
            </w:r>
          </w:p>
        </w:tc>
        <w:tc>
          <w:tcPr>
            <w:tcW w:w="900" w:type="dxa"/>
            <w:tcBorders>
              <w:top w:val="nil"/>
              <w:left w:val="nil"/>
              <w:bottom w:val="single" w:sz="7" w:space="0" w:color="000000"/>
              <w:right w:val="single" w:sz="7" w:space="0" w:color="000000"/>
            </w:tcBorders>
            <w:tcMar>
              <w:top w:w="100" w:type="dxa"/>
              <w:left w:w="100" w:type="dxa"/>
              <w:bottom w:w="100" w:type="dxa"/>
              <w:right w:w="100" w:type="dxa"/>
            </w:tcMar>
          </w:tcPr>
          <w:p w14:paraId="074F50BE" w14:textId="77777777" w:rsidR="00351E7F" w:rsidRPr="00886FD2" w:rsidRDefault="00351E7F" w:rsidP="002E3A2B">
            <w:pPr>
              <w:spacing w:after="200" w:line="360" w:lineRule="auto"/>
              <w:jc w:val="both"/>
              <w:rPr>
                <w:rFonts w:eastAsia="Times New Roman"/>
                <w:sz w:val="24"/>
                <w:szCs w:val="24"/>
              </w:rPr>
            </w:pPr>
            <w:r w:rsidRPr="00886FD2">
              <w:rPr>
                <w:rFonts w:eastAsia="Times New Roman"/>
                <w:sz w:val="24"/>
                <w:szCs w:val="24"/>
              </w:rPr>
              <w:t>0.00</w:t>
            </w:r>
          </w:p>
        </w:tc>
      </w:tr>
      <w:tr w:rsidR="00351E7F" w:rsidRPr="00886FD2" w14:paraId="55CFFA1C" w14:textId="77777777" w:rsidTr="002E3A2B">
        <w:trPr>
          <w:trHeight w:val="515"/>
        </w:trPr>
        <w:tc>
          <w:tcPr>
            <w:tcW w:w="2115" w:type="dxa"/>
            <w:tcBorders>
              <w:top w:val="nil"/>
              <w:left w:val="single" w:sz="7" w:space="0" w:color="000000"/>
              <w:bottom w:val="single" w:sz="7" w:space="0" w:color="000000"/>
              <w:right w:val="single" w:sz="7" w:space="0" w:color="000000"/>
            </w:tcBorders>
            <w:tcMar>
              <w:top w:w="100" w:type="dxa"/>
              <w:left w:w="100" w:type="dxa"/>
              <w:bottom w:w="100" w:type="dxa"/>
              <w:right w:w="100" w:type="dxa"/>
            </w:tcMar>
          </w:tcPr>
          <w:p w14:paraId="12D89652" w14:textId="77777777" w:rsidR="00351E7F" w:rsidRPr="00886FD2" w:rsidRDefault="00351E7F" w:rsidP="002E3A2B">
            <w:pPr>
              <w:spacing w:after="200" w:line="360" w:lineRule="auto"/>
              <w:jc w:val="both"/>
              <w:rPr>
                <w:rFonts w:eastAsia="Times New Roman"/>
                <w:sz w:val="24"/>
                <w:szCs w:val="24"/>
              </w:rPr>
            </w:pPr>
            <w:r w:rsidRPr="00886FD2">
              <w:rPr>
                <w:rFonts w:eastAsia="Times New Roman"/>
                <w:sz w:val="24"/>
                <w:szCs w:val="24"/>
              </w:rPr>
              <w:t>DSO</w:t>
            </w:r>
          </w:p>
        </w:tc>
        <w:tc>
          <w:tcPr>
            <w:tcW w:w="2310" w:type="dxa"/>
            <w:tcBorders>
              <w:top w:val="nil"/>
              <w:left w:val="nil"/>
              <w:bottom w:val="single" w:sz="7" w:space="0" w:color="000000"/>
              <w:right w:val="single" w:sz="7" w:space="0" w:color="000000"/>
            </w:tcBorders>
            <w:tcMar>
              <w:top w:w="100" w:type="dxa"/>
              <w:left w:w="100" w:type="dxa"/>
              <w:bottom w:w="100" w:type="dxa"/>
              <w:right w:w="100" w:type="dxa"/>
            </w:tcMar>
          </w:tcPr>
          <w:p w14:paraId="1A0B74E6" w14:textId="77777777" w:rsidR="00351E7F" w:rsidRPr="00886FD2" w:rsidRDefault="00351E7F" w:rsidP="002E3A2B">
            <w:pPr>
              <w:spacing w:after="200" w:line="360" w:lineRule="auto"/>
              <w:jc w:val="both"/>
              <w:rPr>
                <w:rFonts w:eastAsia="Times New Roman"/>
                <w:sz w:val="24"/>
                <w:szCs w:val="24"/>
              </w:rPr>
            </w:pPr>
            <w:r w:rsidRPr="00886FD2">
              <w:rPr>
                <w:rFonts w:eastAsia="Times New Roman"/>
                <w:sz w:val="24"/>
                <w:szCs w:val="24"/>
              </w:rPr>
              <w:t>(Accounts Receivable/</w:t>
            </w:r>
            <w:proofErr w:type="gramStart"/>
            <w:r w:rsidRPr="00886FD2">
              <w:rPr>
                <w:rFonts w:eastAsia="Times New Roman"/>
                <w:sz w:val="24"/>
                <w:szCs w:val="24"/>
              </w:rPr>
              <w:t>Revenue)*</w:t>
            </w:r>
            <w:proofErr w:type="gramEnd"/>
            <w:r w:rsidRPr="00886FD2">
              <w:rPr>
                <w:rFonts w:eastAsia="Times New Roman"/>
                <w:sz w:val="24"/>
                <w:szCs w:val="24"/>
              </w:rPr>
              <w:t>365</w:t>
            </w:r>
          </w:p>
        </w:tc>
        <w:tc>
          <w:tcPr>
            <w:tcW w:w="915" w:type="dxa"/>
            <w:tcBorders>
              <w:top w:val="nil"/>
              <w:left w:val="nil"/>
              <w:bottom w:val="single" w:sz="7" w:space="0" w:color="000000"/>
              <w:right w:val="single" w:sz="7" w:space="0" w:color="000000"/>
            </w:tcBorders>
            <w:tcMar>
              <w:top w:w="100" w:type="dxa"/>
              <w:left w:w="100" w:type="dxa"/>
              <w:bottom w:w="100" w:type="dxa"/>
              <w:right w:w="100" w:type="dxa"/>
            </w:tcMar>
          </w:tcPr>
          <w:p w14:paraId="44905C5E" w14:textId="77777777" w:rsidR="00351E7F" w:rsidRPr="00886FD2" w:rsidRDefault="00351E7F" w:rsidP="002E3A2B">
            <w:pPr>
              <w:spacing w:after="200" w:line="360" w:lineRule="auto"/>
              <w:jc w:val="both"/>
              <w:rPr>
                <w:rFonts w:eastAsia="Times New Roman"/>
                <w:sz w:val="24"/>
                <w:szCs w:val="24"/>
              </w:rPr>
            </w:pPr>
            <w:r w:rsidRPr="00886FD2">
              <w:rPr>
                <w:rFonts w:eastAsia="Times New Roman"/>
                <w:sz w:val="24"/>
                <w:szCs w:val="24"/>
              </w:rPr>
              <w:t>67.35</w:t>
            </w:r>
          </w:p>
        </w:tc>
        <w:tc>
          <w:tcPr>
            <w:tcW w:w="915" w:type="dxa"/>
            <w:tcBorders>
              <w:top w:val="nil"/>
              <w:left w:val="nil"/>
              <w:bottom w:val="single" w:sz="7" w:space="0" w:color="000000"/>
              <w:right w:val="single" w:sz="7" w:space="0" w:color="000000"/>
            </w:tcBorders>
            <w:tcMar>
              <w:top w:w="100" w:type="dxa"/>
              <w:left w:w="100" w:type="dxa"/>
              <w:bottom w:w="100" w:type="dxa"/>
              <w:right w:w="100" w:type="dxa"/>
            </w:tcMar>
          </w:tcPr>
          <w:p w14:paraId="7134608E" w14:textId="77777777" w:rsidR="00351E7F" w:rsidRPr="00886FD2" w:rsidRDefault="00351E7F" w:rsidP="002E3A2B">
            <w:pPr>
              <w:spacing w:after="200" w:line="360" w:lineRule="auto"/>
              <w:jc w:val="both"/>
              <w:rPr>
                <w:rFonts w:eastAsia="Times New Roman"/>
                <w:sz w:val="24"/>
                <w:szCs w:val="24"/>
              </w:rPr>
            </w:pPr>
            <w:r w:rsidRPr="00886FD2">
              <w:rPr>
                <w:rFonts w:eastAsia="Times New Roman"/>
                <w:sz w:val="24"/>
                <w:szCs w:val="24"/>
              </w:rPr>
              <w:t>55.21</w:t>
            </w:r>
          </w:p>
        </w:tc>
        <w:tc>
          <w:tcPr>
            <w:tcW w:w="915" w:type="dxa"/>
            <w:tcBorders>
              <w:top w:val="nil"/>
              <w:left w:val="nil"/>
              <w:bottom w:val="single" w:sz="7" w:space="0" w:color="000000"/>
              <w:right w:val="single" w:sz="7" w:space="0" w:color="000000"/>
            </w:tcBorders>
            <w:tcMar>
              <w:top w:w="100" w:type="dxa"/>
              <w:left w:w="100" w:type="dxa"/>
              <w:bottom w:w="100" w:type="dxa"/>
              <w:right w:w="100" w:type="dxa"/>
            </w:tcMar>
          </w:tcPr>
          <w:p w14:paraId="016922B3" w14:textId="77777777" w:rsidR="00351E7F" w:rsidRPr="00886FD2" w:rsidRDefault="00351E7F" w:rsidP="002E3A2B">
            <w:pPr>
              <w:spacing w:after="200" w:line="360" w:lineRule="auto"/>
              <w:jc w:val="both"/>
              <w:rPr>
                <w:rFonts w:eastAsia="Times New Roman"/>
                <w:sz w:val="24"/>
                <w:szCs w:val="24"/>
              </w:rPr>
            </w:pPr>
            <w:r w:rsidRPr="00886FD2">
              <w:rPr>
                <w:rFonts w:eastAsia="Times New Roman"/>
                <w:sz w:val="24"/>
                <w:szCs w:val="24"/>
              </w:rPr>
              <w:t>53.03</w:t>
            </w:r>
          </w:p>
        </w:tc>
        <w:tc>
          <w:tcPr>
            <w:tcW w:w="915" w:type="dxa"/>
            <w:tcBorders>
              <w:top w:val="nil"/>
              <w:left w:val="nil"/>
              <w:bottom w:val="single" w:sz="7" w:space="0" w:color="000000"/>
              <w:right w:val="single" w:sz="7" w:space="0" w:color="000000"/>
            </w:tcBorders>
            <w:tcMar>
              <w:top w:w="100" w:type="dxa"/>
              <w:left w:w="100" w:type="dxa"/>
              <w:bottom w:w="100" w:type="dxa"/>
              <w:right w:w="100" w:type="dxa"/>
            </w:tcMar>
          </w:tcPr>
          <w:p w14:paraId="3964CAED" w14:textId="77777777" w:rsidR="00351E7F" w:rsidRPr="00886FD2" w:rsidRDefault="00351E7F" w:rsidP="002E3A2B">
            <w:pPr>
              <w:spacing w:after="200" w:line="360" w:lineRule="auto"/>
              <w:jc w:val="both"/>
              <w:rPr>
                <w:rFonts w:eastAsia="Times New Roman"/>
                <w:sz w:val="24"/>
                <w:szCs w:val="24"/>
              </w:rPr>
            </w:pPr>
            <w:r w:rsidRPr="00886FD2">
              <w:rPr>
                <w:rFonts w:eastAsia="Times New Roman"/>
                <w:sz w:val="24"/>
                <w:szCs w:val="24"/>
              </w:rPr>
              <w:t>51.71</w:t>
            </w:r>
          </w:p>
        </w:tc>
        <w:tc>
          <w:tcPr>
            <w:tcW w:w="900" w:type="dxa"/>
            <w:tcBorders>
              <w:top w:val="nil"/>
              <w:left w:val="nil"/>
              <w:bottom w:val="single" w:sz="7" w:space="0" w:color="000000"/>
              <w:right w:val="single" w:sz="7" w:space="0" w:color="000000"/>
            </w:tcBorders>
            <w:tcMar>
              <w:top w:w="100" w:type="dxa"/>
              <w:left w:w="100" w:type="dxa"/>
              <w:bottom w:w="100" w:type="dxa"/>
              <w:right w:w="100" w:type="dxa"/>
            </w:tcMar>
          </w:tcPr>
          <w:p w14:paraId="6AC9ABC8" w14:textId="77777777" w:rsidR="00351E7F" w:rsidRPr="00886FD2" w:rsidRDefault="00351E7F" w:rsidP="002E3A2B">
            <w:pPr>
              <w:spacing w:after="200" w:line="360" w:lineRule="auto"/>
              <w:jc w:val="both"/>
              <w:rPr>
                <w:rFonts w:eastAsia="Times New Roman"/>
                <w:sz w:val="24"/>
                <w:szCs w:val="24"/>
              </w:rPr>
            </w:pPr>
            <w:r w:rsidRPr="00886FD2">
              <w:rPr>
                <w:rFonts w:eastAsia="Times New Roman"/>
                <w:sz w:val="24"/>
                <w:szCs w:val="24"/>
              </w:rPr>
              <w:t>51.24</w:t>
            </w:r>
          </w:p>
        </w:tc>
      </w:tr>
      <w:tr w:rsidR="00351E7F" w:rsidRPr="00886FD2" w14:paraId="3E3A1935" w14:textId="77777777" w:rsidTr="002E3A2B">
        <w:trPr>
          <w:trHeight w:val="515"/>
        </w:trPr>
        <w:tc>
          <w:tcPr>
            <w:tcW w:w="2115" w:type="dxa"/>
            <w:tcBorders>
              <w:top w:val="nil"/>
              <w:left w:val="single" w:sz="7" w:space="0" w:color="000000"/>
              <w:bottom w:val="single" w:sz="7" w:space="0" w:color="000000"/>
              <w:right w:val="single" w:sz="7" w:space="0" w:color="000000"/>
            </w:tcBorders>
            <w:tcMar>
              <w:top w:w="100" w:type="dxa"/>
              <w:left w:w="100" w:type="dxa"/>
              <w:bottom w:w="100" w:type="dxa"/>
              <w:right w:w="100" w:type="dxa"/>
            </w:tcMar>
          </w:tcPr>
          <w:p w14:paraId="26BAF816" w14:textId="77777777" w:rsidR="00351E7F" w:rsidRPr="00886FD2" w:rsidRDefault="00351E7F" w:rsidP="002E3A2B">
            <w:pPr>
              <w:spacing w:after="200" w:line="360" w:lineRule="auto"/>
              <w:jc w:val="both"/>
              <w:rPr>
                <w:rFonts w:eastAsia="Times New Roman"/>
                <w:sz w:val="24"/>
                <w:szCs w:val="24"/>
              </w:rPr>
            </w:pPr>
            <w:r w:rsidRPr="00886FD2">
              <w:rPr>
                <w:rFonts w:eastAsia="Times New Roman"/>
                <w:sz w:val="24"/>
                <w:szCs w:val="24"/>
              </w:rPr>
              <w:t>DPO</w:t>
            </w:r>
          </w:p>
        </w:tc>
        <w:tc>
          <w:tcPr>
            <w:tcW w:w="2310" w:type="dxa"/>
            <w:tcBorders>
              <w:top w:val="nil"/>
              <w:left w:val="nil"/>
              <w:bottom w:val="single" w:sz="7" w:space="0" w:color="000000"/>
              <w:right w:val="single" w:sz="7" w:space="0" w:color="000000"/>
            </w:tcBorders>
            <w:tcMar>
              <w:top w:w="100" w:type="dxa"/>
              <w:left w:w="100" w:type="dxa"/>
              <w:bottom w:w="100" w:type="dxa"/>
              <w:right w:w="100" w:type="dxa"/>
            </w:tcMar>
          </w:tcPr>
          <w:p w14:paraId="6DCC3DC1" w14:textId="77777777" w:rsidR="00351E7F" w:rsidRPr="00886FD2" w:rsidRDefault="00351E7F" w:rsidP="002E3A2B">
            <w:pPr>
              <w:spacing w:after="200" w:line="360" w:lineRule="auto"/>
              <w:jc w:val="both"/>
              <w:rPr>
                <w:rFonts w:eastAsia="Times New Roman"/>
                <w:sz w:val="24"/>
                <w:szCs w:val="24"/>
              </w:rPr>
            </w:pPr>
            <w:r w:rsidRPr="00886FD2">
              <w:rPr>
                <w:rFonts w:eastAsia="Times New Roman"/>
                <w:sz w:val="24"/>
                <w:szCs w:val="24"/>
              </w:rPr>
              <w:t>(Accounts Payable/</w:t>
            </w:r>
            <w:proofErr w:type="gramStart"/>
            <w:r w:rsidRPr="00886FD2">
              <w:rPr>
                <w:rFonts w:eastAsia="Times New Roman"/>
                <w:sz w:val="24"/>
                <w:szCs w:val="24"/>
              </w:rPr>
              <w:t>Revenue)*</w:t>
            </w:r>
            <w:proofErr w:type="gramEnd"/>
            <w:r w:rsidRPr="00886FD2">
              <w:rPr>
                <w:rFonts w:eastAsia="Times New Roman"/>
                <w:sz w:val="24"/>
                <w:szCs w:val="24"/>
              </w:rPr>
              <w:t>365</w:t>
            </w:r>
          </w:p>
        </w:tc>
        <w:tc>
          <w:tcPr>
            <w:tcW w:w="915" w:type="dxa"/>
            <w:tcBorders>
              <w:top w:val="nil"/>
              <w:left w:val="nil"/>
              <w:bottom w:val="single" w:sz="7" w:space="0" w:color="000000"/>
              <w:right w:val="single" w:sz="7" w:space="0" w:color="000000"/>
            </w:tcBorders>
            <w:tcMar>
              <w:top w:w="100" w:type="dxa"/>
              <w:left w:w="100" w:type="dxa"/>
              <w:bottom w:w="100" w:type="dxa"/>
              <w:right w:w="100" w:type="dxa"/>
            </w:tcMar>
          </w:tcPr>
          <w:p w14:paraId="4F6A062E" w14:textId="77777777" w:rsidR="00351E7F" w:rsidRPr="00886FD2" w:rsidRDefault="00351E7F" w:rsidP="002E3A2B">
            <w:pPr>
              <w:spacing w:after="200" w:line="360" w:lineRule="auto"/>
              <w:jc w:val="both"/>
              <w:rPr>
                <w:rFonts w:eastAsia="Times New Roman"/>
                <w:sz w:val="24"/>
                <w:szCs w:val="24"/>
              </w:rPr>
            </w:pPr>
            <w:r w:rsidRPr="00886FD2">
              <w:rPr>
                <w:rFonts w:eastAsia="Times New Roman"/>
                <w:sz w:val="24"/>
                <w:szCs w:val="24"/>
              </w:rPr>
              <w:t>31.53</w:t>
            </w:r>
          </w:p>
        </w:tc>
        <w:tc>
          <w:tcPr>
            <w:tcW w:w="915" w:type="dxa"/>
            <w:tcBorders>
              <w:top w:val="nil"/>
              <w:left w:val="nil"/>
              <w:bottom w:val="single" w:sz="7" w:space="0" w:color="000000"/>
              <w:right w:val="single" w:sz="7" w:space="0" w:color="000000"/>
            </w:tcBorders>
            <w:tcMar>
              <w:top w:w="100" w:type="dxa"/>
              <w:left w:w="100" w:type="dxa"/>
              <w:bottom w:w="100" w:type="dxa"/>
              <w:right w:w="100" w:type="dxa"/>
            </w:tcMar>
          </w:tcPr>
          <w:p w14:paraId="317BF04C" w14:textId="77777777" w:rsidR="00351E7F" w:rsidRPr="00886FD2" w:rsidRDefault="00351E7F" w:rsidP="002E3A2B">
            <w:pPr>
              <w:spacing w:after="200" w:line="360" w:lineRule="auto"/>
              <w:jc w:val="both"/>
              <w:rPr>
                <w:rFonts w:eastAsia="Times New Roman"/>
                <w:sz w:val="24"/>
                <w:szCs w:val="24"/>
              </w:rPr>
            </w:pPr>
            <w:r w:rsidRPr="00886FD2">
              <w:rPr>
                <w:rFonts w:eastAsia="Times New Roman"/>
                <w:sz w:val="24"/>
                <w:szCs w:val="24"/>
              </w:rPr>
              <w:t>21.63</w:t>
            </w:r>
          </w:p>
        </w:tc>
        <w:tc>
          <w:tcPr>
            <w:tcW w:w="915" w:type="dxa"/>
            <w:tcBorders>
              <w:top w:val="nil"/>
              <w:left w:val="nil"/>
              <w:bottom w:val="single" w:sz="7" w:space="0" w:color="000000"/>
              <w:right w:val="single" w:sz="7" w:space="0" w:color="000000"/>
            </w:tcBorders>
            <w:tcMar>
              <w:top w:w="100" w:type="dxa"/>
              <w:left w:w="100" w:type="dxa"/>
              <w:bottom w:w="100" w:type="dxa"/>
              <w:right w:w="100" w:type="dxa"/>
            </w:tcMar>
          </w:tcPr>
          <w:p w14:paraId="7ABE686D" w14:textId="77777777" w:rsidR="00351E7F" w:rsidRPr="00886FD2" w:rsidRDefault="00351E7F" w:rsidP="002E3A2B">
            <w:pPr>
              <w:spacing w:after="200" w:line="360" w:lineRule="auto"/>
              <w:jc w:val="both"/>
              <w:rPr>
                <w:rFonts w:eastAsia="Times New Roman"/>
                <w:sz w:val="24"/>
                <w:szCs w:val="24"/>
              </w:rPr>
            </w:pPr>
            <w:r w:rsidRPr="00886FD2">
              <w:rPr>
                <w:rFonts w:eastAsia="Times New Roman"/>
                <w:sz w:val="24"/>
                <w:szCs w:val="24"/>
              </w:rPr>
              <w:t>19.61</w:t>
            </w:r>
          </w:p>
        </w:tc>
        <w:tc>
          <w:tcPr>
            <w:tcW w:w="915" w:type="dxa"/>
            <w:tcBorders>
              <w:top w:val="nil"/>
              <w:left w:val="nil"/>
              <w:bottom w:val="single" w:sz="7" w:space="0" w:color="000000"/>
              <w:right w:val="single" w:sz="7" w:space="0" w:color="000000"/>
            </w:tcBorders>
            <w:tcMar>
              <w:top w:w="100" w:type="dxa"/>
              <w:left w:w="100" w:type="dxa"/>
              <w:bottom w:w="100" w:type="dxa"/>
              <w:right w:w="100" w:type="dxa"/>
            </w:tcMar>
          </w:tcPr>
          <w:p w14:paraId="75B90F1C" w14:textId="77777777" w:rsidR="00351E7F" w:rsidRPr="00886FD2" w:rsidRDefault="00351E7F" w:rsidP="002E3A2B">
            <w:pPr>
              <w:spacing w:after="200" w:line="360" w:lineRule="auto"/>
              <w:jc w:val="both"/>
              <w:rPr>
                <w:rFonts w:eastAsia="Times New Roman"/>
                <w:sz w:val="24"/>
                <w:szCs w:val="24"/>
              </w:rPr>
            </w:pPr>
            <w:r w:rsidRPr="00886FD2">
              <w:rPr>
                <w:rFonts w:eastAsia="Times New Roman"/>
                <w:sz w:val="24"/>
                <w:szCs w:val="24"/>
              </w:rPr>
              <w:t>19.60</w:t>
            </w:r>
          </w:p>
        </w:tc>
        <w:tc>
          <w:tcPr>
            <w:tcW w:w="900" w:type="dxa"/>
            <w:tcBorders>
              <w:top w:val="nil"/>
              <w:left w:val="nil"/>
              <w:bottom w:val="single" w:sz="7" w:space="0" w:color="000000"/>
              <w:right w:val="single" w:sz="7" w:space="0" w:color="000000"/>
            </w:tcBorders>
            <w:tcMar>
              <w:top w:w="100" w:type="dxa"/>
              <w:left w:w="100" w:type="dxa"/>
              <w:bottom w:w="100" w:type="dxa"/>
              <w:right w:w="100" w:type="dxa"/>
            </w:tcMar>
          </w:tcPr>
          <w:p w14:paraId="5785AC91" w14:textId="77777777" w:rsidR="00351E7F" w:rsidRPr="00886FD2" w:rsidRDefault="00351E7F" w:rsidP="002E3A2B">
            <w:pPr>
              <w:spacing w:after="200" w:line="360" w:lineRule="auto"/>
              <w:jc w:val="both"/>
              <w:rPr>
                <w:rFonts w:eastAsia="Times New Roman"/>
                <w:sz w:val="24"/>
                <w:szCs w:val="24"/>
              </w:rPr>
            </w:pPr>
            <w:r w:rsidRPr="00886FD2">
              <w:rPr>
                <w:rFonts w:eastAsia="Times New Roman"/>
                <w:sz w:val="24"/>
                <w:szCs w:val="24"/>
              </w:rPr>
              <w:t>21.22</w:t>
            </w:r>
          </w:p>
        </w:tc>
      </w:tr>
      <w:tr w:rsidR="00351E7F" w:rsidRPr="00886FD2" w14:paraId="2F077BEC" w14:textId="77777777" w:rsidTr="002E3A2B">
        <w:trPr>
          <w:trHeight w:val="515"/>
        </w:trPr>
        <w:tc>
          <w:tcPr>
            <w:tcW w:w="2115" w:type="dxa"/>
            <w:tcBorders>
              <w:top w:val="nil"/>
              <w:left w:val="single" w:sz="7" w:space="0" w:color="000000"/>
              <w:bottom w:val="single" w:sz="7" w:space="0" w:color="000000"/>
              <w:right w:val="single" w:sz="7" w:space="0" w:color="000000"/>
            </w:tcBorders>
            <w:tcMar>
              <w:top w:w="100" w:type="dxa"/>
              <w:left w:w="100" w:type="dxa"/>
              <w:bottom w:w="100" w:type="dxa"/>
              <w:right w:w="100" w:type="dxa"/>
            </w:tcMar>
          </w:tcPr>
          <w:p w14:paraId="55E5DA9F" w14:textId="77777777" w:rsidR="00351E7F" w:rsidRPr="00886FD2" w:rsidRDefault="00351E7F" w:rsidP="002E3A2B">
            <w:pPr>
              <w:spacing w:after="200" w:line="360" w:lineRule="auto"/>
              <w:jc w:val="both"/>
              <w:rPr>
                <w:rFonts w:eastAsia="Times New Roman"/>
                <w:sz w:val="24"/>
                <w:szCs w:val="24"/>
              </w:rPr>
            </w:pPr>
            <w:r w:rsidRPr="00886FD2">
              <w:rPr>
                <w:rFonts w:eastAsia="Times New Roman"/>
                <w:sz w:val="24"/>
                <w:szCs w:val="24"/>
              </w:rPr>
              <w:t>CCC</w:t>
            </w:r>
          </w:p>
        </w:tc>
        <w:tc>
          <w:tcPr>
            <w:tcW w:w="2310" w:type="dxa"/>
            <w:tcBorders>
              <w:top w:val="nil"/>
              <w:left w:val="nil"/>
              <w:bottom w:val="single" w:sz="7" w:space="0" w:color="000000"/>
              <w:right w:val="single" w:sz="7" w:space="0" w:color="000000"/>
            </w:tcBorders>
            <w:tcMar>
              <w:top w:w="100" w:type="dxa"/>
              <w:left w:w="100" w:type="dxa"/>
              <w:bottom w:w="100" w:type="dxa"/>
              <w:right w:w="100" w:type="dxa"/>
            </w:tcMar>
          </w:tcPr>
          <w:p w14:paraId="6E00F3D4" w14:textId="77777777" w:rsidR="00351E7F" w:rsidRPr="00886FD2" w:rsidRDefault="00351E7F" w:rsidP="002E3A2B">
            <w:pPr>
              <w:spacing w:after="200" w:line="360" w:lineRule="auto"/>
              <w:jc w:val="both"/>
              <w:rPr>
                <w:rFonts w:eastAsia="Times New Roman"/>
                <w:sz w:val="24"/>
                <w:szCs w:val="24"/>
              </w:rPr>
            </w:pPr>
            <w:r w:rsidRPr="00886FD2">
              <w:rPr>
                <w:rFonts w:eastAsia="Times New Roman"/>
                <w:sz w:val="24"/>
                <w:szCs w:val="24"/>
              </w:rPr>
              <w:t>DIO+DSO-DPO</w:t>
            </w:r>
          </w:p>
        </w:tc>
        <w:tc>
          <w:tcPr>
            <w:tcW w:w="915" w:type="dxa"/>
            <w:tcBorders>
              <w:top w:val="nil"/>
              <w:left w:val="nil"/>
              <w:bottom w:val="single" w:sz="7" w:space="0" w:color="000000"/>
              <w:right w:val="single" w:sz="7" w:space="0" w:color="000000"/>
            </w:tcBorders>
            <w:tcMar>
              <w:top w:w="100" w:type="dxa"/>
              <w:left w:w="100" w:type="dxa"/>
              <w:bottom w:w="100" w:type="dxa"/>
              <w:right w:w="100" w:type="dxa"/>
            </w:tcMar>
          </w:tcPr>
          <w:p w14:paraId="359705B3" w14:textId="77777777" w:rsidR="00351E7F" w:rsidRPr="00886FD2" w:rsidRDefault="00351E7F" w:rsidP="002E3A2B">
            <w:pPr>
              <w:spacing w:after="200" w:line="360" w:lineRule="auto"/>
              <w:jc w:val="both"/>
              <w:rPr>
                <w:rFonts w:eastAsia="Times New Roman"/>
                <w:sz w:val="24"/>
                <w:szCs w:val="24"/>
              </w:rPr>
            </w:pPr>
            <w:r w:rsidRPr="00886FD2">
              <w:rPr>
                <w:rFonts w:eastAsia="Times New Roman"/>
                <w:sz w:val="24"/>
                <w:szCs w:val="24"/>
              </w:rPr>
              <w:t>35.82</w:t>
            </w:r>
          </w:p>
        </w:tc>
        <w:tc>
          <w:tcPr>
            <w:tcW w:w="915" w:type="dxa"/>
            <w:tcBorders>
              <w:top w:val="nil"/>
              <w:left w:val="nil"/>
              <w:bottom w:val="single" w:sz="7" w:space="0" w:color="000000"/>
              <w:right w:val="single" w:sz="7" w:space="0" w:color="000000"/>
            </w:tcBorders>
            <w:tcMar>
              <w:top w:w="100" w:type="dxa"/>
              <w:left w:w="100" w:type="dxa"/>
              <w:bottom w:w="100" w:type="dxa"/>
              <w:right w:w="100" w:type="dxa"/>
            </w:tcMar>
          </w:tcPr>
          <w:p w14:paraId="7DC27D43" w14:textId="77777777" w:rsidR="00351E7F" w:rsidRPr="00886FD2" w:rsidRDefault="00351E7F" w:rsidP="002E3A2B">
            <w:pPr>
              <w:spacing w:after="200" w:line="360" w:lineRule="auto"/>
              <w:jc w:val="both"/>
              <w:rPr>
                <w:rFonts w:eastAsia="Times New Roman"/>
                <w:sz w:val="24"/>
                <w:szCs w:val="24"/>
              </w:rPr>
            </w:pPr>
            <w:r w:rsidRPr="00886FD2">
              <w:rPr>
                <w:rFonts w:eastAsia="Times New Roman"/>
                <w:sz w:val="24"/>
                <w:szCs w:val="24"/>
              </w:rPr>
              <w:t>33.58</w:t>
            </w:r>
          </w:p>
        </w:tc>
        <w:tc>
          <w:tcPr>
            <w:tcW w:w="915" w:type="dxa"/>
            <w:tcBorders>
              <w:top w:val="nil"/>
              <w:left w:val="nil"/>
              <w:bottom w:val="single" w:sz="7" w:space="0" w:color="000000"/>
              <w:right w:val="single" w:sz="7" w:space="0" w:color="000000"/>
            </w:tcBorders>
            <w:tcMar>
              <w:top w:w="100" w:type="dxa"/>
              <w:left w:w="100" w:type="dxa"/>
              <w:bottom w:w="100" w:type="dxa"/>
              <w:right w:w="100" w:type="dxa"/>
            </w:tcMar>
          </w:tcPr>
          <w:p w14:paraId="294C805B" w14:textId="77777777" w:rsidR="00351E7F" w:rsidRPr="00886FD2" w:rsidRDefault="00351E7F" w:rsidP="002E3A2B">
            <w:pPr>
              <w:spacing w:after="200" w:line="360" w:lineRule="auto"/>
              <w:jc w:val="both"/>
              <w:rPr>
                <w:rFonts w:eastAsia="Times New Roman"/>
                <w:sz w:val="24"/>
                <w:szCs w:val="24"/>
              </w:rPr>
            </w:pPr>
            <w:r w:rsidRPr="00886FD2">
              <w:rPr>
                <w:rFonts w:eastAsia="Times New Roman"/>
                <w:sz w:val="24"/>
                <w:szCs w:val="24"/>
              </w:rPr>
              <w:t>33.42</w:t>
            </w:r>
          </w:p>
        </w:tc>
        <w:tc>
          <w:tcPr>
            <w:tcW w:w="915" w:type="dxa"/>
            <w:tcBorders>
              <w:top w:val="nil"/>
              <w:left w:val="nil"/>
              <w:bottom w:val="single" w:sz="7" w:space="0" w:color="000000"/>
              <w:right w:val="single" w:sz="7" w:space="0" w:color="000000"/>
            </w:tcBorders>
            <w:tcMar>
              <w:top w:w="100" w:type="dxa"/>
              <w:left w:w="100" w:type="dxa"/>
              <w:bottom w:w="100" w:type="dxa"/>
              <w:right w:w="100" w:type="dxa"/>
            </w:tcMar>
          </w:tcPr>
          <w:p w14:paraId="76E4F733" w14:textId="77777777" w:rsidR="00351E7F" w:rsidRPr="00886FD2" w:rsidRDefault="00351E7F" w:rsidP="002E3A2B">
            <w:pPr>
              <w:spacing w:after="200" w:line="360" w:lineRule="auto"/>
              <w:jc w:val="both"/>
              <w:rPr>
                <w:rFonts w:eastAsia="Times New Roman"/>
                <w:sz w:val="24"/>
                <w:szCs w:val="24"/>
              </w:rPr>
            </w:pPr>
            <w:r w:rsidRPr="00886FD2">
              <w:rPr>
                <w:rFonts w:eastAsia="Times New Roman"/>
                <w:sz w:val="24"/>
                <w:szCs w:val="24"/>
              </w:rPr>
              <w:t>32.11</w:t>
            </w:r>
          </w:p>
        </w:tc>
        <w:tc>
          <w:tcPr>
            <w:tcW w:w="900" w:type="dxa"/>
            <w:tcBorders>
              <w:top w:val="nil"/>
              <w:left w:val="nil"/>
              <w:bottom w:val="single" w:sz="7" w:space="0" w:color="000000"/>
              <w:right w:val="single" w:sz="7" w:space="0" w:color="000000"/>
            </w:tcBorders>
            <w:tcMar>
              <w:top w:w="100" w:type="dxa"/>
              <w:left w:w="100" w:type="dxa"/>
              <w:bottom w:w="100" w:type="dxa"/>
              <w:right w:w="100" w:type="dxa"/>
            </w:tcMar>
          </w:tcPr>
          <w:p w14:paraId="48EC5F0E" w14:textId="77777777" w:rsidR="00351E7F" w:rsidRPr="00886FD2" w:rsidRDefault="00351E7F" w:rsidP="002E3A2B">
            <w:pPr>
              <w:spacing w:after="200" w:line="360" w:lineRule="auto"/>
              <w:jc w:val="both"/>
              <w:rPr>
                <w:rFonts w:eastAsia="Times New Roman"/>
                <w:sz w:val="24"/>
                <w:szCs w:val="24"/>
              </w:rPr>
            </w:pPr>
            <w:r w:rsidRPr="00886FD2">
              <w:rPr>
                <w:rFonts w:eastAsia="Times New Roman"/>
                <w:sz w:val="24"/>
                <w:szCs w:val="24"/>
              </w:rPr>
              <w:t>30.01</w:t>
            </w:r>
          </w:p>
        </w:tc>
      </w:tr>
    </w:tbl>
    <w:p w14:paraId="4D29CC6C" w14:textId="77777777" w:rsidR="00351E7F" w:rsidRPr="00886FD2" w:rsidRDefault="00351E7F" w:rsidP="00351E7F">
      <w:pPr>
        <w:spacing w:after="200" w:line="360" w:lineRule="auto"/>
        <w:jc w:val="both"/>
        <w:rPr>
          <w:rFonts w:eastAsia="Times New Roman"/>
          <w:sz w:val="24"/>
          <w:szCs w:val="24"/>
        </w:rPr>
      </w:pPr>
    </w:p>
    <w:p w14:paraId="57943435" w14:textId="77777777" w:rsidR="00351E7F" w:rsidRPr="00886FD2" w:rsidRDefault="00351E7F" w:rsidP="00351E7F">
      <w:pPr>
        <w:spacing w:after="200" w:line="360" w:lineRule="auto"/>
        <w:jc w:val="center"/>
        <w:rPr>
          <w:rFonts w:eastAsia="Times New Roman"/>
          <w:b/>
          <w:bCs/>
          <w:sz w:val="24"/>
          <w:szCs w:val="24"/>
        </w:rPr>
      </w:pPr>
      <w:r w:rsidRPr="00886FD2">
        <w:rPr>
          <w:rFonts w:eastAsia="Times New Roman"/>
          <w:b/>
          <w:bCs/>
          <w:sz w:val="24"/>
          <w:szCs w:val="24"/>
        </w:rPr>
        <w:t>Table 1: Calculation of COC</w:t>
      </w:r>
    </w:p>
    <w:p w14:paraId="6BA3C173" w14:textId="77777777" w:rsidR="00351E7F" w:rsidRPr="00886FD2" w:rsidRDefault="00351E7F" w:rsidP="00351E7F">
      <w:pPr>
        <w:spacing w:after="200" w:line="360" w:lineRule="auto"/>
        <w:jc w:val="center"/>
        <w:rPr>
          <w:rFonts w:eastAsia="Times New Roman"/>
          <w:sz w:val="24"/>
          <w:szCs w:val="24"/>
        </w:rPr>
      </w:pPr>
      <w:r w:rsidRPr="00886FD2">
        <w:rPr>
          <w:rFonts w:eastAsia="Times New Roman"/>
          <w:sz w:val="24"/>
          <w:szCs w:val="24"/>
        </w:rPr>
        <w:t>(Source: Self-developed)</w:t>
      </w:r>
    </w:p>
    <w:p w14:paraId="04413DB6" w14:textId="77777777" w:rsidR="00351E7F" w:rsidRPr="00886FD2" w:rsidRDefault="00351E7F" w:rsidP="00351E7F">
      <w:pPr>
        <w:spacing w:after="200" w:line="360" w:lineRule="auto"/>
        <w:jc w:val="both"/>
        <w:rPr>
          <w:rFonts w:eastAsia="Times New Roman"/>
          <w:sz w:val="24"/>
          <w:szCs w:val="24"/>
        </w:rPr>
      </w:pPr>
      <w:r w:rsidRPr="00886FD2">
        <w:rPr>
          <w:rFonts w:eastAsia="Times New Roman"/>
          <w:sz w:val="24"/>
          <w:szCs w:val="24"/>
        </w:rPr>
        <w:t xml:space="preserve">Hilton recorded zero Days Inventory Outstanding (DIO) throughout the period because of its asset-light business model, where most of the hotels operate under franchise as well as management contracts instead of inventory-intensive ownership. Under the </w:t>
      </w:r>
      <w:r w:rsidRPr="00886FD2">
        <w:rPr>
          <w:rFonts w:eastAsia="Times New Roman"/>
          <w:sz w:val="24"/>
          <w:szCs w:val="24"/>
        </w:rPr>
        <w:lastRenderedPageBreak/>
        <w:t xml:space="preserve">CCC model, a lower DIO diminishes the cash tied up in operations, enhancing liquidity and allowing greater investments across strategic business growth (Warning et al., 2023). This model has allowed Hilton to concentrate on expanding its global portfolio instead of managing its inventories. </w:t>
      </w:r>
    </w:p>
    <w:p w14:paraId="55E91601" w14:textId="77777777" w:rsidR="00351E7F" w:rsidRPr="00886FD2" w:rsidRDefault="00351E7F" w:rsidP="00351E7F">
      <w:pPr>
        <w:spacing w:after="200" w:line="360" w:lineRule="auto"/>
        <w:jc w:val="both"/>
        <w:rPr>
          <w:rFonts w:eastAsia="Times New Roman"/>
          <w:sz w:val="24"/>
          <w:szCs w:val="24"/>
        </w:rPr>
      </w:pPr>
      <w:r w:rsidRPr="00886FD2">
        <w:rPr>
          <w:rFonts w:eastAsia="Times New Roman"/>
          <w:sz w:val="24"/>
          <w:szCs w:val="24"/>
        </w:rPr>
        <w:t xml:space="preserve">The Days Sales Outstanding (DSO) has significantly decreased from 67.35 days in the FY2021 to 51.24 days in the FY2025, which means that the receivables collection has improved despite the increase in revenue generation from US$5.79 billion and reach to US$12.04 billion (Asman et al., 2022). As per the CCC model, a lower DSO accelerates the cash inflows, diminishes the credit risks and thus strengthens the operational liquidity, which shows that Hilton converted the higher sales into cash more profoundly during the post-pandemic recovery. </w:t>
      </w:r>
    </w:p>
    <w:p w14:paraId="69FE089D" w14:textId="77777777" w:rsidR="00351E7F" w:rsidRPr="00886FD2" w:rsidRDefault="00351E7F" w:rsidP="00351E7F">
      <w:pPr>
        <w:spacing w:after="200" w:line="360" w:lineRule="auto"/>
        <w:jc w:val="both"/>
        <w:rPr>
          <w:rFonts w:eastAsia="Times New Roman"/>
          <w:sz w:val="24"/>
          <w:szCs w:val="24"/>
        </w:rPr>
      </w:pPr>
      <w:r w:rsidRPr="00886FD2">
        <w:rPr>
          <w:rFonts w:eastAsia="Times New Roman"/>
          <w:sz w:val="24"/>
          <w:szCs w:val="24"/>
        </w:rPr>
        <w:t xml:space="preserve">Although the Days Payables Outstanding (DPO) declined significantly from 31.53 days to 21.22 days, this hospitality company maintained timely payments to the suppliers, which effectively supports the long-term business relationships.  Research work by </w:t>
      </w:r>
      <w:proofErr w:type="spellStart"/>
      <w:r w:rsidRPr="00886FD2">
        <w:rPr>
          <w:rFonts w:eastAsia="Times New Roman"/>
          <w:sz w:val="24"/>
          <w:szCs w:val="24"/>
        </w:rPr>
        <w:t>Akpadaka</w:t>
      </w:r>
      <w:proofErr w:type="spellEnd"/>
      <w:r w:rsidRPr="00886FD2">
        <w:rPr>
          <w:rFonts w:eastAsia="Times New Roman"/>
          <w:sz w:val="24"/>
          <w:szCs w:val="24"/>
        </w:rPr>
        <w:t xml:space="preserve"> and Edeh (2024) exemplified that a higher DPO can temporarily boost the liquidity, however research work by Huang (2022) argued this statement showing that excessively delaying payments might weaken the confidence levels of the suppliers.  In essence, it can be asserted that the Cash Conversion Cycle of Hilton improved from 35.82 days to 30.01 days, which showcases a sense of stronger working capital efficiency through lowering the high dependence on short-term financing as well as greater financial flexibility to support the global expansion of business and continued investment across digital and customer-focused initiatives. </w:t>
      </w:r>
    </w:p>
    <w:p w14:paraId="519D7096" w14:textId="77777777" w:rsidR="00351E7F" w:rsidRPr="00886FD2" w:rsidRDefault="00351E7F" w:rsidP="00351E7F">
      <w:pPr>
        <w:pStyle w:val="Heading2"/>
      </w:pPr>
      <w:bookmarkStart w:id="18" w:name="_Toc235207149"/>
      <w:bookmarkStart w:id="19" w:name="_Toc235207374"/>
      <w:r w:rsidRPr="00886FD2">
        <w:t>3.2 Strategies to Improve Liquidity through Working Capital Reforms</w:t>
      </w:r>
      <w:bookmarkEnd w:id="18"/>
      <w:bookmarkEnd w:id="19"/>
    </w:p>
    <w:p w14:paraId="1FF50682" w14:textId="77777777" w:rsidR="00351E7F" w:rsidRPr="00886FD2" w:rsidRDefault="00351E7F" w:rsidP="00351E7F">
      <w:pPr>
        <w:spacing w:after="200" w:line="360" w:lineRule="auto"/>
        <w:jc w:val="both"/>
        <w:rPr>
          <w:rFonts w:eastAsia="Times New Roman"/>
          <w:sz w:val="24"/>
          <w:szCs w:val="24"/>
        </w:rPr>
      </w:pPr>
      <w:r w:rsidRPr="00886FD2">
        <w:rPr>
          <w:rFonts w:eastAsia="Times New Roman"/>
          <w:sz w:val="24"/>
          <w:szCs w:val="24"/>
        </w:rPr>
        <w:t xml:space="preserve"> Though Hilton has enhanced its cash conversion cycle, further working capital reforms are needed to strengthen its liquidity while lowering its financing requirements.  Through the lens of Working Capital Management Theory, lowering the cash conversion cycles will allow the organisations to release cash for their operational as well as strategic investments. </w:t>
      </w:r>
    </w:p>
    <w:p w14:paraId="16075ECE" w14:textId="77777777" w:rsidR="00351E7F" w:rsidRPr="00886FD2" w:rsidRDefault="00351E7F" w:rsidP="00351E7F">
      <w:pPr>
        <w:spacing w:after="200" w:line="360" w:lineRule="auto"/>
        <w:jc w:val="both"/>
        <w:rPr>
          <w:rFonts w:eastAsia="Times New Roman"/>
          <w:sz w:val="24"/>
          <w:szCs w:val="24"/>
        </w:rPr>
      </w:pPr>
      <w:r w:rsidRPr="00886FD2">
        <w:rPr>
          <w:rFonts w:eastAsia="Times New Roman"/>
          <w:b/>
          <w:bCs/>
          <w:i/>
          <w:iCs/>
          <w:sz w:val="24"/>
          <w:szCs w:val="24"/>
        </w:rPr>
        <w:t>Firstly,</w:t>
      </w:r>
      <w:r w:rsidRPr="00886FD2">
        <w:rPr>
          <w:rFonts w:eastAsia="Times New Roman"/>
          <w:sz w:val="24"/>
          <w:szCs w:val="24"/>
        </w:rPr>
        <w:t xml:space="preserve"> Hilton needs to adopt an AI-driven receivables management system in order to monitor the payment behaviours of the potential customers, automate the invoice reminders and finally identify the overdue accounts, thus assisting the company to </w:t>
      </w:r>
      <w:r w:rsidRPr="00886FD2">
        <w:rPr>
          <w:rFonts w:eastAsia="Times New Roman"/>
          <w:sz w:val="24"/>
          <w:szCs w:val="24"/>
        </w:rPr>
        <w:lastRenderedPageBreak/>
        <w:t>diminish its Days Sales Outstanding while accelerating the cash inflows (Alim et al., 2026).</w:t>
      </w:r>
    </w:p>
    <w:p w14:paraId="33CCB371" w14:textId="77777777" w:rsidR="00351E7F" w:rsidRPr="00886FD2" w:rsidRDefault="00351E7F" w:rsidP="00351E7F">
      <w:pPr>
        <w:spacing w:after="200" w:line="360" w:lineRule="auto"/>
        <w:jc w:val="both"/>
        <w:rPr>
          <w:rFonts w:eastAsia="Times New Roman"/>
          <w:sz w:val="24"/>
          <w:szCs w:val="24"/>
        </w:rPr>
      </w:pPr>
      <w:r w:rsidRPr="00886FD2">
        <w:rPr>
          <w:rFonts w:eastAsia="Times New Roman"/>
          <w:b/>
          <w:bCs/>
          <w:i/>
          <w:iCs/>
          <w:sz w:val="24"/>
          <w:szCs w:val="24"/>
        </w:rPr>
        <w:t>Secondly,</w:t>
      </w:r>
      <w:r w:rsidRPr="00886FD2">
        <w:rPr>
          <w:rFonts w:eastAsia="Times New Roman"/>
          <w:sz w:val="24"/>
          <w:szCs w:val="24"/>
        </w:rPr>
        <w:t xml:space="preserve"> this hospitality company is required to negotiate extended supplier payment terms where commercially appropriate, maximising the Days Payables Outstanding without hindering the relationships with the suppliers and thus preserving the short-term liquidity (KODURU, 2026). </w:t>
      </w:r>
    </w:p>
    <w:p w14:paraId="4F0CCF24" w14:textId="77777777" w:rsidR="00351E7F" w:rsidRPr="00886FD2" w:rsidRDefault="00351E7F" w:rsidP="00351E7F">
      <w:pPr>
        <w:spacing w:after="200" w:line="360" w:lineRule="auto"/>
        <w:jc w:val="both"/>
        <w:rPr>
          <w:rFonts w:eastAsia="Times New Roman"/>
          <w:sz w:val="24"/>
          <w:szCs w:val="24"/>
        </w:rPr>
      </w:pPr>
      <w:r w:rsidRPr="00886FD2">
        <w:rPr>
          <w:rFonts w:eastAsia="Times New Roman"/>
          <w:b/>
          <w:bCs/>
          <w:i/>
          <w:iCs/>
          <w:sz w:val="24"/>
          <w:szCs w:val="24"/>
        </w:rPr>
        <w:t>Thirdly,</w:t>
      </w:r>
      <w:r w:rsidRPr="00886FD2">
        <w:rPr>
          <w:rFonts w:eastAsia="Times New Roman"/>
          <w:sz w:val="24"/>
          <w:szCs w:val="24"/>
        </w:rPr>
        <w:t xml:space="preserve"> Hilton also needs to boost its cash forecasting as well as treasury management through the help of real-time financial analytics to optimise the cash collection within its global business operations (Alonge et al., 2024).</w:t>
      </w:r>
    </w:p>
    <w:p w14:paraId="397370CB" w14:textId="77777777" w:rsidR="00351E7F" w:rsidRPr="00886FD2" w:rsidRDefault="00351E7F" w:rsidP="00351E7F">
      <w:pPr>
        <w:spacing w:after="200" w:line="360" w:lineRule="auto"/>
        <w:jc w:val="both"/>
        <w:rPr>
          <w:rFonts w:eastAsia="Times New Roman"/>
          <w:sz w:val="24"/>
          <w:szCs w:val="24"/>
        </w:rPr>
      </w:pPr>
      <w:r w:rsidRPr="00886FD2">
        <w:rPr>
          <w:rFonts w:eastAsia="Times New Roman"/>
          <w:sz w:val="24"/>
          <w:szCs w:val="24"/>
        </w:rPr>
        <w:t xml:space="preserve">Concurrently, these reforms will not only enhance the liquidity, but also lower the sole dependence on short-term borrowing while offering a sense of greater financial flexibility to support the expansion of hotels, digital transformations and shareholders' value while managing the operational effectiveness. </w:t>
      </w:r>
    </w:p>
    <w:p w14:paraId="1CBAF7FC" w14:textId="77777777" w:rsidR="00351E7F" w:rsidRPr="00886FD2" w:rsidRDefault="00351E7F" w:rsidP="00351E7F">
      <w:pPr>
        <w:pStyle w:val="Heading2"/>
      </w:pPr>
      <w:bookmarkStart w:id="20" w:name="_Toc235207150"/>
      <w:bookmarkStart w:id="21" w:name="_Toc235207375"/>
      <w:r w:rsidRPr="00886FD2">
        <w:t>3.3 Comparison of Short-Term and Long-Term Financing Options</w:t>
      </w:r>
      <w:bookmarkEnd w:id="20"/>
      <w:bookmarkEnd w:id="21"/>
    </w:p>
    <w:p w14:paraId="4BC84906" w14:textId="77777777" w:rsidR="00351E7F" w:rsidRPr="00886FD2" w:rsidRDefault="00351E7F" w:rsidP="00351E7F">
      <w:pPr>
        <w:spacing w:after="200" w:line="360" w:lineRule="auto"/>
        <w:jc w:val="both"/>
        <w:rPr>
          <w:rFonts w:eastAsia="Times New Roman"/>
          <w:sz w:val="24"/>
          <w:szCs w:val="24"/>
        </w:rPr>
      </w:pPr>
      <w:r w:rsidRPr="00886FD2">
        <w:rPr>
          <w:rFonts w:eastAsia="Times New Roman"/>
          <w:sz w:val="24"/>
          <w:szCs w:val="24"/>
        </w:rPr>
        <w:t>As per the Matching (Hedging) Principle of Working Capital Management, short-term assets need to be financed with short-term funds, while long-term investments need to be supported through long-term financing. With respect to Hilton, short-term financing like bank overdrafts, revolving credit facilities, as well as trade credit offers a sense of flexibility to manage the seasonal fluctuations of cash flow alongside day-to-day operational expenses (Class, 2025). However, the excessive dependence on short-term debt might maximise the risks of refinancing and exposure towards the rising interest rates. On the flip side, long-term financing incorporating long-term loans and corporate brands presents stable funding at predictable costs and thus supports the expansion of hotels, digital transformation and ultimately the strategic acquisitions (</w:t>
      </w:r>
      <w:proofErr w:type="spellStart"/>
      <w:r w:rsidRPr="00886FD2">
        <w:rPr>
          <w:rFonts w:eastAsia="Times New Roman"/>
          <w:sz w:val="24"/>
          <w:szCs w:val="24"/>
        </w:rPr>
        <w:t>Geronasso</w:t>
      </w:r>
      <w:proofErr w:type="spellEnd"/>
      <w:r w:rsidRPr="00886FD2">
        <w:rPr>
          <w:rFonts w:eastAsia="Times New Roman"/>
          <w:sz w:val="24"/>
          <w:szCs w:val="24"/>
        </w:rPr>
        <w:t xml:space="preserve">, 2025). Despite the long-term finance generally incurs higher overall borrowing costs, it significantly contributes to reducing the pressures of liquidity along with financial uncertainty.  Given the global business expansion strategy of Hilton, a balanced financing approach which amalgams the short-term facilities for operational liquidity with long-term debt for the strategic investments is the most ideal option. </w:t>
      </w:r>
    </w:p>
    <w:p w14:paraId="5DA65A26" w14:textId="77777777" w:rsidR="00351E7F" w:rsidRPr="00886FD2" w:rsidRDefault="00351E7F" w:rsidP="00351E7F">
      <w:pPr>
        <w:pStyle w:val="Heading1"/>
      </w:pPr>
      <w:bookmarkStart w:id="22" w:name="_Toc235207151"/>
      <w:bookmarkStart w:id="23" w:name="_Toc235207376"/>
      <w:r w:rsidRPr="00886FD2">
        <w:lastRenderedPageBreak/>
        <w:t>4. Strategic Financial Restructuring Plan</w:t>
      </w:r>
      <w:bookmarkEnd w:id="22"/>
      <w:bookmarkEnd w:id="23"/>
    </w:p>
    <w:p w14:paraId="51DD3E05" w14:textId="77777777" w:rsidR="00351E7F" w:rsidRPr="00886FD2" w:rsidRDefault="00351E7F" w:rsidP="00351E7F">
      <w:pPr>
        <w:pStyle w:val="Heading2"/>
      </w:pPr>
      <w:bookmarkStart w:id="24" w:name="_Toc235207152"/>
      <w:bookmarkStart w:id="25" w:name="_Toc235207377"/>
      <w:r w:rsidRPr="00886FD2">
        <w:t>4.1 Recommended Financial Restructuring Options</w:t>
      </w:r>
      <w:bookmarkEnd w:id="24"/>
      <w:bookmarkEnd w:id="25"/>
    </w:p>
    <w:p w14:paraId="2FA113F8" w14:textId="77777777" w:rsidR="00351E7F" w:rsidRPr="00886FD2" w:rsidRDefault="00351E7F" w:rsidP="00351E7F">
      <w:pPr>
        <w:spacing w:after="200" w:line="360" w:lineRule="auto"/>
        <w:jc w:val="both"/>
        <w:rPr>
          <w:rFonts w:eastAsia="Times New Roman"/>
          <w:sz w:val="24"/>
          <w:szCs w:val="24"/>
        </w:rPr>
      </w:pPr>
      <w:r w:rsidRPr="00886FD2">
        <w:rPr>
          <w:rFonts w:eastAsia="Times New Roman"/>
          <w:sz w:val="24"/>
          <w:szCs w:val="24"/>
        </w:rPr>
        <w:t xml:space="preserve">The financial restructuring of Hilton needs to prioritise the optimisations of its capital structure while effectively guiding the sustainable global growth. The Annul Reports of the Hilton suggests that the company continues to pursue an asset-light business model, expanding through franchise and management agreements instead of acquiring hotel properties. Through standpoint of </w:t>
      </w:r>
      <w:r w:rsidRPr="00886FD2">
        <w:rPr>
          <w:rFonts w:eastAsia="Times New Roman"/>
          <w:b/>
          <w:bCs/>
          <w:i/>
          <w:iCs/>
          <w:sz w:val="24"/>
          <w:szCs w:val="24"/>
        </w:rPr>
        <w:t>Trade-off Theory of Capital Structure</w:t>
      </w:r>
      <w:r w:rsidRPr="00886FD2">
        <w:rPr>
          <w:rFonts w:eastAsia="Times New Roman"/>
          <w:sz w:val="24"/>
          <w:szCs w:val="24"/>
        </w:rPr>
        <w:t>, Hilton needs to balance their tax advantages of debt with the increasing costs of financial distress (</w:t>
      </w:r>
      <w:proofErr w:type="spellStart"/>
      <w:r w:rsidRPr="00886FD2">
        <w:rPr>
          <w:rFonts w:eastAsia="Times New Roman"/>
          <w:sz w:val="24"/>
          <w:szCs w:val="24"/>
        </w:rPr>
        <w:t>Brusov</w:t>
      </w:r>
      <w:proofErr w:type="spellEnd"/>
      <w:r w:rsidRPr="00886FD2">
        <w:rPr>
          <w:rFonts w:eastAsia="Times New Roman"/>
          <w:sz w:val="24"/>
          <w:szCs w:val="24"/>
        </w:rPr>
        <w:t xml:space="preserve"> and Filatova, 2023). Though the business performance of Hilton strengthened after the pandemic, its financial position highlights high leverage with the Debt Ratio increasing from 1.05 in 2021 to 1.32 in 2025, while the negative shareholders' equity largely results from the continued share repurchases programmes.</w:t>
      </w:r>
    </w:p>
    <w:p w14:paraId="5187D5E1" w14:textId="77777777" w:rsidR="00351E7F" w:rsidRPr="00886FD2" w:rsidRDefault="00351E7F" w:rsidP="00351E7F">
      <w:pPr>
        <w:spacing w:after="200" w:line="360" w:lineRule="auto"/>
        <w:jc w:val="both"/>
        <w:rPr>
          <w:rFonts w:eastAsia="Times New Roman"/>
          <w:sz w:val="24"/>
          <w:szCs w:val="24"/>
        </w:rPr>
      </w:pPr>
      <w:r w:rsidRPr="00886FD2">
        <w:rPr>
          <w:rFonts w:eastAsia="Times New Roman"/>
          <w:sz w:val="24"/>
          <w:szCs w:val="24"/>
        </w:rPr>
        <w:t xml:space="preserve"> Among the restructuring options, </w:t>
      </w:r>
      <w:r w:rsidRPr="00886FD2">
        <w:rPr>
          <w:rFonts w:eastAsia="Times New Roman"/>
          <w:b/>
          <w:bCs/>
          <w:sz w:val="24"/>
          <w:szCs w:val="24"/>
        </w:rPr>
        <w:t>debt refinancing</w:t>
      </w:r>
      <w:r w:rsidRPr="00886FD2">
        <w:rPr>
          <w:rFonts w:eastAsia="Times New Roman"/>
          <w:sz w:val="24"/>
          <w:szCs w:val="24"/>
        </w:rPr>
        <w:t xml:space="preserve"> can be considered as the most suitable strategy, as the strong operating recovery of Hilton offers the financial capacity in order to replace the existing borrowings with both longer-term and lower-cost debt as well (</w:t>
      </w:r>
      <w:proofErr w:type="spellStart"/>
      <w:r w:rsidRPr="00886FD2">
        <w:rPr>
          <w:rFonts w:eastAsia="Times New Roman"/>
          <w:sz w:val="24"/>
          <w:szCs w:val="24"/>
        </w:rPr>
        <w:t>Friewald</w:t>
      </w:r>
      <w:proofErr w:type="spellEnd"/>
      <w:r w:rsidRPr="00886FD2">
        <w:rPr>
          <w:rFonts w:eastAsia="Times New Roman"/>
          <w:sz w:val="24"/>
          <w:szCs w:val="24"/>
        </w:rPr>
        <w:t xml:space="preserve"> et al., 20220. Besides that, the revenue of the company increased from US$5.79 billion in the financial year 2021 to US$12.04 billion in the financial year 2025, whereas the Operating Cash Flow-to-Debt Ratio improved substantially which points towards a stronger debt servicing capability.  On the flip side, an </w:t>
      </w:r>
      <w:r w:rsidRPr="00886FD2">
        <w:rPr>
          <w:rFonts w:eastAsia="Times New Roman"/>
          <w:b/>
          <w:bCs/>
          <w:i/>
          <w:iCs/>
          <w:sz w:val="24"/>
          <w:szCs w:val="24"/>
        </w:rPr>
        <w:t xml:space="preserve">equity injection </w:t>
      </w:r>
      <w:r w:rsidRPr="00886FD2">
        <w:rPr>
          <w:rFonts w:eastAsia="Times New Roman"/>
          <w:sz w:val="24"/>
          <w:szCs w:val="24"/>
        </w:rPr>
        <w:t xml:space="preserve">is not recommended because issuing additional shares can dilute the value of the shareholders despite the improved earning performances of this hospitality company (Díez et al., 2022).  In a similar way, divestiture presents limited advantages since the asset-light strategy of this hospitality firm already minimises the ownerships of the </w:t>
      </w:r>
      <w:proofErr w:type="gramStart"/>
      <w:r w:rsidRPr="00886FD2">
        <w:rPr>
          <w:rFonts w:eastAsia="Times New Roman"/>
          <w:sz w:val="24"/>
          <w:szCs w:val="24"/>
        </w:rPr>
        <w:t>hotels</w:t>
      </w:r>
      <w:proofErr w:type="gramEnd"/>
      <w:r w:rsidRPr="00886FD2">
        <w:rPr>
          <w:rFonts w:eastAsia="Times New Roman"/>
          <w:sz w:val="24"/>
          <w:szCs w:val="24"/>
        </w:rPr>
        <w:t xml:space="preserve"> assets, while a</w:t>
      </w:r>
      <w:r w:rsidRPr="00886FD2">
        <w:rPr>
          <w:rFonts w:eastAsia="Times New Roman"/>
          <w:i/>
          <w:iCs/>
          <w:sz w:val="24"/>
          <w:szCs w:val="24"/>
        </w:rPr>
        <w:t xml:space="preserve"> </w:t>
      </w:r>
      <w:r w:rsidRPr="00886FD2">
        <w:rPr>
          <w:rFonts w:eastAsia="Times New Roman"/>
          <w:b/>
          <w:bCs/>
          <w:i/>
          <w:iCs/>
          <w:sz w:val="24"/>
          <w:szCs w:val="24"/>
        </w:rPr>
        <w:t>merger</w:t>
      </w:r>
      <w:r w:rsidRPr="00886FD2">
        <w:rPr>
          <w:rFonts w:eastAsia="Times New Roman"/>
          <w:b/>
          <w:bCs/>
          <w:sz w:val="24"/>
          <w:szCs w:val="24"/>
        </w:rPr>
        <w:t xml:space="preserve"> </w:t>
      </w:r>
      <w:r w:rsidRPr="00886FD2">
        <w:rPr>
          <w:rFonts w:eastAsia="Times New Roman"/>
          <w:sz w:val="24"/>
          <w:szCs w:val="24"/>
        </w:rPr>
        <w:t xml:space="preserve">is unnecessary given the consistent expansion of the Hilton, enhancing profitability along with giving a strong global brand position (Feldman and Sakhartov, 2022).  In essence, it can be asserted that debt refinancing represents the most significant restructuring option to fortify the financial adaptability of the Hilton while supporting its long-term business growth strategy. </w:t>
      </w:r>
    </w:p>
    <w:p w14:paraId="6324E8D6" w14:textId="77777777" w:rsidR="00351E7F" w:rsidRPr="00886FD2" w:rsidRDefault="00351E7F" w:rsidP="00351E7F">
      <w:pPr>
        <w:pStyle w:val="Heading2"/>
      </w:pPr>
      <w:bookmarkStart w:id="26" w:name="_Toc235207153"/>
      <w:bookmarkStart w:id="27" w:name="_Toc235207378"/>
      <w:r w:rsidRPr="00886FD2">
        <w:t>4.2 Evaluation of the Impact of Financial Restructuring</w:t>
      </w:r>
      <w:bookmarkEnd w:id="26"/>
      <w:bookmarkEnd w:id="27"/>
    </w:p>
    <w:p w14:paraId="1A053A41" w14:textId="77777777" w:rsidR="00351E7F" w:rsidRPr="00886FD2" w:rsidRDefault="00351E7F" w:rsidP="00351E7F">
      <w:pPr>
        <w:spacing w:after="200" w:line="360" w:lineRule="auto"/>
        <w:jc w:val="both"/>
        <w:rPr>
          <w:rFonts w:eastAsia="Times New Roman"/>
          <w:b/>
          <w:bCs/>
          <w:i/>
          <w:iCs/>
          <w:sz w:val="24"/>
          <w:szCs w:val="24"/>
        </w:rPr>
      </w:pPr>
      <w:r w:rsidRPr="00886FD2">
        <w:rPr>
          <w:rFonts w:eastAsia="Times New Roman"/>
          <w:b/>
          <w:bCs/>
          <w:i/>
          <w:iCs/>
          <w:sz w:val="24"/>
          <w:szCs w:val="24"/>
        </w:rPr>
        <w:t>Impact on Shareholder Value</w:t>
      </w:r>
    </w:p>
    <w:p w14:paraId="5598814A" w14:textId="77777777" w:rsidR="00351E7F" w:rsidRPr="00886FD2" w:rsidRDefault="00351E7F" w:rsidP="00351E7F">
      <w:pPr>
        <w:spacing w:after="200" w:line="360" w:lineRule="auto"/>
        <w:jc w:val="both"/>
        <w:rPr>
          <w:rFonts w:eastAsia="Times New Roman"/>
          <w:sz w:val="24"/>
          <w:szCs w:val="24"/>
        </w:rPr>
      </w:pPr>
      <w:r w:rsidRPr="00886FD2">
        <w:rPr>
          <w:rFonts w:eastAsia="Times New Roman"/>
          <w:sz w:val="24"/>
          <w:szCs w:val="24"/>
        </w:rPr>
        <w:lastRenderedPageBreak/>
        <w:t xml:space="preserve">The enhanced profitability of Hilton’s is reflected within the earnings per share, increasing from US$1.46 to US$6.12 between the financial years 2021 and 2025, and thus supports the long-term shareholder value. However, persistent negative equity of the shareholders in combination with increasing leverage might result in both cost of capital and financial risk (Li, 2024). Thus, it can constrain the creation of future value despite the sustained operational growth. </w:t>
      </w:r>
    </w:p>
    <w:p w14:paraId="56A4DE21" w14:textId="77777777" w:rsidR="00351E7F" w:rsidRPr="00886FD2" w:rsidRDefault="00351E7F" w:rsidP="00351E7F">
      <w:pPr>
        <w:spacing w:after="200" w:line="360" w:lineRule="auto"/>
        <w:jc w:val="both"/>
        <w:rPr>
          <w:rFonts w:eastAsia="Times New Roman"/>
          <w:b/>
          <w:bCs/>
          <w:i/>
          <w:iCs/>
          <w:sz w:val="24"/>
          <w:szCs w:val="24"/>
        </w:rPr>
      </w:pPr>
      <w:r w:rsidRPr="00886FD2">
        <w:rPr>
          <w:rFonts w:eastAsia="Times New Roman"/>
          <w:b/>
          <w:bCs/>
          <w:i/>
          <w:iCs/>
          <w:sz w:val="24"/>
          <w:szCs w:val="24"/>
        </w:rPr>
        <w:t>Impact on Debt Structure</w:t>
      </w:r>
    </w:p>
    <w:p w14:paraId="0DEA878F" w14:textId="77777777" w:rsidR="00351E7F" w:rsidRPr="00886FD2" w:rsidRDefault="00351E7F" w:rsidP="00351E7F">
      <w:pPr>
        <w:spacing w:after="200" w:line="360" w:lineRule="auto"/>
        <w:jc w:val="both"/>
        <w:rPr>
          <w:rFonts w:eastAsia="Times New Roman"/>
          <w:color w:val="FF0000"/>
          <w:sz w:val="24"/>
          <w:szCs w:val="24"/>
        </w:rPr>
      </w:pPr>
      <w:r w:rsidRPr="00886FD2">
        <w:rPr>
          <w:rFonts w:eastAsia="Times New Roman"/>
          <w:sz w:val="24"/>
          <w:szCs w:val="24"/>
        </w:rPr>
        <w:t xml:space="preserve">The capital structure of Hilton has become increasingly reliant on debt, which is evidenced by the Debt Ratio rising from 1.05 to 1.32 over a period of 5 years. Though leverage not only offers tax advantages but also supports the expansion of business, high reliance on the debt heightens both refinancing risk as well as interest rate risk, and thus it can result in reduced financial adaptability during the times of macroeconomic uncertainty. </w:t>
      </w:r>
    </w:p>
    <w:p w14:paraId="795F3E2E" w14:textId="77777777" w:rsidR="00351E7F" w:rsidRPr="00886FD2" w:rsidRDefault="00351E7F" w:rsidP="00351E7F">
      <w:pPr>
        <w:spacing w:after="200" w:line="360" w:lineRule="auto"/>
        <w:jc w:val="both"/>
        <w:rPr>
          <w:rFonts w:eastAsia="Times New Roman"/>
          <w:b/>
          <w:bCs/>
          <w:i/>
          <w:iCs/>
          <w:sz w:val="24"/>
          <w:szCs w:val="24"/>
        </w:rPr>
      </w:pPr>
      <w:r w:rsidRPr="00886FD2">
        <w:rPr>
          <w:rFonts w:eastAsia="Times New Roman"/>
          <w:b/>
          <w:bCs/>
          <w:i/>
          <w:iCs/>
          <w:sz w:val="24"/>
          <w:szCs w:val="24"/>
        </w:rPr>
        <w:t>Impact on Operational Flexibility</w:t>
      </w:r>
    </w:p>
    <w:p w14:paraId="55E1649E" w14:textId="77777777" w:rsidR="00351E7F" w:rsidRPr="00886FD2" w:rsidRDefault="00351E7F" w:rsidP="00351E7F">
      <w:pPr>
        <w:spacing w:after="200" w:line="360" w:lineRule="auto"/>
        <w:jc w:val="both"/>
        <w:rPr>
          <w:rFonts w:eastAsia="Times New Roman"/>
          <w:sz w:val="24"/>
          <w:szCs w:val="24"/>
        </w:rPr>
      </w:pPr>
      <w:r w:rsidRPr="00886FD2">
        <w:rPr>
          <w:rFonts w:eastAsia="Times New Roman"/>
          <w:sz w:val="24"/>
          <w:szCs w:val="24"/>
        </w:rPr>
        <w:t>The asset-light business model of Hilton not only enhances the operational flexibility through minimising the capital-intensive investments while facilitating the global expansion of business through franchise as well as management agreements (</w:t>
      </w:r>
      <w:proofErr w:type="spellStart"/>
      <w:r w:rsidRPr="00886FD2">
        <w:rPr>
          <w:rFonts w:eastAsia="Times New Roman"/>
          <w:sz w:val="24"/>
          <w:szCs w:val="24"/>
        </w:rPr>
        <w:t>Umbrex</w:t>
      </w:r>
      <w:proofErr w:type="spellEnd"/>
      <w:r w:rsidRPr="00886FD2">
        <w:rPr>
          <w:rFonts w:eastAsia="Times New Roman"/>
          <w:sz w:val="24"/>
          <w:szCs w:val="24"/>
        </w:rPr>
        <w:t xml:space="preserve">, 2026). However, the declining current ratios of this hospitality company showcased a sense of reduced short-term liquidity and thus highlighted that high reliance on debt could restrict the capacity of the firm to respond profoundly to future opportunities or any kind of economic shocks. </w:t>
      </w:r>
    </w:p>
    <w:p w14:paraId="42DDEF9E" w14:textId="77777777" w:rsidR="00351E7F" w:rsidRPr="00886FD2" w:rsidRDefault="00351E7F" w:rsidP="00351E7F">
      <w:pPr>
        <w:pStyle w:val="Heading2"/>
      </w:pPr>
      <w:bookmarkStart w:id="28" w:name="_Toc235207154"/>
      <w:bookmarkStart w:id="29" w:name="_Toc235207379"/>
      <w:r w:rsidRPr="00886FD2">
        <w:t>4.3 International and Ethical Considerations</w:t>
      </w:r>
      <w:bookmarkEnd w:id="28"/>
      <w:bookmarkEnd w:id="29"/>
    </w:p>
    <w:p w14:paraId="573E61A7" w14:textId="77777777" w:rsidR="00351E7F" w:rsidRPr="00886FD2" w:rsidRDefault="00351E7F" w:rsidP="00351E7F">
      <w:pPr>
        <w:spacing w:after="200" w:line="360" w:lineRule="auto"/>
        <w:jc w:val="both"/>
        <w:rPr>
          <w:rFonts w:eastAsia="Times New Roman"/>
          <w:sz w:val="24"/>
          <w:szCs w:val="24"/>
        </w:rPr>
      </w:pPr>
      <w:r w:rsidRPr="00886FD2">
        <w:rPr>
          <w:rFonts w:eastAsia="Times New Roman"/>
          <w:sz w:val="24"/>
          <w:szCs w:val="24"/>
        </w:rPr>
        <w:t>As Hilton operates its business in approximately 140 countries and territories, its financial restructuring must consider the global financial risks alongside responsible business practices. The data of this company identifies the foreign currency exchange risk as a pivotal exposure, as both management and franchise fees are generated across multiple currencies (</w:t>
      </w:r>
      <w:proofErr w:type="spellStart"/>
      <w:r w:rsidRPr="00886FD2">
        <w:rPr>
          <w:rFonts w:eastAsia="Times New Roman"/>
          <w:sz w:val="24"/>
          <w:szCs w:val="24"/>
        </w:rPr>
        <w:t>TradingView</w:t>
      </w:r>
      <w:proofErr w:type="spellEnd"/>
      <w:r w:rsidRPr="00886FD2">
        <w:rPr>
          <w:rFonts w:eastAsia="Times New Roman"/>
          <w:sz w:val="24"/>
          <w:szCs w:val="24"/>
        </w:rPr>
        <w:t xml:space="preserve">, 2025).  To cope with this risk profoundly, the company utilises the foreign currency forward contracts to hedge the predicted cash flows while diminishing the earnings volatility that comes from exchange-rate fluctuations. In addition, the company also monitors global inflation in combination with </w:t>
      </w:r>
      <w:r w:rsidRPr="00886FD2">
        <w:rPr>
          <w:rFonts w:eastAsia="Times New Roman"/>
          <w:sz w:val="24"/>
          <w:szCs w:val="24"/>
        </w:rPr>
        <w:lastRenderedPageBreak/>
        <w:t xml:space="preserve">tax regulations within its operating markets in order to preserve profitability while ensuring strong adherence to the local tax regimes. </w:t>
      </w:r>
    </w:p>
    <w:p w14:paraId="0F353B08" w14:textId="77777777" w:rsidR="00351E7F" w:rsidRPr="00886FD2" w:rsidRDefault="00351E7F" w:rsidP="00351E7F">
      <w:pPr>
        <w:spacing w:after="200" w:line="360" w:lineRule="auto"/>
        <w:jc w:val="center"/>
        <w:rPr>
          <w:rFonts w:eastAsia="Times New Roman"/>
          <w:sz w:val="24"/>
          <w:szCs w:val="24"/>
        </w:rPr>
      </w:pPr>
      <w:r w:rsidRPr="00886FD2">
        <w:rPr>
          <w:rFonts w:eastAsia="Times New Roman"/>
          <w:noProof/>
          <w:sz w:val="24"/>
          <w:szCs w:val="24"/>
        </w:rPr>
        <w:drawing>
          <wp:inline distT="114300" distB="114300" distL="114300" distR="114300" wp14:anchorId="1AE94382" wp14:editId="01CFA148">
            <wp:extent cx="3400425" cy="4714875"/>
            <wp:effectExtent l="0" t="0" r="0" b="0"/>
            <wp:docPr id="1" name="image1.png"/>
            <wp:cNvGraphicFramePr/>
            <a:graphic xmlns:a="http://schemas.openxmlformats.org/drawingml/2006/main">
              <a:graphicData uri="http://schemas.openxmlformats.org/drawingml/2006/picture">
                <pic:pic xmlns:pic="http://schemas.openxmlformats.org/drawingml/2006/picture">
                  <pic:nvPicPr>
                    <pic:cNvPr id="0" name="image1.png"/>
                    <pic:cNvPicPr preferRelativeResize="0"/>
                  </pic:nvPicPr>
                  <pic:blipFill>
                    <a:blip r:embed="rId14"/>
                    <a:srcRect/>
                    <a:stretch>
                      <a:fillRect/>
                    </a:stretch>
                  </pic:blipFill>
                  <pic:spPr>
                    <a:xfrm>
                      <a:off x="0" y="0"/>
                      <a:ext cx="3400425" cy="4714875"/>
                    </a:xfrm>
                    <a:prstGeom prst="rect">
                      <a:avLst/>
                    </a:prstGeom>
                    <a:ln/>
                  </pic:spPr>
                </pic:pic>
              </a:graphicData>
            </a:graphic>
          </wp:inline>
        </w:drawing>
      </w:r>
    </w:p>
    <w:p w14:paraId="082662F3" w14:textId="1C9A12DD" w:rsidR="00351E7F" w:rsidRPr="00886FD2" w:rsidRDefault="00351E7F" w:rsidP="00351E7F">
      <w:pPr>
        <w:spacing w:after="200" w:line="360" w:lineRule="auto"/>
        <w:jc w:val="center"/>
        <w:rPr>
          <w:rFonts w:eastAsia="Times New Roman"/>
          <w:b/>
          <w:sz w:val="24"/>
          <w:szCs w:val="24"/>
        </w:rPr>
      </w:pPr>
      <w:r w:rsidRPr="00886FD2">
        <w:rPr>
          <w:rFonts w:eastAsia="Times New Roman"/>
          <w:b/>
          <w:sz w:val="24"/>
          <w:szCs w:val="24"/>
        </w:rPr>
        <w:t>Figure 1: Sustainability focus of the company</w:t>
      </w:r>
    </w:p>
    <w:p w14:paraId="43AEAADE" w14:textId="5DD26E6B" w:rsidR="00351E7F" w:rsidRPr="00886FD2" w:rsidRDefault="00351E7F" w:rsidP="00351E7F">
      <w:pPr>
        <w:spacing w:after="200" w:line="360" w:lineRule="auto"/>
        <w:jc w:val="center"/>
        <w:rPr>
          <w:rFonts w:eastAsia="Times New Roman"/>
          <w:sz w:val="24"/>
          <w:szCs w:val="24"/>
        </w:rPr>
      </w:pPr>
      <w:r w:rsidRPr="00886FD2">
        <w:rPr>
          <w:rFonts w:eastAsia="Times New Roman"/>
          <w:sz w:val="24"/>
          <w:szCs w:val="24"/>
        </w:rPr>
        <w:t>(Source: Sustainability Reports, 2024).</w:t>
      </w:r>
    </w:p>
    <w:p w14:paraId="1EDDCF08" w14:textId="77777777" w:rsidR="00351E7F" w:rsidRPr="00886FD2" w:rsidRDefault="00351E7F" w:rsidP="00351E7F">
      <w:pPr>
        <w:spacing w:after="200" w:line="360" w:lineRule="auto"/>
        <w:jc w:val="both"/>
        <w:rPr>
          <w:rFonts w:eastAsia="Times New Roman"/>
          <w:sz w:val="24"/>
          <w:szCs w:val="24"/>
        </w:rPr>
      </w:pPr>
      <w:r w:rsidRPr="00886FD2">
        <w:rPr>
          <w:rFonts w:eastAsia="Times New Roman"/>
          <w:sz w:val="24"/>
          <w:szCs w:val="24"/>
        </w:rPr>
        <w:t xml:space="preserve">From an ethical standpoint, Hilton closely aligns its financial strategy with its Travel with Purpose ESG framework. In the financial year, the company attained a 48.1% reduction across carbon emissions intensity alongside a 32.7% reduction across water intensity within the managed hotel in comparison to the 2008 baseline (Sustainability Reports, 2023). Not only this, but the company also reduces its landfill waste intensity by 60.6%, which surpasses its original 2030 target. Furthermore, the company also invested US$7.3 million through the Hilton Global Foundation, contributed 452,000 volunteer hours and positively influenced more than 1.5 million active community members during 2024 (Sustainability Reports, 2024). </w:t>
      </w:r>
    </w:p>
    <w:p w14:paraId="3E5C2B37" w14:textId="77777777" w:rsidR="00351E7F" w:rsidRPr="00886FD2" w:rsidRDefault="00351E7F" w:rsidP="00351E7F">
      <w:pPr>
        <w:pStyle w:val="Heading1"/>
      </w:pPr>
      <w:bookmarkStart w:id="30" w:name="_Toc235207155"/>
      <w:bookmarkStart w:id="31" w:name="_Toc235207380"/>
      <w:r w:rsidRPr="00886FD2">
        <w:lastRenderedPageBreak/>
        <w:t>5. Investment Appraisal and Capital Budgeting</w:t>
      </w:r>
      <w:bookmarkEnd w:id="30"/>
      <w:bookmarkEnd w:id="31"/>
      <w:r w:rsidRPr="00886FD2">
        <w:t xml:space="preserve"> </w:t>
      </w:r>
    </w:p>
    <w:p w14:paraId="70F2B77E" w14:textId="77777777" w:rsidR="00351E7F" w:rsidRPr="00886FD2" w:rsidRDefault="00351E7F" w:rsidP="00351E7F">
      <w:pPr>
        <w:pStyle w:val="Heading2"/>
      </w:pPr>
      <w:bookmarkStart w:id="32" w:name="_Toc235207156"/>
      <w:bookmarkStart w:id="33" w:name="_Toc235207381"/>
      <w:r w:rsidRPr="00886FD2">
        <w:t>5.1 Investment Appraisal Overview</w:t>
      </w:r>
      <w:bookmarkEnd w:id="32"/>
      <w:bookmarkEnd w:id="33"/>
    </w:p>
    <w:p w14:paraId="2A7646CC" w14:textId="77777777" w:rsidR="00351E7F" w:rsidRPr="00886FD2" w:rsidRDefault="00351E7F" w:rsidP="00351E7F">
      <w:pPr>
        <w:spacing w:after="200" w:line="360" w:lineRule="auto"/>
        <w:jc w:val="both"/>
        <w:rPr>
          <w:rFonts w:eastAsia="Times New Roman"/>
          <w:sz w:val="24"/>
          <w:szCs w:val="24"/>
        </w:rPr>
      </w:pPr>
      <w:r w:rsidRPr="00886FD2">
        <w:rPr>
          <w:rFonts w:eastAsia="Times New Roman"/>
          <w:sz w:val="24"/>
          <w:szCs w:val="24"/>
        </w:rPr>
        <w:t>Investment appraisal is a fundamental element of capital budgeting, which allows Hiltons to analyse the organisations to critically examine the financial viability of long-term investment opportunities before committing capital. It profoundly supports the strategic decision-making through analysing the expected returns, risks, as well as the value developed through competing projects.</w:t>
      </w:r>
      <w:r w:rsidRPr="00886FD2">
        <w:rPr>
          <w:rFonts w:eastAsia="Times New Roman"/>
          <w:color w:val="FF0000"/>
          <w:sz w:val="24"/>
          <w:szCs w:val="24"/>
        </w:rPr>
        <w:t xml:space="preserve"> </w:t>
      </w:r>
      <w:r w:rsidRPr="00886FD2">
        <w:rPr>
          <w:rFonts w:eastAsia="Times New Roman"/>
          <w:sz w:val="24"/>
          <w:szCs w:val="24"/>
        </w:rPr>
        <w:t xml:space="preserve">As per </w:t>
      </w:r>
      <w:r w:rsidRPr="00886FD2">
        <w:rPr>
          <w:rFonts w:eastAsia="Times New Roman"/>
          <w:b/>
          <w:bCs/>
          <w:i/>
          <w:iCs/>
          <w:sz w:val="24"/>
          <w:szCs w:val="24"/>
        </w:rPr>
        <w:t>Shareholder Wealth Maximisation Theory</w:t>
      </w:r>
      <w:r w:rsidRPr="00886FD2">
        <w:rPr>
          <w:rFonts w:eastAsia="Times New Roman"/>
          <w:sz w:val="24"/>
          <w:szCs w:val="24"/>
        </w:rPr>
        <w:t>, investment decisions need to be prioritised towards the projects which create sustainable value for the shareholders while ensuring a sense of efficient allocation of financial resources (</w:t>
      </w:r>
      <w:proofErr w:type="spellStart"/>
      <w:r w:rsidRPr="00886FD2">
        <w:rPr>
          <w:rFonts w:eastAsia="Times New Roman"/>
          <w:sz w:val="24"/>
          <w:szCs w:val="24"/>
        </w:rPr>
        <w:t>LoPucki</w:t>
      </w:r>
      <w:proofErr w:type="spellEnd"/>
      <w:r w:rsidRPr="00886FD2">
        <w:rPr>
          <w:rFonts w:eastAsia="Times New Roman"/>
          <w:sz w:val="24"/>
          <w:szCs w:val="24"/>
        </w:rPr>
        <w:t>, 2022).</w:t>
      </w:r>
      <w:r w:rsidRPr="00886FD2">
        <w:rPr>
          <w:rFonts w:eastAsia="Times New Roman"/>
          <w:color w:val="FF0000"/>
          <w:sz w:val="24"/>
          <w:szCs w:val="24"/>
        </w:rPr>
        <w:t xml:space="preserve"> </w:t>
      </w:r>
      <w:r w:rsidRPr="00886FD2">
        <w:rPr>
          <w:rFonts w:eastAsia="Times New Roman"/>
          <w:sz w:val="24"/>
          <w:szCs w:val="24"/>
        </w:rPr>
        <w:t xml:space="preserve">Accordingly, the three proposed investment projects have been critically examined through effectively leveraging the Payback Period (PBP), Accounting Rate of Return (ARR), Net Present Value (NPV), Profitability Index (PI) and Internal Rate of Return (IRR), applying an 8% discount rate alongside straight-line depreciation, to identify the investment which aligns perfectly with the financial objectives as well as long-term growth strategy of Hilton. </w:t>
      </w:r>
    </w:p>
    <w:p w14:paraId="1686DADA" w14:textId="77777777" w:rsidR="00351E7F" w:rsidRPr="00886FD2" w:rsidRDefault="00351E7F" w:rsidP="00351E7F">
      <w:pPr>
        <w:pStyle w:val="Heading2"/>
      </w:pPr>
      <w:bookmarkStart w:id="34" w:name="_Toc235207157"/>
      <w:bookmarkStart w:id="35" w:name="_Toc235207382"/>
      <w:r w:rsidRPr="00886FD2">
        <w:t>5.2 Investment Appraisal Calculations</w:t>
      </w:r>
      <w:bookmarkEnd w:id="34"/>
      <w:bookmarkEnd w:id="35"/>
    </w:p>
    <w:p w14:paraId="4E868F66" w14:textId="77777777" w:rsidR="00351E7F" w:rsidRPr="00886FD2" w:rsidRDefault="00351E7F" w:rsidP="00351E7F">
      <w:pPr>
        <w:spacing w:after="200" w:line="360" w:lineRule="auto"/>
        <w:jc w:val="both"/>
        <w:rPr>
          <w:rFonts w:eastAsia="Times New Roman"/>
          <w:b/>
          <w:bCs/>
          <w:sz w:val="24"/>
          <w:szCs w:val="24"/>
        </w:rPr>
      </w:pPr>
      <w:r w:rsidRPr="00886FD2">
        <w:rPr>
          <w:rFonts w:eastAsia="Times New Roman"/>
          <w:b/>
          <w:bCs/>
          <w:sz w:val="24"/>
          <w:szCs w:val="24"/>
        </w:rPr>
        <w:t>Project A</w:t>
      </w:r>
    </w:p>
    <w:p w14:paraId="1B380A5B" w14:textId="77777777" w:rsidR="00351E7F" w:rsidRPr="00886FD2" w:rsidRDefault="00351E7F" w:rsidP="00351E7F">
      <w:pPr>
        <w:spacing w:after="200" w:line="360" w:lineRule="auto"/>
        <w:jc w:val="both"/>
        <w:rPr>
          <w:rFonts w:eastAsia="Times New Roman"/>
          <w:sz w:val="24"/>
          <w:szCs w:val="24"/>
        </w:rPr>
      </w:pPr>
      <w:r w:rsidRPr="00886FD2">
        <w:rPr>
          <w:rFonts w:eastAsia="Times New Roman"/>
          <w:sz w:val="24"/>
          <w:szCs w:val="24"/>
        </w:rPr>
        <w:t xml:space="preserve">The project A disclosed moderate financial viability through developing cumulative positive cash flows across 4.92 years, which indicates a relatively long payback period.  The project attains an ARR of 43%, which indicates satisfactory accounting profitability. Moreover, it records a Profitability Index (PI) of 1.08 and thus suggests that the present value of future cash inflows surpasses the primary investments.  However, the IRR of 3% is substantially below the required discount rate of 8%, which points towards insufficient returns. Although the project produces positive cumulative cash flows, the lower investment returns tend to lower the overall attractiveness in comparison with the alternative projects. </w:t>
      </w:r>
    </w:p>
    <w:p w14:paraId="4FF217C7" w14:textId="77777777" w:rsidR="00351E7F" w:rsidRPr="00886FD2" w:rsidRDefault="00351E7F" w:rsidP="00351E7F">
      <w:pPr>
        <w:spacing w:after="200" w:line="360" w:lineRule="auto"/>
        <w:jc w:val="both"/>
        <w:rPr>
          <w:rFonts w:eastAsia="Times New Roman"/>
          <w:b/>
          <w:bCs/>
          <w:sz w:val="24"/>
          <w:szCs w:val="24"/>
        </w:rPr>
      </w:pPr>
      <w:r w:rsidRPr="00886FD2">
        <w:rPr>
          <w:rFonts w:eastAsia="Times New Roman"/>
          <w:b/>
          <w:bCs/>
          <w:sz w:val="24"/>
          <w:szCs w:val="24"/>
        </w:rPr>
        <w:t>Project B</w:t>
      </w:r>
    </w:p>
    <w:p w14:paraId="15871B84" w14:textId="77777777" w:rsidR="00351E7F" w:rsidRPr="00886FD2" w:rsidRDefault="00351E7F" w:rsidP="00351E7F">
      <w:pPr>
        <w:spacing w:after="200" w:line="360" w:lineRule="auto"/>
        <w:jc w:val="both"/>
        <w:rPr>
          <w:rFonts w:eastAsia="Times New Roman"/>
          <w:sz w:val="24"/>
          <w:szCs w:val="24"/>
        </w:rPr>
      </w:pPr>
      <w:r w:rsidRPr="00886FD2">
        <w:rPr>
          <w:rFonts w:eastAsia="Times New Roman"/>
          <w:sz w:val="24"/>
          <w:szCs w:val="24"/>
        </w:rPr>
        <w:t xml:space="preserve">This project showcases comparatively stable investment performances through consistent annual inflows of cash of £11 million. The investment successfully attains a </w:t>
      </w:r>
      <w:r w:rsidRPr="00886FD2">
        <w:rPr>
          <w:rFonts w:eastAsia="Times New Roman"/>
          <w:sz w:val="24"/>
          <w:szCs w:val="24"/>
        </w:rPr>
        <w:lastRenderedPageBreak/>
        <w:t xml:space="preserve">Payback Period of 4.74 years, which is marginally shorter than that of Project A, while developing an ARR of 44% along with a </w:t>
      </w:r>
      <w:r w:rsidRPr="00886FD2">
        <w:rPr>
          <w:rFonts w:eastAsia="Times New Roman"/>
        </w:rPr>
        <w:t>Profitability Index (PI) of 1.10</w:t>
      </w:r>
      <w:r w:rsidRPr="00886FD2">
        <w:rPr>
          <w:rFonts w:eastAsia="Times New Roman"/>
          <w:sz w:val="24"/>
          <w:szCs w:val="24"/>
        </w:rPr>
        <w:t xml:space="preserve">.  This suggests a sense of favourable creation of value.  However, the IRR of 3% remains lowers to the required rate of 8%. Thus, it suggests that the project fails to develop the minimum expected return despite its predictable patterns of cash flow. </w:t>
      </w:r>
    </w:p>
    <w:p w14:paraId="7B3751D8" w14:textId="77777777" w:rsidR="00351E7F" w:rsidRPr="00886FD2" w:rsidRDefault="00351E7F" w:rsidP="00351E7F">
      <w:pPr>
        <w:spacing w:after="200" w:line="360" w:lineRule="auto"/>
        <w:jc w:val="both"/>
        <w:rPr>
          <w:rFonts w:eastAsia="Times New Roman"/>
          <w:b/>
          <w:bCs/>
          <w:sz w:val="24"/>
          <w:szCs w:val="24"/>
        </w:rPr>
      </w:pPr>
      <w:r w:rsidRPr="00886FD2">
        <w:rPr>
          <w:rFonts w:eastAsia="Times New Roman"/>
          <w:b/>
          <w:bCs/>
          <w:sz w:val="24"/>
          <w:szCs w:val="24"/>
        </w:rPr>
        <w:t>Project C</w:t>
      </w:r>
    </w:p>
    <w:p w14:paraId="144BC2D5" w14:textId="77777777" w:rsidR="00351E7F" w:rsidRPr="00886FD2" w:rsidRDefault="00351E7F" w:rsidP="00351E7F">
      <w:pPr>
        <w:spacing w:after="200" w:line="360" w:lineRule="auto"/>
        <w:jc w:val="both"/>
        <w:rPr>
          <w:rFonts w:eastAsia="Times New Roman"/>
          <w:sz w:val="24"/>
          <w:szCs w:val="24"/>
        </w:rPr>
      </w:pPr>
      <w:r w:rsidRPr="00886FD2">
        <w:rPr>
          <w:rFonts w:eastAsia="Times New Roman"/>
          <w:sz w:val="24"/>
          <w:szCs w:val="24"/>
        </w:rPr>
        <w:t>Project C develops the highest profitability of accounting, through achieving an ARR of 52%, in combination with a Profitability Index (PI) of 1.30 and a positive NPV of £0.86 million, which indicates that the project creates value above the primary investment. Moreover, its IRR of 9% surpasses the required discount rate of 8%, and thus it showcases a sense of financial acceptability. However, the Payback Period of 7.68 years is considerably longer than the other projects, and thus it highlights slower recovery of the primary investment despite its stronger long-term returns (</w:t>
      </w:r>
      <w:proofErr w:type="spellStart"/>
      <w:r w:rsidRPr="00886FD2">
        <w:rPr>
          <w:rFonts w:eastAsia="Times New Roman"/>
          <w:sz w:val="24"/>
          <w:szCs w:val="24"/>
        </w:rPr>
        <w:t>Focacci</w:t>
      </w:r>
      <w:proofErr w:type="spellEnd"/>
      <w:r w:rsidRPr="00886FD2">
        <w:rPr>
          <w:rFonts w:eastAsia="Times New Roman"/>
          <w:sz w:val="24"/>
          <w:szCs w:val="24"/>
        </w:rPr>
        <w:t xml:space="preserve">, 2022). </w:t>
      </w:r>
    </w:p>
    <w:p w14:paraId="397E267E" w14:textId="77777777" w:rsidR="00351E7F" w:rsidRPr="00886FD2" w:rsidRDefault="00351E7F" w:rsidP="00351E7F">
      <w:pPr>
        <w:pStyle w:val="Heading2"/>
      </w:pPr>
      <w:bookmarkStart w:id="36" w:name="_Toc235207158"/>
      <w:bookmarkStart w:id="37" w:name="_Toc235207383"/>
      <w:r w:rsidRPr="00886FD2">
        <w:t>5.3 Comparative Evaluation of Investment Projects</w:t>
      </w:r>
      <w:bookmarkEnd w:id="36"/>
      <w:bookmarkEnd w:id="37"/>
    </w:p>
    <w:p w14:paraId="379783B2" w14:textId="77777777" w:rsidR="00351E7F" w:rsidRPr="00886FD2" w:rsidRDefault="00351E7F" w:rsidP="00351E7F">
      <w:pPr>
        <w:spacing w:after="200" w:line="360" w:lineRule="auto"/>
        <w:jc w:val="both"/>
        <w:rPr>
          <w:rFonts w:eastAsia="Times New Roman"/>
          <w:sz w:val="24"/>
          <w:szCs w:val="24"/>
        </w:rPr>
      </w:pPr>
      <w:r w:rsidRPr="00886FD2">
        <w:rPr>
          <w:rFonts w:eastAsia="Times New Roman"/>
          <w:sz w:val="24"/>
          <w:szCs w:val="24"/>
        </w:rPr>
        <w:t xml:space="preserve">A comparative analysis of the three projects, such as project A, project B and project C, highlights the swap between liquidity as well as long-term creation of value. Compared with Project B, Project A presents similar investment characteristics; however, it develops slightly lower returns, thus making the project less attractive despite its comparatively quick recovery of the primary investment. Though a shorter payback period effectively diminishes the risks of liquidity, the returns of the project remain below the required rate (Dai et al., 2022). Thus, the unique ability of the project to maximise the wealth of the shareholders over the long-term has been restricted. </w:t>
      </w:r>
    </w:p>
    <w:p w14:paraId="4AA407EC" w14:textId="77777777" w:rsidR="00351E7F" w:rsidRPr="00886FD2" w:rsidRDefault="00351E7F" w:rsidP="00351E7F">
      <w:pPr>
        <w:spacing w:after="200" w:line="360" w:lineRule="auto"/>
        <w:jc w:val="both"/>
        <w:rPr>
          <w:rFonts w:eastAsia="Times New Roman"/>
          <w:sz w:val="24"/>
          <w:szCs w:val="24"/>
        </w:rPr>
      </w:pPr>
      <w:r w:rsidRPr="00886FD2">
        <w:rPr>
          <w:rFonts w:eastAsia="Times New Roman"/>
          <w:sz w:val="24"/>
          <w:szCs w:val="24"/>
        </w:rPr>
        <w:t xml:space="preserve">On the flip side, project B performs marginally better in comparison to project A because the stable as well as predictable cash flows of the project diminishes the earning volatility while enhancing the certainty of the investments (Mohammadi, 2024). However, when compared to project C, its consistent cash flow patterns do not transform into the superior financial performances as it presents poor long-term returns while creating less shareholder value. </w:t>
      </w:r>
    </w:p>
    <w:p w14:paraId="11D0D4C9" w14:textId="77777777" w:rsidR="00351E7F" w:rsidRPr="00886FD2" w:rsidRDefault="00351E7F" w:rsidP="00351E7F">
      <w:pPr>
        <w:spacing w:after="200" w:line="360" w:lineRule="auto"/>
        <w:jc w:val="both"/>
        <w:rPr>
          <w:rFonts w:eastAsia="Times New Roman"/>
          <w:sz w:val="24"/>
          <w:szCs w:val="24"/>
        </w:rPr>
      </w:pPr>
      <w:r w:rsidRPr="00886FD2">
        <w:rPr>
          <w:rFonts w:eastAsia="Times New Roman"/>
          <w:sz w:val="24"/>
          <w:szCs w:val="24"/>
        </w:rPr>
        <w:t xml:space="preserve">On the contrary, Project C requires a longer period to recover the primary investment compared to both project A and B and thus exposing the Hilton towards greater market </w:t>
      </w:r>
      <w:r w:rsidRPr="00886FD2">
        <w:rPr>
          <w:rFonts w:eastAsia="Times New Roman"/>
          <w:sz w:val="24"/>
          <w:szCs w:val="24"/>
        </w:rPr>
        <w:lastRenderedPageBreak/>
        <w:t xml:space="preserve">as well as economic uncertainty during the investment horizon. However, </w:t>
      </w:r>
      <w:proofErr w:type="gramStart"/>
      <w:r w:rsidRPr="00886FD2">
        <w:rPr>
          <w:rFonts w:eastAsia="Times New Roman"/>
          <w:sz w:val="24"/>
          <w:szCs w:val="24"/>
        </w:rPr>
        <w:t>this disadvantages</w:t>
      </w:r>
      <w:proofErr w:type="gramEnd"/>
      <w:r w:rsidRPr="00886FD2">
        <w:rPr>
          <w:rFonts w:eastAsia="Times New Roman"/>
          <w:sz w:val="24"/>
          <w:szCs w:val="24"/>
        </w:rPr>
        <w:t xml:space="preserve"> are balanced through its stronger profitability along with the capability to develop value above the required return.  As per the Shareholder Wealth Maximisation Theory, projects need to be selected on the basis of their capacity to boost the long-term shareholders value instead of simply recovering the invested capital quickly. Therefore, it can be asserted that, despite its slower payback, Project C presents the most appropriate investment because offers the strongest financial performances while supporting the long-term strategic business objectives of this hospitality company. </w:t>
      </w:r>
    </w:p>
    <w:p w14:paraId="137FD3A7" w14:textId="77777777" w:rsidR="00351E7F" w:rsidRPr="00886FD2" w:rsidRDefault="00351E7F" w:rsidP="00351E7F">
      <w:pPr>
        <w:pStyle w:val="Heading2"/>
      </w:pPr>
      <w:bookmarkStart w:id="38" w:name="_Toc235207159"/>
      <w:bookmarkStart w:id="39" w:name="_Toc235207384"/>
      <w:r w:rsidRPr="00886FD2">
        <w:t>5.4 Recommended Investment Project</w:t>
      </w:r>
      <w:bookmarkEnd w:id="38"/>
      <w:bookmarkEnd w:id="39"/>
    </w:p>
    <w:p w14:paraId="29E75CBA" w14:textId="77777777" w:rsidR="00351E7F" w:rsidRPr="00886FD2" w:rsidRDefault="00351E7F" w:rsidP="00351E7F">
      <w:pPr>
        <w:spacing w:after="200" w:line="360" w:lineRule="auto"/>
        <w:jc w:val="both"/>
        <w:rPr>
          <w:rFonts w:eastAsia="Times New Roman"/>
          <w:sz w:val="24"/>
          <w:szCs w:val="24"/>
        </w:rPr>
      </w:pPr>
      <w:r w:rsidRPr="00886FD2">
        <w:rPr>
          <w:rFonts w:eastAsia="Times New Roman"/>
          <w:sz w:val="24"/>
          <w:szCs w:val="24"/>
        </w:rPr>
        <w:t>On the basis of the investment appraisal outcomes, Project C is recommended as it offers the strongest long-term financial advantages and is consistent with the current financial position of the company.  Though the project has a longer payback period compared to Projects A and B, it is the only investment appraisals which develops a return above the required discount rate of 8% and thus discloses its exclusive capability to develop a sense of shareholder value (</w:t>
      </w:r>
      <w:proofErr w:type="spellStart"/>
      <w:r w:rsidRPr="00886FD2">
        <w:rPr>
          <w:rFonts w:eastAsia="Times New Roman"/>
          <w:sz w:val="24"/>
          <w:szCs w:val="24"/>
        </w:rPr>
        <w:t>Usodan</w:t>
      </w:r>
      <w:proofErr w:type="spellEnd"/>
      <w:r w:rsidRPr="00886FD2">
        <w:rPr>
          <w:rFonts w:eastAsia="Times New Roman"/>
          <w:sz w:val="24"/>
          <w:szCs w:val="24"/>
        </w:rPr>
        <w:t xml:space="preserve"> et al., 2025). These recommendations are further supported through enhancing the financial performance of Hilton, incorporating the continued revenue growth, which maximises profitability in combination with stronger operating cash flows over the five-year period, which maximises the company's capacity to undertake long-term investments. However, Project C is exposed towards greater uncertainty because a notable proportion of its returns have been developed within later years, which makes this project more vulnerable towards inflation, political instability, as well as evolving customer demands. In essence, it can be asserted that, despite these threats, the strong global brand, diversified global business operations and finally the loyal customer base diminishes these uncertainties and thus make the project C the most strategically as well as financially ideal investment appraisal for sustainable long-term growth. </w:t>
      </w:r>
    </w:p>
    <w:p w14:paraId="2BDD01BF" w14:textId="77777777" w:rsidR="00351E7F" w:rsidRPr="00886FD2" w:rsidRDefault="00351E7F" w:rsidP="00351E7F">
      <w:pPr>
        <w:pStyle w:val="Heading2"/>
      </w:pPr>
      <w:bookmarkStart w:id="40" w:name="_Toc235207160"/>
      <w:bookmarkStart w:id="41" w:name="_Toc235207385"/>
      <w:r w:rsidRPr="00886FD2">
        <w:t>5.5 Capital Rationing Decision</w:t>
      </w:r>
      <w:bookmarkEnd w:id="40"/>
      <w:bookmarkEnd w:id="41"/>
    </w:p>
    <w:p w14:paraId="5898BC60" w14:textId="77777777" w:rsidR="00351E7F" w:rsidRPr="00886FD2" w:rsidRDefault="00351E7F" w:rsidP="00351E7F">
      <w:pPr>
        <w:spacing w:after="200" w:line="360" w:lineRule="auto"/>
        <w:jc w:val="both"/>
        <w:rPr>
          <w:rFonts w:eastAsia="Times New Roman"/>
          <w:sz w:val="24"/>
          <w:szCs w:val="24"/>
        </w:rPr>
      </w:pPr>
      <w:r w:rsidRPr="00886FD2">
        <w:rPr>
          <w:rFonts w:eastAsia="Times New Roman"/>
          <w:sz w:val="24"/>
          <w:szCs w:val="24"/>
        </w:rPr>
        <w:t xml:space="preserve">Under the capital rationing constraint of a maximum investment budget of £100 million, this hospitality company can undertake only two of the three projects. As per the Capital Rationing Theory, organisations need to allocate limited </w:t>
      </w:r>
      <w:proofErr w:type="gramStart"/>
      <w:r w:rsidRPr="00886FD2">
        <w:rPr>
          <w:rFonts w:eastAsia="Times New Roman"/>
          <w:sz w:val="24"/>
          <w:szCs w:val="24"/>
        </w:rPr>
        <w:t>amount</w:t>
      </w:r>
      <w:proofErr w:type="gramEnd"/>
      <w:r w:rsidRPr="00886FD2">
        <w:rPr>
          <w:rFonts w:eastAsia="Times New Roman"/>
          <w:sz w:val="24"/>
          <w:szCs w:val="24"/>
        </w:rPr>
        <w:t xml:space="preserve"> of financial resources to the combination of projects which maximises the wealth of the </w:t>
      </w:r>
      <w:r w:rsidRPr="00886FD2">
        <w:rPr>
          <w:rFonts w:eastAsia="Times New Roman"/>
          <w:sz w:val="24"/>
          <w:szCs w:val="24"/>
        </w:rPr>
        <w:lastRenderedPageBreak/>
        <w:t>shareholders while remaining within the available capital budget.  On the basis of the investment appraisal outcomes, the most appropriate combination is project B and project C.  Though the project B offers a sense of stable as well as predictable cash inflows with a comparatively faster recovery of the primary investments, the project C provides superior long-term profitability and it is the only project which develops returns about the required discount rates (Hoang et al., 2025). Therefore, this combination balances the short-term liquidity with the long-term value creation more profoundly than the alternatives. On the contrast, selecting both project A and B will favour the quicker recovery of capital while delivering the comparatively lower long-term returns while the combination of project A and C presents less investment effectiveness than the recommended combination. In essence, it can be asserted that, investing monetary resources in projects B and C will allow the Hilton to maximise the financial returns, diversify their investment risks and ultimately leverage its £100 million capital budget more efficiently and thus supporting the long-term strategic growth.</w:t>
      </w:r>
    </w:p>
    <w:p w14:paraId="767F8D5B" w14:textId="77777777" w:rsidR="00351E7F" w:rsidRPr="00886FD2" w:rsidRDefault="00351E7F" w:rsidP="00351E7F">
      <w:pPr>
        <w:pStyle w:val="Heading1"/>
      </w:pPr>
      <w:bookmarkStart w:id="42" w:name="_drljjfhu6eo7" w:colFirst="0" w:colLast="0"/>
      <w:bookmarkStart w:id="43" w:name="_Toc235207161"/>
      <w:bookmarkStart w:id="44" w:name="_Toc235207386"/>
      <w:bookmarkEnd w:id="42"/>
      <w:r w:rsidRPr="00886FD2">
        <w:t>6. Critical Reflection on AI Usage</w:t>
      </w:r>
      <w:bookmarkEnd w:id="43"/>
      <w:bookmarkEnd w:id="44"/>
    </w:p>
    <w:p w14:paraId="165EDE23" w14:textId="77777777" w:rsidR="00351E7F" w:rsidRPr="00886FD2" w:rsidRDefault="00351E7F" w:rsidP="00351E7F">
      <w:pPr>
        <w:pStyle w:val="Heading2"/>
      </w:pPr>
      <w:bookmarkStart w:id="45" w:name="_Toc235207162"/>
      <w:bookmarkStart w:id="46" w:name="_Toc235207387"/>
      <w:r w:rsidRPr="00886FD2">
        <w:t>6.1 Tool Disclosure</w:t>
      </w:r>
      <w:bookmarkEnd w:id="45"/>
      <w:bookmarkEnd w:id="46"/>
      <w:r w:rsidRPr="00886FD2">
        <w:t xml:space="preserve"> </w:t>
      </w:r>
    </w:p>
    <w:p w14:paraId="507CA4C7" w14:textId="77777777" w:rsidR="00351E7F" w:rsidRPr="00886FD2" w:rsidRDefault="00351E7F" w:rsidP="00351E7F">
      <w:pPr>
        <w:spacing w:after="200" w:line="360" w:lineRule="auto"/>
        <w:jc w:val="both"/>
        <w:rPr>
          <w:rFonts w:eastAsia="Times New Roman"/>
          <w:sz w:val="24"/>
          <w:szCs w:val="24"/>
        </w:rPr>
      </w:pPr>
      <w:r w:rsidRPr="00886FD2">
        <w:rPr>
          <w:rFonts w:eastAsia="Times New Roman"/>
          <w:sz w:val="24"/>
          <w:szCs w:val="24"/>
        </w:rPr>
        <w:t xml:space="preserve">During the preparation of this report, ChatGPT has been utilised as a supporting tool to boost the overall quality along with the organisations of the work.  The primary functions of this strategic tool include effectively refining the academic language, enhancing the logical flow of sections, explaining the financial management concepts and ultimately suggesting the relevant theoretical frameworks (Khalifa and </w:t>
      </w:r>
      <w:proofErr w:type="spellStart"/>
      <w:r w:rsidRPr="00886FD2">
        <w:rPr>
          <w:rFonts w:eastAsia="Times New Roman"/>
          <w:sz w:val="24"/>
          <w:szCs w:val="24"/>
        </w:rPr>
        <w:t>Albadawy</w:t>
      </w:r>
      <w:proofErr w:type="spellEnd"/>
      <w:r w:rsidRPr="00886FD2">
        <w:rPr>
          <w:rFonts w:eastAsia="Times New Roman"/>
          <w:sz w:val="24"/>
          <w:szCs w:val="24"/>
        </w:rPr>
        <w:t xml:space="preserve">, 2024). It also assisted in summarising publicly available information from published reports on Hilton.  However, I did not rely on AI for the financial calculations, ratio analysis or the strategic conclusions.  Besides that, in accordance with the AI Use Acknowledgement, the final report has been developed through an independent analysis with both financial data as well as company evidence sourced directly from Hilton’s Annual Reports and Sustainability Reports. </w:t>
      </w:r>
    </w:p>
    <w:p w14:paraId="58CA4BBF" w14:textId="77777777" w:rsidR="00351E7F" w:rsidRPr="00886FD2" w:rsidRDefault="00351E7F" w:rsidP="00351E7F">
      <w:pPr>
        <w:pStyle w:val="Heading2"/>
      </w:pPr>
      <w:bookmarkStart w:id="47" w:name="_buaotsbmipjr" w:colFirst="0" w:colLast="0"/>
      <w:bookmarkStart w:id="48" w:name="_Toc235207163"/>
      <w:bookmarkStart w:id="49" w:name="_Toc235207388"/>
      <w:bookmarkEnd w:id="47"/>
      <w:r w:rsidRPr="00886FD2">
        <w:t>6.2 Critical Evaluation of AI Output</w:t>
      </w:r>
      <w:bookmarkEnd w:id="48"/>
      <w:bookmarkEnd w:id="49"/>
    </w:p>
    <w:p w14:paraId="63C8B5FA" w14:textId="77777777" w:rsidR="00351E7F" w:rsidRPr="00886FD2" w:rsidRDefault="00351E7F" w:rsidP="00351E7F">
      <w:pPr>
        <w:spacing w:after="200" w:line="360" w:lineRule="auto"/>
        <w:jc w:val="both"/>
        <w:rPr>
          <w:rFonts w:eastAsia="Times New Roman"/>
          <w:sz w:val="24"/>
          <w:szCs w:val="24"/>
        </w:rPr>
      </w:pPr>
      <w:r w:rsidRPr="00886FD2">
        <w:rPr>
          <w:rFonts w:eastAsia="Times New Roman"/>
          <w:sz w:val="24"/>
          <w:szCs w:val="24"/>
        </w:rPr>
        <w:t xml:space="preserve">All AI-powered responses have been verified systematically before being included in the business report.  Different financial figures and accounting interpretations, in </w:t>
      </w:r>
      <w:r w:rsidRPr="00886FD2">
        <w:rPr>
          <w:rFonts w:eastAsia="Times New Roman"/>
          <w:sz w:val="24"/>
          <w:szCs w:val="24"/>
        </w:rPr>
        <w:lastRenderedPageBreak/>
        <w:t xml:space="preserve">combination with strategic observations, have been double-cross-checked against the Annual Reports (2021–2025) of Hilton along with its sustainability reports and peer-reviewed academic literature. Moreover, the ratio calculations along with investment appraisal techniques have been performed independently through leveraging Microsoft Excel to confirm the computational accuracy. Furthermore, during the review procedures, some AI responses presented broad financial assumptions which were not completely consistent with the reported performances of this financial company.  These inaccuracies have been identified through a profound comparison of the AI outputs with official corporate disclosures and thus ensuring that the final discussion highlighted the reliable evidence as well as sound financial reasoning. </w:t>
      </w:r>
    </w:p>
    <w:p w14:paraId="25FA1EA0" w14:textId="77777777" w:rsidR="00351E7F" w:rsidRPr="00886FD2" w:rsidRDefault="00351E7F" w:rsidP="002A0751">
      <w:pPr>
        <w:pStyle w:val="Heading2"/>
      </w:pPr>
      <w:bookmarkStart w:id="50" w:name="_wefpi3wfw3i9" w:colFirst="0" w:colLast="0"/>
      <w:bookmarkStart w:id="51" w:name="_Toc235207164"/>
      <w:bookmarkStart w:id="52" w:name="_Toc235207389"/>
      <w:bookmarkEnd w:id="50"/>
      <w:r w:rsidRPr="00886FD2">
        <w:t>6.3 Contribution Analysis</w:t>
      </w:r>
      <w:bookmarkEnd w:id="51"/>
      <w:bookmarkEnd w:id="52"/>
    </w:p>
    <w:p w14:paraId="07759BB2" w14:textId="77777777" w:rsidR="00351E7F" w:rsidRPr="00886FD2" w:rsidRDefault="00351E7F" w:rsidP="00351E7F">
      <w:pPr>
        <w:spacing w:after="200" w:line="360" w:lineRule="auto"/>
        <w:jc w:val="both"/>
        <w:rPr>
          <w:rFonts w:eastAsia="Times New Roman"/>
          <w:sz w:val="24"/>
          <w:szCs w:val="24"/>
        </w:rPr>
      </w:pPr>
      <w:r w:rsidRPr="00886FD2">
        <w:rPr>
          <w:rFonts w:eastAsia="Times New Roman"/>
          <w:sz w:val="24"/>
          <w:szCs w:val="24"/>
        </w:rPr>
        <w:t xml:space="preserve">This strategic tool has profoundly guided the report through enhancing the quality of the writing and organising the content, while recommending the appropriate financial theories for evaluation. However, the substantive work remained my own. In this report, I independently calculated different ratios like profitability ratio, gearing ratio, liquidity ratio, critically interpreted the financial statements of the company, examined the cash conversion cycles and also completed the investment appraisals. In addition, both the restructuring recommendations as well as strategic conclusion have been formulated after profoundly examining the financial performance, annual reports and ultimately the academic literature. Therefore, it can be asserted that AI functioned as an editorial and learning aid while the critical interpretation of different ratios, synthesis of evidence and the final decision-making has been undertaken through my own judgement alongside financial analysis. </w:t>
      </w:r>
    </w:p>
    <w:p w14:paraId="45E2BEA6" w14:textId="77777777" w:rsidR="00351E7F" w:rsidRPr="00886FD2" w:rsidRDefault="00351E7F" w:rsidP="00351E7F">
      <w:pPr>
        <w:pStyle w:val="Heading2"/>
      </w:pPr>
      <w:bookmarkStart w:id="53" w:name="_931rb5aob8t" w:colFirst="0" w:colLast="0"/>
      <w:bookmarkStart w:id="54" w:name="_Toc235207165"/>
      <w:bookmarkStart w:id="55" w:name="_Toc235207390"/>
      <w:bookmarkEnd w:id="53"/>
      <w:r w:rsidRPr="00886FD2">
        <w:t>6.4 Ethical and Professional Reflection</w:t>
      </w:r>
      <w:bookmarkEnd w:id="54"/>
      <w:bookmarkEnd w:id="55"/>
    </w:p>
    <w:p w14:paraId="26B8CEFB" w14:textId="77777777" w:rsidR="00351E7F" w:rsidRPr="00886FD2" w:rsidRDefault="00351E7F" w:rsidP="00351E7F">
      <w:pPr>
        <w:spacing w:after="200" w:line="360" w:lineRule="auto"/>
        <w:jc w:val="both"/>
        <w:rPr>
          <w:rFonts w:eastAsia="Times New Roman"/>
          <w:sz w:val="24"/>
          <w:szCs w:val="24"/>
        </w:rPr>
      </w:pPr>
      <w:r w:rsidRPr="00886FD2">
        <w:rPr>
          <w:rFonts w:eastAsia="Times New Roman"/>
          <w:sz w:val="24"/>
          <w:szCs w:val="24"/>
        </w:rPr>
        <w:t xml:space="preserve">The increasing utilisation of AI within financial management presents exclusive opportunities to boost the overall effectiveness, but it also creates significant ethical dilemmas. Any financial recommendation developed with the help of AI needs to be supported through transparent verification because inaccurate outputs might negatively affect the strategic decision-making of the company. Moreover, protecting confidential financial information is equally pivotal, which means that sensitive corporate data should not be entered into public AI platforms (Mbah, 2024). From a professional standpoint, it can be asserted that AI needs to assist instead of replacing </w:t>
      </w:r>
      <w:r w:rsidRPr="00886FD2">
        <w:rPr>
          <w:rFonts w:eastAsia="Times New Roman"/>
          <w:sz w:val="24"/>
          <w:szCs w:val="24"/>
        </w:rPr>
        <w:lastRenderedPageBreak/>
        <w:t xml:space="preserve">the analytical judgement, specifically within executive finance, where decisions not only influence the shareholders but also the employees and stakeholders. In essence, it can be asserted that responsible utilisations of AI therefore rely on a sense of transparency, data security and finally consistent human oversight. </w:t>
      </w:r>
    </w:p>
    <w:p w14:paraId="0000001F" w14:textId="61016C89" w:rsidR="00E36F9D" w:rsidRPr="00886FD2" w:rsidRDefault="00B94DE4" w:rsidP="00351E7F">
      <w:pPr>
        <w:pStyle w:val="Heading1"/>
        <w:rPr>
          <w:rFonts w:eastAsia="Times New Roman"/>
          <w:sz w:val="24"/>
          <w:szCs w:val="24"/>
        </w:rPr>
      </w:pPr>
      <w:bookmarkStart w:id="56" w:name="_Toc235207166"/>
      <w:bookmarkStart w:id="57" w:name="_Toc235207391"/>
      <w:r w:rsidRPr="00886FD2">
        <w:t>7. Conclusion</w:t>
      </w:r>
      <w:bookmarkEnd w:id="56"/>
      <w:bookmarkEnd w:id="57"/>
      <w:r w:rsidRPr="00886FD2">
        <w:t xml:space="preserve"> </w:t>
      </w:r>
    </w:p>
    <w:p w14:paraId="00000020" w14:textId="77777777" w:rsidR="00E36F9D" w:rsidRPr="00886FD2" w:rsidRDefault="00B94DE4">
      <w:pPr>
        <w:spacing w:after="200" w:line="360" w:lineRule="auto"/>
        <w:jc w:val="both"/>
        <w:rPr>
          <w:rFonts w:eastAsia="Times New Roman"/>
          <w:sz w:val="24"/>
          <w:szCs w:val="24"/>
        </w:rPr>
      </w:pPr>
      <w:r w:rsidRPr="00886FD2">
        <w:rPr>
          <w:rFonts w:eastAsia="Times New Roman"/>
          <w:sz w:val="24"/>
          <w:szCs w:val="24"/>
        </w:rPr>
        <w:t xml:space="preserve">According to this report, Hilton worldwide holdings has developed financial strength and sustainable growth consistently for the past five years. The growth of this firm is because of its asset light business model. Further, this company's global portfolio is improving with better profitability as well. Despite the financial risks posed by increasing leverage and relatively weak current liquidity, robust cash generation and efficient operational activities provide a solid base for an expansion plan. </w:t>
      </w:r>
    </w:p>
    <w:p w14:paraId="00000021" w14:textId="77777777" w:rsidR="00E36F9D" w:rsidRPr="00886FD2" w:rsidRDefault="00B94DE4">
      <w:pPr>
        <w:spacing w:after="200" w:line="360" w:lineRule="auto"/>
        <w:jc w:val="both"/>
        <w:rPr>
          <w:rFonts w:eastAsia="Times New Roman"/>
          <w:sz w:val="24"/>
          <w:szCs w:val="24"/>
        </w:rPr>
      </w:pPr>
      <w:r w:rsidRPr="00886FD2">
        <w:rPr>
          <w:rFonts w:eastAsia="Times New Roman"/>
          <w:sz w:val="24"/>
          <w:szCs w:val="24"/>
        </w:rPr>
        <w:t>Changes in the working capital management and strategy of debt refinancing recommended will enhance financial flexibility and will support the long-term shareholder value. According to investment appraisal, capital should be allocated to projects with maximum return to shareholders, subject to financial constraints. Ultimately, responsible use of AI and human judgement and evidence-based verification of AI-prepared results enhance financial analysis, and outcomes and uphold the highest ethical and professional standards.</w:t>
      </w:r>
    </w:p>
    <w:p w14:paraId="00000022" w14:textId="77777777" w:rsidR="00E36F9D" w:rsidRPr="00886FD2" w:rsidRDefault="00B94DE4">
      <w:pPr>
        <w:spacing w:after="200" w:line="360" w:lineRule="auto"/>
        <w:jc w:val="both"/>
        <w:rPr>
          <w:rFonts w:eastAsia="Times New Roman"/>
          <w:sz w:val="24"/>
          <w:szCs w:val="24"/>
        </w:rPr>
      </w:pPr>
      <w:r w:rsidRPr="00886FD2">
        <w:br w:type="page"/>
      </w:r>
    </w:p>
    <w:p w14:paraId="00000023" w14:textId="77777777" w:rsidR="00E36F9D" w:rsidRPr="00886FD2" w:rsidRDefault="00B94DE4" w:rsidP="00EA21F4">
      <w:pPr>
        <w:pStyle w:val="Heading1"/>
      </w:pPr>
      <w:bookmarkStart w:id="58" w:name="_Toc235207167"/>
      <w:bookmarkStart w:id="59" w:name="_Toc235207392"/>
      <w:r w:rsidRPr="00886FD2">
        <w:lastRenderedPageBreak/>
        <w:t>References</w:t>
      </w:r>
      <w:bookmarkEnd w:id="58"/>
      <w:bookmarkEnd w:id="59"/>
      <w:r w:rsidRPr="00886FD2">
        <w:t xml:space="preserve"> </w:t>
      </w:r>
    </w:p>
    <w:p w14:paraId="7D116394" w14:textId="1A24EC63" w:rsidR="00C83176" w:rsidRPr="00886FD2" w:rsidRDefault="00C83176" w:rsidP="00C83176">
      <w:pPr>
        <w:spacing w:before="240" w:after="160" w:line="360" w:lineRule="auto"/>
        <w:jc w:val="both"/>
        <w:rPr>
          <w:rFonts w:eastAsia="Times New Roman"/>
          <w:color w:val="1155CC"/>
          <w:sz w:val="24"/>
          <w:szCs w:val="24"/>
          <w:u w:val="single"/>
        </w:rPr>
      </w:pPr>
      <w:r w:rsidRPr="00886FD2">
        <w:rPr>
          <w:rFonts w:eastAsia="Times New Roman"/>
          <w:sz w:val="24"/>
          <w:szCs w:val="24"/>
        </w:rPr>
        <w:t xml:space="preserve">Ahmed, H.M., Hassan, B.K. and </w:t>
      </w:r>
      <w:proofErr w:type="spellStart"/>
      <w:r w:rsidRPr="00886FD2">
        <w:rPr>
          <w:rFonts w:eastAsia="Times New Roman"/>
          <w:sz w:val="24"/>
          <w:szCs w:val="24"/>
        </w:rPr>
        <w:t>Sangawi</w:t>
      </w:r>
      <w:proofErr w:type="spellEnd"/>
      <w:r w:rsidRPr="00886FD2">
        <w:rPr>
          <w:rFonts w:eastAsia="Times New Roman"/>
          <w:sz w:val="24"/>
          <w:szCs w:val="24"/>
        </w:rPr>
        <w:t xml:space="preserve">, S.S., 2025. Impact of Investment Decision, Liquidity Management, and Leverage Ratio on the Value of Manufacturing Companies: Investment Decision, Liquidity Management, and Leverage Ratio. </w:t>
      </w:r>
      <w:r w:rsidRPr="00886FD2">
        <w:rPr>
          <w:rFonts w:eastAsia="Times New Roman"/>
          <w:i/>
          <w:iCs/>
          <w:sz w:val="24"/>
          <w:szCs w:val="24"/>
        </w:rPr>
        <w:t>Academic Journal of International University of Erbil</w:t>
      </w:r>
      <w:r w:rsidRPr="00886FD2">
        <w:rPr>
          <w:rFonts w:eastAsia="Times New Roman"/>
          <w:sz w:val="24"/>
          <w:szCs w:val="24"/>
        </w:rPr>
        <w:t xml:space="preserve">, </w:t>
      </w:r>
      <w:r w:rsidRPr="00886FD2">
        <w:rPr>
          <w:rFonts w:eastAsia="Times New Roman"/>
          <w:i/>
          <w:iCs/>
          <w:sz w:val="24"/>
          <w:szCs w:val="24"/>
        </w:rPr>
        <w:t>2</w:t>
      </w:r>
      <w:r w:rsidRPr="00886FD2">
        <w:rPr>
          <w:rFonts w:eastAsia="Times New Roman"/>
          <w:sz w:val="24"/>
          <w:szCs w:val="24"/>
        </w:rPr>
        <w:t>(03), pp.263-274.</w:t>
      </w:r>
      <w:hyperlink r:id="rId15">
        <w:r w:rsidRPr="00886FD2">
          <w:rPr>
            <w:rFonts w:eastAsia="Times New Roman"/>
            <w:sz w:val="24"/>
            <w:szCs w:val="24"/>
          </w:rPr>
          <w:t xml:space="preserve"> </w:t>
        </w:r>
      </w:hyperlink>
      <w:hyperlink r:id="rId16">
        <w:r w:rsidRPr="00886FD2">
          <w:rPr>
            <w:rFonts w:eastAsia="Times New Roman"/>
            <w:color w:val="1155CC"/>
            <w:sz w:val="24"/>
            <w:szCs w:val="24"/>
            <w:u w:val="single"/>
          </w:rPr>
          <w:t>https://journal.iue.edu.krd/index.php/public/article/download/56/40</w:t>
        </w:r>
      </w:hyperlink>
    </w:p>
    <w:p w14:paraId="1F260FD7" w14:textId="77777777" w:rsidR="00C83176" w:rsidRPr="00886FD2" w:rsidRDefault="00C83176" w:rsidP="00C83176">
      <w:pPr>
        <w:pStyle w:val="NormalWeb"/>
        <w:spacing w:before="240" w:beforeAutospacing="0" w:after="200" w:afterAutospacing="0" w:line="360" w:lineRule="auto"/>
        <w:jc w:val="both"/>
        <w:rPr>
          <w:rFonts w:ascii="Arial" w:hAnsi="Arial" w:cs="Arial"/>
          <w:lang w:val="en-GB"/>
        </w:rPr>
      </w:pPr>
      <w:proofErr w:type="spellStart"/>
      <w:r w:rsidRPr="00886FD2">
        <w:rPr>
          <w:rFonts w:ascii="Arial" w:hAnsi="Arial" w:cs="Arial"/>
          <w:color w:val="222222"/>
          <w:shd w:val="clear" w:color="auto" w:fill="FFFFFF"/>
          <w:lang w:val="en-GB"/>
        </w:rPr>
        <w:t>Akpadaka</w:t>
      </w:r>
      <w:proofErr w:type="spellEnd"/>
      <w:r w:rsidRPr="00886FD2">
        <w:rPr>
          <w:rFonts w:ascii="Arial" w:hAnsi="Arial" w:cs="Arial"/>
          <w:color w:val="222222"/>
          <w:shd w:val="clear" w:color="auto" w:fill="FFFFFF"/>
          <w:lang w:val="en-GB"/>
        </w:rPr>
        <w:t xml:space="preserve">, O. and Edeh, P.O., 2024. Impact of Cash Conversion Cycle and Financial Stability on Firm Value. </w:t>
      </w:r>
      <w:r w:rsidRPr="00886FD2">
        <w:rPr>
          <w:rFonts w:ascii="Arial" w:hAnsi="Arial" w:cs="Arial"/>
          <w:i/>
          <w:iCs/>
          <w:color w:val="222222"/>
          <w:shd w:val="clear" w:color="auto" w:fill="FFFFFF"/>
          <w:lang w:val="en-GB"/>
        </w:rPr>
        <w:t>Journal of Accounting and Financial Management</w:t>
      </w:r>
      <w:r w:rsidRPr="00886FD2">
        <w:rPr>
          <w:rFonts w:ascii="Arial" w:hAnsi="Arial" w:cs="Arial"/>
          <w:color w:val="222222"/>
          <w:shd w:val="clear" w:color="auto" w:fill="FFFFFF"/>
          <w:lang w:val="en-GB"/>
        </w:rPr>
        <w:t xml:space="preserve">, </w:t>
      </w:r>
      <w:r w:rsidRPr="00886FD2">
        <w:rPr>
          <w:rFonts w:ascii="Arial" w:hAnsi="Arial" w:cs="Arial"/>
          <w:i/>
          <w:iCs/>
          <w:color w:val="222222"/>
          <w:shd w:val="clear" w:color="auto" w:fill="FFFFFF"/>
          <w:lang w:val="en-GB"/>
        </w:rPr>
        <w:t>10</w:t>
      </w:r>
      <w:r w:rsidRPr="00886FD2">
        <w:rPr>
          <w:rFonts w:ascii="Arial" w:hAnsi="Arial" w:cs="Arial"/>
          <w:color w:val="222222"/>
          <w:shd w:val="clear" w:color="auto" w:fill="FFFFFF"/>
          <w:lang w:val="en-GB"/>
        </w:rPr>
        <w:t>, pp.123-141.</w:t>
      </w:r>
      <w:r w:rsidRPr="00886FD2">
        <w:rPr>
          <w:rFonts w:ascii="Arial" w:hAnsi="Arial" w:cs="Arial"/>
          <w:color w:val="000000"/>
          <w:lang w:val="en-GB"/>
        </w:rPr>
        <w:t xml:space="preserve"> </w:t>
      </w:r>
      <w:hyperlink r:id="rId17" w:history="1">
        <w:r w:rsidRPr="00886FD2">
          <w:rPr>
            <w:rStyle w:val="Hyperlink"/>
            <w:rFonts w:ascii="Arial" w:hAnsi="Arial" w:cs="Arial"/>
            <w:color w:val="1155CC"/>
            <w:lang w:val="en-GB"/>
          </w:rPr>
          <w:t>https://www.researchgate.net/profile/Ovbe-Akpadaka/publication/383262033_Impact_of_Cash_Conversion_Cycle_and_Financial_Stability_on_Firm_Value/links/66c4c856ccd355055fe1342b/Impact-of-Cash-Conversion-Cycle-and-Financial-Stability-on-Firm-Value.pdf</w:t>
        </w:r>
      </w:hyperlink>
    </w:p>
    <w:p w14:paraId="123A7450" w14:textId="77777777" w:rsidR="00C83176" w:rsidRPr="00886FD2" w:rsidRDefault="00C83176" w:rsidP="00C83176">
      <w:pPr>
        <w:pStyle w:val="NormalWeb"/>
        <w:spacing w:before="240" w:beforeAutospacing="0" w:after="200" w:afterAutospacing="0" w:line="360" w:lineRule="auto"/>
        <w:jc w:val="both"/>
        <w:rPr>
          <w:rFonts w:ascii="Arial" w:hAnsi="Arial" w:cs="Arial"/>
          <w:lang w:val="en-GB"/>
        </w:rPr>
      </w:pPr>
      <w:r w:rsidRPr="00886FD2">
        <w:rPr>
          <w:rFonts w:ascii="Arial" w:hAnsi="Arial" w:cs="Arial"/>
          <w:color w:val="222222"/>
          <w:shd w:val="clear" w:color="auto" w:fill="FFFFFF"/>
          <w:lang w:val="en-GB"/>
        </w:rPr>
        <w:t xml:space="preserve">Alim, I., Meghla, R.N., Matin, T.F. and </w:t>
      </w:r>
      <w:proofErr w:type="spellStart"/>
      <w:r w:rsidRPr="00886FD2">
        <w:rPr>
          <w:rFonts w:ascii="Arial" w:hAnsi="Arial" w:cs="Arial"/>
          <w:color w:val="222222"/>
          <w:shd w:val="clear" w:color="auto" w:fill="FFFFFF"/>
          <w:lang w:val="en-GB"/>
        </w:rPr>
        <w:t>Prodhan</w:t>
      </w:r>
      <w:proofErr w:type="spellEnd"/>
      <w:r w:rsidRPr="00886FD2">
        <w:rPr>
          <w:rFonts w:ascii="Arial" w:hAnsi="Arial" w:cs="Arial"/>
          <w:color w:val="222222"/>
          <w:shd w:val="clear" w:color="auto" w:fill="FFFFFF"/>
          <w:lang w:val="en-GB"/>
        </w:rPr>
        <w:t xml:space="preserve">, T.M.M.H., 2026. A Semantic and Behavioral AI Framework for Detecting Invoice Fraud in Automated Accounts Payable. </w:t>
      </w:r>
      <w:r w:rsidRPr="00886FD2">
        <w:rPr>
          <w:rFonts w:ascii="Arial" w:hAnsi="Arial" w:cs="Arial"/>
          <w:i/>
          <w:iCs/>
          <w:color w:val="222222"/>
          <w:shd w:val="clear" w:color="auto" w:fill="FFFFFF"/>
          <w:lang w:val="en-GB"/>
        </w:rPr>
        <w:t>International Journal of Science and Research Archive</w:t>
      </w:r>
      <w:r w:rsidRPr="00886FD2">
        <w:rPr>
          <w:rFonts w:ascii="Arial" w:hAnsi="Arial" w:cs="Arial"/>
          <w:color w:val="222222"/>
          <w:shd w:val="clear" w:color="auto" w:fill="FFFFFF"/>
          <w:lang w:val="en-GB"/>
        </w:rPr>
        <w:t xml:space="preserve">, </w:t>
      </w:r>
      <w:r w:rsidRPr="00886FD2">
        <w:rPr>
          <w:rFonts w:ascii="Arial" w:hAnsi="Arial" w:cs="Arial"/>
          <w:i/>
          <w:iCs/>
          <w:color w:val="222222"/>
          <w:shd w:val="clear" w:color="auto" w:fill="FFFFFF"/>
          <w:lang w:val="en-GB"/>
        </w:rPr>
        <w:t>19</w:t>
      </w:r>
      <w:r w:rsidRPr="00886FD2">
        <w:rPr>
          <w:rFonts w:ascii="Arial" w:hAnsi="Arial" w:cs="Arial"/>
          <w:color w:val="222222"/>
          <w:shd w:val="clear" w:color="auto" w:fill="FFFFFF"/>
          <w:lang w:val="en-GB"/>
        </w:rPr>
        <w:t>(2), pp.1356-1380.</w:t>
      </w:r>
      <w:r w:rsidRPr="00886FD2">
        <w:rPr>
          <w:rFonts w:ascii="Arial" w:hAnsi="Arial" w:cs="Arial"/>
          <w:color w:val="000000"/>
          <w:lang w:val="en-GB"/>
        </w:rPr>
        <w:t xml:space="preserve"> </w:t>
      </w:r>
      <w:hyperlink r:id="rId18" w:history="1">
        <w:r w:rsidRPr="00886FD2">
          <w:rPr>
            <w:rStyle w:val="Hyperlink"/>
            <w:rFonts w:ascii="Arial" w:hAnsi="Arial" w:cs="Arial"/>
            <w:color w:val="1155CC"/>
            <w:lang w:val="en-GB"/>
          </w:rPr>
          <w:t>https://www.researchgate.net/profile/Ishrak-Alim-2/publication/405411961_A_semantic_and_behavioral_AI_framework_for_detecting_invoice_fraud_in_automated_accounts_payable/links/6a18b1301d2edf444ddb9939/A-semantic-and-behavioral-AI-framework-for-detecting-invoice-fraud-in-automated-accounts-payable.pdf</w:t>
        </w:r>
      </w:hyperlink>
    </w:p>
    <w:p w14:paraId="678CE64B" w14:textId="27D54603" w:rsidR="00C83176" w:rsidRPr="00886FD2" w:rsidRDefault="00C83176" w:rsidP="00C83176">
      <w:pPr>
        <w:pStyle w:val="NormalWeb"/>
        <w:spacing w:before="240" w:beforeAutospacing="0" w:after="200" w:afterAutospacing="0" w:line="360" w:lineRule="auto"/>
        <w:jc w:val="both"/>
        <w:rPr>
          <w:rFonts w:ascii="Arial" w:hAnsi="Arial" w:cs="Arial"/>
          <w:lang w:val="en-GB"/>
        </w:rPr>
      </w:pPr>
      <w:r w:rsidRPr="00886FD2">
        <w:rPr>
          <w:rFonts w:ascii="Arial" w:hAnsi="Arial" w:cs="Arial"/>
          <w:color w:val="222222"/>
          <w:shd w:val="clear" w:color="auto" w:fill="FFFFFF"/>
          <w:lang w:val="en-GB"/>
        </w:rPr>
        <w:t xml:space="preserve">Alonge, </w:t>
      </w:r>
      <w:proofErr w:type="spellStart"/>
      <w:proofErr w:type="gramStart"/>
      <w:r w:rsidRPr="00886FD2">
        <w:rPr>
          <w:rFonts w:ascii="Arial" w:hAnsi="Arial" w:cs="Arial"/>
          <w:color w:val="222222"/>
          <w:shd w:val="clear" w:color="auto" w:fill="FFFFFF"/>
          <w:lang w:val="en-GB"/>
        </w:rPr>
        <w:t>E.O.,</w:t>
      </w:r>
      <w:r w:rsidR="00D2176F">
        <w:rPr>
          <w:rFonts w:ascii="Arial" w:hAnsi="Arial" w:cs="Arial"/>
          <w:color w:val="222222"/>
          <w:shd w:val="clear" w:color="auto" w:fill="FFFFFF"/>
          <w:lang w:val="en-GB"/>
        </w:rPr>
        <w:t>et.al</w:t>
      </w:r>
      <w:proofErr w:type="spellEnd"/>
      <w:proofErr w:type="gramEnd"/>
      <w:r w:rsidRPr="00886FD2">
        <w:rPr>
          <w:rFonts w:ascii="Arial" w:hAnsi="Arial" w:cs="Arial"/>
          <w:color w:val="222222"/>
          <w:shd w:val="clear" w:color="auto" w:fill="FFFFFF"/>
          <w:lang w:val="en-GB"/>
        </w:rPr>
        <w:t xml:space="preserve">, 2024. A predictive analytics model for optimizing cash flow management in multi-location and global business enterprises. </w:t>
      </w:r>
      <w:r w:rsidRPr="00886FD2">
        <w:rPr>
          <w:rFonts w:ascii="Arial" w:hAnsi="Arial" w:cs="Arial"/>
          <w:i/>
          <w:iCs/>
          <w:color w:val="222222"/>
          <w:shd w:val="clear" w:color="auto" w:fill="FFFFFF"/>
          <w:lang w:val="en-GB"/>
        </w:rPr>
        <w:t>Journal details pending</w:t>
      </w:r>
      <w:r w:rsidRPr="00886FD2">
        <w:rPr>
          <w:rFonts w:ascii="Arial" w:hAnsi="Arial" w:cs="Arial"/>
          <w:color w:val="222222"/>
          <w:shd w:val="clear" w:color="auto" w:fill="FFFFFF"/>
          <w:lang w:val="en-GB"/>
        </w:rPr>
        <w:t>.</w:t>
      </w:r>
      <w:r w:rsidRPr="00886FD2">
        <w:rPr>
          <w:rFonts w:ascii="Arial" w:hAnsi="Arial" w:cs="Arial"/>
          <w:color w:val="000000"/>
          <w:lang w:val="en-GB"/>
        </w:rPr>
        <w:t xml:space="preserve"> </w:t>
      </w:r>
      <w:hyperlink r:id="rId19" w:history="1">
        <w:r w:rsidRPr="00886FD2">
          <w:rPr>
            <w:rStyle w:val="Hyperlink"/>
            <w:rFonts w:ascii="Arial" w:hAnsi="Arial" w:cs="Arial"/>
            <w:color w:val="1155CC"/>
            <w:lang w:val="en-GB"/>
          </w:rPr>
          <w:t>https://www.researchgate.net/profile/Enoch-Alonge/publication/390033672_A_Predictive_Analytics_Model_for_Optimizing_Cash_Flow_Management_in_Multi-Location_and_Global_Business_Enterprises/links/67dc9faf35f7044c924df1d5/A-Predictive-Analytics-Model-for-Optimizing-Cash-Flow-Management-in-Multi-Location-and-Global-Business-Enterprises.pdf</w:t>
        </w:r>
      </w:hyperlink>
    </w:p>
    <w:p w14:paraId="236BC528" w14:textId="77777777" w:rsidR="00C83176" w:rsidRPr="00886FD2" w:rsidRDefault="00C83176" w:rsidP="00C83176">
      <w:pPr>
        <w:spacing w:before="240" w:after="160" w:line="360" w:lineRule="auto"/>
        <w:jc w:val="both"/>
        <w:rPr>
          <w:rFonts w:eastAsia="Times New Roman"/>
          <w:color w:val="1155CC"/>
          <w:sz w:val="24"/>
          <w:szCs w:val="24"/>
          <w:u w:val="single"/>
        </w:rPr>
      </w:pPr>
      <w:r w:rsidRPr="00886FD2">
        <w:rPr>
          <w:rFonts w:eastAsia="Times New Roman"/>
          <w:sz w:val="24"/>
          <w:szCs w:val="24"/>
        </w:rPr>
        <w:t xml:space="preserve">Andini, Y.S., 2026. Analysis of Financial Performance of Industrial Sector Companies Through Liquidity, Leverage and Efficiency Ratios. </w:t>
      </w:r>
      <w:r w:rsidRPr="00886FD2">
        <w:rPr>
          <w:rFonts w:eastAsia="Times New Roman"/>
          <w:i/>
          <w:iCs/>
          <w:sz w:val="24"/>
          <w:szCs w:val="24"/>
        </w:rPr>
        <w:t xml:space="preserve">Journal of Governance, Taxation </w:t>
      </w:r>
      <w:r w:rsidRPr="00886FD2">
        <w:rPr>
          <w:rFonts w:eastAsia="Times New Roman"/>
          <w:i/>
          <w:iCs/>
          <w:sz w:val="24"/>
          <w:szCs w:val="24"/>
        </w:rPr>
        <w:lastRenderedPageBreak/>
        <w:t>and Auditing</w:t>
      </w:r>
      <w:r w:rsidRPr="00886FD2">
        <w:rPr>
          <w:rFonts w:eastAsia="Times New Roman"/>
          <w:sz w:val="24"/>
          <w:szCs w:val="24"/>
        </w:rPr>
        <w:t xml:space="preserve">, </w:t>
      </w:r>
      <w:r w:rsidRPr="00886FD2">
        <w:rPr>
          <w:rFonts w:eastAsia="Times New Roman"/>
          <w:i/>
          <w:iCs/>
          <w:sz w:val="24"/>
          <w:szCs w:val="24"/>
        </w:rPr>
        <w:t>4</w:t>
      </w:r>
      <w:r w:rsidRPr="00886FD2">
        <w:rPr>
          <w:rFonts w:eastAsia="Times New Roman"/>
          <w:sz w:val="24"/>
          <w:szCs w:val="24"/>
        </w:rPr>
        <w:t>(3), pp.639-659.</w:t>
      </w:r>
      <w:hyperlink r:id="rId20">
        <w:r w:rsidRPr="00886FD2">
          <w:rPr>
            <w:rFonts w:eastAsia="Times New Roman"/>
            <w:sz w:val="24"/>
            <w:szCs w:val="24"/>
          </w:rPr>
          <w:t xml:space="preserve"> </w:t>
        </w:r>
      </w:hyperlink>
      <w:hyperlink r:id="rId21">
        <w:r w:rsidRPr="00886FD2">
          <w:rPr>
            <w:rFonts w:eastAsia="Times New Roman"/>
            <w:color w:val="1155CC"/>
            <w:sz w:val="24"/>
            <w:szCs w:val="24"/>
            <w:u w:val="single"/>
          </w:rPr>
          <w:t>https://www.journalkeberlanjutan.com/index.php/JoGTA/article/download/1734/1468</w:t>
        </w:r>
      </w:hyperlink>
    </w:p>
    <w:p w14:paraId="7877574F" w14:textId="77777777" w:rsidR="00C83176" w:rsidRPr="00886FD2" w:rsidRDefault="00C83176" w:rsidP="00C83176">
      <w:pPr>
        <w:pStyle w:val="NormalWeb"/>
        <w:spacing w:before="240" w:beforeAutospacing="0" w:after="200" w:afterAutospacing="0" w:line="360" w:lineRule="auto"/>
        <w:jc w:val="both"/>
        <w:rPr>
          <w:rFonts w:ascii="Arial" w:hAnsi="Arial" w:cs="Arial"/>
          <w:lang w:val="en-GB"/>
        </w:rPr>
      </w:pPr>
      <w:r w:rsidRPr="00886FD2">
        <w:rPr>
          <w:rFonts w:ascii="Arial" w:hAnsi="Arial" w:cs="Arial"/>
          <w:color w:val="222222"/>
          <w:shd w:val="clear" w:color="auto" w:fill="FFFFFF"/>
          <w:lang w:val="en-GB"/>
        </w:rPr>
        <w:t xml:space="preserve">Ashfaq, M., Chaudhri, M. and Sarwar, W., 2025. OPTIMIZING FIRM PERFORMANCE THROUGH EFFECTIVE WORKING CAPITAL MANAGEMENT. </w:t>
      </w:r>
      <w:r w:rsidRPr="00886FD2">
        <w:rPr>
          <w:rFonts w:ascii="Arial" w:hAnsi="Arial" w:cs="Arial"/>
          <w:i/>
          <w:iCs/>
          <w:color w:val="222222"/>
          <w:shd w:val="clear" w:color="auto" w:fill="FFFFFF"/>
          <w:lang w:val="en-GB"/>
        </w:rPr>
        <w:t>Pakistan Journal of Social Science Review</w:t>
      </w:r>
      <w:r w:rsidRPr="00886FD2">
        <w:rPr>
          <w:rFonts w:ascii="Arial" w:hAnsi="Arial" w:cs="Arial"/>
          <w:color w:val="222222"/>
          <w:shd w:val="clear" w:color="auto" w:fill="FFFFFF"/>
          <w:lang w:val="en-GB"/>
        </w:rPr>
        <w:t xml:space="preserve">, </w:t>
      </w:r>
      <w:r w:rsidRPr="00886FD2">
        <w:rPr>
          <w:rFonts w:ascii="Arial" w:hAnsi="Arial" w:cs="Arial"/>
          <w:i/>
          <w:iCs/>
          <w:color w:val="222222"/>
          <w:shd w:val="clear" w:color="auto" w:fill="FFFFFF"/>
          <w:lang w:val="en-GB"/>
        </w:rPr>
        <w:t>4</w:t>
      </w:r>
      <w:r w:rsidRPr="00886FD2">
        <w:rPr>
          <w:rFonts w:ascii="Arial" w:hAnsi="Arial" w:cs="Arial"/>
          <w:color w:val="222222"/>
          <w:shd w:val="clear" w:color="auto" w:fill="FFFFFF"/>
          <w:lang w:val="en-GB"/>
        </w:rPr>
        <w:t>(5), pp.33-72.</w:t>
      </w:r>
      <w:r w:rsidRPr="00886FD2">
        <w:rPr>
          <w:rFonts w:ascii="Arial" w:hAnsi="Arial" w:cs="Arial"/>
          <w:color w:val="000000"/>
          <w:lang w:val="en-GB"/>
        </w:rPr>
        <w:t xml:space="preserve"> </w:t>
      </w:r>
      <w:hyperlink r:id="rId22" w:history="1">
        <w:r w:rsidRPr="00886FD2">
          <w:rPr>
            <w:rStyle w:val="Hyperlink"/>
            <w:rFonts w:ascii="Arial" w:hAnsi="Arial" w:cs="Arial"/>
            <w:color w:val="1155CC"/>
            <w:lang w:val="en-GB"/>
          </w:rPr>
          <w:t>http://www.pjssrjournal.com/index.php/Journal/article/download/201/190</w:t>
        </w:r>
      </w:hyperlink>
    </w:p>
    <w:p w14:paraId="155D725B" w14:textId="0BD02A9E" w:rsidR="00C83176" w:rsidRPr="00886FD2" w:rsidRDefault="00C83176" w:rsidP="00C83176">
      <w:pPr>
        <w:pStyle w:val="NormalWeb"/>
        <w:spacing w:before="240" w:beforeAutospacing="0" w:after="200" w:afterAutospacing="0" w:line="360" w:lineRule="auto"/>
        <w:jc w:val="both"/>
        <w:rPr>
          <w:rFonts w:ascii="Arial" w:hAnsi="Arial" w:cs="Arial"/>
          <w:lang w:val="en-GB"/>
        </w:rPr>
      </w:pPr>
      <w:r w:rsidRPr="00886FD2">
        <w:rPr>
          <w:rFonts w:ascii="Arial" w:hAnsi="Arial" w:cs="Arial"/>
          <w:color w:val="222222"/>
          <w:shd w:val="clear" w:color="auto" w:fill="FFFFFF"/>
          <w:lang w:val="en-GB"/>
        </w:rPr>
        <w:t xml:space="preserve">Asman, </w:t>
      </w:r>
      <w:proofErr w:type="spellStart"/>
      <w:proofErr w:type="gramStart"/>
      <w:r w:rsidRPr="00886FD2">
        <w:rPr>
          <w:rFonts w:ascii="Arial" w:hAnsi="Arial" w:cs="Arial"/>
          <w:color w:val="222222"/>
          <w:shd w:val="clear" w:color="auto" w:fill="FFFFFF"/>
          <w:lang w:val="en-GB"/>
        </w:rPr>
        <w:t>F.N.,</w:t>
      </w:r>
      <w:r w:rsidR="00D2176F">
        <w:rPr>
          <w:rFonts w:ascii="Arial" w:hAnsi="Arial" w:cs="Arial"/>
          <w:color w:val="222222"/>
          <w:shd w:val="clear" w:color="auto" w:fill="FFFFFF"/>
          <w:lang w:val="en-GB"/>
        </w:rPr>
        <w:t>et.al</w:t>
      </w:r>
      <w:proofErr w:type="spellEnd"/>
      <w:proofErr w:type="gramEnd"/>
      <w:r w:rsidRPr="00886FD2">
        <w:rPr>
          <w:rFonts w:ascii="Arial" w:hAnsi="Arial" w:cs="Arial"/>
          <w:color w:val="222222"/>
          <w:shd w:val="clear" w:color="auto" w:fill="FFFFFF"/>
          <w:lang w:val="en-GB"/>
        </w:rPr>
        <w:t xml:space="preserve">, 2022. Cash conversion cycle and firm’s performance. </w:t>
      </w:r>
      <w:r w:rsidRPr="00886FD2">
        <w:rPr>
          <w:rFonts w:ascii="Arial" w:hAnsi="Arial" w:cs="Arial"/>
          <w:i/>
          <w:iCs/>
          <w:color w:val="222222"/>
          <w:shd w:val="clear" w:color="auto" w:fill="FFFFFF"/>
          <w:lang w:val="en-GB"/>
        </w:rPr>
        <w:t>International Journal of Academic Research in Business and Social Sciences</w:t>
      </w:r>
      <w:r w:rsidRPr="00886FD2">
        <w:rPr>
          <w:rFonts w:ascii="Arial" w:hAnsi="Arial" w:cs="Arial"/>
          <w:color w:val="222222"/>
          <w:shd w:val="clear" w:color="auto" w:fill="FFFFFF"/>
          <w:lang w:val="en-GB"/>
        </w:rPr>
        <w:t xml:space="preserve">, </w:t>
      </w:r>
      <w:r w:rsidRPr="00886FD2">
        <w:rPr>
          <w:rFonts w:ascii="Arial" w:hAnsi="Arial" w:cs="Arial"/>
          <w:i/>
          <w:iCs/>
          <w:color w:val="222222"/>
          <w:shd w:val="clear" w:color="auto" w:fill="FFFFFF"/>
          <w:lang w:val="en-GB"/>
        </w:rPr>
        <w:t>12</w:t>
      </w:r>
      <w:r w:rsidRPr="00886FD2">
        <w:rPr>
          <w:rFonts w:ascii="Arial" w:hAnsi="Arial" w:cs="Arial"/>
          <w:color w:val="222222"/>
          <w:shd w:val="clear" w:color="auto" w:fill="FFFFFF"/>
          <w:lang w:val="en-GB"/>
        </w:rPr>
        <w:t>(11), pp.2682-2692.</w:t>
      </w:r>
      <w:r w:rsidRPr="00886FD2">
        <w:rPr>
          <w:rFonts w:ascii="Arial" w:hAnsi="Arial" w:cs="Arial"/>
          <w:color w:val="000000"/>
          <w:lang w:val="en-GB"/>
        </w:rPr>
        <w:t xml:space="preserve"> </w:t>
      </w:r>
      <w:hyperlink r:id="rId23" w:history="1">
        <w:r w:rsidRPr="00886FD2">
          <w:rPr>
            <w:rStyle w:val="Hyperlink"/>
            <w:rFonts w:ascii="Arial" w:hAnsi="Arial" w:cs="Arial"/>
            <w:color w:val="1155CC"/>
            <w:lang w:val="en-GB"/>
          </w:rPr>
          <w:t>https://www.academia.edu/download/106769993/cash-conversion-cycle-and-firms-performance.pdf</w:t>
        </w:r>
      </w:hyperlink>
    </w:p>
    <w:p w14:paraId="3CF8BBE4" w14:textId="77777777" w:rsidR="00C83176" w:rsidRPr="00886FD2" w:rsidRDefault="00C83176" w:rsidP="00C83176">
      <w:pPr>
        <w:pStyle w:val="NormalWeb"/>
        <w:spacing w:before="240" w:beforeAutospacing="0" w:after="200" w:afterAutospacing="0" w:line="360" w:lineRule="auto"/>
        <w:jc w:val="both"/>
        <w:rPr>
          <w:rFonts w:ascii="Arial" w:hAnsi="Arial" w:cs="Arial"/>
          <w:lang w:val="en-GB"/>
        </w:rPr>
      </w:pPr>
      <w:r w:rsidRPr="00886FD2">
        <w:rPr>
          <w:rFonts w:ascii="Arial" w:hAnsi="Arial" w:cs="Arial"/>
          <w:color w:val="222222"/>
          <w:shd w:val="clear" w:color="auto" w:fill="FFFFFF"/>
          <w:lang w:val="en-GB"/>
        </w:rPr>
        <w:t xml:space="preserve">Brusov, P. and Filatova, T., 2023. Capital structure theory: Past, present, future. </w:t>
      </w:r>
      <w:r w:rsidRPr="00886FD2">
        <w:rPr>
          <w:rFonts w:ascii="Arial" w:hAnsi="Arial" w:cs="Arial"/>
          <w:i/>
          <w:iCs/>
          <w:color w:val="222222"/>
          <w:shd w:val="clear" w:color="auto" w:fill="FFFFFF"/>
          <w:lang w:val="en-GB"/>
        </w:rPr>
        <w:t>Mathematics</w:t>
      </w:r>
      <w:r w:rsidRPr="00886FD2">
        <w:rPr>
          <w:rFonts w:ascii="Arial" w:hAnsi="Arial" w:cs="Arial"/>
          <w:color w:val="222222"/>
          <w:shd w:val="clear" w:color="auto" w:fill="FFFFFF"/>
          <w:lang w:val="en-GB"/>
        </w:rPr>
        <w:t xml:space="preserve">, </w:t>
      </w:r>
      <w:r w:rsidRPr="00886FD2">
        <w:rPr>
          <w:rFonts w:ascii="Arial" w:hAnsi="Arial" w:cs="Arial"/>
          <w:i/>
          <w:iCs/>
          <w:color w:val="222222"/>
          <w:shd w:val="clear" w:color="auto" w:fill="FFFFFF"/>
          <w:lang w:val="en-GB"/>
        </w:rPr>
        <w:t>11</w:t>
      </w:r>
      <w:r w:rsidRPr="00886FD2">
        <w:rPr>
          <w:rFonts w:ascii="Arial" w:hAnsi="Arial" w:cs="Arial"/>
          <w:color w:val="222222"/>
          <w:shd w:val="clear" w:color="auto" w:fill="FFFFFF"/>
          <w:lang w:val="en-GB"/>
        </w:rPr>
        <w:t>(3), p.616.</w:t>
      </w:r>
      <w:r w:rsidRPr="00886FD2">
        <w:rPr>
          <w:rFonts w:ascii="Arial" w:hAnsi="Arial" w:cs="Arial"/>
          <w:color w:val="000000"/>
          <w:lang w:val="en-GB"/>
        </w:rPr>
        <w:t xml:space="preserve"> </w:t>
      </w:r>
      <w:hyperlink r:id="rId24" w:history="1">
        <w:r w:rsidRPr="00886FD2">
          <w:rPr>
            <w:rStyle w:val="Hyperlink"/>
            <w:rFonts w:ascii="Arial" w:hAnsi="Arial" w:cs="Arial"/>
            <w:color w:val="1155CC"/>
            <w:lang w:val="en-GB"/>
          </w:rPr>
          <w:t>https://www.mdpi.com/2227-7390/11/3/616</w:t>
        </w:r>
      </w:hyperlink>
    </w:p>
    <w:p w14:paraId="2D4CE176" w14:textId="77777777" w:rsidR="00C83176" w:rsidRPr="00886FD2" w:rsidRDefault="00C83176" w:rsidP="00C83176">
      <w:pPr>
        <w:pStyle w:val="NormalWeb"/>
        <w:spacing w:before="240" w:beforeAutospacing="0" w:after="200" w:afterAutospacing="0" w:line="360" w:lineRule="auto"/>
        <w:jc w:val="both"/>
        <w:rPr>
          <w:rFonts w:ascii="Arial" w:hAnsi="Arial" w:cs="Arial"/>
          <w:lang w:val="en-GB"/>
        </w:rPr>
      </w:pPr>
      <w:r w:rsidRPr="00886FD2">
        <w:rPr>
          <w:rFonts w:ascii="Arial" w:hAnsi="Arial" w:cs="Arial"/>
          <w:color w:val="222222"/>
          <w:shd w:val="clear" w:color="auto" w:fill="FFFFFF"/>
          <w:lang w:val="en-GB"/>
        </w:rPr>
        <w:t>Class, A., Banking Operations and Corporate Finance.</w:t>
      </w:r>
      <w:r w:rsidRPr="00886FD2">
        <w:rPr>
          <w:rFonts w:ascii="Arial" w:hAnsi="Arial" w:cs="Arial"/>
          <w:color w:val="000000"/>
          <w:lang w:val="en-GB"/>
        </w:rPr>
        <w:t xml:space="preserve"> </w:t>
      </w:r>
      <w:hyperlink r:id="rId25" w:history="1">
        <w:r w:rsidRPr="00886FD2">
          <w:rPr>
            <w:rStyle w:val="Hyperlink"/>
            <w:rFonts w:ascii="Arial" w:hAnsi="Arial" w:cs="Arial"/>
            <w:color w:val="1155CC"/>
            <w:lang w:val="en-GB"/>
          </w:rPr>
          <w:t>https://www.researchgate.net/profile/Noureddine-Abdelkader-3/publication/401546099_Banking_Operations_and_Corporate_Finance/links/69a86eaad1599a2cb7f67267/Banking-Operations-and-Corporate-Finance.pdf</w:t>
        </w:r>
      </w:hyperlink>
    </w:p>
    <w:p w14:paraId="79723837" w14:textId="77777777" w:rsidR="00C83176" w:rsidRPr="00886FD2" w:rsidRDefault="00C83176" w:rsidP="00C83176">
      <w:pPr>
        <w:pStyle w:val="NormalWeb"/>
        <w:spacing w:before="240" w:beforeAutospacing="0" w:after="200" w:afterAutospacing="0" w:line="360" w:lineRule="auto"/>
        <w:jc w:val="both"/>
        <w:rPr>
          <w:rFonts w:ascii="Arial" w:hAnsi="Arial" w:cs="Arial"/>
          <w:lang w:val="en-GB"/>
        </w:rPr>
      </w:pPr>
      <w:r w:rsidRPr="00886FD2">
        <w:rPr>
          <w:rFonts w:ascii="Arial" w:hAnsi="Arial" w:cs="Arial"/>
          <w:color w:val="222222"/>
          <w:shd w:val="clear" w:color="auto" w:fill="FFFFFF"/>
          <w:lang w:val="en-GB"/>
        </w:rPr>
        <w:t xml:space="preserve">Dai, H., Li, N., Wang, Y. and Zhao, X., 2022, March. The analysis of three main investment criteria: NPV IRR and payback period. In </w:t>
      </w:r>
      <w:r w:rsidRPr="00886FD2">
        <w:rPr>
          <w:rFonts w:ascii="Arial" w:hAnsi="Arial" w:cs="Arial"/>
          <w:i/>
          <w:iCs/>
          <w:color w:val="222222"/>
          <w:shd w:val="clear" w:color="auto" w:fill="FFFFFF"/>
          <w:lang w:val="en-GB"/>
        </w:rPr>
        <w:t>2022 7th International Conference on Financial Innovation and Economic Development (ICFIED 2022)</w:t>
      </w:r>
      <w:r w:rsidRPr="00886FD2">
        <w:rPr>
          <w:rFonts w:ascii="Arial" w:hAnsi="Arial" w:cs="Arial"/>
          <w:color w:val="222222"/>
          <w:shd w:val="clear" w:color="auto" w:fill="FFFFFF"/>
          <w:lang w:val="en-GB"/>
        </w:rPr>
        <w:t xml:space="preserve"> (pp. 185-189). Atlantis Press.</w:t>
      </w:r>
      <w:r w:rsidRPr="00886FD2">
        <w:rPr>
          <w:rFonts w:ascii="Arial" w:hAnsi="Arial" w:cs="Arial"/>
          <w:color w:val="000000"/>
          <w:lang w:val="en-GB"/>
        </w:rPr>
        <w:t xml:space="preserve"> </w:t>
      </w:r>
      <w:hyperlink r:id="rId26" w:history="1">
        <w:r w:rsidRPr="00886FD2">
          <w:rPr>
            <w:rStyle w:val="Hyperlink"/>
            <w:rFonts w:ascii="Arial" w:hAnsi="Arial" w:cs="Arial"/>
            <w:color w:val="1155CC"/>
            <w:lang w:val="en-GB"/>
          </w:rPr>
          <w:t>https://www.atlantis-press.com/article/125971510.pdf</w:t>
        </w:r>
      </w:hyperlink>
    </w:p>
    <w:p w14:paraId="2DE399B5" w14:textId="77777777" w:rsidR="00C83176" w:rsidRPr="00886FD2" w:rsidRDefault="00C83176" w:rsidP="00C83176">
      <w:pPr>
        <w:pStyle w:val="NormalWeb"/>
        <w:spacing w:before="240" w:beforeAutospacing="0" w:after="200" w:afterAutospacing="0" w:line="360" w:lineRule="auto"/>
        <w:jc w:val="both"/>
        <w:rPr>
          <w:rFonts w:ascii="Arial" w:hAnsi="Arial" w:cs="Arial"/>
          <w:lang w:val="en-GB"/>
        </w:rPr>
      </w:pPr>
      <w:r w:rsidRPr="00886FD2">
        <w:rPr>
          <w:rFonts w:ascii="Arial" w:hAnsi="Arial" w:cs="Arial"/>
          <w:color w:val="222222"/>
          <w:shd w:val="clear" w:color="auto" w:fill="FFFFFF"/>
          <w:lang w:val="en-GB"/>
        </w:rPr>
        <w:t xml:space="preserve">Díez, F.J., Duval, R. and Maggi, C., 2022. Supporting SMEs during COVID-19: The case for targeted equity injections. </w:t>
      </w:r>
      <w:r w:rsidRPr="00886FD2">
        <w:rPr>
          <w:rFonts w:ascii="Arial" w:hAnsi="Arial" w:cs="Arial"/>
          <w:i/>
          <w:iCs/>
          <w:color w:val="222222"/>
          <w:shd w:val="clear" w:color="auto" w:fill="FFFFFF"/>
          <w:lang w:val="en-GB"/>
        </w:rPr>
        <w:t>Economics letters</w:t>
      </w:r>
      <w:r w:rsidRPr="00886FD2">
        <w:rPr>
          <w:rFonts w:ascii="Arial" w:hAnsi="Arial" w:cs="Arial"/>
          <w:color w:val="222222"/>
          <w:shd w:val="clear" w:color="auto" w:fill="FFFFFF"/>
          <w:lang w:val="en-GB"/>
        </w:rPr>
        <w:t xml:space="preserve">, </w:t>
      </w:r>
      <w:r w:rsidRPr="00886FD2">
        <w:rPr>
          <w:rFonts w:ascii="Arial" w:hAnsi="Arial" w:cs="Arial"/>
          <w:i/>
          <w:iCs/>
          <w:color w:val="222222"/>
          <w:shd w:val="clear" w:color="auto" w:fill="FFFFFF"/>
          <w:lang w:val="en-GB"/>
        </w:rPr>
        <w:t>219</w:t>
      </w:r>
      <w:r w:rsidRPr="00886FD2">
        <w:rPr>
          <w:rFonts w:ascii="Arial" w:hAnsi="Arial" w:cs="Arial"/>
          <w:color w:val="222222"/>
          <w:shd w:val="clear" w:color="auto" w:fill="FFFFFF"/>
          <w:lang w:val="en-GB"/>
        </w:rPr>
        <w:t>, p.110717.</w:t>
      </w:r>
      <w:r w:rsidRPr="00886FD2">
        <w:rPr>
          <w:rFonts w:ascii="Arial" w:hAnsi="Arial" w:cs="Arial"/>
          <w:color w:val="000000"/>
          <w:lang w:val="en-GB"/>
        </w:rPr>
        <w:t xml:space="preserve"> </w:t>
      </w:r>
      <w:hyperlink r:id="rId27" w:history="1">
        <w:r w:rsidRPr="00886FD2">
          <w:rPr>
            <w:rStyle w:val="Hyperlink"/>
            <w:rFonts w:ascii="Arial" w:hAnsi="Arial" w:cs="Arial"/>
            <w:color w:val="1155CC"/>
            <w:lang w:val="en-GB"/>
          </w:rPr>
          <w:t>https://pmc.ncbi.nlm.nih.gov/articles/PMC9316713/pdf/main.pdf</w:t>
        </w:r>
      </w:hyperlink>
    </w:p>
    <w:p w14:paraId="0F8C74D2" w14:textId="77777777" w:rsidR="00C83176" w:rsidRPr="00886FD2" w:rsidRDefault="00C83176" w:rsidP="00C83176">
      <w:pPr>
        <w:pStyle w:val="NormalWeb"/>
        <w:spacing w:before="240" w:beforeAutospacing="0" w:after="200" w:afterAutospacing="0" w:line="360" w:lineRule="auto"/>
        <w:jc w:val="both"/>
        <w:rPr>
          <w:rFonts w:ascii="Arial" w:hAnsi="Arial" w:cs="Arial"/>
          <w:lang w:val="en-GB"/>
        </w:rPr>
      </w:pPr>
      <w:r w:rsidRPr="00886FD2">
        <w:rPr>
          <w:rFonts w:ascii="Arial" w:hAnsi="Arial" w:cs="Arial"/>
          <w:color w:val="222222"/>
          <w:shd w:val="clear" w:color="auto" w:fill="FFFFFF"/>
          <w:lang w:val="en-GB"/>
        </w:rPr>
        <w:t xml:space="preserve">Feldman, E.R. and </w:t>
      </w:r>
      <w:proofErr w:type="spellStart"/>
      <w:r w:rsidRPr="00886FD2">
        <w:rPr>
          <w:rFonts w:ascii="Arial" w:hAnsi="Arial" w:cs="Arial"/>
          <w:color w:val="222222"/>
          <w:shd w:val="clear" w:color="auto" w:fill="FFFFFF"/>
          <w:lang w:val="en-GB"/>
        </w:rPr>
        <w:t>Sakhartov</w:t>
      </w:r>
      <w:proofErr w:type="spellEnd"/>
      <w:r w:rsidRPr="00886FD2">
        <w:rPr>
          <w:rFonts w:ascii="Arial" w:hAnsi="Arial" w:cs="Arial"/>
          <w:color w:val="222222"/>
          <w:shd w:val="clear" w:color="auto" w:fill="FFFFFF"/>
          <w:lang w:val="en-GB"/>
        </w:rPr>
        <w:t xml:space="preserve">, A.V., 2022. Resource redeployment and divestiture as strategic alternatives. </w:t>
      </w:r>
      <w:r w:rsidRPr="00886FD2">
        <w:rPr>
          <w:rFonts w:ascii="Arial" w:hAnsi="Arial" w:cs="Arial"/>
          <w:i/>
          <w:iCs/>
          <w:color w:val="222222"/>
          <w:shd w:val="clear" w:color="auto" w:fill="FFFFFF"/>
          <w:lang w:val="en-GB"/>
        </w:rPr>
        <w:t>Organization Science</w:t>
      </w:r>
      <w:r w:rsidRPr="00886FD2">
        <w:rPr>
          <w:rFonts w:ascii="Arial" w:hAnsi="Arial" w:cs="Arial"/>
          <w:color w:val="222222"/>
          <w:shd w:val="clear" w:color="auto" w:fill="FFFFFF"/>
          <w:lang w:val="en-GB"/>
        </w:rPr>
        <w:t xml:space="preserve">, </w:t>
      </w:r>
      <w:r w:rsidRPr="00886FD2">
        <w:rPr>
          <w:rFonts w:ascii="Arial" w:hAnsi="Arial" w:cs="Arial"/>
          <w:i/>
          <w:iCs/>
          <w:color w:val="222222"/>
          <w:shd w:val="clear" w:color="auto" w:fill="FFFFFF"/>
          <w:lang w:val="en-GB"/>
        </w:rPr>
        <w:t>33</w:t>
      </w:r>
      <w:r w:rsidRPr="00886FD2">
        <w:rPr>
          <w:rFonts w:ascii="Arial" w:hAnsi="Arial" w:cs="Arial"/>
          <w:color w:val="222222"/>
          <w:shd w:val="clear" w:color="auto" w:fill="FFFFFF"/>
          <w:lang w:val="en-GB"/>
        </w:rPr>
        <w:t>(3), pp.926-945.</w:t>
      </w:r>
      <w:r w:rsidRPr="00886FD2">
        <w:rPr>
          <w:rFonts w:ascii="Arial" w:hAnsi="Arial" w:cs="Arial"/>
          <w:color w:val="000000"/>
          <w:lang w:val="en-GB"/>
        </w:rPr>
        <w:t xml:space="preserve"> </w:t>
      </w:r>
      <w:hyperlink r:id="rId28" w:history="1">
        <w:r w:rsidRPr="00886FD2">
          <w:rPr>
            <w:rStyle w:val="Hyperlink"/>
            <w:rFonts w:ascii="Arial" w:hAnsi="Arial" w:cs="Arial"/>
            <w:color w:val="1155CC"/>
            <w:lang w:val="en-GB"/>
          </w:rPr>
          <w:t>https://faculty.wharton.upenn.edu/wp-content/uploads/2016/11/Resource-and-Redeployment_Feldman-Sakhartov_2021.pdf</w:t>
        </w:r>
      </w:hyperlink>
    </w:p>
    <w:p w14:paraId="1A6A5B62" w14:textId="77777777" w:rsidR="00C83176" w:rsidRPr="00886FD2" w:rsidRDefault="00C83176" w:rsidP="00C83176">
      <w:pPr>
        <w:spacing w:before="240" w:after="160" w:line="360" w:lineRule="auto"/>
        <w:jc w:val="both"/>
        <w:rPr>
          <w:rFonts w:eastAsia="Times New Roman"/>
          <w:sz w:val="24"/>
          <w:szCs w:val="24"/>
        </w:rPr>
      </w:pPr>
      <w:r w:rsidRPr="00886FD2">
        <w:rPr>
          <w:rFonts w:eastAsia="Times New Roman"/>
          <w:sz w:val="24"/>
          <w:szCs w:val="24"/>
        </w:rPr>
        <w:t xml:space="preserve">Finance Yahoo (2026) </w:t>
      </w:r>
      <w:r w:rsidRPr="00886FD2">
        <w:rPr>
          <w:rFonts w:eastAsia="Times New Roman"/>
          <w:i/>
          <w:iCs/>
          <w:sz w:val="24"/>
          <w:szCs w:val="24"/>
        </w:rPr>
        <w:t>Hilton Worldwide Holdings Inc. (HLT).</w:t>
      </w:r>
      <w:r w:rsidRPr="00886FD2">
        <w:rPr>
          <w:rFonts w:eastAsia="Times New Roman"/>
          <w:sz w:val="24"/>
          <w:szCs w:val="24"/>
        </w:rPr>
        <w:t xml:space="preserve"> Available from:</w:t>
      </w:r>
      <w:hyperlink r:id="rId29">
        <w:r w:rsidRPr="00886FD2">
          <w:rPr>
            <w:rFonts w:eastAsia="Times New Roman"/>
            <w:sz w:val="24"/>
            <w:szCs w:val="24"/>
          </w:rPr>
          <w:t xml:space="preserve"> </w:t>
        </w:r>
      </w:hyperlink>
      <w:hyperlink r:id="rId30">
        <w:r w:rsidRPr="00886FD2">
          <w:rPr>
            <w:rFonts w:eastAsia="Times New Roman"/>
            <w:color w:val="1155CC"/>
            <w:sz w:val="24"/>
            <w:szCs w:val="24"/>
            <w:u w:val="single"/>
          </w:rPr>
          <w:t>https://finance.yahoo.com/quote/HLT/financials/</w:t>
        </w:r>
      </w:hyperlink>
      <w:r w:rsidRPr="00886FD2">
        <w:rPr>
          <w:rFonts w:eastAsia="Times New Roman"/>
          <w:sz w:val="24"/>
          <w:szCs w:val="24"/>
        </w:rPr>
        <w:t xml:space="preserve"> Accessed on 17.07.2026</w:t>
      </w:r>
    </w:p>
    <w:p w14:paraId="7D406FD3" w14:textId="77777777" w:rsidR="00C83176" w:rsidRPr="00886FD2" w:rsidRDefault="00C83176" w:rsidP="00C83176">
      <w:pPr>
        <w:pStyle w:val="NormalWeb"/>
        <w:spacing w:before="240" w:beforeAutospacing="0" w:after="200" w:afterAutospacing="0" w:line="360" w:lineRule="auto"/>
        <w:jc w:val="both"/>
        <w:rPr>
          <w:rFonts w:ascii="Arial" w:hAnsi="Arial" w:cs="Arial"/>
          <w:lang w:val="en-GB"/>
        </w:rPr>
      </w:pPr>
      <w:proofErr w:type="spellStart"/>
      <w:r w:rsidRPr="00886FD2">
        <w:rPr>
          <w:rFonts w:ascii="Arial" w:hAnsi="Arial" w:cs="Arial"/>
          <w:color w:val="222222"/>
          <w:shd w:val="clear" w:color="auto" w:fill="FFFFFF"/>
          <w:lang w:val="en-GB"/>
        </w:rPr>
        <w:lastRenderedPageBreak/>
        <w:t>Focacci</w:t>
      </w:r>
      <w:proofErr w:type="spellEnd"/>
      <w:r w:rsidRPr="00886FD2">
        <w:rPr>
          <w:rFonts w:ascii="Arial" w:hAnsi="Arial" w:cs="Arial"/>
          <w:color w:val="222222"/>
          <w:shd w:val="clear" w:color="auto" w:fill="FFFFFF"/>
          <w:lang w:val="en-GB"/>
        </w:rPr>
        <w:t xml:space="preserve">, A., 2022. The investment rate of return at the end of the period: A future worth approach to capital budgeting. </w:t>
      </w:r>
      <w:r w:rsidRPr="00886FD2">
        <w:rPr>
          <w:rFonts w:ascii="Arial" w:hAnsi="Arial" w:cs="Arial"/>
          <w:i/>
          <w:iCs/>
          <w:color w:val="222222"/>
          <w:shd w:val="clear" w:color="auto" w:fill="FFFFFF"/>
          <w:lang w:val="en-GB"/>
        </w:rPr>
        <w:t>International Journal of Revenue Management</w:t>
      </w:r>
      <w:r w:rsidRPr="00886FD2">
        <w:rPr>
          <w:rFonts w:ascii="Arial" w:hAnsi="Arial" w:cs="Arial"/>
          <w:color w:val="222222"/>
          <w:shd w:val="clear" w:color="auto" w:fill="FFFFFF"/>
          <w:lang w:val="en-GB"/>
        </w:rPr>
        <w:t xml:space="preserve">, </w:t>
      </w:r>
      <w:r w:rsidRPr="00886FD2">
        <w:rPr>
          <w:rFonts w:ascii="Arial" w:hAnsi="Arial" w:cs="Arial"/>
          <w:i/>
          <w:iCs/>
          <w:color w:val="222222"/>
          <w:shd w:val="clear" w:color="auto" w:fill="FFFFFF"/>
          <w:lang w:val="en-GB"/>
        </w:rPr>
        <w:t>13</w:t>
      </w:r>
      <w:r w:rsidRPr="00886FD2">
        <w:rPr>
          <w:rFonts w:ascii="Arial" w:hAnsi="Arial" w:cs="Arial"/>
          <w:color w:val="222222"/>
          <w:shd w:val="clear" w:color="auto" w:fill="FFFFFF"/>
          <w:lang w:val="en-GB"/>
        </w:rPr>
        <w:t>(1-2), pp.79-98.</w:t>
      </w:r>
      <w:r w:rsidRPr="00886FD2">
        <w:rPr>
          <w:rFonts w:ascii="Arial" w:hAnsi="Arial" w:cs="Arial"/>
          <w:color w:val="000000"/>
          <w:lang w:val="en-GB"/>
        </w:rPr>
        <w:t xml:space="preserve"> </w:t>
      </w:r>
      <w:hyperlink r:id="rId31" w:history="1">
        <w:r w:rsidRPr="00886FD2">
          <w:rPr>
            <w:rStyle w:val="Hyperlink"/>
            <w:rFonts w:ascii="Arial" w:hAnsi="Arial" w:cs="Arial"/>
            <w:color w:val="1155CC"/>
            <w:lang w:val="en-GB"/>
          </w:rPr>
          <w:t>https://cris.unibo.it/bitstream/11585/903139/4/AuthorFinalVersion%2BIRIS_removed.pdf</w:t>
        </w:r>
      </w:hyperlink>
      <w:r w:rsidRPr="00886FD2">
        <w:rPr>
          <w:rFonts w:ascii="Arial" w:hAnsi="Arial" w:cs="Arial"/>
          <w:color w:val="000000"/>
          <w:lang w:val="en-GB"/>
        </w:rPr>
        <w:t>. </w:t>
      </w:r>
    </w:p>
    <w:p w14:paraId="2C0EFED2" w14:textId="77777777" w:rsidR="00C83176" w:rsidRPr="00886FD2" w:rsidRDefault="00C83176" w:rsidP="00C83176">
      <w:pPr>
        <w:pStyle w:val="NormalWeb"/>
        <w:spacing w:before="240" w:beforeAutospacing="0" w:after="200" w:afterAutospacing="0" w:line="360" w:lineRule="auto"/>
        <w:jc w:val="both"/>
        <w:rPr>
          <w:rFonts w:ascii="Arial" w:hAnsi="Arial" w:cs="Arial"/>
          <w:lang w:val="en-GB"/>
        </w:rPr>
      </w:pPr>
      <w:proofErr w:type="spellStart"/>
      <w:r w:rsidRPr="00886FD2">
        <w:rPr>
          <w:rFonts w:ascii="Arial" w:hAnsi="Arial" w:cs="Arial"/>
          <w:color w:val="222222"/>
          <w:shd w:val="clear" w:color="auto" w:fill="FFFFFF"/>
          <w:lang w:val="en-GB"/>
        </w:rPr>
        <w:t>Friewald</w:t>
      </w:r>
      <w:proofErr w:type="spellEnd"/>
      <w:r w:rsidRPr="00886FD2">
        <w:rPr>
          <w:rFonts w:ascii="Arial" w:hAnsi="Arial" w:cs="Arial"/>
          <w:color w:val="222222"/>
          <w:shd w:val="clear" w:color="auto" w:fill="FFFFFF"/>
          <w:lang w:val="en-GB"/>
        </w:rPr>
        <w:t xml:space="preserve">, N., Nagler, F. and Wagner, C., 2022. Debt refinancing and equity returns. </w:t>
      </w:r>
      <w:r w:rsidRPr="00886FD2">
        <w:rPr>
          <w:rFonts w:ascii="Arial" w:hAnsi="Arial" w:cs="Arial"/>
          <w:i/>
          <w:iCs/>
          <w:color w:val="222222"/>
          <w:shd w:val="clear" w:color="auto" w:fill="FFFFFF"/>
          <w:lang w:val="en-GB"/>
        </w:rPr>
        <w:t>The Journal of Finance</w:t>
      </w:r>
      <w:r w:rsidRPr="00886FD2">
        <w:rPr>
          <w:rFonts w:ascii="Arial" w:hAnsi="Arial" w:cs="Arial"/>
          <w:color w:val="222222"/>
          <w:shd w:val="clear" w:color="auto" w:fill="FFFFFF"/>
          <w:lang w:val="en-GB"/>
        </w:rPr>
        <w:t xml:space="preserve">, </w:t>
      </w:r>
      <w:r w:rsidRPr="00886FD2">
        <w:rPr>
          <w:rFonts w:ascii="Arial" w:hAnsi="Arial" w:cs="Arial"/>
          <w:i/>
          <w:iCs/>
          <w:color w:val="222222"/>
          <w:shd w:val="clear" w:color="auto" w:fill="FFFFFF"/>
          <w:lang w:val="en-GB"/>
        </w:rPr>
        <w:t>77</w:t>
      </w:r>
      <w:r w:rsidRPr="00886FD2">
        <w:rPr>
          <w:rFonts w:ascii="Arial" w:hAnsi="Arial" w:cs="Arial"/>
          <w:color w:val="222222"/>
          <w:shd w:val="clear" w:color="auto" w:fill="FFFFFF"/>
          <w:lang w:val="en-GB"/>
        </w:rPr>
        <w:t>(4), pp.2287-2329.</w:t>
      </w:r>
      <w:r w:rsidRPr="00886FD2">
        <w:rPr>
          <w:rFonts w:ascii="Arial" w:hAnsi="Arial" w:cs="Arial"/>
          <w:color w:val="000000"/>
          <w:lang w:val="en-GB"/>
        </w:rPr>
        <w:t xml:space="preserve"> </w:t>
      </w:r>
      <w:hyperlink r:id="rId32" w:history="1">
        <w:r w:rsidRPr="00886FD2">
          <w:rPr>
            <w:rStyle w:val="Hyperlink"/>
            <w:rFonts w:ascii="Arial" w:hAnsi="Arial" w:cs="Arial"/>
            <w:color w:val="1155CC"/>
            <w:lang w:val="en-GB"/>
          </w:rPr>
          <w:t>https://onlinelibrary.wiley.com/doi/pdfdirect/10.1111/jofi.13162</w:t>
        </w:r>
      </w:hyperlink>
    </w:p>
    <w:p w14:paraId="565279DB" w14:textId="77777777" w:rsidR="00C83176" w:rsidRPr="00886FD2" w:rsidRDefault="00C83176" w:rsidP="00C83176">
      <w:pPr>
        <w:spacing w:before="240" w:after="160" w:line="360" w:lineRule="auto"/>
        <w:jc w:val="both"/>
        <w:rPr>
          <w:rFonts w:eastAsia="Times New Roman"/>
          <w:color w:val="1155CC"/>
          <w:sz w:val="24"/>
          <w:szCs w:val="24"/>
          <w:u w:val="single"/>
        </w:rPr>
      </w:pPr>
      <w:r w:rsidRPr="00886FD2">
        <w:rPr>
          <w:rFonts w:eastAsia="Times New Roman"/>
          <w:sz w:val="24"/>
          <w:szCs w:val="24"/>
        </w:rPr>
        <w:t>Garbelli, M.E., 2025. Unpacking the Financial Impact of COVID-19 on Italian Food and Beverage Processing SMEs.</w:t>
      </w:r>
      <w:hyperlink r:id="rId33">
        <w:r w:rsidRPr="00886FD2">
          <w:rPr>
            <w:rFonts w:eastAsia="Times New Roman"/>
            <w:sz w:val="24"/>
            <w:szCs w:val="24"/>
          </w:rPr>
          <w:t xml:space="preserve"> </w:t>
        </w:r>
      </w:hyperlink>
      <w:hyperlink r:id="rId34">
        <w:r w:rsidRPr="00886FD2">
          <w:rPr>
            <w:rFonts w:eastAsia="Times New Roman"/>
            <w:color w:val="1155CC"/>
            <w:sz w:val="24"/>
            <w:szCs w:val="24"/>
            <w:u w:val="single"/>
          </w:rPr>
          <w:t>https://www.preprints.org/frontend/manuscript/87e6d4da80d3b5d42ca3d909ed7aa5d6/download_pub</w:t>
        </w:r>
      </w:hyperlink>
    </w:p>
    <w:p w14:paraId="3519AFE9" w14:textId="77777777" w:rsidR="00C83176" w:rsidRPr="00886FD2" w:rsidRDefault="00C83176" w:rsidP="00C83176">
      <w:pPr>
        <w:pStyle w:val="NormalWeb"/>
        <w:spacing w:before="240" w:beforeAutospacing="0" w:after="200" w:afterAutospacing="0" w:line="360" w:lineRule="auto"/>
        <w:jc w:val="both"/>
        <w:rPr>
          <w:rFonts w:ascii="Arial" w:hAnsi="Arial" w:cs="Arial"/>
          <w:lang w:val="en-GB"/>
        </w:rPr>
      </w:pPr>
      <w:proofErr w:type="spellStart"/>
      <w:r w:rsidRPr="00886FD2">
        <w:rPr>
          <w:rFonts w:ascii="Arial" w:hAnsi="Arial" w:cs="Arial"/>
          <w:color w:val="222222"/>
          <w:shd w:val="clear" w:color="auto" w:fill="FFFFFF"/>
          <w:lang w:val="en-GB"/>
        </w:rPr>
        <w:t>Geronasso</w:t>
      </w:r>
      <w:proofErr w:type="spellEnd"/>
      <w:r w:rsidRPr="00886FD2">
        <w:rPr>
          <w:rFonts w:ascii="Arial" w:hAnsi="Arial" w:cs="Arial"/>
          <w:color w:val="222222"/>
          <w:shd w:val="clear" w:color="auto" w:fill="FFFFFF"/>
          <w:lang w:val="en-GB"/>
        </w:rPr>
        <w:t>, M., 2025. Investing in Digital Solutions for Firm Value.</w:t>
      </w:r>
      <w:r w:rsidRPr="00886FD2">
        <w:rPr>
          <w:rFonts w:ascii="Arial" w:hAnsi="Arial" w:cs="Arial"/>
          <w:color w:val="000000"/>
          <w:lang w:val="en-GB"/>
        </w:rPr>
        <w:t xml:space="preserve"> </w:t>
      </w:r>
      <w:hyperlink r:id="rId35" w:history="1">
        <w:r w:rsidRPr="00886FD2">
          <w:rPr>
            <w:rStyle w:val="Hyperlink"/>
            <w:rFonts w:ascii="Arial" w:hAnsi="Arial" w:cs="Arial"/>
            <w:color w:val="1155CC"/>
            <w:lang w:val="en-GB"/>
          </w:rPr>
          <w:t>https://stars.library.ucf.edu/cgi/viewcontent.cgi?article=1420&amp;context=etd2024</w:t>
        </w:r>
      </w:hyperlink>
    </w:p>
    <w:p w14:paraId="357E3FF5" w14:textId="77777777" w:rsidR="00C83176" w:rsidRPr="00886FD2" w:rsidRDefault="00C83176" w:rsidP="00C83176">
      <w:pPr>
        <w:spacing w:before="240" w:after="160" w:line="360" w:lineRule="auto"/>
        <w:jc w:val="both"/>
        <w:rPr>
          <w:rFonts w:eastAsia="Times New Roman"/>
          <w:color w:val="1155CC"/>
          <w:sz w:val="24"/>
          <w:szCs w:val="24"/>
          <w:u w:val="single"/>
        </w:rPr>
      </w:pPr>
      <w:proofErr w:type="spellStart"/>
      <w:r w:rsidRPr="00886FD2">
        <w:rPr>
          <w:rFonts w:eastAsia="Times New Roman"/>
          <w:sz w:val="24"/>
          <w:szCs w:val="24"/>
        </w:rPr>
        <w:t>Hasidi</w:t>
      </w:r>
      <w:proofErr w:type="spellEnd"/>
      <w:r w:rsidRPr="00886FD2">
        <w:rPr>
          <w:rFonts w:eastAsia="Times New Roman"/>
          <w:sz w:val="24"/>
          <w:szCs w:val="24"/>
        </w:rPr>
        <w:t xml:space="preserve">, M.H., </w:t>
      </w:r>
      <w:proofErr w:type="spellStart"/>
      <w:r w:rsidRPr="00886FD2">
        <w:rPr>
          <w:rFonts w:eastAsia="Times New Roman"/>
          <w:sz w:val="24"/>
          <w:szCs w:val="24"/>
        </w:rPr>
        <w:t>Baheri</w:t>
      </w:r>
      <w:proofErr w:type="spellEnd"/>
      <w:r w:rsidRPr="00886FD2">
        <w:rPr>
          <w:rFonts w:eastAsia="Times New Roman"/>
          <w:sz w:val="24"/>
          <w:szCs w:val="24"/>
        </w:rPr>
        <w:t xml:space="preserve">, J. and Hajar, K.I., 2024. Financial performance evaluation using profitability and liquidity ratio analysis. </w:t>
      </w:r>
      <w:proofErr w:type="spellStart"/>
      <w:r w:rsidRPr="00886FD2">
        <w:rPr>
          <w:rFonts w:eastAsia="Times New Roman"/>
          <w:i/>
          <w:iCs/>
          <w:sz w:val="24"/>
          <w:szCs w:val="24"/>
        </w:rPr>
        <w:t>Jurnal</w:t>
      </w:r>
      <w:proofErr w:type="spellEnd"/>
      <w:r w:rsidRPr="00886FD2">
        <w:rPr>
          <w:rFonts w:eastAsia="Times New Roman"/>
          <w:i/>
          <w:iCs/>
          <w:sz w:val="24"/>
          <w:szCs w:val="24"/>
        </w:rPr>
        <w:t xml:space="preserve"> </w:t>
      </w:r>
      <w:proofErr w:type="spellStart"/>
      <w:r w:rsidRPr="00886FD2">
        <w:rPr>
          <w:rFonts w:eastAsia="Times New Roman"/>
          <w:i/>
          <w:iCs/>
          <w:sz w:val="24"/>
          <w:szCs w:val="24"/>
        </w:rPr>
        <w:t>Ilmiah</w:t>
      </w:r>
      <w:proofErr w:type="spellEnd"/>
      <w:r w:rsidRPr="00886FD2">
        <w:rPr>
          <w:rFonts w:eastAsia="Times New Roman"/>
          <w:i/>
          <w:iCs/>
          <w:sz w:val="24"/>
          <w:szCs w:val="24"/>
        </w:rPr>
        <w:t xml:space="preserve"> </w:t>
      </w:r>
      <w:proofErr w:type="spellStart"/>
      <w:r w:rsidRPr="00886FD2">
        <w:rPr>
          <w:rFonts w:eastAsia="Times New Roman"/>
          <w:i/>
          <w:iCs/>
          <w:sz w:val="24"/>
          <w:szCs w:val="24"/>
        </w:rPr>
        <w:t>Manajemen</w:t>
      </w:r>
      <w:proofErr w:type="spellEnd"/>
      <w:r w:rsidRPr="00886FD2">
        <w:rPr>
          <w:rFonts w:eastAsia="Times New Roman"/>
          <w:i/>
          <w:iCs/>
          <w:sz w:val="24"/>
          <w:szCs w:val="24"/>
        </w:rPr>
        <w:t xml:space="preserve"> Kesatuan</w:t>
      </w:r>
      <w:r w:rsidRPr="00886FD2">
        <w:rPr>
          <w:rFonts w:eastAsia="Times New Roman"/>
          <w:sz w:val="24"/>
          <w:szCs w:val="24"/>
        </w:rPr>
        <w:t xml:space="preserve">, </w:t>
      </w:r>
      <w:r w:rsidRPr="00886FD2">
        <w:rPr>
          <w:rFonts w:eastAsia="Times New Roman"/>
          <w:i/>
          <w:iCs/>
          <w:sz w:val="24"/>
          <w:szCs w:val="24"/>
        </w:rPr>
        <w:t>12</w:t>
      </w:r>
      <w:r w:rsidRPr="00886FD2">
        <w:rPr>
          <w:rFonts w:eastAsia="Times New Roman"/>
          <w:sz w:val="24"/>
          <w:szCs w:val="24"/>
        </w:rPr>
        <w:t>(4), pp.1347-1358.</w:t>
      </w:r>
      <w:hyperlink r:id="rId36">
        <w:r w:rsidRPr="00886FD2">
          <w:rPr>
            <w:rFonts w:eastAsia="Times New Roman"/>
            <w:sz w:val="24"/>
            <w:szCs w:val="24"/>
          </w:rPr>
          <w:t xml:space="preserve"> </w:t>
        </w:r>
      </w:hyperlink>
      <w:hyperlink r:id="rId37">
        <w:r w:rsidRPr="00886FD2">
          <w:rPr>
            <w:rFonts w:eastAsia="Times New Roman"/>
            <w:color w:val="1155CC"/>
            <w:sz w:val="24"/>
            <w:szCs w:val="24"/>
            <w:u w:val="single"/>
          </w:rPr>
          <w:t>https://jurnal.ibik.ac.id/index.php/jimkes/article/download/2742/1966</w:t>
        </w:r>
      </w:hyperlink>
    </w:p>
    <w:p w14:paraId="47686A54" w14:textId="77777777" w:rsidR="00C83176" w:rsidRPr="00886FD2" w:rsidRDefault="00C83176" w:rsidP="00C83176">
      <w:pPr>
        <w:spacing w:before="240" w:after="160" w:line="360" w:lineRule="auto"/>
        <w:jc w:val="both"/>
        <w:rPr>
          <w:rFonts w:eastAsia="Times New Roman"/>
          <w:sz w:val="24"/>
          <w:szCs w:val="24"/>
        </w:rPr>
      </w:pPr>
      <w:r w:rsidRPr="00886FD2">
        <w:rPr>
          <w:rFonts w:eastAsia="Times New Roman"/>
          <w:sz w:val="24"/>
          <w:szCs w:val="24"/>
        </w:rPr>
        <w:t xml:space="preserve">Hilton (2025) </w:t>
      </w:r>
      <w:r w:rsidRPr="00886FD2">
        <w:rPr>
          <w:rFonts w:eastAsia="Times New Roman"/>
          <w:i/>
          <w:iCs/>
          <w:sz w:val="24"/>
          <w:szCs w:val="24"/>
        </w:rPr>
        <w:t>Selected Historical Annual Reports.</w:t>
      </w:r>
      <w:r w:rsidRPr="00886FD2">
        <w:rPr>
          <w:rFonts w:eastAsia="Times New Roman"/>
          <w:sz w:val="24"/>
          <w:szCs w:val="24"/>
        </w:rPr>
        <w:t xml:space="preserve"> Available from:</w:t>
      </w:r>
      <w:hyperlink r:id="rId38">
        <w:r w:rsidRPr="00886FD2">
          <w:rPr>
            <w:rFonts w:eastAsia="Times New Roman"/>
            <w:sz w:val="24"/>
            <w:szCs w:val="24"/>
          </w:rPr>
          <w:t xml:space="preserve"> </w:t>
        </w:r>
      </w:hyperlink>
      <w:hyperlink r:id="rId39">
        <w:r w:rsidRPr="00886FD2">
          <w:rPr>
            <w:rFonts w:eastAsia="Times New Roman"/>
            <w:color w:val="1155CC"/>
            <w:sz w:val="24"/>
            <w:szCs w:val="24"/>
            <w:u w:val="single"/>
          </w:rPr>
          <w:t>https://ir.hilton.com/financial-reporting/annual-reports</w:t>
        </w:r>
      </w:hyperlink>
      <w:r w:rsidRPr="00886FD2">
        <w:rPr>
          <w:rFonts w:eastAsia="Times New Roman"/>
          <w:sz w:val="24"/>
          <w:szCs w:val="24"/>
        </w:rPr>
        <w:t xml:space="preserve"> Accessed on 17.07.2026</w:t>
      </w:r>
    </w:p>
    <w:p w14:paraId="0BC3E792" w14:textId="77777777" w:rsidR="00C83176" w:rsidRPr="00886FD2" w:rsidRDefault="00C83176" w:rsidP="00C83176">
      <w:pPr>
        <w:pStyle w:val="NormalWeb"/>
        <w:spacing w:before="240" w:beforeAutospacing="0" w:after="200" w:afterAutospacing="0" w:line="360" w:lineRule="auto"/>
        <w:jc w:val="both"/>
        <w:rPr>
          <w:rFonts w:ascii="Arial" w:hAnsi="Arial" w:cs="Arial"/>
          <w:lang w:val="en-GB"/>
        </w:rPr>
      </w:pPr>
      <w:r w:rsidRPr="00886FD2">
        <w:rPr>
          <w:rFonts w:ascii="Arial" w:hAnsi="Arial" w:cs="Arial"/>
          <w:color w:val="222222"/>
          <w:shd w:val="clear" w:color="auto" w:fill="FFFFFF"/>
          <w:lang w:val="en-GB"/>
        </w:rPr>
        <w:t xml:space="preserve">Hoang, D., </w:t>
      </w:r>
      <w:proofErr w:type="spellStart"/>
      <w:r w:rsidRPr="00886FD2">
        <w:rPr>
          <w:rFonts w:ascii="Arial" w:hAnsi="Arial" w:cs="Arial"/>
          <w:color w:val="222222"/>
          <w:shd w:val="clear" w:color="auto" w:fill="FFFFFF"/>
          <w:lang w:val="en-GB"/>
        </w:rPr>
        <w:t>Gatzer</w:t>
      </w:r>
      <w:proofErr w:type="spellEnd"/>
      <w:r w:rsidRPr="00886FD2">
        <w:rPr>
          <w:rFonts w:ascii="Arial" w:hAnsi="Arial" w:cs="Arial"/>
          <w:color w:val="222222"/>
          <w:shd w:val="clear" w:color="auto" w:fill="FFFFFF"/>
          <w:lang w:val="en-GB"/>
        </w:rPr>
        <w:t xml:space="preserve">, S. and </w:t>
      </w:r>
      <w:proofErr w:type="spellStart"/>
      <w:r w:rsidRPr="00886FD2">
        <w:rPr>
          <w:rFonts w:ascii="Arial" w:hAnsi="Arial" w:cs="Arial"/>
          <w:color w:val="222222"/>
          <w:shd w:val="clear" w:color="auto" w:fill="FFFFFF"/>
          <w:lang w:val="en-GB"/>
        </w:rPr>
        <w:t>Ruckes</w:t>
      </w:r>
      <w:proofErr w:type="spellEnd"/>
      <w:r w:rsidRPr="00886FD2">
        <w:rPr>
          <w:rFonts w:ascii="Arial" w:hAnsi="Arial" w:cs="Arial"/>
          <w:color w:val="222222"/>
          <w:shd w:val="clear" w:color="auto" w:fill="FFFFFF"/>
          <w:lang w:val="en-GB"/>
        </w:rPr>
        <w:t xml:space="preserve">, M., 2025. The economics of capital allocation in firms: Evidence from internal capital markets. </w:t>
      </w:r>
      <w:r w:rsidRPr="00886FD2">
        <w:rPr>
          <w:rFonts w:ascii="Arial" w:hAnsi="Arial" w:cs="Arial"/>
          <w:i/>
          <w:iCs/>
          <w:color w:val="222222"/>
          <w:shd w:val="clear" w:color="auto" w:fill="FFFFFF"/>
          <w:lang w:val="en-GB"/>
        </w:rPr>
        <w:t>Management science</w:t>
      </w:r>
      <w:r w:rsidRPr="00886FD2">
        <w:rPr>
          <w:rFonts w:ascii="Arial" w:hAnsi="Arial" w:cs="Arial"/>
          <w:color w:val="222222"/>
          <w:shd w:val="clear" w:color="auto" w:fill="FFFFFF"/>
          <w:lang w:val="en-GB"/>
        </w:rPr>
        <w:t xml:space="preserve">, </w:t>
      </w:r>
      <w:r w:rsidRPr="00886FD2">
        <w:rPr>
          <w:rFonts w:ascii="Arial" w:hAnsi="Arial" w:cs="Arial"/>
          <w:i/>
          <w:iCs/>
          <w:color w:val="222222"/>
          <w:shd w:val="clear" w:color="auto" w:fill="FFFFFF"/>
          <w:lang w:val="en-GB"/>
        </w:rPr>
        <w:t>71</w:t>
      </w:r>
      <w:r w:rsidRPr="00886FD2">
        <w:rPr>
          <w:rFonts w:ascii="Arial" w:hAnsi="Arial" w:cs="Arial"/>
          <w:color w:val="222222"/>
          <w:shd w:val="clear" w:color="auto" w:fill="FFFFFF"/>
          <w:lang w:val="en-GB"/>
        </w:rPr>
        <w:t>(8), pp.6392-6425.</w:t>
      </w:r>
      <w:r w:rsidRPr="00886FD2">
        <w:rPr>
          <w:rFonts w:ascii="Arial" w:hAnsi="Arial" w:cs="Arial"/>
          <w:color w:val="000000"/>
          <w:lang w:val="en-GB"/>
        </w:rPr>
        <w:t xml:space="preserve">  </w:t>
      </w:r>
      <w:hyperlink r:id="rId40" w:history="1">
        <w:r w:rsidRPr="00886FD2">
          <w:rPr>
            <w:rStyle w:val="Hyperlink"/>
            <w:rFonts w:ascii="Arial" w:hAnsi="Arial" w:cs="Arial"/>
            <w:color w:val="1155CC"/>
            <w:lang w:val="en-GB"/>
          </w:rPr>
          <w:t>https://papers.ssrn.com/sol3/Delivery.cfm?abstractid=4549624</w:t>
        </w:r>
      </w:hyperlink>
    </w:p>
    <w:p w14:paraId="7597715A" w14:textId="77777777" w:rsidR="00C83176" w:rsidRPr="00886FD2" w:rsidRDefault="00C83176" w:rsidP="00C83176">
      <w:pPr>
        <w:pStyle w:val="NormalWeb"/>
        <w:spacing w:before="240" w:beforeAutospacing="0" w:after="200" w:afterAutospacing="0" w:line="360" w:lineRule="auto"/>
        <w:jc w:val="both"/>
        <w:rPr>
          <w:rFonts w:ascii="Arial" w:hAnsi="Arial" w:cs="Arial"/>
          <w:lang w:val="en-GB"/>
        </w:rPr>
      </w:pPr>
      <w:r w:rsidRPr="00886FD2">
        <w:rPr>
          <w:rFonts w:ascii="Arial" w:hAnsi="Arial" w:cs="Arial"/>
          <w:color w:val="222222"/>
          <w:shd w:val="clear" w:color="auto" w:fill="FFFFFF"/>
          <w:lang w:val="en-GB"/>
        </w:rPr>
        <w:t xml:space="preserve">Huang, X., 2022. Financing disruptive suppliers: Payment advance, timeline, and discount rate. </w:t>
      </w:r>
      <w:r w:rsidRPr="00886FD2">
        <w:rPr>
          <w:rFonts w:ascii="Arial" w:hAnsi="Arial" w:cs="Arial"/>
          <w:i/>
          <w:iCs/>
          <w:color w:val="222222"/>
          <w:shd w:val="clear" w:color="auto" w:fill="FFFFFF"/>
          <w:lang w:val="en-GB"/>
        </w:rPr>
        <w:t>Production and operations management</w:t>
      </w:r>
      <w:r w:rsidRPr="00886FD2">
        <w:rPr>
          <w:rFonts w:ascii="Arial" w:hAnsi="Arial" w:cs="Arial"/>
          <w:color w:val="222222"/>
          <w:shd w:val="clear" w:color="auto" w:fill="FFFFFF"/>
          <w:lang w:val="en-GB"/>
        </w:rPr>
        <w:t xml:space="preserve">, </w:t>
      </w:r>
      <w:r w:rsidRPr="00886FD2">
        <w:rPr>
          <w:rFonts w:ascii="Arial" w:hAnsi="Arial" w:cs="Arial"/>
          <w:i/>
          <w:iCs/>
          <w:color w:val="222222"/>
          <w:shd w:val="clear" w:color="auto" w:fill="FFFFFF"/>
          <w:lang w:val="en-GB"/>
        </w:rPr>
        <w:t>31</w:t>
      </w:r>
      <w:r w:rsidRPr="00886FD2">
        <w:rPr>
          <w:rFonts w:ascii="Arial" w:hAnsi="Arial" w:cs="Arial"/>
          <w:color w:val="222222"/>
          <w:shd w:val="clear" w:color="auto" w:fill="FFFFFF"/>
          <w:lang w:val="en-GB"/>
        </w:rPr>
        <w:t>(3), pp.1115-1134.</w:t>
      </w:r>
      <w:r w:rsidRPr="00886FD2">
        <w:rPr>
          <w:rFonts w:ascii="Arial" w:hAnsi="Arial" w:cs="Arial"/>
          <w:color w:val="000000"/>
          <w:lang w:val="en-GB"/>
        </w:rPr>
        <w:t xml:space="preserve"> </w:t>
      </w:r>
      <w:hyperlink r:id="rId41" w:history="1">
        <w:r w:rsidRPr="00886FD2">
          <w:rPr>
            <w:rStyle w:val="Hyperlink"/>
            <w:rFonts w:ascii="Arial" w:hAnsi="Arial" w:cs="Arial"/>
            <w:color w:val="1155CC"/>
            <w:lang w:val="en-GB"/>
          </w:rPr>
          <w:t>http://xiaohedyhuang.com/HOME_files/BDF.pdf</w:t>
        </w:r>
      </w:hyperlink>
    </w:p>
    <w:p w14:paraId="4DE47511" w14:textId="77777777" w:rsidR="00C83176" w:rsidRPr="00886FD2" w:rsidRDefault="00C83176" w:rsidP="00C83176">
      <w:pPr>
        <w:pStyle w:val="NormalWeb"/>
        <w:spacing w:before="240" w:beforeAutospacing="0" w:after="200" w:afterAutospacing="0" w:line="360" w:lineRule="auto"/>
        <w:jc w:val="both"/>
        <w:rPr>
          <w:rFonts w:ascii="Arial" w:hAnsi="Arial" w:cs="Arial"/>
          <w:lang w:val="en-GB"/>
        </w:rPr>
      </w:pPr>
      <w:r w:rsidRPr="00886FD2">
        <w:rPr>
          <w:rFonts w:ascii="Arial" w:hAnsi="Arial" w:cs="Arial"/>
          <w:color w:val="222222"/>
          <w:shd w:val="clear" w:color="auto" w:fill="FFFFFF"/>
          <w:lang w:val="en-GB"/>
        </w:rPr>
        <w:t xml:space="preserve">Khalifa, M. and </w:t>
      </w:r>
      <w:proofErr w:type="spellStart"/>
      <w:r w:rsidRPr="00886FD2">
        <w:rPr>
          <w:rFonts w:ascii="Arial" w:hAnsi="Arial" w:cs="Arial"/>
          <w:color w:val="222222"/>
          <w:shd w:val="clear" w:color="auto" w:fill="FFFFFF"/>
          <w:lang w:val="en-GB"/>
        </w:rPr>
        <w:t>Albadawy</w:t>
      </w:r>
      <w:proofErr w:type="spellEnd"/>
      <w:r w:rsidRPr="00886FD2">
        <w:rPr>
          <w:rFonts w:ascii="Arial" w:hAnsi="Arial" w:cs="Arial"/>
          <w:color w:val="222222"/>
          <w:shd w:val="clear" w:color="auto" w:fill="FFFFFF"/>
          <w:lang w:val="en-GB"/>
        </w:rPr>
        <w:t xml:space="preserve">, M., 2024. Using artificial intelligence in academic writing and research: An essential productivity tool. </w:t>
      </w:r>
      <w:r w:rsidRPr="00886FD2">
        <w:rPr>
          <w:rFonts w:ascii="Arial" w:hAnsi="Arial" w:cs="Arial"/>
          <w:i/>
          <w:iCs/>
          <w:color w:val="222222"/>
          <w:shd w:val="clear" w:color="auto" w:fill="FFFFFF"/>
          <w:lang w:val="en-GB"/>
        </w:rPr>
        <w:t>Computer methods and programs in biomedicine update</w:t>
      </w:r>
      <w:r w:rsidRPr="00886FD2">
        <w:rPr>
          <w:rFonts w:ascii="Arial" w:hAnsi="Arial" w:cs="Arial"/>
          <w:color w:val="222222"/>
          <w:shd w:val="clear" w:color="auto" w:fill="FFFFFF"/>
          <w:lang w:val="en-GB"/>
        </w:rPr>
        <w:t xml:space="preserve">, </w:t>
      </w:r>
      <w:r w:rsidRPr="00886FD2">
        <w:rPr>
          <w:rFonts w:ascii="Arial" w:hAnsi="Arial" w:cs="Arial"/>
          <w:i/>
          <w:iCs/>
          <w:color w:val="222222"/>
          <w:shd w:val="clear" w:color="auto" w:fill="FFFFFF"/>
          <w:lang w:val="en-GB"/>
        </w:rPr>
        <w:t>5</w:t>
      </w:r>
      <w:r w:rsidRPr="00886FD2">
        <w:rPr>
          <w:rFonts w:ascii="Arial" w:hAnsi="Arial" w:cs="Arial"/>
          <w:color w:val="222222"/>
          <w:shd w:val="clear" w:color="auto" w:fill="FFFFFF"/>
          <w:lang w:val="en-GB"/>
        </w:rPr>
        <w:t>, p.100145.</w:t>
      </w:r>
      <w:r w:rsidRPr="00886FD2">
        <w:rPr>
          <w:rFonts w:ascii="Arial" w:hAnsi="Arial" w:cs="Arial"/>
          <w:color w:val="000000"/>
          <w:lang w:val="en-GB"/>
        </w:rPr>
        <w:t>  </w:t>
      </w:r>
    </w:p>
    <w:p w14:paraId="506BF241" w14:textId="77777777" w:rsidR="00C83176" w:rsidRPr="00886FD2" w:rsidRDefault="00C83176" w:rsidP="00C83176">
      <w:pPr>
        <w:pStyle w:val="NormalWeb"/>
        <w:spacing w:before="240" w:beforeAutospacing="0" w:after="200" w:afterAutospacing="0" w:line="360" w:lineRule="auto"/>
        <w:jc w:val="both"/>
        <w:rPr>
          <w:rFonts w:ascii="Arial" w:hAnsi="Arial" w:cs="Arial"/>
          <w:lang w:val="en-GB"/>
        </w:rPr>
      </w:pPr>
      <w:r w:rsidRPr="00886FD2">
        <w:rPr>
          <w:rFonts w:ascii="Arial" w:hAnsi="Arial" w:cs="Arial"/>
          <w:color w:val="222222"/>
          <w:shd w:val="clear" w:color="auto" w:fill="FFFFFF"/>
          <w:lang w:val="en-GB"/>
        </w:rPr>
        <w:lastRenderedPageBreak/>
        <w:t xml:space="preserve">KODURU, D.R.S., 2026. </w:t>
      </w:r>
      <w:r w:rsidRPr="00886FD2">
        <w:rPr>
          <w:rFonts w:ascii="Arial" w:hAnsi="Arial" w:cs="Arial"/>
          <w:i/>
          <w:iCs/>
          <w:color w:val="222222"/>
          <w:shd w:val="clear" w:color="auto" w:fill="FFFFFF"/>
          <w:lang w:val="en-GB"/>
        </w:rPr>
        <w:t>FINANCIAL MANAGEMENT IN HOTELS AND RESTAURANT INDUSTRY</w:t>
      </w:r>
      <w:r w:rsidRPr="00886FD2">
        <w:rPr>
          <w:rFonts w:ascii="Arial" w:hAnsi="Arial" w:cs="Arial"/>
          <w:color w:val="222222"/>
          <w:shd w:val="clear" w:color="auto" w:fill="FFFFFF"/>
          <w:lang w:val="en-GB"/>
        </w:rPr>
        <w:t>. Vaagai international publishing house.</w:t>
      </w:r>
      <w:r w:rsidRPr="00886FD2">
        <w:rPr>
          <w:rFonts w:ascii="Arial" w:hAnsi="Arial" w:cs="Arial"/>
          <w:color w:val="000000"/>
          <w:lang w:val="en-GB"/>
        </w:rPr>
        <w:t xml:space="preserve"> </w:t>
      </w:r>
      <w:hyperlink r:id="rId42" w:history="1">
        <w:r w:rsidRPr="00886FD2">
          <w:rPr>
            <w:rStyle w:val="Hyperlink"/>
            <w:rFonts w:ascii="Arial" w:hAnsi="Arial" w:cs="Arial"/>
            <w:color w:val="1155CC"/>
            <w:lang w:val="en-GB"/>
          </w:rPr>
          <w:t>https://books.google.com/books?hl=en&amp;lr=&amp;id=CeKuEQAAQBAJ&amp;oi=fnd&amp;pg=PA1&amp;dq=this+hospitality+company+requires+to+negotiate+extended+supplier+payment+terms+where+commercially+appropriate,+maximising+the+Days+Payables+Outstanding+without+hindering+the+relationships+with+the+suppliers+and+thus+preserving+the+short-term+liquidity.+&amp;ots=-291H23XIl&amp;sig=JCqn9w91KOilQoanSq4ZF13Ja-A</w:t>
        </w:r>
      </w:hyperlink>
    </w:p>
    <w:p w14:paraId="583982BA" w14:textId="77777777" w:rsidR="00C83176" w:rsidRPr="00886FD2" w:rsidRDefault="00C83176" w:rsidP="00C83176">
      <w:pPr>
        <w:spacing w:before="240" w:after="160" w:line="360" w:lineRule="auto"/>
        <w:jc w:val="both"/>
        <w:rPr>
          <w:rFonts w:eastAsia="Times New Roman"/>
          <w:color w:val="1155CC"/>
          <w:sz w:val="24"/>
          <w:szCs w:val="24"/>
          <w:u w:val="single"/>
        </w:rPr>
      </w:pPr>
      <w:r w:rsidRPr="00886FD2">
        <w:rPr>
          <w:rFonts w:eastAsia="Times New Roman"/>
          <w:sz w:val="24"/>
          <w:szCs w:val="24"/>
        </w:rPr>
        <w:t>Kumawat, A., Ratio Analysis: A Technique of Financial Statement Analysis.</w:t>
      </w:r>
      <w:hyperlink r:id="rId43">
        <w:r w:rsidRPr="00886FD2">
          <w:rPr>
            <w:rFonts w:eastAsia="Times New Roman"/>
            <w:sz w:val="24"/>
            <w:szCs w:val="24"/>
          </w:rPr>
          <w:t xml:space="preserve"> </w:t>
        </w:r>
      </w:hyperlink>
      <w:hyperlink r:id="rId44">
        <w:r w:rsidRPr="00886FD2">
          <w:rPr>
            <w:rFonts w:eastAsia="Times New Roman"/>
            <w:color w:val="1155CC"/>
            <w:sz w:val="24"/>
            <w:szCs w:val="24"/>
            <w:u w:val="single"/>
          </w:rPr>
          <w:t>https://www.ijmrsetm.com/admin/img/15_Ratio.pdf</w:t>
        </w:r>
      </w:hyperlink>
    </w:p>
    <w:p w14:paraId="3158EE9D" w14:textId="77777777" w:rsidR="00C83176" w:rsidRPr="00886FD2" w:rsidRDefault="00C83176" w:rsidP="00C83176">
      <w:pPr>
        <w:pStyle w:val="NormalWeb"/>
        <w:spacing w:before="240" w:beforeAutospacing="0" w:after="200" w:afterAutospacing="0" w:line="360" w:lineRule="auto"/>
        <w:jc w:val="both"/>
        <w:rPr>
          <w:rFonts w:ascii="Arial" w:hAnsi="Arial" w:cs="Arial"/>
          <w:lang w:val="en-GB"/>
        </w:rPr>
      </w:pPr>
      <w:r w:rsidRPr="00886FD2">
        <w:rPr>
          <w:rFonts w:ascii="Arial" w:hAnsi="Arial" w:cs="Arial"/>
          <w:color w:val="222222"/>
          <w:shd w:val="clear" w:color="auto" w:fill="FFFFFF"/>
          <w:lang w:val="en-GB"/>
        </w:rPr>
        <w:t xml:space="preserve">Li, X., 2024. Research on the impact of financial leverage on corporate capital structure. </w:t>
      </w:r>
      <w:r w:rsidRPr="00886FD2">
        <w:rPr>
          <w:rFonts w:ascii="Arial" w:hAnsi="Arial" w:cs="Arial"/>
          <w:i/>
          <w:iCs/>
          <w:color w:val="222222"/>
          <w:shd w:val="clear" w:color="auto" w:fill="FFFFFF"/>
          <w:lang w:val="en-GB"/>
        </w:rPr>
        <w:t>Journal of modern business and economics</w:t>
      </w:r>
      <w:r w:rsidRPr="00886FD2">
        <w:rPr>
          <w:rFonts w:ascii="Arial" w:hAnsi="Arial" w:cs="Arial"/>
          <w:color w:val="222222"/>
          <w:shd w:val="clear" w:color="auto" w:fill="FFFFFF"/>
          <w:lang w:val="en-GB"/>
        </w:rPr>
        <w:t xml:space="preserve">, </w:t>
      </w:r>
      <w:r w:rsidRPr="00886FD2">
        <w:rPr>
          <w:rFonts w:ascii="Arial" w:hAnsi="Arial" w:cs="Arial"/>
          <w:i/>
          <w:iCs/>
          <w:color w:val="222222"/>
          <w:shd w:val="clear" w:color="auto" w:fill="FFFFFF"/>
          <w:lang w:val="en-GB"/>
        </w:rPr>
        <w:t>1</w:t>
      </w:r>
      <w:r w:rsidRPr="00886FD2">
        <w:rPr>
          <w:rFonts w:ascii="Arial" w:hAnsi="Arial" w:cs="Arial"/>
          <w:color w:val="222222"/>
          <w:shd w:val="clear" w:color="auto" w:fill="FFFFFF"/>
          <w:lang w:val="en-GB"/>
        </w:rPr>
        <w:t>(3).</w:t>
      </w:r>
      <w:r w:rsidRPr="00886FD2">
        <w:rPr>
          <w:rFonts w:ascii="Arial" w:hAnsi="Arial" w:cs="Arial"/>
          <w:color w:val="000000"/>
          <w:lang w:val="en-GB"/>
        </w:rPr>
        <w:t xml:space="preserve"> </w:t>
      </w:r>
      <w:hyperlink r:id="rId45" w:history="1">
        <w:r w:rsidRPr="00886FD2">
          <w:rPr>
            <w:rStyle w:val="Hyperlink"/>
            <w:rFonts w:ascii="Arial" w:hAnsi="Arial" w:cs="Arial"/>
            <w:color w:val="1155CC"/>
            <w:lang w:val="en-GB"/>
          </w:rPr>
          <w:t>https://atlantic-press-journals.com/index.php/JMBE/article/download/422/987</w:t>
        </w:r>
      </w:hyperlink>
    </w:p>
    <w:p w14:paraId="3BC6DD18" w14:textId="77777777" w:rsidR="00C83176" w:rsidRPr="00886FD2" w:rsidRDefault="00C83176" w:rsidP="00C83176">
      <w:pPr>
        <w:pStyle w:val="NormalWeb"/>
        <w:spacing w:before="240" w:beforeAutospacing="0" w:after="200" w:afterAutospacing="0" w:line="360" w:lineRule="auto"/>
        <w:jc w:val="both"/>
        <w:rPr>
          <w:rFonts w:ascii="Arial" w:hAnsi="Arial" w:cs="Arial"/>
          <w:lang w:val="en-GB"/>
        </w:rPr>
      </w:pPr>
      <w:proofErr w:type="spellStart"/>
      <w:r w:rsidRPr="00886FD2">
        <w:rPr>
          <w:rFonts w:ascii="Arial" w:hAnsi="Arial" w:cs="Arial"/>
          <w:color w:val="222222"/>
          <w:shd w:val="clear" w:color="auto" w:fill="FFFFFF"/>
          <w:lang w:val="en-GB"/>
        </w:rPr>
        <w:t>LoPucki</w:t>
      </w:r>
      <w:proofErr w:type="spellEnd"/>
      <w:r w:rsidRPr="00886FD2">
        <w:rPr>
          <w:rFonts w:ascii="Arial" w:hAnsi="Arial" w:cs="Arial"/>
          <w:color w:val="222222"/>
          <w:shd w:val="clear" w:color="auto" w:fill="FFFFFF"/>
          <w:lang w:val="en-GB"/>
        </w:rPr>
        <w:t xml:space="preserve">, L.M., 2022. The end of shareholder wealth maximization. </w:t>
      </w:r>
      <w:r w:rsidRPr="00886FD2">
        <w:rPr>
          <w:rFonts w:ascii="Arial" w:hAnsi="Arial" w:cs="Arial"/>
          <w:i/>
          <w:iCs/>
          <w:color w:val="222222"/>
          <w:shd w:val="clear" w:color="auto" w:fill="FFFFFF"/>
          <w:lang w:val="en-GB"/>
        </w:rPr>
        <w:t>UC Davis L. Rev.</w:t>
      </w:r>
      <w:r w:rsidRPr="00886FD2">
        <w:rPr>
          <w:rFonts w:ascii="Arial" w:hAnsi="Arial" w:cs="Arial"/>
          <w:color w:val="222222"/>
          <w:shd w:val="clear" w:color="auto" w:fill="FFFFFF"/>
          <w:lang w:val="en-GB"/>
        </w:rPr>
        <w:t xml:space="preserve">, </w:t>
      </w:r>
      <w:r w:rsidRPr="00886FD2">
        <w:rPr>
          <w:rFonts w:ascii="Arial" w:hAnsi="Arial" w:cs="Arial"/>
          <w:i/>
          <w:iCs/>
          <w:color w:val="222222"/>
          <w:shd w:val="clear" w:color="auto" w:fill="FFFFFF"/>
          <w:lang w:val="en-GB"/>
        </w:rPr>
        <w:t>56</w:t>
      </w:r>
      <w:r w:rsidRPr="00886FD2">
        <w:rPr>
          <w:rFonts w:ascii="Arial" w:hAnsi="Arial" w:cs="Arial"/>
          <w:color w:val="222222"/>
          <w:shd w:val="clear" w:color="auto" w:fill="FFFFFF"/>
          <w:lang w:val="en-GB"/>
        </w:rPr>
        <w:t>, p.2017.</w:t>
      </w:r>
      <w:r w:rsidRPr="00886FD2">
        <w:rPr>
          <w:rFonts w:ascii="Arial" w:hAnsi="Arial" w:cs="Arial"/>
          <w:color w:val="000000"/>
          <w:lang w:val="en-GB"/>
        </w:rPr>
        <w:t xml:space="preserve"> </w:t>
      </w:r>
      <w:hyperlink r:id="rId46" w:history="1">
        <w:r w:rsidRPr="00886FD2">
          <w:rPr>
            <w:rStyle w:val="Hyperlink"/>
            <w:rFonts w:ascii="Arial" w:hAnsi="Arial" w:cs="Arial"/>
            <w:color w:val="1155CC"/>
            <w:lang w:val="en-GB"/>
          </w:rPr>
          <w:t>https://papers.ssrn.com/sol3/Delivery.cfm?abstractid=4277872</w:t>
        </w:r>
      </w:hyperlink>
    </w:p>
    <w:p w14:paraId="571CB650" w14:textId="77777777" w:rsidR="00C83176" w:rsidRPr="00886FD2" w:rsidRDefault="00C83176" w:rsidP="00C83176">
      <w:pPr>
        <w:spacing w:before="240" w:after="160" w:line="360" w:lineRule="auto"/>
        <w:jc w:val="both"/>
        <w:rPr>
          <w:rFonts w:eastAsia="Times New Roman"/>
          <w:color w:val="1155CC"/>
          <w:sz w:val="24"/>
          <w:szCs w:val="24"/>
          <w:u w:val="single"/>
        </w:rPr>
      </w:pPr>
      <w:r w:rsidRPr="00886FD2">
        <w:rPr>
          <w:rFonts w:eastAsia="Times New Roman"/>
          <w:sz w:val="24"/>
          <w:szCs w:val="24"/>
        </w:rPr>
        <w:t xml:space="preserve">Lussi, S., Masset, P., Weisskopf, J.P. and </w:t>
      </w:r>
      <w:proofErr w:type="spellStart"/>
      <w:r w:rsidRPr="00886FD2">
        <w:rPr>
          <w:rFonts w:eastAsia="Times New Roman"/>
          <w:sz w:val="24"/>
          <w:szCs w:val="24"/>
        </w:rPr>
        <w:t>Blal</w:t>
      </w:r>
      <w:proofErr w:type="spellEnd"/>
      <w:r w:rsidRPr="00886FD2">
        <w:rPr>
          <w:rFonts w:eastAsia="Times New Roman"/>
          <w:sz w:val="24"/>
          <w:szCs w:val="24"/>
        </w:rPr>
        <w:t xml:space="preserve">, I., 2023. Cross-dimensional measures of asset lightness and fee orientation in lodging groups. </w:t>
      </w:r>
      <w:r w:rsidRPr="00886FD2">
        <w:rPr>
          <w:rFonts w:eastAsia="Times New Roman"/>
          <w:i/>
          <w:iCs/>
          <w:sz w:val="24"/>
          <w:szCs w:val="24"/>
        </w:rPr>
        <w:t>International journal of hospitality management</w:t>
      </w:r>
      <w:r w:rsidRPr="00886FD2">
        <w:rPr>
          <w:rFonts w:eastAsia="Times New Roman"/>
          <w:sz w:val="24"/>
          <w:szCs w:val="24"/>
        </w:rPr>
        <w:t xml:space="preserve">, </w:t>
      </w:r>
      <w:r w:rsidRPr="00886FD2">
        <w:rPr>
          <w:rFonts w:eastAsia="Times New Roman"/>
          <w:i/>
          <w:iCs/>
          <w:sz w:val="24"/>
          <w:szCs w:val="24"/>
        </w:rPr>
        <w:t>109</w:t>
      </w:r>
      <w:r w:rsidRPr="00886FD2">
        <w:rPr>
          <w:rFonts w:eastAsia="Times New Roman"/>
          <w:sz w:val="24"/>
          <w:szCs w:val="24"/>
        </w:rPr>
        <w:t>, p.103391.</w:t>
      </w:r>
      <w:hyperlink r:id="rId47">
        <w:r w:rsidRPr="00886FD2">
          <w:rPr>
            <w:rFonts w:eastAsia="Times New Roman"/>
            <w:sz w:val="24"/>
            <w:szCs w:val="24"/>
          </w:rPr>
          <w:t xml:space="preserve"> </w:t>
        </w:r>
      </w:hyperlink>
      <w:hyperlink r:id="rId48">
        <w:r w:rsidRPr="00886FD2">
          <w:rPr>
            <w:rFonts w:eastAsia="Times New Roman"/>
            <w:color w:val="1155CC"/>
            <w:sz w:val="24"/>
            <w:szCs w:val="24"/>
            <w:u w:val="single"/>
          </w:rPr>
          <w:t>https://www.sciencedirect.com/science/article/pii/S0278431922002572</w:t>
        </w:r>
      </w:hyperlink>
    </w:p>
    <w:p w14:paraId="038AF7AE" w14:textId="77777777" w:rsidR="00C83176" w:rsidRPr="00886FD2" w:rsidRDefault="00C83176" w:rsidP="00C83176">
      <w:pPr>
        <w:pStyle w:val="NormalWeb"/>
        <w:spacing w:before="240" w:beforeAutospacing="0" w:after="200" w:afterAutospacing="0" w:line="360" w:lineRule="auto"/>
        <w:jc w:val="both"/>
        <w:rPr>
          <w:rFonts w:ascii="Arial" w:hAnsi="Arial" w:cs="Arial"/>
          <w:lang w:val="en-GB"/>
        </w:rPr>
      </w:pPr>
      <w:r w:rsidRPr="00886FD2">
        <w:rPr>
          <w:rFonts w:ascii="Arial" w:hAnsi="Arial" w:cs="Arial"/>
          <w:color w:val="222222"/>
          <w:shd w:val="clear" w:color="auto" w:fill="FFFFFF"/>
          <w:lang w:val="en-GB"/>
        </w:rPr>
        <w:t xml:space="preserve">Mbah, G.O., 2024. Data privacy in the era of AI: Navigating regulatory landscapes for global businesses. </w:t>
      </w:r>
      <w:r w:rsidRPr="00886FD2">
        <w:rPr>
          <w:rFonts w:ascii="Arial" w:hAnsi="Arial" w:cs="Arial"/>
          <w:i/>
          <w:iCs/>
          <w:color w:val="222222"/>
          <w:shd w:val="clear" w:color="auto" w:fill="FFFFFF"/>
          <w:lang w:val="en-GB"/>
        </w:rPr>
        <w:t>International Journal of Science and Research Archive</w:t>
      </w:r>
      <w:r w:rsidRPr="00886FD2">
        <w:rPr>
          <w:rFonts w:ascii="Arial" w:hAnsi="Arial" w:cs="Arial"/>
          <w:color w:val="222222"/>
          <w:shd w:val="clear" w:color="auto" w:fill="FFFFFF"/>
          <w:lang w:val="en-GB"/>
        </w:rPr>
        <w:t xml:space="preserve">, </w:t>
      </w:r>
      <w:r w:rsidRPr="00886FD2">
        <w:rPr>
          <w:rFonts w:ascii="Arial" w:hAnsi="Arial" w:cs="Arial"/>
          <w:i/>
          <w:iCs/>
          <w:color w:val="222222"/>
          <w:shd w:val="clear" w:color="auto" w:fill="FFFFFF"/>
          <w:lang w:val="en-GB"/>
        </w:rPr>
        <w:t>13</w:t>
      </w:r>
      <w:r w:rsidRPr="00886FD2">
        <w:rPr>
          <w:rFonts w:ascii="Arial" w:hAnsi="Arial" w:cs="Arial"/>
          <w:color w:val="222222"/>
          <w:shd w:val="clear" w:color="auto" w:fill="FFFFFF"/>
          <w:lang w:val="en-GB"/>
        </w:rPr>
        <w:t>(2), pp.2040-2058.</w:t>
      </w:r>
      <w:r w:rsidRPr="00886FD2">
        <w:rPr>
          <w:rFonts w:ascii="Arial" w:hAnsi="Arial" w:cs="Arial"/>
          <w:color w:val="000000"/>
          <w:lang w:val="en-GB"/>
        </w:rPr>
        <w:t xml:space="preserve"> </w:t>
      </w:r>
      <w:hyperlink r:id="rId49" w:history="1">
        <w:r w:rsidRPr="00886FD2">
          <w:rPr>
            <w:rStyle w:val="Hyperlink"/>
            <w:rFonts w:ascii="Arial" w:hAnsi="Arial" w:cs="Arial"/>
            <w:color w:val="1155CC"/>
            <w:lang w:val="en-GB"/>
          </w:rPr>
          <w:t>https://www.researchgate.net/profile/Geraldine-Mbah/publication/387025413_Data_privacy_in_the_era_of_AI_Navigating_regulatory_landscapes_for_global_businesses/links/675c9d8cebc8f979702cae20/Data-privacy-in-the-era-of-AI-Navigating-regulatory-landscapes-for-global-businesses.pdf</w:t>
        </w:r>
      </w:hyperlink>
    </w:p>
    <w:p w14:paraId="054C6ECF" w14:textId="77777777" w:rsidR="00C83176" w:rsidRPr="00886FD2" w:rsidRDefault="00C83176" w:rsidP="00C83176">
      <w:pPr>
        <w:spacing w:before="240" w:after="160" w:line="360" w:lineRule="auto"/>
        <w:jc w:val="both"/>
        <w:rPr>
          <w:rFonts w:eastAsia="Times New Roman"/>
          <w:color w:val="1155CC"/>
          <w:sz w:val="24"/>
          <w:szCs w:val="24"/>
          <w:u w:val="single"/>
        </w:rPr>
      </w:pPr>
      <w:proofErr w:type="spellStart"/>
      <w:r w:rsidRPr="00886FD2">
        <w:rPr>
          <w:rFonts w:eastAsia="Times New Roman"/>
          <w:sz w:val="24"/>
          <w:szCs w:val="24"/>
        </w:rPr>
        <w:t>Mičieta</w:t>
      </w:r>
      <w:proofErr w:type="spellEnd"/>
      <w:r w:rsidRPr="00886FD2">
        <w:rPr>
          <w:rFonts w:eastAsia="Times New Roman"/>
          <w:sz w:val="24"/>
          <w:szCs w:val="24"/>
        </w:rPr>
        <w:t xml:space="preserve">, B., Howaniec, H., </w:t>
      </w:r>
      <w:proofErr w:type="spellStart"/>
      <w:r w:rsidRPr="00886FD2">
        <w:rPr>
          <w:rFonts w:eastAsia="Times New Roman"/>
          <w:sz w:val="24"/>
          <w:szCs w:val="24"/>
        </w:rPr>
        <w:t>Biňasová</w:t>
      </w:r>
      <w:proofErr w:type="spellEnd"/>
      <w:r w:rsidRPr="00886FD2">
        <w:rPr>
          <w:rFonts w:eastAsia="Times New Roman"/>
          <w:sz w:val="24"/>
          <w:szCs w:val="24"/>
        </w:rPr>
        <w:t>, V. and Buzalka, M., 2025. Financial performance analysis and indicator-based improvement strategies in a selected company.</w:t>
      </w:r>
      <w:hyperlink r:id="rId50">
        <w:r w:rsidRPr="00886FD2">
          <w:rPr>
            <w:rFonts w:eastAsia="Times New Roman"/>
            <w:sz w:val="24"/>
            <w:szCs w:val="24"/>
          </w:rPr>
          <w:t xml:space="preserve"> </w:t>
        </w:r>
      </w:hyperlink>
      <w:hyperlink r:id="rId51">
        <w:r w:rsidRPr="00886FD2">
          <w:rPr>
            <w:rFonts w:eastAsia="Times New Roman"/>
            <w:color w:val="1155CC"/>
            <w:sz w:val="24"/>
            <w:szCs w:val="24"/>
            <w:u w:val="single"/>
          </w:rPr>
          <w:t>https://www.um.edu.mt/library/oar/bitstream/123456789/139210/1/ERSJ28%283%29A28.pdf</w:t>
        </w:r>
      </w:hyperlink>
    </w:p>
    <w:p w14:paraId="6043AF33" w14:textId="77777777" w:rsidR="00C83176" w:rsidRPr="00886FD2" w:rsidRDefault="00C83176" w:rsidP="00C83176">
      <w:pPr>
        <w:pStyle w:val="NormalWeb"/>
        <w:spacing w:before="240" w:beforeAutospacing="0" w:after="200" w:afterAutospacing="0" w:line="360" w:lineRule="auto"/>
        <w:jc w:val="both"/>
        <w:rPr>
          <w:rFonts w:ascii="Arial" w:hAnsi="Arial" w:cs="Arial"/>
          <w:lang w:val="en-GB"/>
        </w:rPr>
      </w:pPr>
      <w:r w:rsidRPr="00886FD2">
        <w:rPr>
          <w:rFonts w:ascii="Arial" w:hAnsi="Arial" w:cs="Arial"/>
          <w:color w:val="222222"/>
          <w:shd w:val="clear" w:color="auto" w:fill="FFFFFF"/>
          <w:lang w:val="en-GB"/>
        </w:rPr>
        <w:lastRenderedPageBreak/>
        <w:t xml:space="preserve">Mohammadi, A., 2024. Dynamic Cash Flow Management Under Uncertainty: Integrating Scenario Planning and Advanced Analytical Tools. </w:t>
      </w:r>
      <w:r w:rsidRPr="00886FD2">
        <w:rPr>
          <w:rFonts w:ascii="Arial" w:hAnsi="Arial" w:cs="Arial"/>
          <w:i/>
          <w:iCs/>
          <w:color w:val="222222"/>
          <w:shd w:val="clear" w:color="auto" w:fill="FFFFFF"/>
          <w:lang w:val="en-GB"/>
        </w:rPr>
        <w:t>International Journal of Applied Research in Management, Economics and Accounting</w:t>
      </w:r>
      <w:r w:rsidRPr="00886FD2">
        <w:rPr>
          <w:rFonts w:ascii="Arial" w:hAnsi="Arial" w:cs="Arial"/>
          <w:color w:val="222222"/>
          <w:shd w:val="clear" w:color="auto" w:fill="FFFFFF"/>
          <w:lang w:val="en-GB"/>
        </w:rPr>
        <w:t xml:space="preserve">, </w:t>
      </w:r>
      <w:r w:rsidRPr="00886FD2">
        <w:rPr>
          <w:rFonts w:ascii="Arial" w:hAnsi="Arial" w:cs="Arial"/>
          <w:i/>
          <w:iCs/>
          <w:color w:val="222222"/>
          <w:shd w:val="clear" w:color="auto" w:fill="FFFFFF"/>
          <w:lang w:val="en-GB"/>
        </w:rPr>
        <w:t>2</w:t>
      </w:r>
      <w:r w:rsidRPr="00886FD2">
        <w:rPr>
          <w:rFonts w:ascii="Arial" w:hAnsi="Arial" w:cs="Arial"/>
          <w:color w:val="222222"/>
          <w:shd w:val="clear" w:color="auto" w:fill="FFFFFF"/>
          <w:lang w:val="en-GB"/>
        </w:rPr>
        <w:t>(1), pp.23-34.</w:t>
      </w:r>
      <w:r w:rsidRPr="00886FD2">
        <w:rPr>
          <w:rFonts w:ascii="Arial" w:hAnsi="Arial" w:cs="Arial"/>
          <w:color w:val="000000"/>
          <w:lang w:val="en-GB"/>
        </w:rPr>
        <w:t xml:space="preserve"> </w:t>
      </w:r>
      <w:hyperlink r:id="rId52" w:history="1">
        <w:r w:rsidRPr="00886FD2">
          <w:rPr>
            <w:rStyle w:val="Hyperlink"/>
            <w:rFonts w:ascii="Arial" w:hAnsi="Arial" w:cs="Arial"/>
            <w:color w:val="1155CC"/>
            <w:lang w:val="en-GB"/>
          </w:rPr>
          <w:t>https://ijmeapub.com/index.php/pub/article/download/32/29</w:t>
        </w:r>
      </w:hyperlink>
    </w:p>
    <w:p w14:paraId="1FA5139E" w14:textId="77777777" w:rsidR="00C83176" w:rsidRPr="00886FD2" w:rsidRDefault="00C83176" w:rsidP="00C83176">
      <w:pPr>
        <w:spacing w:before="240" w:after="160" w:line="360" w:lineRule="auto"/>
        <w:jc w:val="both"/>
        <w:rPr>
          <w:rFonts w:eastAsia="Times New Roman"/>
          <w:color w:val="1155CC"/>
          <w:sz w:val="24"/>
          <w:szCs w:val="24"/>
          <w:u w:val="single"/>
        </w:rPr>
      </w:pPr>
      <w:r w:rsidRPr="00886FD2">
        <w:rPr>
          <w:rFonts w:eastAsia="Times New Roman"/>
          <w:sz w:val="24"/>
          <w:szCs w:val="24"/>
        </w:rPr>
        <w:t xml:space="preserve">MORDI, A.K., JEROH, E. and EBIAGHAN, O.F., 2025. Financial flexibility in R&amp;D investment: A study of operating cash flow, earnings before interest and tax and gearing ratio. </w:t>
      </w:r>
      <w:r w:rsidRPr="00886FD2">
        <w:rPr>
          <w:rFonts w:eastAsia="Times New Roman"/>
          <w:i/>
          <w:iCs/>
          <w:sz w:val="24"/>
          <w:szCs w:val="24"/>
        </w:rPr>
        <w:t>Research Journal of Management Practice| ISSN</w:t>
      </w:r>
      <w:r w:rsidRPr="00886FD2">
        <w:rPr>
          <w:rFonts w:eastAsia="Times New Roman"/>
          <w:sz w:val="24"/>
          <w:szCs w:val="24"/>
        </w:rPr>
        <w:t xml:space="preserve">, </w:t>
      </w:r>
      <w:r w:rsidRPr="00886FD2">
        <w:rPr>
          <w:rFonts w:eastAsia="Times New Roman"/>
          <w:i/>
          <w:iCs/>
          <w:sz w:val="24"/>
          <w:szCs w:val="24"/>
        </w:rPr>
        <w:t>2782</w:t>
      </w:r>
      <w:r w:rsidRPr="00886FD2">
        <w:rPr>
          <w:rFonts w:eastAsia="Times New Roman"/>
          <w:sz w:val="24"/>
          <w:szCs w:val="24"/>
        </w:rPr>
        <w:t>, p.7674.</w:t>
      </w:r>
      <w:hyperlink r:id="rId53">
        <w:r w:rsidRPr="00886FD2">
          <w:rPr>
            <w:rFonts w:eastAsia="Times New Roman"/>
            <w:sz w:val="24"/>
            <w:szCs w:val="24"/>
          </w:rPr>
          <w:t xml:space="preserve"> </w:t>
        </w:r>
      </w:hyperlink>
      <w:hyperlink r:id="rId54">
        <w:r w:rsidRPr="00886FD2">
          <w:rPr>
            <w:rFonts w:eastAsia="Times New Roman"/>
            <w:color w:val="1155CC"/>
            <w:sz w:val="24"/>
            <w:szCs w:val="24"/>
            <w:u w:val="single"/>
          </w:rPr>
          <w:t>https://www.researchgate.net/profile/Kelvin-Adim-Mordi/publication/394032413_Financial_Flexibility_in_RD_Investment_A_Study_of_Operating_Cash_Flow_Earnings_before_Interest_and_Tax_and_Gearing_Ratio/links/68854a77253dcb78df887e25/Financial-Flexibility-in-R-D-Investment-A-Study-of-Operating-Cash-Flow-Earnings-before-Interest-and-Tax-and-Gearing-Ratio.pdf</w:t>
        </w:r>
      </w:hyperlink>
    </w:p>
    <w:p w14:paraId="1AEE50F1" w14:textId="77777777" w:rsidR="00C83176" w:rsidRPr="00886FD2" w:rsidRDefault="00C83176" w:rsidP="00C83176">
      <w:pPr>
        <w:spacing w:before="240" w:after="160" w:line="360" w:lineRule="auto"/>
        <w:jc w:val="both"/>
        <w:rPr>
          <w:rFonts w:eastAsia="Times New Roman"/>
          <w:color w:val="1155CC"/>
          <w:sz w:val="24"/>
          <w:szCs w:val="24"/>
          <w:u w:val="single"/>
        </w:rPr>
      </w:pPr>
      <w:r w:rsidRPr="00886FD2">
        <w:rPr>
          <w:rFonts w:eastAsia="Times New Roman"/>
          <w:sz w:val="24"/>
          <w:szCs w:val="24"/>
        </w:rPr>
        <w:t xml:space="preserve">Nworie, G.O., </w:t>
      </w:r>
      <w:proofErr w:type="spellStart"/>
      <w:r w:rsidRPr="00886FD2">
        <w:rPr>
          <w:rFonts w:eastAsia="Times New Roman"/>
          <w:sz w:val="24"/>
          <w:szCs w:val="24"/>
        </w:rPr>
        <w:t>Moedu</w:t>
      </w:r>
      <w:proofErr w:type="spellEnd"/>
      <w:r w:rsidRPr="00886FD2">
        <w:rPr>
          <w:rFonts w:eastAsia="Times New Roman"/>
          <w:sz w:val="24"/>
          <w:szCs w:val="24"/>
        </w:rPr>
        <w:t xml:space="preserve">, V.O. and </w:t>
      </w:r>
      <w:proofErr w:type="spellStart"/>
      <w:r w:rsidRPr="00886FD2">
        <w:rPr>
          <w:rFonts w:eastAsia="Times New Roman"/>
          <w:sz w:val="24"/>
          <w:szCs w:val="24"/>
        </w:rPr>
        <w:t>Onyali</w:t>
      </w:r>
      <w:proofErr w:type="spellEnd"/>
      <w:r w:rsidRPr="00886FD2">
        <w:rPr>
          <w:rFonts w:eastAsia="Times New Roman"/>
          <w:sz w:val="24"/>
          <w:szCs w:val="24"/>
        </w:rPr>
        <w:t xml:space="preserve">, C.I., 2023. Contribution of current assets management to the financial performance of listed consumer goods firms in Nigeria. </w:t>
      </w:r>
      <w:r w:rsidRPr="00886FD2">
        <w:rPr>
          <w:rFonts w:eastAsia="Times New Roman"/>
          <w:i/>
          <w:iCs/>
          <w:sz w:val="24"/>
          <w:szCs w:val="24"/>
        </w:rPr>
        <w:t>International Journal of Trend in Scientific Research and Development</w:t>
      </w:r>
      <w:r w:rsidRPr="00886FD2">
        <w:rPr>
          <w:rFonts w:eastAsia="Times New Roman"/>
          <w:sz w:val="24"/>
          <w:szCs w:val="24"/>
        </w:rPr>
        <w:t xml:space="preserve">, </w:t>
      </w:r>
      <w:r w:rsidRPr="00886FD2">
        <w:rPr>
          <w:rFonts w:eastAsia="Times New Roman"/>
          <w:i/>
          <w:iCs/>
          <w:sz w:val="24"/>
          <w:szCs w:val="24"/>
        </w:rPr>
        <w:t>7</w:t>
      </w:r>
      <w:r w:rsidRPr="00886FD2">
        <w:rPr>
          <w:rFonts w:eastAsia="Times New Roman"/>
          <w:sz w:val="24"/>
          <w:szCs w:val="24"/>
        </w:rPr>
        <w:t>(1), pp.77-87.</w:t>
      </w:r>
      <w:hyperlink r:id="rId55">
        <w:r w:rsidRPr="00886FD2">
          <w:rPr>
            <w:rFonts w:eastAsia="Times New Roman"/>
            <w:sz w:val="24"/>
            <w:szCs w:val="24"/>
          </w:rPr>
          <w:t xml:space="preserve"> </w:t>
        </w:r>
      </w:hyperlink>
      <w:hyperlink r:id="rId56">
        <w:r w:rsidRPr="00886FD2">
          <w:rPr>
            <w:rFonts w:eastAsia="Times New Roman"/>
            <w:color w:val="1155CC"/>
            <w:sz w:val="24"/>
            <w:szCs w:val="24"/>
            <w:u w:val="single"/>
          </w:rPr>
          <w:t>https://scholar.archive.org/work/mdlbi2hanraitgfektlykiu5wa/access/wayback/https://jurnal.narotama.ac.id/index.php/ijebd/article/download/1897/1330</w:t>
        </w:r>
      </w:hyperlink>
    </w:p>
    <w:p w14:paraId="43A3FE66" w14:textId="77777777" w:rsidR="00C83176" w:rsidRPr="00886FD2" w:rsidRDefault="00C83176" w:rsidP="00C83176">
      <w:pPr>
        <w:spacing w:before="240" w:after="160" w:line="360" w:lineRule="auto"/>
        <w:jc w:val="both"/>
        <w:rPr>
          <w:rFonts w:eastAsia="Times New Roman"/>
          <w:color w:val="1155CC"/>
          <w:sz w:val="24"/>
          <w:szCs w:val="24"/>
          <w:u w:val="single"/>
        </w:rPr>
      </w:pPr>
      <w:r w:rsidRPr="00886FD2">
        <w:rPr>
          <w:rFonts w:eastAsia="Times New Roman"/>
          <w:sz w:val="24"/>
          <w:szCs w:val="24"/>
        </w:rPr>
        <w:t xml:space="preserve">Pratama, B.A. and </w:t>
      </w:r>
      <w:proofErr w:type="spellStart"/>
      <w:r w:rsidRPr="00886FD2">
        <w:rPr>
          <w:rFonts w:eastAsia="Times New Roman"/>
          <w:sz w:val="24"/>
          <w:szCs w:val="24"/>
        </w:rPr>
        <w:t>Makaliwe</w:t>
      </w:r>
      <w:proofErr w:type="spellEnd"/>
      <w:r w:rsidRPr="00886FD2">
        <w:rPr>
          <w:rFonts w:eastAsia="Times New Roman"/>
          <w:sz w:val="24"/>
          <w:szCs w:val="24"/>
        </w:rPr>
        <w:t xml:space="preserve">, W.A., 2025. Scenario Planning Analysis of Companies that Help Save Other Companies Experiencing Financial Distress. </w:t>
      </w:r>
      <w:proofErr w:type="spellStart"/>
      <w:r w:rsidRPr="00886FD2">
        <w:rPr>
          <w:rFonts w:eastAsia="Times New Roman"/>
          <w:i/>
          <w:iCs/>
          <w:sz w:val="24"/>
          <w:szCs w:val="24"/>
        </w:rPr>
        <w:t>Eduvest</w:t>
      </w:r>
      <w:proofErr w:type="spellEnd"/>
      <w:r w:rsidRPr="00886FD2">
        <w:rPr>
          <w:rFonts w:eastAsia="Times New Roman"/>
          <w:i/>
          <w:iCs/>
          <w:sz w:val="24"/>
          <w:szCs w:val="24"/>
        </w:rPr>
        <w:t>-Journal of Universal Studies</w:t>
      </w:r>
      <w:r w:rsidRPr="00886FD2">
        <w:rPr>
          <w:rFonts w:eastAsia="Times New Roman"/>
          <w:sz w:val="24"/>
          <w:szCs w:val="24"/>
        </w:rPr>
        <w:t xml:space="preserve">, </w:t>
      </w:r>
      <w:r w:rsidRPr="00886FD2">
        <w:rPr>
          <w:rFonts w:eastAsia="Times New Roman"/>
          <w:i/>
          <w:iCs/>
          <w:sz w:val="24"/>
          <w:szCs w:val="24"/>
        </w:rPr>
        <w:t>5</w:t>
      </w:r>
      <w:r w:rsidRPr="00886FD2">
        <w:rPr>
          <w:rFonts w:eastAsia="Times New Roman"/>
          <w:sz w:val="24"/>
          <w:szCs w:val="24"/>
        </w:rPr>
        <w:t>(9), pp.11125-11137.</w:t>
      </w:r>
      <w:hyperlink r:id="rId57">
        <w:r w:rsidRPr="00886FD2">
          <w:rPr>
            <w:rFonts w:eastAsia="Times New Roman"/>
            <w:sz w:val="24"/>
            <w:szCs w:val="24"/>
          </w:rPr>
          <w:t xml:space="preserve"> </w:t>
        </w:r>
      </w:hyperlink>
      <w:hyperlink r:id="rId58">
        <w:r w:rsidRPr="00886FD2">
          <w:rPr>
            <w:rFonts w:eastAsia="Times New Roman"/>
            <w:color w:val="1155CC"/>
            <w:sz w:val="24"/>
            <w:szCs w:val="24"/>
            <w:u w:val="single"/>
          </w:rPr>
          <w:t>http://eduvest.greenvest.co.id/index.php/edv/article/download/52057/4523</w:t>
        </w:r>
      </w:hyperlink>
    </w:p>
    <w:p w14:paraId="05636886" w14:textId="77777777" w:rsidR="00C83176" w:rsidRPr="00886FD2" w:rsidRDefault="00C83176" w:rsidP="00C83176">
      <w:pPr>
        <w:spacing w:before="240" w:after="160" w:line="360" w:lineRule="auto"/>
        <w:jc w:val="both"/>
        <w:rPr>
          <w:rFonts w:eastAsia="Times New Roman"/>
          <w:sz w:val="24"/>
          <w:szCs w:val="24"/>
        </w:rPr>
      </w:pPr>
      <w:r w:rsidRPr="00886FD2">
        <w:rPr>
          <w:rFonts w:eastAsia="Times New Roman"/>
          <w:sz w:val="24"/>
          <w:szCs w:val="24"/>
        </w:rPr>
        <w:t xml:space="preserve">SEC (2026) </w:t>
      </w:r>
      <w:r w:rsidRPr="00886FD2">
        <w:rPr>
          <w:rFonts w:eastAsia="Times New Roman"/>
          <w:i/>
          <w:iCs/>
          <w:sz w:val="24"/>
          <w:szCs w:val="24"/>
        </w:rPr>
        <w:t>Hilton Worldwide Holdings Inc.</w:t>
      </w:r>
      <w:r w:rsidRPr="00886FD2">
        <w:rPr>
          <w:rFonts w:eastAsia="Times New Roman"/>
          <w:sz w:val="24"/>
          <w:szCs w:val="24"/>
        </w:rPr>
        <w:t xml:space="preserve"> Available form:</w:t>
      </w:r>
      <w:hyperlink r:id="rId59">
        <w:r w:rsidRPr="00886FD2">
          <w:rPr>
            <w:rFonts w:eastAsia="Times New Roman"/>
            <w:sz w:val="24"/>
            <w:szCs w:val="24"/>
          </w:rPr>
          <w:t xml:space="preserve"> </w:t>
        </w:r>
      </w:hyperlink>
      <w:hyperlink r:id="rId60">
        <w:r w:rsidRPr="00886FD2">
          <w:rPr>
            <w:rFonts w:eastAsia="Times New Roman"/>
            <w:color w:val="1155CC"/>
            <w:sz w:val="24"/>
            <w:szCs w:val="24"/>
            <w:u w:val="single"/>
          </w:rPr>
          <w:t>https://www.sec.gov/Archives/edgar/data/1585689/000158568924000191/hlt-20240930.htm</w:t>
        </w:r>
      </w:hyperlink>
      <w:r w:rsidRPr="00886FD2">
        <w:rPr>
          <w:rFonts w:eastAsia="Times New Roman"/>
          <w:sz w:val="24"/>
          <w:szCs w:val="24"/>
        </w:rPr>
        <w:t xml:space="preserve"> Accessed on 17.07.2026</w:t>
      </w:r>
    </w:p>
    <w:p w14:paraId="51AD8B82" w14:textId="6B2EC751" w:rsidR="00C83176" w:rsidRPr="00886FD2" w:rsidRDefault="00C83176" w:rsidP="00C83176">
      <w:pPr>
        <w:pStyle w:val="NormalWeb"/>
        <w:spacing w:before="240" w:beforeAutospacing="0" w:after="200" w:afterAutospacing="0" w:line="360" w:lineRule="auto"/>
        <w:jc w:val="both"/>
        <w:rPr>
          <w:rFonts w:ascii="Arial" w:hAnsi="Arial" w:cs="Arial"/>
          <w:lang w:val="en-GB"/>
        </w:rPr>
      </w:pPr>
      <w:r w:rsidRPr="00886FD2">
        <w:rPr>
          <w:rFonts w:ascii="Arial" w:hAnsi="Arial" w:cs="Arial"/>
          <w:color w:val="000000"/>
          <w:lang w:val="en-GB"/>
        </w:rPr>
        <w:t xml:space="preserve">Sustainability Reports (2023). </w:t>
      </w:r>
      <w:r w:rsidRPr="00886FD2">
        <w:rPr>
          <w:rFonts w:ascii="Arial" w:hAnsi="Arial" w:cs="Arial"/>
          <w:i/>
          <w:iCs/>
          <w:color w:val="000000"/>
          <w:lang w:val="en-GB"/>
        </w:rPr>
        <w:t>Hilton Worldwide Holdings Inc</w:t>
      </w:r>
      <w:r w:rsidRPr="00886FD2">
        <w:rPr>
          <w:rFonts w:ascii="Arial" w:hAnsi="Arial" w:cs="Arial"/>
          <w:color w:val="000000"/>
          <w:lang w:val="en-GB"/>
        </w:rPr>
        <w:t>. Available from</w:t>
      </w:r>
      <w:r w:rsidR="00886FD2">
        <w:rPr>
          <w:rFonts w:ascii="Arial" w:hAnsi="Arial" w:cs="Arial"/>
          <w:color w:val="000000"/>
          <w:lang w:val="en-GB"/>
        </w:rPr>
        <w:t xml:space="preserve"> </w:t>
      </w:r>
      <w:hyperlink r:id="rId61" w:history="1">
        <w:r w:rsidRPr="00886FD2">
          <w:rPr>
            <w:rStyle w:val="Hyperlink"/>
            <w:rFonts w:ascii="Arial" w:hAnsi="Arial" w:cs="Arial"/>
            <w:color w:val="1155CC"/>
            <w:lang w:val="en-GB"/>
          </w:rPr>
          <w:t>https://www.sustainabilityreports.com/hilton-worldwide/2024/travel-with-purpose-report</w:t>
        </w:r>
      </w:hyperlink>
      <w:r w:rsidRPr="00886FD2">
        <w:rPr>
          <w:rFonts w:ascii="Arial" w:hAnsi="Arial" w:cs="Arial"/>
          <w:color w:val="000000"/>
          <w:lang w:val="en-GB"/>
        </w:rPr>
        <w:t>. Accessed on 17.7.2026</w:t>
      </w:r>
    </w:p>
    <w:p w14:paraId="09CDE83A" w14:textId="2410859E" w:rsidR="00C83176" w:rsidRPr="00886FD2" w:rsidRDefault="00C83176" w:rsidP="00C83176">
      <w:pPr>
        <w:pStyle w:val="NormalWeb"/>
        <w:spacing w:before="240" w:beforeAutospacing="0" w:after="200" w:afterAutospacing="0" w:line="360" w:lineRule="auto"/>
        <w:jc w:val="both"/>
        <w:rPr>
          <w:rFonts w:ascii="Arial" w:hAnsi="Arial" w:cs="Arial"/>
          <w:lang w:val="en-GB"/>
        </w:rPr>
      </w:pPr>
      <w:r w:rsidRPr="00886FD2">
        <w:rPr>
          <w:rFonts w:ascii="Arial" w:hAnsi="Arial" w:cs="Arial"/>
          <w:color w:val="000000"/>
          <w:lang w:val="en-GB"/>
        </w:rPr>
        <w:lastRenderedPageBreak/>
        <w:t xml:space="preserve">Sustainability Reports (2024). </w:t>
      </w:r>
      <w:r w:rsidRPr="00886FD2">
        <w:rPr>
          <w:rFonts w:ascii="Arial" w:hAnsi="Arial" w:cs="Arial"/>
          <w:i/>
          <w:iCs/>
          <w:color w:val="000000"/>
          <w:lang w:val="en-GB"/>
        </w:rPr>
        <w:t>Travel with Purpose</w:t>
      </w:r>
      <w:r w:rsidRPr="00886FD2">
        <w:rPr>
          <w:rFonts w:ascii="Arial" w:hAnsi="Arial" w:cs="Arial"/>
          <w:color w:val="000000"/>
          <w:lang w:val="en-GB"/>
        </w:rPr>
        <w:t>. Available from</w:t>
      </w:r>
      <w:r w:rsidR="00886FD2">
        <w:rPr>
          <w:rFonts w:ascii="Arial" w:hAnsi="Arial" w:cs="Arial"/>
          <w:color w:val="000000"/>
          <w:lang w:val="en-GB"/>
        </w:rPr>
        <w:t xml:space="preserve"> </w:t>
      </w:r>
      <w:hyperlink r:id="rId62" w:history="1">
        <w:r w:rsidRPr="00886FD2">
          <w:rPr>
            <w:rStyle w:val="Hyperlink"/>
            <w:rFonts w:ascii="Arial" w:hAnsi="Arial" w:cs="Arial"/>
            <w:color w:val="1155CC"/>
            <w:lang w:val="en-GB"/>
          </w:rPr>
          <w:t>https://travelwithpurpose.hilton.com/wp-content/uploads/sites/4/2025/06/2024Report.pdf</w:t>
        </w:r>
      </w:hyperlink>
      <w:r w:rsidRPr="00886FD2">
        <w:rPr>
          <w:rFonts w:ascii="Arial" w:hAnsi="Arial" w:cs="Arial"/>
          <w:color w:val="000000"/>
          <w:lang w:val="en-GB"/>
        </w:rPr>
        <w:t>. Accessed on 17.7.2026</w:t>
      </w:r>
    </w:p>
    <w:p w14:paraId="3B529F0F" w14:textId="77777777" w:rsidR="00C83176" w:rsidRPr="00886FD2" w:rsidRDefault="00C83176" w:rsidP="00C83176">
      <w:pPr>
        <w:spacing w:before="240" w:after="160" w:line="360" w:lineRule="auto"/>
        <w:jc w:val="both"/>
        <w:rPr>
          <w:rFonts w:eastAsia="Times New Roman"/>
          <w:color w:val="1155CC"/>
          <w:sz w:val="24"/>
          <w:szCs w:val="24"/>
          <w:u w:val="single"/>
        </w:rPr>
      </w:pPr>
      <w:r w:rsidRPr="00886FD2">
        <w:rPr>
          <w:rFonts w:eastAsia="Times New Roman"/>
          <w:sz w:val="24"/>
          <w:szCs w:val="24"/>
        </w:rPr>
        <w:t xml:space="preserve">TĂTĂRANU, V., IONESCU20, C.A., RADU21, F., TOADER, E. and LIȚĂ, A.N., THE EVALUATION OF FINANCIAL PERFORMANCE AS A PREVENTION MECHANISM AND PREDICTIVE INSTRUMENT OF BANKRUPTCY RISK. </w:t>
      </w:r>
      <w:r w:rsidRPr="00886FD2">
        <w:rPr>
          <w:rFonts w:eastAsia="Times New Roman"/>
          <w:i/>
          <w:iCs/>
          <w:sz w:val="24"/>
          <w:szCs w:val="24"/>
        </w:rPr>
        <w:t>Hyperion Economic Journal</w:t>
      </w:r>
      <w:r w:rsidRPr="00886FD2">
        <w:rPr>
          <w:rFonts w:eastAsia="Times New Roman"/>
          <w:sz w:val="24"/>
          <w:szCs w:val="24"/>
        </w:rPr>
        <w:t>, p.85.</w:t>
      </w:r>
      <w:hyperlink r:id="rId63" w:anchor="page=85">
        <w:r w:rsidRPr="00886FD2">
          <w:rPr>
            <w:rFonts w:eastAsia="Times New Roman"/>
            <w:sz w:val="24"/>
            <w:szCs w:val="24"/>
          </w:rPr>
          <w:t xml:space="preserve"> </w:t>
        </w:r>
      </w:hyperlink>
      <w:hyperlink r:id="rId64" w:anchor="page=85">
        <w:r w:rsidRPr="00886FD2">
          <w:rPr>
            <w:rFonts w:eastAsia="Times New Roman"/>
            <w:color w:val="1155CC"/>
            <w:sz w:val="24"/>
            <w:szCs w:val="24"/>
            <w:u w:val="single"/>
          </w:rPr>
          <w:t>https://hej.hyperion.ro/articles/HEJ%20nr1(12)_2025_s.pdf#page=85</w:t>
        </w:r>
      </w:hyperlink>
    </w:p>
    <w:p w14:paraId="6BACDFCF" w14:textId="41DE08D2" w:rsidR="00C83176" w:rsidRPr="00886FD2" w:rsidRDefault="00C83176" w:rsidP="00C83176">
      <w:pPr>
        <w:pStyle w:val="NormalWeb"/>
        <w:spacing w:before="240" w:beforeAutospacing="0" w:after="200" w:afterAutospacing="0" w:line="360" w:lineRule="auto"/>
        <w:jc w:val="both"/>
        <w:rPr>
          <w:rFonts w:ascii="Arial" w:hAnsi="Arial" w:cs="Arial"/>
          <w:lang w:val="en-GB"/>
        </w:rPr>
      </w:pPr>
      <w:proofErr w:type="spellStart"/>
      <w:r w:rsidRPr="00886FD2">
        <w:rPr>
          <w:rFonts w:ascii="Arial" w:hAnsi="Arial" w:cs="Arial"/>
          <w:color w:val="000000"/>
          <w:lang w:val="en-GB"/>
        </w:rPr>
        <w:t>TradingView</w:t>
      </w:r>
      <w:proofErr w:type="spellEnd"/>
      <w:r w:rsidRPr="00886FD2">
        <w:rPr>
          <w:rFonts w:ascii="Arial" w:hAnsi="Arial" w:cs="Arial"/>
          <w:color w:val="000000"/>
          <w:lang w:val="en-GB"/>
        </w:rPr>
        <w:t xml:space="preserve"> (2025). </w:t>
      </w:r>
      <w:r w:rsidRPr="00886FD2">
        <w:rPr>
          <w:rFonts w:ascii="Arial" w:hAnsi="Arial" w:cs="Arial"/>
          <w:i/>
          <w:iCs/>
          <w:color w:val="000000"/>
          <w:lang w:val="en-GB"/>
        </w:rPr>
        <w:t>Hilton Worldwide Holdings Inc. SEC 10-K Report.</w:t>
      </w:r>
      <w:r w:rsidRPr="00886FD2">
        <w:rPr>
          <w:rFonts w:ascii="Arial" w:hAnsi="Arial" w:cs="Arial"/>
          <w:color w:val="000000"/>
          <w:lang w:val="en-GB"/>
        </w:rPr>
        <w:t xml:space="preserve"> Available from</w:t>
      </w:r>
      <w:r w:rsidR="00886FD2">
        <w:rPr>
          <w:rFonts w:ascii="Arial" w:hAnsi="Arial" w:cs="Arial"/>
          <w:color w:val="000000"/>
          <w:lang w:val="en-GB"/>
        </w:rPr>
        <w:t xml:space="preserve"> </w:t>
      </w:r>
      <w:hyperlink r:id="rId65" w:history="1">
        <w:r w:rsidRPr="00886FD2">
          <w:rPr>
            <w:rStyle w:val="Hyperlink"/>
            <w:rFonts w:ascii="Arial" w:hAnsi="Arial" w:cs="Arial"/>
            <w:color w:val="1155CC"/>
            <w:lang w:val="en-GB"/>
          </w:rPr>
          <w:t>https://www.tradingview.com/news/tradingview:a40ef57379900:0-hilton-worldwide-holdings-inc-sec-10-k-report/</w:t>
        </w:r>
      </w:hyperlink>
      <w:r w:rsidRPr="00886FD2">
        <w:rPr>
          <w:rFonts w:ascii="Arial" w:hAnsi="Arial" w:cs="Arial"/>
          <w:color w:val="000000"/>
          <w:lang w:val="en-GB"/>
        </w:rPr>
        <w:t>. Accessed on 17.7.2026</w:t>
      </w:r>
    </w:p>
    <w:p w14:paraId="6212EE79" w14:textId="3F8F3DAD" w:rsidR="00C83176" w:rsidRPr="00886FD2" w:rsidRDefault="00C83176" w:rsidP="00C83176">
      <w:pPr>
        <w:pStyle w:val="NormalWeb"/>
        <w:spacing w:before="240" w:beforeAutospacing="0" w:after="200" w:afterAutospacing="0" w:line="360" w:lineRule="auto"/>
        <w:jc w:val="both"/>
        <w:rPr>
          <w:rFonts w:ascii="Arial" w:hAnsi="Arial" w:cs="Arial"/>
          <w:lang w:val="en-GB"/>
        </w:rPr>
      </w:pPr>
      <w:proofErr w:type="spellStart"/>
      <w:r w:rsidRPr="00886FD2">
        <w:rPr>
          <w:rFonts w:ascii="Arial" w:hAnsi="Arial" w:cs="Arial"/>
          <w:color w:val="000000"/>
          <w:lang w:val="en-GB"/>
        </w:rPr>
        <w:t>Umbrex</w:t>
      </w:r>
      <w:proofErr w:type="spellEnd"/>
      <w:r w:rsidRPr="00886FD2">
        <w:rPr>
          <w:rFonts w:ascii="Arial" w:hAnsi="Arial" w:cs="Arial"/>
          <w:color w:val="000000"/>
          <w:lang w:val="en-GB"/>
        </w:rPr>
        <w:t xml:space="preserve"> (2026). </w:t>
      </w:r>
      <w:r w:rsidRPr="00886FD2">
        <w:rPr>
          <w:rFonts w:ascii="Arial" w:hAnsi="Arial" w:cs="Arial"/>
          <w:i/>
          <w:iCs/>
          <w:color w:val="000000"/>
          <w:lang w:val="en-GB"/>
        </w:rPr>
        <w:t>Hilton Strategy and Business Model.</w:t>
      </w:r>
      <w:r w:rsidRPr="00886FD2">
        <w:rPr>
          <w:rFonts w:ascii="Arial" w:hAnsi="Arial" w:cs="Arial"/>
          <w:color w:val="000000"/>
          <w:lang w:val="en-GB"/>
        </w:rPr>
        <w:t xml:space="preserve"> Available from</w:t>
      </w:r>
      <w:r w:rsidR="00886FD2">
        <w:rPr>
          <w:rFonts w:ascii="Arial" w:hAnsi="Arial" w:cs="Arial"/>
          <w:color w:val="000000"/>
          <w:lang w:val="en-GB"/>
        </w:rPr>
        <w:t xml:space="preserve"> </w:t>
      </w:r>
      <w:hyperlink r:id="rId66" w:history="1">
        <w:r w:rsidRPr="00886FD2">
          <w:rPr>
            <w:rStyle w:val="Hyperlink"/>
            <w:rFonts w:ascii="Arial" w:hAnsi="Arial" w:cs="Arial"/>
            <w:color w:val="1155CC"/>
            <w:lang w:val="en-GB"/>
          </w:rPr>
          <w:t>https://umbrex.com/resources/company-profiles/hilton/</w:t>
        </w:r>
      </w:hyperlink>
      <w:r w:rsidRPr="00886FD2">
        <w:rPr>
          <w:rFonts w:ascii="Arial" w:hAnsi="Arial" w:cs="Arial"/>
          <w:color w:val="000000"/>
          <w:lang w:val="en-GB"/>
        </w:rPr>
        <w:t>. Accessed on 17.7.2026</w:t>
      </w:r>
    </w:p>
    <w:p w14:paraId="0B5395EA" w14:textId="50351222" w:rsidR="00C83176" w:rsidRPr="00886FD2" w:rsidRDefault="00C83176" w:rsidP="00C83176">
      <w:pPr>
        <w:pStyle w:val="NormalWeb"/>
        <w:spacing w:before="240" w:beforeAutospacing="0" w:after="200" w:afterAutospacing="0" w:line="360" w:lineRule="auto"/>
        <w:jc w:val="both"/>
        <w:rPr>
          <w:rFonts w:ascii="Arial" w:hAnsi="Arial" w:cs="Arial"/>
          <w:lang w:val="en-GB"/>
        </w:rPr>
      </w:pPr>
      <w:proofErr w:type="spellStart"/>
      <w:r w:rsidRPr="00886FD2">
        <w:rPr>
          <w:rFonts w:ascii="Arial" w:hAnsi="Arial" w:cs="Arial"/>
          <w:color w:val="222222"/>
          <w:shd w:val="clear" w:color="auto" w:fill="FFFFFF"/>
          <w:lang w:val="en-GB"/>
        </w:rPr>
        <w:t>Usodan</w:t>
      </w:r>
      <w:proofErr w:type="spellEnd"/>
      <w:r w:rsidRPr="00886FD2">
        <w:rPr>
          <w:rFonts w:ascii="Arial" w:hAnsi="Arial" w:cs="Arial"/>
          <w:color w:val="222222"/>
          <w:shd w:val="clear" w:color="auto" w:fill="FFFFFF"/>
          <w:lang w:val="en-GB"/>
        </w:rPr>
        <w:t xml:space="preserve">, </w:t>
      </w:r>
      <w:proofErr w:type="spellStart"/>
      <w:proofErr w:type="gramStart"/>
      <w:r w:rsidRPr="00886FD2">
        <w:rPr>
          <w:rFonts w:ascii="Arial" w:hAnsi="Arial" w:cs="Arial"/>
          <w:color w:val="222222"/>
          <w:shd w:val="clear" w:color="auto" w:fill="FFFFFF"/>
          <w:lang w:val="en-GB"/>
        </w:rPr>
        <w:t>A.K.M.,</w:t>
      </w:r>
      <w:r w:rsidR="00D2176F">
        <w:rPr>
          <w:rFonts w:ascii="Arial" w:hAnsi="Arial" w:cs="Arial"/>
          <w:color w:val="222222"/>
          <w:shd w:val="clear" w:color="auto" w:fill="FFFFFF"/>
          <w:lang w:val="en-GB"/>
        </w:rPr>
        <w:t>et.al</w:t>
      </w:r>
      <w:proofErr w:type="spellEnd"/>
      <w:proofErr w:type="gramEnd"/>
      <w:r w:rsidRPr="00886FD2">
        <w:rPr>
          <w:rFonts w:ascii="Arial" w:hAnsi="Arial" w:cs="Arial"/>
          <w:color w:val="222222"/>
          <w:shd w:val="clear" w:color="auto" w:fill="FFFFFF"/>
          <w:lang w:val="en-GB"/>
        </w:rPr>
        <w:t xml:space="preserve">, 2025. Making the Right Choice: A Literature-Based Analysis on Investment Appraisal. </w:t>
      </w:r>
      <w:r w:rsidRPr="00886FD2">
        <w:rPr>
          <w:rFonts w:ascii="Arial" w:hAnsi="Arial" w:cs="Arial"/>
          <w:i/>
          <w:iCs/>
          <w:color w:val="222222"/>
          <w:shd w:val="clear" w:color="auto" w:fill="FFFFFF"/>
          <w:lang w:val="en-GB"/>
        </w:rPr>
        <w:t>International Research Journal of Economics and Management Studies IRJEMS</w:t>
      </w:r>
      <w:r w:rsidRPr="00886FD2">
        <w:rPr>
          <w:rFonts w:ascii="Arial" w:hAnsi="Arial" w:cs="Arial"/>
          <w:color w:val="222222"/>
          <w:shd w:val="clear" w:color="auto" w:fill="FFFFFF"/>
          <w:lang w:val="en-GB"/>
        </w:rPr>
        <w:t xml:space="preserve">, </w:t>
      </w:r>
      <w:r w:rsidRPr="00886FD2">
        <w:rPr>
          <w:rFonts w:ascii="Arial" w:hAnsi="Arial" w:cs="Arial"/>
          <w:i/>
          <w:iCs/>
          <w:color w:val="222222"/>
          <w:shd w:val="clear" w:color="auto" w:fill="FFFFFF"/>
          <w:lang w:val="en-GB"/>
        </w:rPr>
        <w:t>4</w:t>
      </w:r>
      <w:r w:rsidRPr="00886FD2">
        <w:rPr>
          <w:rFonts w:ascii="Arial" w:hAnsi="Arial" w:cs="Arial"/>
          <w:color w:val="222222"/>
          <w:shd w:val="clear" w:color="auto" w:fill="FFFFFF"/>
          <w:lang w:val="en-GB"/>
        </w:rPr>
        <w:t>(11).</w:t>
      </w:r>
      <w:r w:rsidRPr="00886FD2">
        <w:rPr>
          <w:rFonts w:ascii="Arial" w:hAnsi="Arial" w:cs="Arial"/>
          <w:color w:val="000000"/>
          <w:lang w:val="en-GB"/>
        </w:rPr>
        <w:t xml:space="preserve"> </w:t>
      </w:r>
      <w:hyperlink r:id="rId67" w:history="1">
        <w:r w:rsidRPr="00886FD2">
          <w:rPr>
            <w:rStyle w:val="Hyperlink"/>
            <w:rFonts w:ascii="Arial" w:hAnsi="Arial" w:cs="Arial"/>
            <w:color w:val="1155CC"/>
            <w:lang w:val="en-GB"/>
          </w:rPr>
          <w:t>https://irjems.org/Volume-4-Issue-11/IRJEMS-V4I11P113.pdf</w:t>
        </w:r>
      </w:hyperlink>
      <w:r w:rsidRPr="00886FD2">
        <w:rPr>
          <w:rFonts w:ascii="Arial" w:hAnsi="Arial" w:cs="Arial"/>
          <w:color w:val="000000"/>
          <w:lang w:val="en-GB"/>
        </w:rPr>
        <w:t>.</w:t>
      </w:r>
    </w:p>
    <w:p w14:paraId="20AAF273" w14:textId="77777777" w:rsidR="00C83176" w:rsidRPr="00886FD2" w:rsidRDefault="00C83176" w:rsidP="00C83176">
      <w:pPr>
        <w:pStyle w:val="NormalWeb"/>
        <w:spacing w:before="240" w:beforeAutospacing="0" w:after="200" w:afterAutospacing="0" w:line="360" w:lineRule="auto"/>
        <w:jc w:val="both"/>
        <w:rPr>
          <w:rFonts w:ascii="Arial" w:hAnsi="Arial" w:cs="Arial"/>
          <w:lang w:val="en-GB"/>
        </w:rPr>
      </w:pPr>
      <w:r w:rsidRPr="00886FD2">
        <w:rPr>
          <w:rFonts w:ascii="Arial" w:hAnsi="Arial" w:cs="Arial"/>
          <w:color w:val="222222"/>
          <w:shd w:val="clear" w:color="auto" w:fill="FFFFFF"/>
          <w:lang w:val="en-GB"/>
        </w:rPr>
        <w:t xml:space="preserve">Warning, H.O., </w:t>
      </w:r>
      <w:proofErr w:type="spellStart"/>
      <w:r w:rsidRPr="00886FD2">
        <w:rPr>
          <w:rFonts w:ascii="Arial" w:hAnsi="Arial" w:cs="Arial"/>
          <w:color w:val="222222"/>
          <w:shd w:val="clear" w:color="auto" w:fill="FFFFFF"/>
          <w:lang w:val="en-GB"/>
        </w:rPr>
        <w:t>Grömling</w:t>
      </w:r>
      <w:proofErr w:type="spellEnd"/>
      <w:r w:rsidRPr="00886FD2">
        <w:rPr>
          <w:rFonts w:ascii="Arial" w:hAnsi="Arial" w:cs="Arial"/>
          <w:color w:val="222222"/>
          <w:shd w:val="clear" w:color="auto" w:fill="FFFFFF"/>
          <w:lang w:val="en-GB"/>
        </w:rPr>
        <w:t xml:space="preserve">, M. and Schulke, A., 2023. </w:t>
      </w:r>
      <w:r w:rsidRPr="00886FD2">
        <w:rPr>
          <w:rFonts w:ascii="Arial" w:hAnsi="Arial" w:cs="Arial"/>
          <w:i/>
          <w:iCs/>
          <w:color w:val="222222"/>
          <w:shd w:val="clear" w:color="auto" w:fill="FFFFFF"/>
          <w:lang w:val="en-GB"/>
        </w:rPr>
        <w:t xml:space="preserve">Cash IS </w:t>
      </w:r>
      <w:proofErr w:type="gramStart"/>
      <w:r w:rsidRPr="00886FD2">
        <w:rPr>
          <w:rFonts w:ascii="Arial" w:hAnsi="Arial" w:cs="Arial"/>
          <w:i/>
          <w:iCs/>
          <w:color w:val="222222"/>
          <w:shd w:val="clear" w:color="auto" w:fill="FFFFFF"/>
          <w:lang w:val="en-GB"/>
        </w:rPr>
        <w:t>king!–</w:t>
      </w:r>
      <w:proofErr w:type="gramEnd"/>
      <w:r w:rsidRPr="00886FD2">
        <w:rPr>
          <w:rFonts w:ascii="Arial" w:hAnsi="Arial" w:cs="Arial"/>
          <w:i/>
          <w:iCs/>
          <w:color w:val="222222"/>
          <w:shd w:val="clear" w:color="auto" w:fill="FFFFFF"/>
          <w:lang w:val="en-GB"/>
        </w:rPr>
        <w:t>Securing liquidity in economic crisis</w:t>
      </w:r>
      <w:r w:rsidRPr="00886FD2">
        <w:rPr>
          <w:rFonts w:ascii="Arial" w:hAnsi="Arial" w:cs="Arial"/>
          <w:color w:val="222222"/>
          <w:shd w:val="clear" w:color="auto" w:fill="FFFFFF"/>
          <w:lang w:val="en-GB"/>
        </w:rPr>
        <w:t xml:space="preserve"> (No. 1 (April 2023)). IU Discussion Papers-Business &amp; Management.</w:t>
      </w:r>
      <w:r w:rsidRPr="00886FD2">
        <w:rPr>
          <w:rFonts w:ascii="Arial" w:hAnsi="Arial" w:cs="Arial"/>
          <w:color w:val="000000"/>
          <w:lang w:val="en-GB"/>
        </w:rPr>
        <w:t xml:space="preserve"> </w:t>
      </w:r>
      <w:hyperlink r:id="rId68" w:history="1">
        <w:r w:rsidRPr="00886FD2">
          <w:rPr>
            <w:rStyle w:val="Hyperlink"/>
            <w:rFonts w:ascii="Arial" w:hAnsi="Arial" w:cs="Arial"/>
            <w:color w:val="1155CC"/>
            <w:lang w:val="en-GB"/>
          </w:rPr>
          <w:t>https://www.econstor.eu/bitstream/10419/271063/1/1843710609.pdf</w:t>
        </w:r>
      </w:hyperlink>
    </w:p>
    <w:p w14:paraId="00000032" w14:textId="0E9E97C6" w:rsidR="00EA21F4" w:rsidRPr="00886FD2" w:rsidRDefault="00EA21F4">
      <w:pPr>
        <w:rPr>
          <w:rFonts w:eastAsia="Times New Roman"/>
          <w:sz w:val="24"/>
          <w:szCs w:val="24"/>
        </w:rPr>
      </w:pPr>
      <w:r w:rsidRPr="00886FD2">
        <w:rPr>
          <w:rFonts w:eastAsia="Times New Roman"/>
          <w:sz w:val="24"/>
          <w:szCs w:val="24"/>
        </w:rPr>
        <w:br w:type="page"/>
      </w:r>
    </w:p>
    <w:p w14:paraId="7531365B" w14:textId="1D24592D" w:rsidR="00E36F9D" w:rsidRPr="00886FD2" w:rsidRDefault="00EA21F4" w:rsidP="00EA21F4">
      <w:pPr>
        <w:pStyle w:val="Heading1"/>
      </w:pPr>
      <w:bookmarkStart w:id="60" w:name="_Toc235207168"/>
      <w:bookmarkStart w:id="61" w:name="_Toc235207393"/>
      <w:r w:rsidRPr="00886FD2">
        <w:lastRenderedPageBreak/>
        <w:t>Appendices</w:t>
      </w:r>
      <w:bookmarkEnd w:id="60"/>
      <w:bookmarkEnd w:id="61"/>
      <w:r w:rsidRPr="00886FD2">
        <w:t xml:space="preserve"> </w:t>
      </w:r>
    </w:p>
    <w:p w14:paraId="75A85723" w14:textId="1B7E594B" w:rsidR="00EA21F4" w:rsidRPr="00886FD2" w:rsidRDefault="00EA21F4" w:rsidP="00EA21F4">
      <w:pPr>
        <w:pStyle w:val="Heading2"/>
      </w:pPr>
      <w:bookmarkStart w:id="62" w:name="_Toc235207169"/>
      <w:bookmarkStart w:id="63" w:name="_Toc235207394"/>
      <w:r w:rsidRPr="00886FD2">
        <w:t>Appendix A: Ratio tables and graphs.</w:t>
      </w:r>
      <w:bookmarkEnd w:id="62"/>
      <w:bookmarkEnd w:id="63"/>
    </w:p>
    <w:tbl>
      <w:tblPr>
        <w:tblW w:w="5000" w:type="pct"/>
        <w:tblLook w:val="04A0" w:firstRow="1" w:lastRow="0" w:firstColumn="1" w:lastColumn="0" w:noHBand="0" w:noVBand="1"/>
      </w:tblPr>
      <w:tblGrid>
        <w:gridCol w:w="2319"/>
        <w:gridCol w:w="3090"/>
        <w:gridCol w:w="722"/>
        <w:gridCol w:w="722"/>
        <w:gridCol w:w="722"/>
        <w:gridCol w:w="722"/>
        <w:gridCol w:w="722"/>
      </w:tblGrid>
      <w:tr w:rsidR="00EA21F4" w:rsidRPr="00886FD2" w14:paraId="30399DB4" w14:textId="77777777" w:rsidTr="00EA21F4">
        <w:trPr>
          <w:trHeight w:val="300"/>
        </w:trPr>
        <w:tc>
          <w:tcPr>
            <w:tcW w:w="3013" w:type="pct"/>
            <w:gridSpan w:val="2"/>
            <w:tcBorders>
              <w:top w:val="single" w:sz="4" w:space="0" w:color="auto"/>
              <w:left w:val="single" w:sz="4" w:space="0" w:color="auto"/>
              <w:bottom w:val="single" w:sz="4" w:space="0" w:color="auto"/>
              <w:right w:val="single" w:sz="4" w:space="0" w:color="auto"/>
            </w:tcBorders>
            <w:noWrap/>
            <w:vAlign w:val="bottom"/>
            <w:hideMark/>
          </w:tcPr>
          <w:p w14:paraId="7BC76948" w14:textId="77777777" w:rsidR="00EA21F4" w:rsidRPr="00886FD2" w:rsidRDefault="00EA21F4" w:rsidP="00EA21F4">
            <w:pPr>
              <w:spacing w:after="240" w:line="360" w:lineRule="auto"/>
              <w:jc w:val="center"/>
              <w:rPr>
                <w:rFonts w:eastAsia="Times New Roman"/>
                <w:b/>
                <w:bCs/>
                <w:i/>
                <w:iCs/>
                <w:color w:val="000000"/>
                <w:sz w:val="24"/>
                <w:szCs w:val="24"/>
              </w:rPr>
            </w:pPr>
            <w:r w:rsidRPr="00886FD2">
              <w:rPr>
                <w:rFonts w:eastAsia="Times New Roman"/>
                <w:b/>
                <w:bCs/>
                <w:i/>
                <w:iCs/>
                <w:color w:val="000000"/>
                <w:sz w:val="24"/>
                <w:szCs w:val="24"/>
              </w:rPr>
              <w:t>Financial Item</w:t>
            </w:r>
          </w:p>
        </w:tc>
        <w:tc>
          <w:tcPr>
            <w:tcW w:w="397" w:type="pct"/>
            <w:tcBorders>
              <w:top w:val="single" w:sz="4" w:space="0" w:color="auto"/>
              <w:left w:val="nil"/>
              <w:bottom w:val="single" w:sz="4" w:space="0" w:color="auto"/>
              <w:right w:val="single" w:sz="4" w:space="0" w:color="auto"/>
            </w:tcBorders>
            <w:noWrap/>
            <w:vAlign w:val="bottom"/>
            <w:hideMark/>
          </w:tcPr>
          <w:p w14:paraId="2C1EE339" w14:textId="77777777" w:rsidR="00EA21F4" w:rsidRPr="00886FD2" w:rsidRDefault="00EA21F4" w:rsidP="00EA21F4">
            <w:pPr>
              <w:spacing w:after="240" w:line="360" w:lineRule="auto"/>
              <w:jc w:val="center"/>
              <w:rPr>
                <w:rFonts w:eastAsia="Times New Roman"/>
                <w:b/>
                <w:bCs/>
                <w:i/>
                <w:iCs/>
                <w:color w:val="000000"/>
                <w:sz w:val="24"/>
                <w:szCs w:val="24"/>
              </w:rPr>
            </w:pPr>
            <w:r w:rsidRPr="00886FD2">
              <w:rPr>
                <w:rFonts w:eastAsia="Times New Roman"/>
                <w:b/>
                <w:bCs/>
                <w:i/>
                <w:iCs/>
                <w:color w:val="000000"/>
                <w:sz w:val="24"/>
                <w:szCs w:val="24"/>
              </w:rPr>
              <w:t>2021</w:t>
            </w:r>
          </w:p>
        </w:tc>
        <w:tc>
          <w:tcPr>
            <w:tcW w:w="397" w:type="pct"/>
            <w:tcBorders>
              <w:top w:val="single" w:sz="4" w:space="0" w:color="auto"/>
              <w:left w:val="nil"/>
              <w:bottom w:val="single" w:sz="4" w:space="0" w:color="auto"/>
              <w:right w:val="single" w:sz="4" w:space="0" w:color="auto"/>
            </w:tcBorders>
            <w:noWrap/>
            <w:vAlign w:val="bottom"/>
            <w:hideMark/>
          </w:tcPr>
          <w:p w14:paraId="37FFC31F" w14:textId="77777777" w:rsidR="00EA21F4" w:rsidRPr="00886FD2" w:rsidRDefault="00EA21F4" w:rsidP="00EA21F4">
            <w:pPr>
              <w:spacing w:after="240" w:line="360" w:lineRule="auto"/>
              <w:jc w:val="center"/>
              <w:rPr>
                <w:rFonts w:eastAsia="Times New Roman"/>
                <w:b/>
                <w:bCs/>
                <w:i/>
                <w:iCs/>
                <w:color w:val="000000"/>
                <w:sz w:val="24"/>
                <w:szCs w:val="24"/>
              </w:rPr>
            </w:pPr>
            <w:r w:rsidRPr="00886FD2">
              <w:rPr>
                <w:rFonts w:eastAsia="Times New Roman"/>
                <w:b/>
                <w:bCs/>
                <w:i/>
                <w:iCs/>
                <w:color w:val="000000"/>
                <w:sz w:val="24"/>
                <w:szCs w:val="24"/>
              </w:rPr>
              <w:t>2022</w:t>
            </w:r>
          </w:p>
        </w:tc>
        <w:tc>
          <w:tcPr>
            <w:tcW w:w="397" w:type="pct"/>
            <w:tcBorders>
              <w:top w:val="single" w:sz="4" w:space="0" w:color="auto"/>
              <w:left w:val="nil"/>
              <w:bottom w:val="single" w:sz="4" w:space="0" w:color="auto"/>
              <w:right w:val="single" w:sz="4" w:space="0" w:color="auto"/>
            </w:tcBorders>
            <w:noWrap/>
            <w:vAlign w:val="bottom"/>
            <w:hideMark/>
          </w:tcPr>
          <w:p w14:paraId="69ED45B0" w14:textId="77777777" w:rsidR="00EA21F4" w:rsidRPr="00886FD2" w:rsidRDefault="00EA21F4" w:rsidP="00EA21F4">
            <w:pPr>
              <w:spacing w:after="240" w:line="360" w:lineRule="auto"/>
              <w:jc w:val="center"/>
              <w:rPr>
                <w:rFonts w:eastAsia="Times New Roman"/>
                <w:b/>
                <w:bCs/>
                <w:i/>
                <w:iCs/>
                <w:color w:val="000000"/>
                <w:sz w:val="24"/>
                <w:szCs w:val="24"/>
              </w:rPr>
            </w:pPr>
            <w:r w:rsidRPr="00886FD2">
              <w:rPr>
                <w:rFonts w:eastAsia="Times New Roman"/>
                <w:b/>
                <w:bCs/>
                <w:i/>
                <w:iCs/>
                <w:color w:val="000000"/>
                <w:sz w:val="24"/>
                <w:szCs w:val="24"/>
              </w:rPr>
              <w:t>2023</w:t>
            </w:r>
          </w:p>
        </w:tc>
        <w:tc>
          <w:tcPr>
            <w:tcW w:w="397" w:type="pct"/>
            <w:tcBorders>
              <w:top w:val="single" w:sz="4" w:space="0" w:color="auto"/>
              <w:left w:val="nil"/>
              <w:bottom w:val="single" w:sz="4" w:space="0" w:color="auto"/>
              <w:right w:val="single" w:sz="4" w:space="0" w:color="auto"/>
            </w:tcBorders>
            <w:noWrap/>
            <w:vAlign w:val="bottom"/>
            <w:hideMark/>
          </w:tcPr>
          <w:p w14:paraId="4E977170" w14:textId="77777777" w:rsidR="00EA21F4" w:rsidRPr="00886FD2" w:rsidRDefault="00EA21F4" w:rsidP="00EA21F4">
            <w:pPr>
              <w:spacing w:after="240" w:line="360" w:lineRule="auto"/>
              <w:jc w:val="center"/>
              <w:rPr>
                <w:rFonts w:eastAsia="Times New Roman"/>
                <w:b/>
                <w:bCs/>
                <w:i/>
                <w:iCs/>
                <w:color w:val="000000"/>
                <w:sz w:val="24"/>
                <w:szCs w:val="24"/>
              </w:rPr>
            </w:pPr>
            <w:r w:rsidRPr="00886FD2">
              <w:rPr>
                <w:rFonts w:eastAsia="Times New Roman"/>
                <w:b/>
                <w:bCs/>
                <w:i/>
                <w:iCs/>
                <w:color w:val="000000"/>
                <w:sz w:val="24"/>
                <w:szCs w:val="24"/>
              </w:rPr>
              <w:t>2024</w:t>
            </w:r>
          </w:p>
        </w:tc>
        <w:tc>
          <w:tcPr>
            <w:tcW w:w="397" w:type="pct"/>
            <w:tcBorders>
              <w:top w:val="single" w:sz="4" w:space="0" w:color="auto"/>
              <w:left w:val="nil"/>
              <w:bottom w:val="single" w:sz="4" w:space="0" w:color="auto"/>
              <w:right w:val="single" w:sz="4" w:space="0" w:color="auto"/>
            </w:tcBorders>
            <w:noWrap/>
            <w:vAlign w:val="bottom"/>
            <w:hideMark/>
          </w:tcPr>
          <w:p w14:paraId="22E7C33C" w14:textId="77777777" w:rsidR="00EA21F4" w:rsidRPr="00886FD2" w:rsidRDefault="00EA21F4" w:rsidP="00EA21F4">
            <w:pPr>
              <w:spacing w:after="240" w:line="360" w:lineRule="auto"/>
              <w:jc w:val="center"/>
              <w:rPr>
                <w:rFonts w:eastAsia="Times New Roman"/>
                <w:b/>
                <w:bCs/>
                <w:i/>
                <w:iCs/>
                <w:color w:val="000000"/>
                <w:sz w:val="24"/>
                <w:szCs w:val="24"/>
              </w:rPr>
            </w:pPr>
            <w:r w:rsidRPr="00886FD2">
              <w:rPr>
                <w:rFonts w:eastAsia="Times New Roman"/>
                <w:b/>
                <w:bCs/>
                <w:i/>
                <w:iCs/>
                <w:color w:val="000000"/>
                <w:sz w:val="24"/>
                <w:szCs w:val="24"/>
              </w:rPr>
              <w:t>2025</w:t>
            </w:r>
          </w:p>
        </w:tc>
      </w:tr>
      <w:tr w:rsidR="00EA21F4" w:rsidRPr="00886FD2" w14:paraId="47AB9D74" w14:textId="77777777" w:rsidTr="00EA21F4">
        <w:trPr>
          <w:trHeight w:val="300"/>
        </w:trPr>
        <w:tc>
          <w:tcPr>
            <w:tcW w:w="3013" w:type="pct"/>
            <w:gridSpan w:val="2"/>
            <w:tcBorders>
              <w:top w:val="single" w:sz="4" w:space="0" w:color="auto"/>
              <w:left w:val="single" w:sz="4" w:space="0" w:color="auto"/>
              <w:bottom w:val="single" w:sz="4" w:space="0" w:color="auto"/>
              <w:right w:val="single" w:sz="4" w:space="0" w:color="auto"/>
            </w:tcBorders>
            <w:noWrap/>
            <w:vAlign w:val="bottom"/>
            <w:hideMark/>
          </w:tcPr>
          <w:p w14:paraId="2D63D21E" w14:textId="77777777" w:rsidR="00EA21F4" w:rsidRPr="00886FD2" w:rsidRDefault="00EA21F4" w:rsidP="00EA21F4">
            <w:pPr>
              <w:spacing w:after="240" w:line="360" w:lineRule="auto"/>
              <w:rPr>
                <w:rFonts w:eastAsia="Times New Roman"/>
                <w:color w:val="000000"/>
                <w:sz w:val="24"/>
                <w:szCs w:val="24"/>
              </w:rPr>
            </w:pPr>
            <w:r w:rsidRPr="00886FD2">
              <w:rPr>
                <w:rFonts w:eastAsia="Times New Roman"/>
                <w:color w:val="000000"/>
                <w:sz w:val="24"/>
                <w:szCs w:val="24"/>
              </w:rPr>
              <w:t>Total Revenue</w:t>
            </w:r>
          </w:p>
        </w:tc>
        <w:tc>
          <w:tcPr>
            <w:tcW w:w="397" w:type="pct"/>
            <w:tcBorders>
              <w:top w:val="nil"/>
              <w:left w:val="nil"/>
              <w:bottom w:val="single" w:sz="4" w:space="0" w:color="auto"/>
              <w:right w:val="single" w:sz="4" w:space="0" w:color="auto"/>
            </w:tcBorders>
            <w:noWrap/>
            <w:vAlign w:val="bottom"/>
            <w:hideMark/>
          </w:tcPr>
          <w:p w14:paraId="69808690" w14:textId="77777777" w:rsidR="00EA21F4" w:rsidRPr="00886FD2" w:rsidRDefault="00EA21F4" w:rsidP="00EA21F4">
            <w:pPr>
              <w:spacing w:after="240" w:line="360" w:lineRule="auto"/>
              <w:jc w:val="right"/>
              <w:rPr>
                <w:rFonts w:eastAsia="Times New Roman"/>
                <w:color w:val="000000"/>
                <w:sz w:val="24"/>
                <w:szCs w:val="24"/>
              </w:rPr>
            </w:pPr>
            <w:r w:rsidRPr="00886FD2">
              <w:rPr>
                <w:rFonts w:eastAsia="Times New Roman"/>
                <w:color w:val="000000"/>
                <w:sz w:val="24"/>
                <w:szCs w:val="24"/>
              </w:rPr>
              <w:t>5,788</w:t>
            </w:r>
          </w:p>
        </w:tc>
        <w:tc>
          <w:tcPr>
            <w:tcW w:w="397" w:type="pct"/>
            <w:tcBorders>
              <w:top w:val="nil"/>
              <w:left w:val="nil"/>
              <w:bottom w:val="single" w:sz="4" w:space="0" w:color="auto"/>
              <w:right w:val="single" w:sz="4" w:space="0" w:color="auto"/>
            </w:tcBorders>
            <w:noWrap/>
            <w:vAlign w:val="bottom"/>
            <w:hideMark/>
          </w:tcPr>
          <w:p w14:paraId="02B72EF6" w14:textId="77777777" w:rsidR="00EA21F4" w:rsidRPr="00886FD2" w:rsidRDefault="00EA21F4" w:rsidP="00EA21F4">
            <w:pPr>
              <w:spacing w:after="240" w:line="360" w:lineRule="auto"/>
              <w:jc w:val="right"/>
              <w:rPr>
                <w:rFonts w:eastAsia="Times New Roman"/>
                <w:color w:val="000000"/>
                <w:sz w:val="24"/>
                <w:szCs w:val="24"/>
              </w:rPr>
            </w:pPr>
            <w:r w:rsidRPr="00886FD2">
              <w:rPr>
                <w:rFonts w:eastAsia="Times New Roman"/>
                <w:color w:val="000000"/>
                <w:sz w:val="24"/>
                <w:szCs w:val="24"/>
              </w:rPr>
              <w:t>8,773</w:t>
            </w:r>
          </w:p>
        </w:tc>
        <w:tc>
          <w:tcPr>
            <w:tcW w:w="397" w:type="pct"/>
            <w:tcBorders>
              <w:top w:val="nil"/>
              <w:left w:val="nil"/>
              <w:bottom w:val="single" w:sz="4" w:space="0" w:color="auto"/>
              <w:right w:val="single" w:sz="4" w:space="0" w:color="auto"/>
            </w:tcBorders>
            <w:noWrap/>
            <w:vAlign w:val="bottom"/>
            <w:hideMark/>
          </w:tcPr>
          <w:p w14:paraId="48915561" w14:textId="77777777" w:rsidR="00EA21F4" w:rsidRPr="00886FD2" w:rsidRDefault="00EA21F4" w:rsidP="00EA21F4">
            <w:pPr>
              <w:spacing w:after="240" w:line="360" w:lineRule="auto"/>
              <w:jc w:val="right"/>
              <w:rPr>
                <w:rFonts w:eastAsia="Times New Roman"/>
                <w:color w:val="000000"/>
                <w:sz w:val="24"/>
                <w:szCs w:val="24"/>
              </w:rPr>
            </w:pPr>
            <w:r w:rsidRPr="00886FD2">
              <w:rPr>
                <w:rFonts w:eastAsia="Times New Roman"/>
                <w:color w:val="000000"/>
                <w:sz w:val="24"/>
                <w:szCs w:val="24"/>
              </w:rPr>
              <w:t>10,235</w:t>
            </w:r>
          </w:p>
        </w:tc>
        <w:tc>
          <w:tcPr>
            <w:tcW w:w="397" w:type="pct"/>
            <w:tcBorders>
              <w:top w:val="nil"/>
              <w:left w:val="nil"/>
              <w:bottom w:val="single" w:sz="4" w:space="0" w:color="auto"/>
              <w:right w:val="single" w:sz="4" w:space="0" w:color="auto"/>
            </w:tcBorders>
            <w:noWrap/>
            <w:vAlign w:val="bottom"/>
            <w:hideMark/>
          </w:tcPr>
          <w:p w14:paraId="0A85450F" w14:textId="77777777" w:rsidR="00EA21F4" w:rsidRPr="00886FD2" w:rsidRDefault="00EA21F4" w:rsidP="00EA21F4">
            <w:pPr>
              <w:spacing w:after="240" w:line="360" w:lineRule="auto"/>
              <w:jc w:val="right"/>
              <w:rPr>
                <w:rFonts w:eastAsia="Times New Roman"/>
                <w:color w:val="000000"/>
                <w:sz w:val="24"/>
                <w:szCs w:val="24"/>
              </w:rPr>
            </w:pPr>
            <w:r w:rsidRPr="00886FD2">
              <w:rPr>
                <w:rFonts w:eastAsia="Times New Roman"/>
                <w:color w:val="000000"/>
                <w:sz w:val="24"/>
                <w:szCs w:val="24"/>
              </w:rPr>
              <w:t>11,174</w:t>
            </w:r>
          </w:p>
        </w:tc>
        <w:tc>
          <w:tcPr>
            <w:tcW w:w="397" w:type="pct"/>
            <w:tcBorders>
              <w:top w:val="nil"/>
              <w:left w:val="nil"/>
              <w:bottom w:val="single" w:sz="4" w:space="0" w:color="auto"/>
              <w:right w:val="single" w:sz="4" w:space="0" w:color="auto"/>
            </w:tcBorders>
            <w:noWrap/>
            <w:vAlign w:val="bottom"/>
            <w:hideMark/>
          </w:tcPr>
          <w:p w14:paraId="35B6FA43" w14:textId="77777777" w:rsidR="00EA21F4" w:rsidRPr="00886FD2" w:rsidRDefault="00EA21F4" w:rsidP="00EA21F4">
            <w:pPr>
              <w:spacing w:after="240" w:line="360" w:lineRule="auto"/>
              <w:jc w:val="right"/>
              <w:rPr>
                <w:rFonts w:eastAsia="Times New Roman"/>
                <w:color w:val="000000"/>
                <w:sz w:val="24"/>
                <w:szCs w:val="24"/>
              </w:rPr>
            </w:pPr>
            <w:r w:rsidRPr="00886FD2">
              <w:rPr>
                <w:rFonts w:eastAsia="Times New Roman"/>
                <w:color w:val="000000"/>
                <w:sz w:val="24"/>
                <w:szCs w:val="24"/>
              </w:rPr>
              <w:t>12,039</w:t>
            </w:r>
          </w:p>
        </w:tc>
      </w:tr>
      <w:tr w:rsidR="00EA21F4" w:rsidRPr="00886FD2" w14:paraId="594FD272" w14:textId="77777777" w:rsidTr="00EA21F4">
        <w:trPr>
          <w:trHeight w:val="300"/>
        </w:trPr>
        <w:tc>
          <w:tcPr>
            <w:tcW w:w="3013" w:type="pct"/>
            <w:gridSpan w:val="2"/>
            <w:tcBorders>
              <w:top w:val="single" w:sz="4" w:space="0" w:color="auto"/>
              <w:left w:val="single" w:sz="4" w:space="0" w:color="auto"/>
              <w:bottom w:val="single" w:sz="4" w:space="0" w:color="auto"/>
              <w:right w:val="single" w:sz="4" w:space="0" w:color="auto"/>
            </w:tcBorders>
            <w:noWrap/>
            <w:vAlign w:val="bottom"/>
            <w:hideMark/>
          </w:tcPr>
          <w:p w14:paraId="1DC43F10" w14:textId="77777777" w:rsidR="00EA21F4" w:rsidRPr="00886FD2" w:rsidRDefault="00EA21F4" w:rsidP="00EA21F4">
            <w:pPr>
              <w:spacing w:after="240" w:line="360" w:lineRule="auto"/>
              <w:rPr>
                <w:rFonts w:eastAsia="Times New Roman"/>
                <w:color w:val="000000"/>
                <w:sz w:val="24"/>
                <w:szCs w:val="24"/>
              </w:rPr>
            </w:pPr>
            <w:r w:rsidRPr="00886FD2">
              <w:rPr>
                <w:rFonts w:eastAsia="Times New Roman"/>
                <w:color w:val="000000"/>
                <w:sz w:val="24"/>
                <w:szCs w:val="24"/>
              </w:rPr>
              <w:t>Gross Profit</w:t>
            </w:r>
          </w:p>
        </w:tc>
        <w:tc>
          <w:tcPr>
            <w:tcW w:w="397" w:type="pct"/>
            <w:tcBorders>
              <w:top w:val="nil"/>
              <w:left w:val="nil"/>
              <w:bottom w:val="single" w:sz="4" w:space="0" w:color="auto"/>
              <w:right w:val="single" w:sz="4" w:space="0" w:color="auto"/>
            </w:tcBorders>
            <w:noWrap/>
            <w:vAlign w:val="bottom"/>
            <w:hideMark/>
          </w:tcPr>
          <w:p w14:paraId="0CB40D13" w14:textId="77777777" w:rsidR="00EA21F4" w:rsidRPr="00886FD2" w:rsidRDefault="00EA21F4" w:rsidP="00EA21F4">
            <w:pPr>
              <w:spacing w:after="240" w:line="360" w:lineRule="auto"/>
              <w:jc w:val="right"/>
              <w:rPr>
                <w:rFonts w:eastAsia="Times New Roman"/>
                <w:color w:val="000000"/>
                <w:sz w:val="24"/>
                <w:szCs w:val="24"/>
              </w:rPr>
            </w:pPr>
            <w:r w:rsidRPr="00886FD2">
              <w:rPr>
                <w:rFonts w:eastAsia="Times New Roman"/>
                <w:color w:val="000000"/>
                <w:sz w:val="24"/>
                <w:szCs w:val="24"/>
              </w:rPr>
              <w:t>5,109</w:t>
            </w:r>
          </w:p>
        </w:tc>
        <w:tc>
          <w:tcPr>
            <w:tcW w:w="397" w:type="pct"/>
            <w:tcBorders>
              <w:top w:val="nil"/>
              <w:left w:val="nil"/>
              <w:bottom w:val="single" w:sz="4" w:space="0" w:color="auto"/>
              <w:right w:val="single" w:sz="4" w:space="0" w:color="auto"/>
            </w:tcBorders>
            <w:noWrap/>
            <w:vAlign w:val="bottom"/>
            <w:hideMark/>
          </w:tcPr>
          <w:p w14:paraId="72665795" w14:textId="77777777" w:rsidR="00EA21F4" w:rsidRPr="00886FD2" w:rsidRDefault="00EA21F4" w:rsidP="00EA21F4">
            <w:pPr>
              <w:spacing w:after="240" w:line="360" w:lineRule="auto"/>
              <w:jc w:val="right"/>
              <w:rPr>
                <w:rFonts w:eastAsia="Times New Roman"/>
                <w:color w:val="000000"/>
                <w:sz w:val="24"/>
                <w:szCs w:val="24"/>
              </w:rPr>
            </w:pPr>
            <w:r w:rsidRPr="00886FD2">
              <w:rPr>
                <w:rFonts w:eastAsia="Times New Roman"/>
                <w:color w:val="000000"/>
                <w:sz w:val="24"/>
                <w:szCs w:val="24"/>
              </w:rPr>
              <w:t>7,774</w:t>
            </w:r>
          </w:p>
        </w:tc>
        <w:tc>
          <w:tcPr>
            <w:tcW w:w="397" w:type="pct"/>
            <w:tcBorders>
              <w:top w:val="nil"/>
              <w:left w:val="nil"/>
              <w:bottom w:val="single" w:sz="4" w:space="0" w:color="auto"/>
              <w:right w:val="single" w:sz="4" w:space="0" w:color="auto"/>
            </w:tcBorders>
            <w:noWrap/>
            <w:vAlign w:val="bottom"/>
            <w:hideMark/>
          </w:tcPr>
          <w:p w14:paraId="5B3AEC7C" w14:textId="77777777" w:rsidR="00EA21F4" w:rsidRPr="00886FD2" w:rsidRDefault="00EA21F4" w:rsidP="00EA21F4">
            <w:pPr>
              <w:spacing w:after="240" w:line="360" w:lineRule="auto"/>
              <w:jc w:val="right"/>
              <w:rPr>
                <w:rFonts w:eastAsia="Times New Roman"/>
                <w:color w:val="000000"/>
                <w:sz w:val="24"/>
                <w:szCs w:val="24"/>
              </w:rPr>
            </w:pPr>
            <w:r w:rsidRPr="00886FD2">
              <w:rPr>
                <w:rFonts w:eastAsia="Times New Roman"/>
                <w:color w:val="000000"/>
                <w:sz w:val="24"/>
                <w:szCs w:val="24"/>
              </w:rPr>
              <w:t>9,094</w:t>
            </w:r>
          </w:p>
        </w:tc>
        <w:tc>
          <w:tcPr>
            <w:tcW w:w="397" w:type="pct"/>
            <w:tcBorders>
              <w:top w:val="nil"/>
              <w:left w:val="nil"/>
              <w:bottom w:val="single" w:sz="4" w:space="0" w:color="auto"/>
              <w:right w:val="single" w:sz="4" w:space="0" w:color="auto"/>
            </w:tcBorders>
            <w:noWrap/>
            <w:vAlign w:val="bottom"/>
            <w:hideMark/>
          </w:tcPr>
          <w:p w14:paraId="7E8F2689" w14:textId="77777777" w:rsidR="00EA21F4" w:rsidRPr="00886FD2" w:rsidRDefault="00EA21F4" w:rsidP="00EA21F4">
            <w:pPr>
              <w:spacing w:after="240" w:line="360" w:lineRule="auto"/>
              <w:jc w:val="right"/>
              <w:rPr>
                <w:rFonts w:eastAsia="Times New Roman"/>
                <w:color w:val="000000"/>
                <w:sz w:val="24"/>
                <w:szCs w:val="24"/>
              </w:rPr>
            </w:pPr>
            <w:r w:rsidRPr="00886FD2">
              <w:rPr>
                <w:rFonts w:eastAsia="Times New Roman"/>
                <w:color w:val="000000"/>
                <w:sz w:val="24"/>
                <w:szCs w:val="24"/>
              </w:rPr>
              <w:t>10,048</w:t>
            </w:r>
          </w:p>
        </w:tc>
        <w:tc>
          <w:tcPr>
            <w:tcW w:w="397" w:type="pct"/>
            <w:tcBorders>
              <w:top w:val="nil"/>
              <w:left w:val="nil"/>
              <w:bottom w:val="single" w:sz="4" w:space="0" w:color="auto"/>
              <w:right w:val="single" w:sz="4" w:space="0" w:color="auto"/>
            </w:tcBorders>
            <w:noWrap/>
            <w:vAlign w:val="bottom"/>
            <w:hideMark/>
          </w:tcPr>
          <w:p w14:paraId="54C65FA3" w14:textId="77777777" w:rsidR="00EA21F4" w:rsidRPr="00886FD2" w:rsidRDefault="00EA21F4" w:rsidP="00EA21F4">
            <w:pPr>
              <w:spacing w:after="240" w:line="360" w:lineRule="auto"/>
              <w:jc w:val="right"/>
              <w:rPr>
                <w:rFonts w:eastAsia="Times New Roman"/>
                <w:color w:val="000000"/>
                <w:sz w:val="24"/>
                <w:szCs w:val="24"/>
              </w:rPr>
            </w:pPr>
            <w:r w:rsidRPr="00886FD2">
              <w:rPr>
                <w:rFonts w:eastAsia="Times New Roman"/>
                <w:color w:val="000000"/>
                <w:sz w:val="24"/>
                <w:szCs w:val="24"/>
              </w:rPr>
              <w:t>10,945</w:t>
            </w:r>
          </w:p>
        </w:tc>
      </w:tr>
      <w:tr w:rsidR="00EA21F4" w:rsidRPr="00886FD2" w14:paraId="68B1B9F1" w14:textId="77777777" w:rsidTr="00EA21F4">
        <w:trPr>
          <w:trHeight w:val="300"/>
        </w:trPr>
        <w:tc>
          <w:tcPr>
            <w:tcW w:w="3013" w:type="pct"/>
            <w:gridSpan w:val="2"/>
            <w:tcBorders>
              <w:top w:val="single" w:sz="4" w:space="0" w:color="auto"/>
              <w:left w:val="single" w:sz="4" w:space="0" w:color="auto"/>
              <w:bottom w:val="single" w:sz="4" w:space="0" w:color="auto"/>
              <w:right w:val="single" w:sz="4" w:space="0" w:color="auto"/>
            </w:tcBorders>
            <w:noWrap/>
            <w:vAlign w:val="bottom"/>
            <w:hideMark/>
          </w:tcPr>
          <w:p w14:paraId="66493E45" w14:textId="77777777" w:rsidR="00EA21F4" w:rsidRPr="00886FD2" w:rsidRDefault="00EA21F4" w:rsidP="00EA21F4">
            <w:pPr>
              <w:spacing w:after="240" w:line="360" w:lineRule="auto"/>
              <w:rPr>
                <w:rFonts w:eastAsia="Times New Roman"/>
                <w:color w:val="000000"/>
                <w:sz w:val="24"/>
                <w:szCs w:val="24"/>
              </w:rPr>
            </w:pPr>
            <w:r w:rsidRPr="00886FD2">
              <w:rPr>
                <w:rFonts w:eastAsia="Times New Roman"/>
                <w:color w:val="000000"/>
                <w:sz w:val="24"/>
                <w:szCs w:val="24"/>
              </w:rPr>
              <w:t>Net Income</w:t>
            </w:r>
          </w:p>
        </w:tc>
        <w:tc>
          <w:tcPr>
            <w:tcW w:w="397" w:type="pct"/>
            <w:tcBorders>
              <w:top w:val="nil"/>
              <w:left w:val="nil"/>
              <w:bottom w:val="single" w:sz="4" w:space="0" w:color="auto"/>
              <w:right w:val="single" w:sz="4" w:space="0" w:color="auto"/>
            </w:tcBorders>
            <w:noWrap/>
            <w:vAlign w:val="bottom"/>
            <w:hideMark/>
          </w:tcPr>
          <w:p w14:paraId="22E6DB9F" w14:textId="77777777" w:rsidR="00EA21F4" w:rsidRPr="00886FD2" w:rsidRDefault="00EA21F4" w:rsidP="00EA21F4">
            <w:pPr>
              <w:spacing w:after="240" w:line="360" w:lineRule="auto"/>
              <w:jc w:val="right"/>
              <w:rPr>
                <w:rFonts w:eastAsia="Times New Roman"/>
                <w:color w:val="000000"/>
                <w:sz w:val="24"/>
                <w:szCs w:val="24"/>
              </w:rPr>
            </w:pPr>
            <w:r w:rsidRPr="00886FD2">
              <w:rPr>
                <w:rFonts w:eastAsia="Times New Roman"/>
                <w:color w:val="000000"/>
                <w:sz w:val="24"/>
                <w:szCs w:val="24"/>
              </w:rPr>
              <w:t>410</w:t>
            </w:r>
          </w:p>
        </w:tc>
        <w:tc>
          <w:tcPr>
            <w:tcW w:w="397" w:type="pct"/>
            <w:tcBorders>
              <w:top w:val="nil"/>
              <w:left w:val="nil"/>
              <w:bottom w:val="single" w:sz="4" w:space="0" w:color="auto"/>
              <w:right w:val="single" w:sz="4" w:space="0" w:color="auto"/>
            </w:tcBorders>
            <w:noWrap/>
            <w:vAlign w:val="bottom"/>
            <w:hideMark/>
          </w:tcPr>
          <w:p w14:paraId="0D843496" w14:textId="77777777" w:rsidR="00EA21F4" w:rsidRPr="00886FD2" w:rsidRDefault="00EA21F4" w:rsidP="00EA21F4">
            <w:pPr>
              <w:spacing w:after="240" w:line="360" w:lineRule="auto"/>
              <w:jc w:val="right"/>
              <w:rPr>
                <w:rFonts w:eastAsia="Times New Roman"/>
                <w:color w:val="000000"/>
                <w:sz w:val="24"/>
                <w:szCs w:val="24"/>
              </w:rPr>
            </w:pPr>
            <w:r w:rsidRPr="00886FD2">
              <w:rPr>
                <w:rFonts w:eastAsia="Times New Roman"/>
                <w:color w:val="000000"/>
                <w:sz w:val="24"/>
                <w:szCs w:val="24"/>
              </w:rPr>
              <w:t>1,255</w:t>
            </w:r>
          </w:p>
        </w:tc>
        <w:tc>
          <w:tcPr>
            <w:tcW w:w="397" w:type="pct"/>
            <w:tcBorders>
              <w:top w:val="nil"/>
              <w:left w:val="nil"/>
              <w:bottom w:val="single" w:sz="4" w:space="0" w:color="auto"/>
              <w:right w:val="single" w:sz="4" w:space="0" w:color="auto"/>
            </w:tcBorders>
            <w:noWrap/>
            <w:vAlign w:val="bottom"/>
            <w:hideMark/>
          </w:tcPr>
          <w:p w14:paraId="23E21F75" w14:textId="77777777" w:rsidR="00EA21F4" w:rsidRPr="00886FD2" w:rsidRDefault="00EA21F4" w:rsidP="00EA21F4">
            <w:pPr>
              <w:spacing w:after="240" w:line="360" w:lineRule="auto"/>
              <w:jc w:val="right"/>
              <w:rPr>
                <w:rFonts w:eastAsia="Times New Roman"/>
                <w:color w:val="000000"/>
                <w:sz w:val="24"/>
                <w:szCs w:val="24"/>
              </w:rPr>
            </w:pPr>
            <w:r w:rsidRPr="00886FD2">
              <w:rPr>
                <w:rFonts w:eastAsia="Times New Roman"/>
                <w:color w:val="000000"/>
                <w:sz w:val="24"/>
                <w:szCs w:val="24"/>
              </w:rPr>
              <w:t>1,141</w:t>
            </w:r>
          </w:p>
        </w:tc>
        <w:tc>
          <w:tcPr>
            <w:tcW w:w="397" w:type="pct"/>
            <w:tcBorders>
              <w:top w:val="nil"/>
              <w:left w:val="nil"/>
              <w:bottom w:val="single" w:sz="4" w:space="0" w:color="auto"/>
              <w:right w:val="single" w:sz="4" w:space="0" w:color="auto"/>
            </w:tcBorders>
            <w:noWrap/>
            <w:vAlign w:val="bottom"/>
            <w:hideMark/>
          </w:tcPr>
          <w:p w14:paraId="34DD917D" w14:textId="77777777" w:rsidR="00EA21F4" w:rsidRPr="00886FD2" w:rsidRDefault="00EA21F4" w:rsidP="00EA21F4">
            <w:pPr>
              <w:spacing w:after="240" w:line="360" w:lineRule="auto"/>
              <w:jc w:val="right"/>
              <w:rPr>
                <w:rFonts w:eastAsia="Times New Roman"/>
                <w:color w:val="000000"/>
                <w:sz w:val="24"/>
                <w:szCs w:val="24"/>
              </w:rPr>
            </w:pPr>
            <w:r w:rsidRPr="00886FD2">
              <w:rPr>
                <w:rFonts w:eastAsia="Times New Roman"/>
                <w:color w:val="000000"/>
                <w:sz w:val="24"/>
                <w:szCs w:val="24"/>
              </w:rPr>
              <w:t>1,535</w:t>
            </w:r>
          </w:p>
        </w:tc>
        <w:tc>
          <w:tcPr>
            <w:tcW w:w="397" w:type="pct"/>
            <w:tcBorders>
              <w:top w:val="nil"/>
              <w:left w:val="nil"/>
              <w:bottom w:val="single" w:sz="4" w:space="0" w:color="auto"/>
              <w:right w:val="single" w:sz="4" w:space="0" w:color="auto"/>
            </w:tcBorders>
            <w:noWrap/>
            <w:vAlign w:val="bottom"/>
            <w:hideMark/>
          </w:tcPr>
          <w:p w14:paraId="332334EA" w14:textId="77777777" w:rsidR="00EA21F4" w:rsidRPr="00886FD2" w:rsidRDefault="00EA21F4" w:rsidP="00EA21F4">
            <w:pPr>
              <w:spacing w:after="240" w:line="360" w:lineRule="auto"/>
              <w:jc w:val="right"/>
              <w:rPr>
                <w:rFonts w:eastAsia="Times New Roman"/>
                <w:color w:val="000000"/>
                <w:sz w:val="24"/>
                <w:szCs w:val="24"/>
              </w:rPr>
            </w:pPr>
            <w:r w:rsidRPr="00886FD2">
              <w:rPr>
                <w:rFonts w:eastAsia="Times New Roman"/>
                <w:color w:val="000000"/>
                <w:sz w:val="24"/>
                <w:szCs w:val="24"/>
              </w:rPr>
              <w:t>1,457</w:t>
            </w:r>
          </w:p>
        </w:tc>
      </w:tr>
      <w:tr w:rsidR="00EA21F4" w:rsidRPr="00886FD2" w14:paraId="2EC5A6AA" w14:textId="77777777" w:rsidTr="00EA21F4">
        <w:trPr>
          <w:trHeight w:val="300"/>
        </w:trPr>
        <w:tc>
          <w:tcPr>
            <w:tcW w:w="3013" w:type="pct"/>
            <w:gridSpan w:val="2"/>
            <w:tcBorders>
              <w:top w:val="single" w:sz="4" w:space="0" w:color="auto"/>
              <w:left w:val="single" w:sz="4" w:space="0" w:color="auto"/>
              <w:bottom w:val="single" w:sz="4" w:space="0" w:color="auto"/>
              <w:right w:val="single" w:sz="4" w:space="0" w:color="auto"/>
            </w:tcBorders>
            <w:noWrap/>
            <w:vAlign w:val="bottom"/>
            <w:hideMark/>
          </w:tcPr>
          <w:p w14:paraId="05373097" w14:textId="77777777" w:rsidR="00EA21F4" w:rsidRPr="00886FD2" w:rsidRDefault="00EA21F4" w:rsidP="00EA21F4">
            <w:pPr>
              <w:spacing w:after="240" w:line="360" w:lineRule="auto"/>
              <w:rPr>
                <w:rFonts w:eastAsia="Times New Roman"/>
                <w:color w:val="000000"/>
                <w:sz w:val="24"/>
                <w:szCs w:val="24"/>
              </w:rPr>
            </w:pPr>
            <w:r w:rsidRPr="00886FD2">
              <w:rPr>
                <w:rFonts w:eastAsia="Times New Roman"/>
                <w:color w:val="000000"/>
                <w:sz w:val="24"/>
                <w:szCs w:val="24"/>
              </w:rPr>
              <w:t>Operating Income (EBIT)</w:t>
            </w:r>
          </w:p>
        </w:tc>
        <w:tc>
          <w:tcPr>
            <w:tcW w:w="397" w:type="pct"/>
            <w:tcBorders>
              <w:top w:val="nil"/>
              <w:left w:val="nil"/>
              <w:bottom w:val="single" w:sz="4" w:space="0" w:color="auto"/>
              <w:right w:val="single" w:sz="4" w:space="0" w:color="auto"/>
            </w:tcBorders>
            <w:noWrap/>
            <w:vAlign w:val="bottom"/>
            <w:hideMark/>
          </w:tcPr>
          <w:p w14:paraId="314FC2C2" w14:textId="77777777" w:rsidR="00EA21F4" w:rsidRPr="00886FD2" w:rsidRDefault="00EA21F4" w:rsidP="00EA21F4">
            <w:pPr>
              <w:spacing w:after="240" w:line="360" w:lineRule="auto"/>
              <w:jc w:val="right"/>
              <w:rPr>
                <w:rFonts w:eastAsia="Times New Roman"/>
                <w:color w:val="000000"/>
                <w:sz w:val="24"/>
                <w:szCs w:val="24"/>
              </w:rPr>
            </w:pPr>
            <w:r w:rsidRPr="00886FD2">
              <w:rPr>
                <w:rFonts w:eastAsia="Times New Roman"/>
                <w:color w:val="000000"/>
                <w:sz w:val="24"/>
                <w:szCs w:val="24"/>
              </w:rPr>
              <w:t>1,010</w:t>
            </w:r>
          </w:p>
        </w:tc>
        <w:tc>
          <w:tcPr>
            <w:tcW w:w="397" w:type="pct"/>
            <w:tcBorders>
              <w:top w:val="nil"/>
              <w:left w:val="nil"/>
              <w:bottom w:val="single" w:sz="4" w:space="0" w:color="auto"/>
              <w:right w:val="single" w:sz="4" w:space="0" w:color="auto"/>
            </w:tcBorders>
            <w:noWrap/>
            <w:vAlign w:val="bottom"/>
            <w:hideMark/>
          </w:tcPr>
          <w:p w14:paraId="5BEF6544" w14:textId="77777777" w:rsidR="00EA21F4" w:rsidRPr="00886FD2" w:rsidRDefault="00EA21F4" w:rsidP="00EA21F4">
            <w:pPr>
              <w:spacing w:after="240" w:line="360" w:lineRule="auto"/>
              <w:jc w:val="right"/>
              <w:rPr>
                <w:rFonts w:eastAsia="Times New Roman"/>
                <w:color w:val="000000"/>
                <w:sz w:val="24"/>
                <w:szCs w:val="24"/>
              </w:rPr>
            </w:pPr>
            <w:r w:rsidRPr="00886FD2">
              <w:rPr>
                <w:rFonts w:eastAsia="Times New Roman"/>
                <w:color w:val="000000"/>
                <w:sz w:val="24"/>
                <w:szCs w:val="24"/>
              </w:rPr>
              <w:t>2,094</w:t>
            </w:r>
          </w:p>
        </w:tc>
        <w:tc>
          <w:tcPr>
            <w:tcW w:w="397" w:type="pct"/>
            <w:tcBorders>
              <w:top w:val="nil"/>
              <w:left w:val="nil"/>
              <w:bottom w:val="single" w:sz="4" w:space="0" w:color="auto"/>
              <w:right w:val="single" w:sz="4" w:space="0" w:color="auto"/>
            </w:tcBorders>
            <w:noWrap/>
            <w:vAlign w:val="bottom"/>
            <w:hideMark/>
          </w:tcPr>
          <w:p w14:paraId="0A0CC4E9" w14:textId="77777777" w:rsidR="00EA21F4" w:rsidRPr="00886FD2" w:rsidRDefault="00EA21F4" w:rsidP="00EA21F4">
            <w:pPr>
              <w:spacing w:after="240" w:line="360" w:lineRule="auto"/>
              <w:jc w:val="right"/>
              <w:rPr>
                <w:rFonts w:eastAsia="Times New Roman"/>
                <w:color w:val="000000"/>
                <w:sz w:val="24"/>
                <w:szCs w:val="24"/>
              </w:rPr>
            </w:pPr>
            <w:r w:rsidRPr="00886FD2">
              <w:rPr>
                <w:rFonts w:eastAsia="Times New Roman"/>
                <w:color w:val="000000"/>
                <w:sz w:val="24"/>
                <w:szCs w:val="24"/>
              </w:rPr>
              <w:t>2,225</w:t>
            </w:r>
          </w:p>
        </w:tc>
        <w:tc>
          <w:tcPr>
            <w:tcW w:w="397" w:type="pct"/>
            <w:tcBorders>
              <w:top w:val="nil"/>
              <w:left w:val="nil"/>
              <w:bottom w:val="single" w:sz="4" w:space="0" w:color="auto"/>
              <w:right w:val="single" w:sz="4" w:space="0" w:color="auto"/>
            </w:tcBorders>
            <w:noWrap/>
            <w:vAlign w:val="bottom"/>
            <w:hideMark/>
          </w:tcPr>
          <w:p w14:paraId="26EAE501" w14:textId="77777777" w:rsidR="00EA21F4" w:rsidRPr="00886FD2" w:rsidRDefault="00EA21F4" w:rsidP="00EA21F4">
            <w:pPr>
              <w:spacing w:after="240" w:line="360" w:lineRule="auto"/>
              <w:jc w:val="right"/>
              <w:rPr>
                <w:rFonts w:eastAsia="Times New Roman"/>
                <w:color w:val="000000"/>
                <w:sz w:val="24"/>
                <w:szCs w:val="24"/>
              </w:rPr>
            </w:pPr>
            <w:r w:rsidRPr="00886FD2">
              <w:rPr>
                <w:rFonts w:eastAsia="Times New Roman"/>
                <w:color w:val="000000"/>
                <w:sz w:val="24"/>
                <w:szCs w:val="24"/>
              </w:rPr>
              <w:t>2,370</w:t>
            </w:r>
          </w:p>
        </w:tc>
        <w:tc>
          <w:tcPr>
            <w:tcW w:w="397" w:type="pct"/>
            <w:tcBorders>
              <w:top w:val="nil"/>
              <w:left w:val="nil"/>
              <w:bottom w:val="single" w:sz="4" w:space="0" w:color="auto"/>
              <w:right w:val="single" w:sz="4" w:space="0" w:color="auto"/>
            </w:tcBorders>
            <w:noWrap/>
            <w:vAlign w:val="bottom"/>
            <w:hideMark/>
          </w:tcPr>
          <w:p w14:paraId="1C602059" w14:textId="77777777" w:rsidR="00EA21F4" w:rsidRPr="00886FD2" w:rsidRDefault="00EA21F4" w:rsidP="00EA21F4">
            <w:pPr>
              <w:spacing w:after="240" w:line="360" w:lineRule="auto"/>
              <w:jc w:val="right"/>
              <w:rPr>
                <w:rFonts w:eastAsia="Times New Roman"/>
                <w:color w:val="000000"/>
                <w:sz w:val="24"/>
                <w:szCs w:val="24"/>
              </w:rPr>
            </w:pPr>
            <w:r w:rsidRPr="00886FD2">
              <w:rPr>
                <w:rFonts w:eastAsia="Times New Roman"/>
                <w:color w:val="000000"/>
                <w:sz w:val="24"/>
                <w:szCs w:val="24"/>
              </w:rPr>
              <w:t>2,693</w:t>
            </w:r>
          </w:p>
        </w:tc>
      </w:tr>
      <w:tr w:rsidR="00EA21F4" w:rsidRPr="00886FD2" w14:paraId="741C74FB" w14:textId="77777777" w:rsidTr="00EA21F4">
        <w:trPr>
          <w:trHeight w:val="300"/>
        </w:trPr>
        <w:tc>
          <w:tcPr>
            <w:tcW w:w="3013" w:type="pct"/>
            <w:gridSpan w:val="2"/>
            <w:tcBorders>
              <w:top w:val="single" w:sz="4" w:space="0" w:color="auto"/>
              <w:left w:val="single" w:sz="4" w:space="0" w:color="auto"/>
              <w:bottom w:val="single" w:sz="4" w:space="0" w:color="auto"/>
              <w:right w:val="single" w:sz="4" w:space="0" w:color="auto"/>
            </w:tcBorders>
            <w:noWrap/>
            <w:vAlign w:val="bottom"/>
            <w:hideMark/>
          </w:tcPr>
          <w:p w14:paraId="6F97814D" w14:textId="77777777" w:rsidR="00EA21F4" w:rsidRPr="00886FD2" w:rsidRDefault="00EA21F4" w:rsidP="00EA21F4">
            <w:pPr>
              <w:spacing w:after="240" w:line="360" w:lineRule="auto"/>
              <w:rPr>
                <w:rFonts w:eastAsia="Times New Roman"/>
                <w:color w:val="000000"/>
                <w:sz w:val="24"/>
                <w:szCs w:val="24"/>
              </w:rPr>
            </w:pPr>
            <w:r w:rsidRPr="00886FD2">
              <w:rPr>
                <w:rFonts w:eastAsia="Times New Roman"/>
                <w:color w:val="000000"/>
                <w:sz w:val="24"/>
                <w:szCs w:val="24"/>
              </w:rPr>
              <w:t>EBITDA</w:t>
            </w:r>
          </w:p>
        </w:tc>
        <w:tc>
          <w:tcPr>
            <w:tcW w:w="397" w:type="pct"/>
            <w:tcBorders>
              <w:top w:val="nil"/>
              <w:left w:val="nil"/>
              <w:bottom w:val="single" w:sz="4" w:space="0" w:color="auto"/>
              <w:right w:val="single" w:sz="4" w:space="0" w:color="auto"/>
            </w:tcBorders>
            <w:noWrap/>
            <w:vAlign w:val="bottom"/>
            <w:hideMark/>
          </w:tcPr>
          <w:p w14:paraId="224853FF" w14:textId="77777777" w:rsidR="00EA21F4" w:rsidRPr="00886FD2" w:rsidRDefault="00EA21F4" w:rsidP="00EA21F4">
            <w:pPr>
              <w:spacing w:after="240" w:line="360" w:lineRule="auto"/>
              <w:jc w:val="right"/>
              <w:rPr>
                <w:rFonts w:eastAsia="Times New Roman"/>
                <w:color w:val="000000"/>
                <w:sz w:val="24"/>
                <w:szCs w:val="24"/>
              </w:rPr>
            </w:pPr>
            <w:r w:rsidRPr="00886FD2">
              <w:rPr>
                <w:rFonts w:eastAsia="Times New Roman"/>
                <w:color w:val="000000"/>
                <w:sz w:val="24"/>
                <w:szCs w:val="24"/>
              </w:rPr>
              <w:t>1,246</w:t>
            </w:r>
          </w:p>
        </w:tc>
        <w:tc>
          <w:tcPr>
            <w:tcW w:w="397" w:type="pct"/>
            <w:tcBorders>
              <w:top w:val="nil"/>
              <w:left w:val="nil"/>
              <w:bottom w:val="single" w:sz="4" w:space="0" w:color="auto"/>
              <w:right w:val="single" w:sz="4" w:space="0" w:color="auto"/>
            </w:tcBorders>
            <w:noWrap/>
            <w:vAlign w:val="bottom"/>
            <w:hideMark/>
          </w:tcPr>
          <w:p w14:paraId="4BCB1C34" w14:textId="77777777" w:rsidR="00EA21F4" w:rsidRPr="00886FD2" w:rsidRDefault="00EA21F4" w:rsidP="00EA21F4">
            <w:pPr>
              <w:spacing w:after="240" w:line="360" w:lineRule="auto"/>
              <w:jc w:val="right"/>
              <w:rPr>
                <w:rFonts w:eastAsia="Times New Roman"/>
                <w:color w:val="000000"/>
                <w:sz w:val="24"/>
                <w:szCs w:val="24"/>
              </w:rPr>
            </w:pPr>
            <w:r w:rsidRPr="00886FD2">
              <w:rPr>
                <w:rFonts w:eastAsia="Times New Roman"/>
                <w:color w:val="000000"/>
                <w:sz w:val="24"/>
                <w:szCs w:val="24"/>
              </w:rPr>
              <w:t>2,310</w:t>
            </w:r>
          </w:p>
        </w:tc>
        <w:tc>
          <w:tcPr>
            <w:tcW w:w="397" w:type="pct"/>
            <w:tcBorders>
              <w:top w:val="nil"/>
              <w:left w:val="nil"/>
              <w:bottom w:val="single" w:sz="4" w:space="0" w:color="auto"/>
              <w:right w:val="single" w:sz="4" w:space="0" w:color="auto"/>
            </w:tcBorders>
            <w:noWrap/>
            <w:vAlign w:val="bottom"/>
            <w:hideMark/>
          </w:tcPr>
          <w:p w14:paraId="4A05C411" w14:textId="77777777" w:rsidR="00EA21F4" w:rsidRPr="00886FD2" w:rsidRDefault="00EA21F4" w:rsidP="00EA21F4">
            <w:pPr>
              <w:spacing w:after="240" w:line="360" w:lineRule="auto"/>
              <w:jc w:val="right"/>
              <w:rPr>
                <w:rFonts w:eastAsia="Times New Roman"/>
                <w:color w:val="000000"/>
                <w:sz w:val="24"/>
                <w:szCs w:val="24"/>
              </w:rPr>
            </w:pPr>
            <w:r w:rsidRPr="00886FD2">
              <w:rPr>
                <w:rFonts w:eastAsia="Times New Roman"/>
                <w:color w:val="000000"/>
                <w:sz w:val="24"/>
                <w:szCs w:val="24"/>
              </w:rPr>
              <w:t>2,431</w:t>
            </w:r>
          </w:p>
        </w:tc>
        <w:tc>
          <w:tcPr>
            <w:tcW w:w="397" w:type="pct"/>
            <w:tcBorders>
              <w:top w:val="nil"/>
              <w:left w:val="nil"/>
              <w:bottom w:val="single" w:sz="4" w:space="0" w:color="auto"/>
              <w:right w:val="single" w:sz="4" w:space="0" w:color="auto"/>
            </w:tcBorders>
            <w:noWrap/>
            <w:vAlign w:val="bottom"/>
            <w:hideMark/>
          </w:tcPr>
          <w:p w14:paraId="5A3F9D76" w14:textId="77777777" w:rsidR="00EA21F4" w:rsidRPr="00886FD2" w:rsidRDefault="00EA21F4" w:rsidP="00EA21F4">
            <w:pPr>
              <w:spacing w:after="240" w:line="360" w:lineRule="auto"/>
              <w:jc w:val="right"/>
              <w:rPr>
                <w:rFonts w:eastAsia="Times New Roman"/>
                <w:color w:val="000000"/>
                <w:sz w:val="24"/>
                <w:szCs w:val="24"/>
              </w:rPr>
            </w:pPr>
            <w:r w:rsidRPr="00886FD2">
              <w:rPr>
                <w:rFonts w:eastAsia="Times New Roman"/>
                <w:color w:val="000000"/>
                <w:sz w:val="24"/>
                <w:szCs w:val="24"/>
              </w:rPr>
              <w:t>2,583</w:t>
            </w:r>
          </w:p>
        </w:tc>
        <w:tc>
          <w:tcPr>
            <w:tcW w:w="397" w:type="pct"/>
            <w:tcBorders>
              <w:top w:val="nil"/>
              <w:left w:val="nil"/>
              <w:bottom w:val="single" w:sz="4" w:space="0" w:color="auto"/>
              <w:right w:val="single" w:sz="4" w:space="0" w:color="auto"/>
            </w:tcBorders>
            <w:noWrap/>
            <w:vAlign w:val="bottom"/>
            <w:hideMark/>
          </w:tcPr>
          <w:p w14:paraId="5588972D" w14:textId="77777777" w:rsidR="00EA21F4" w:rsidRPr="00886FD2" w:rsidRDefault="00EA21F4" w:rsidP="00EA21F4">
            <w:pPr>
              <w:spacing w:after="240" w:line="360" w:lineRule="auto"/>
              <w:jc w:val="right"/>
              <w:rPr>
                <w:rFonts w:eastAsia="Times New Roman"/>
                <w:color w:val="000000"/>
                <w:sz w:val="24"/>
                <w:szCs w:val="24"/>
              </w:rPr>
            </w:pPr>
            <w:r w:rsidRPr="00886FD2">
              <w:rPr>
                <w:rFonts w:eastAsia="Times New Roman"/>
                <w:color w:val="000000"/>
                <w:sz w:val="24"/>
                <w:szCs w:val="24"/>
              </w:rPr>
              <w:t>2,946</w:t>
            </w:r>
          </w:p>
        </w:tc>
      </w:tr>
      <w:tr w:rsidR="00EA21F4" w:rsidRPr="00886FD2" w14:paraId="7E9A5A8E" w14:textId="77777777" w:rsidTr="00EA21F4">
        <w:trPr>
          <w:trHeight w:val="300"/>
        </w:trPr>
        <w:tc>
          <w:tcPr>
            <w:tcW w:w="3013" w:type="pct"/>
            <w:gridSpan w:val="2"/>
            <w:tcBorders>
              <w:top w:val="single" w:sz="4" w:space="0" w:color="auto"/>
              <w:left w:val="single" w:sz="4" w:space="0" w:color="auto"/>
              <w:bottom w:val="single" w:sz="4" w:space="0" w:color="auto"/>
              <w:right w:val="single" w:sz="4" w:space="0" w:color="auto"/>
            </w:tcBorders>
            <w:noWrap/>
            <w:vAlign w:val="bottom"/>
            <w:hideMark/>
          </w:tcPr>
          <w:p w14:paraId="02C0C702" w14:textId="77777777" w:rsidR="00EA21F4" w:rsidRPr="00886FD2" w:rsidRDefault="00EA21F4" w:rsidP="00EA21F4">
            <w:pPr>
              <w:spacing w:after="240" w:line="360" w:lineRule="auto"/>
              <w:rPr>
                <w:rFonts w:eastAsia="Times New Roman"/>
                <w:color w:val="000000"/>
                <w:sz w:val="24"/>
                <w:szCs w:val="24"/>
              </w:rPr>
            </w:pPr>
            <w:r w:rsidRPr="00886FD2">
              <w:rPr>
                <w:rFonts w:eastAsia="Times New Roman"/>
                <w:color w:val="000000"/>
                <w:sz w:val="24"/>
                <w:szCs w:val="24"/>
              </w:rPr>
              <w:t>Cash and Cash Equivalents</w:t>
            </w:r>
          </w:p>
        </w:tc>
        <w:tc>
          <w:tcPr>
            <w:tcW w:w="397" w:type="pct"/>
            <w:tcBorders>
              <w:top w:val="nil"/>
              <w:left w:val="nil"/>
              <w:bottom w:val="single" w:sz="4" w:space="0" w:color="auto"/>
              <w:right w:val="single" w:sz="4" w:space="0" w:color="auto"/>
            </w:tcBorders>
            <w:noWrap/>
            <w:vAlign w:val="bottom"/>
            <w:hideMark/>
          </w:tcPr>
          <w:p w14:paraId="389F5B16" w14:textId="77777777" w:rsidR="00EA21F4" w:rsidRPr="00886FD2" w:rsidRDefault="00EA21F4" w:rsidP="00EA21F4">
            <w:pPr>
              <w:spacing w:after="240" w:line="360" w:lineRule="auto"/>
              <w:jc w:val="right"/>
              <w:rPr>
                <w:rFonts w:eastAsia="Times New Roman"/>
                <w:color w:val="000000"/>
                <w:sz w:val="24"/>
                <w:szCs w:val="24"/>
              </w:rPr>
            </w:pPr>
            <w:r w:rsidRPr="00886FD2">
              <w:rPr>
                <w:rFonts w:eastAsia="Times New Roman"/>
                <w:color w:val="000000"/>
                <w:sz w:val="24"/>
                <w:szCs w:val="24"/>
              </w:rPr>
              <w:t>1,512</w:t>
            </w:r>
          </w:p>
        </w:tc>
        <w:tc>
          <w:tcPr>
            <w:tcW w:w="397" w:type="pct"/>
            <w:tcBorders>
              <w:top w:val="nil"/>
              <w:left w:val="nil"/>
              <w:bottom w:val="single" w:sz="4" w:space="0" w:color="auto"/>
              <w:right w:val="single" w:sz="4" w:space="0" w:color="auto"/>
            </w:tcBorders>
            <w:noWrap/>
            <w:vAlign w:val="bottom"/>
            <w:hideMark/>
          </w:tcPr>
          <w:p w14:paraId="54764026" w14:textId="77777777" w:rsidR="00EA21F4" w:rsidRPr="00886FD2" w:rsidRDefault="00EA21F4" w:rsidP="00EA21F4">
            <w:pPr>
              <w:spacing w:after="240" w:line="360" w:lineRule="auto"/>
              <w:jc w:val="right"/>
              <w:rPr>
                <w:rFonts w:eastAsia="Times New Roman"/>
                <w:color w:val="000000"/>
                <w:sz w:val="24"/>
                <w:szCs w:val="24"/>
              </w:rPr>
            </w:pPr>
            <w:r w:rsidRPr="00886FD2">
              <w:rPr>
                <w:rFonts w:eastAsia="Times New Roman"/>
                <w:color w:val="000000"/>
                <w:sz w:val="24"/>
                <w:szCs w:val="24"/>
              </w:rPr>
              <w:t>1,286</w:t>
            </w:r>
          </w:p>
        </w:tc>
        <w:tc>
          <w:tcPr>
            <w:tcW w:w="397" w:type="pct"/>
            <w:tcBorders>
              <w:top w:val="nil"/>
              <w:left w:val="nil"/>
              <w:bottom w:val="single" w:sz="4" w:space="0" w:color="auto"/>
              <w:right w:val="single" w:sz="4" w:space="0" w:color="auto"/>
            </w:tcBorders>
            <w:noWrap/>
            <w:vAlign w:val="bottom"/>
            <w:hideMark/>
          </w:tcPr>
          <w:p w14:paraId="5787C486" w14:textId="77777777" w:rsidR="00EA21F4" w:rsidRPr="00886FD2" w:rsidRDefault="00EA21F4" w:rsidP="00EA21F4">
            <w:pPr>
              <w:spacing w:after="240" w:line="360" w:lineRule="auto"/>
              <w:jc w:val="right"/>
              <w:rPr>
                <w:rFonts w:eastAsia="Times New Roman"/>
                <w:color w:val="000000"/>
                <w:sz w:val="24"/>
                <w:szCs w:val="24"/>
              </w:rPr>
            </w:pPr>
            <w:r w:rsidRPr="00886FD2">
              <w:rPr>
                <w:rFonts w:eastAsia="Times New Roman"/>
                <w:color w:val="000000"/>
                <w:sz w:val="24"/>
                <w:szCs w:val="24"/>
              </w:rPr>
              <w:t>875</w:t>
            </w:r>
          </w:p>
        </w:tc>
        <w:tc>
          <w:tcPr>
            <w:tcW w:w="397" w:type="pct"/>
            <w:tcBorders>
              <w:top w:val="nil"/>
              <w:left w:val="nil"/>
              <w:bottom w:val="single" w:sz="4" w:space="0" w:color="auto"/>
              <w:right w:val="single" w:sz="4" w:space="0" w:color="auto"/>
            </w:tcBorders>
            <w:noWrap/>
            <w:vAlign w:val="bottom"/>
            <w:hideMark/>
          </w:tcPr>
          <w:p w14:paraId="0E8B36E7" w14:textId="77777777" w:rsidR="00EA21F4" w:rsidRPr="00886FD2" w:rsidRDefault="00EA21F4" w:rsidP="00EA21F4">
            <w:pPr>
              <w:spacing w:after="240" w:line="360" w:lineRule="auto"/>
              <w:jc w:val="right"/>
              <w:rPr>
                <w:rFonts w:eastAsia="Times New Roman"/>
                <w:color w:val="000000"/>
                <w:sz w:val="24"/>
                <w:szCs w:val="24"/>
              </w:rPr>
            </w:pPr>
            <w:r w:rsidRPr="00886FD2">
              <w:rPr>
                <w:rFonts w:eastAsia="Times New Roman"/>
                <w:color w:val="000000"/>
                <w:sz w:val="24"/>
                <w:szCs w:val="24"/>
              </w:rPr>
              <w:t>1,376</w:t>
            </w:r>
          </w:p>
        </w:tc>
        <w:tc>
          <w:tcPr>
            <w:tcW w:w="397" w:type="pct"/>
            <w:tcBorders>
              <w:top w:val="nil"/>
              <w:left w:val="nil"/>
              <w:bottom w:val="single" w:sz="4" w:space="0" w:color="auto"/>
              <w:right w:val="single" w:sz="4" w:space="0" w:color="auto"/>
            </w:tcBorders>
            <w:noWrap/>
            <w:vAlign w:val="bottom"/>
            <w:hideMark/>
          </w:tcPr>
          <w:p w14:paraId="0DC5F6D1" w14:textId="77777777" w:rsidR="00EA21F4" w:rsidRPr="00886FD2" w:rsidRDefault="00EA21F4" w:rsidP="00EA21F4">
            <w:pPr>
              <w:spacing w:after="240" w:line="360" w:lineRule="auto"/>
              <w:jc w:val="right"/>
              <w:rPr>
                <w:rFonts w:eastAsia="Times New Roman"/>
                <w:color w:val="000000"/>
                <w:sz w:val="24"/>
                <w:szCs w:val="24"/>
              </w:rPr>
            </w:pPr>
            <w:r w:rsidRPr="00886FD2">
              <w:rPr>
                <w:rFonts w:eastAsia="Times New Roman"/>
                <w:color w:val="000000"/>
                <w:sz w:val="24"/>
                <w:szCs w:val="24"/>
              </w:rPr>
              <w:t>970</w:t>
            </w:r>
          </w:p>
        </w:tc>
      </w:tr>
      <w:tr w:rsidR="00EA21F4" w:rsidRPr="00886FD2" w14:paraId="6F11972D" w14:textId="77777777" w:rsidTr="00EA21F4">
        <w:trPr>
          <w:trHeight w:val="300"/>
        </w:trPr>
        <w:tc>
          <w:tcPr>
            <w:tcW w:w="3013" w:type="pct"/>
            <w:gridSpan w:val="2"/>
            <w:tcBorders>
              <w:top w:val="single" w:sz="4" w:space="0" w:color="auto"/>
              <w:left w:val="single" w:sz="4" w:space="0" w:color="auto"/>
              <w:bottom w:val="single" w:sz="4" w:space="0" w:color="auto"/>
              <w:right w:val="single" w:sz="4" w:space="0" w:color="auto"/>
            </w:tcBorders>
            <w:noWrap/>
            <w:vAlign w:val="bottom"/>
            <w:hideMark/>
          </w:tcPr>
          <w:p w14:paraId="0291075B" w14:textId="77777777" w:rsidR="00EA21F4" w:rsidRPr="00886FD2" w:rsidRDefault="00EA21F4" w:rsidP="00EA21F4">
            <w:pPr>
              <w:spacing w:after="240" w:line="360" w:lineRule="auto"/>
              <w:rPr>
                <w:rFonts w:eastAsia="Times New Roman"/>
                <w:color w:val="000000"/>
                <w:sz w:val="24"/>
                <w:szCs w:val="24"/>
              </w:rPr>
            </w:pPr>
            <w:r w:rsidRPr="00886FD2">
              <w:rPr>
                <w:rFonts w:eastAsia="Times New Roman"/>
                <w:color w:val="000000"/>
                <w:sz w:val="24"/>
                <w:szCs w:val="24"/>
              </w:rPr>
              <w:t>Accounts Receivable</w:t>
            </w:r>
          </w:p>
        </w:tc>
        <w:tc>
          <w:tcPr>
            <w:tcW w:w="397" w:type="pct"/>
            <w:tcBorders>
              <w:top w:val="nil"/>
              <w:left w:val="nil"/>
              <w:bottom w:val="single" w:sz="4" w:space="0" w:color="auto"/>
              <w:right w:val="single" w:sz="4" w:space="0" w:color="auto"/>
            </w:tcBorders>
            <w:noWrap/>
            <w:vAlign w:val="bottom"/>
            <w:hideMark/>
          </w:tcPr>
          <w:p w14:paraId="10D3D4A6" w14:textId="77777777" w:rsidR="00EA21F4" w:rsidRPr="00886FD2" w:rsidRDefault="00EA21F4" w:rsidP="00EA21F4">
            <w:pPr>
              <w:spacing w:after="240" w:line="360" w:lineRule="auto"/>
              <w:jc w:val="right"/>
              <w:rPr>
                <w:rFonts w:eastAsia="Times New Roman"/>
                <w:color w:val="000000"/>
                <w:sz w:val="24"/>
                <w:szCs w:val="24"/>
              </w:rPr>
            </w:pPr>
            <w:r w:rsidRPr="00886FD2">
              <w:rPr>
                <w:rFonts w:eastAsia="Times New Roman"/>
                <w:color w:val="000000"/>
                <w:sz w:val="24"/>
                <w:szCs w:val="24"/>
              </w:rPr>
              <w:t>1,068</w:t>
            </w:r>
          </w:p>
        </w:tc>
        <w:tc>
          <w:tcPr>
            <w:tcW w:w="397" w:type="pct"/>
            <w:tcBorders>
              <w:top w:val="nil"/>
              <w:left w:val="nil"/>
              <w:bottom w:val="single" w:sz="4" w:space="0" w:color="auto"/>
              <w:right w:val="single" w:sz="4" w:space="0" w:color="auto"/>
            </w:tcBorders>
            <w:noWrap/>
            <w:vAlign w:val="bottom"/>
            <w:hideMark/>
          </w:tcPr>
          <w:p w14:paraId="2991ACB1" w14:textId="77777777" w:rsidR="00EA21F4" w:rsidRPr="00886FD2" w:rsidRDefault="00EA21F4" w:rsidP="00EA21F4">
            <w:pPr>
              <w:spacing w:after="240" w:line="360" w:lineRule="auto"/>
              <w:jc w:val="right"/>
              <w:rPr>
                <w:rFonts w:eastAsia="Times New Roman"/>
                <w:color w:val="000000"/>
                <w:sz w:val="24"/>
                <w:szCs w:val="24"/>
              </w:rPr>
            </w:pPr>
            <w:r w:rsidRPr="00886FD2">
              <w:rPr>
                <w:rFonts w:eastAsia="Times New Roman"/>
                <w:color w:val="000000"/>
                <w:sz w:val="24"/>
                <w:szCs w:val="24"/>
              </w:rPr>
              <w:t>1,327</w:t>
            </w:r>
          </w:p>
        </w:tc>
        <w:tc>
          <w:tcPr>
            <w:tcW w:w="397" w:type="pct"/>
            <w:tcBorders>
              <w:top w:val="nil"/>
              <w:left w:val="nil"/>
              <w:bottom w:val="single" w:sz="4" w:space="0" w:color="auto"/>
              <w:right w:val="single" w:sz="4" w:space="0" w:color="auto"/>
            </w:tcBorders>
            <w:noWrap/>
            <w:vAlign w:val="bottom"/>
            <w:hideMark/>
          </w:tcPr>
          <w:p w14:paraId="549AB840" w14:textId="77777777" w:rsidR="00EA21F4" w:rsidRPr="00886FD2" w:rsidRDefault="00EA21F4" w:rsidP="00EA21F4">
            <w:pPr>
              <w:spacing w:after="240" w:line="360" w:lineRule="auto"/>
              <w:jc w:val="right"/>
              <w:rPr>
                <w:rFonts w:eastAsia="Times New Roman"/>
                <w:color w:val="000000"/>
                <w:sz w:val="24"/>
                <w:szCs w:val="24"/>
              </w:rPr>
            </w:pPr>
            <w:r w:rsidRPr="00886FD2">
              <w:rPr>
                <w:rFonts w:eastAsia="Times New Roman"/>
                <w:color w:val="000000"/>
                <w:sz w:val="24"/>
                <w:szCs w:val="24"/>
              </w:rPr>
              <w:t>1,487</w:t>
            </w:r>
          </w:p>
        </w:tc>
        <w:tc>
          <w:tcPr>
            <w:tcW w:w="397" w:type="pct"/>
            <w:tcBorders>
              <w:top w:val="nil"/>
              <w:left w:val="nil"/>
              <w:bottom w:val="single" w:sz="4" w:space="0" w:color="auto"/>
              <w:right w:val="single" w:sz="4" w:space="0" w:color="auto"/>
            </w:tcBorders>
            <w:noWrap/>
            <w:vAlign w:val="bottom"/>
            <w:hideMark/>
          </w:tcPr>
          <w:p w14:paraId="4E9B40B2" w14:textId="77777777" w:rsidR="00EA21F4" w:rsidRPr="00886FD2" w:rsidRDefault="00EA21F4" w:rsidP="00EA21F4">
            <w:pPr>
              <w:spacing w:after="240" w:line="360" w:lineRule="auto"/>
              <w:jc w:val="right"/>
              <w:rPr>
                <w:rFonts w:eastAsia="Times New Roman"/>
                <w:color w:val="000000"/>
                <w:sz w:val="24"/>
                <w:szCs w:val="24"/>
              </w:rPr>
            </w:pPr>
            <w:r w:rsidRPr="00886FD2">
              <w:rPr>
                <w:rFonts w:eastAsia="Times New Roman"/>
                <w:color w:val="000000"/>
                <w:sz w:val="24"/>
                <w:szCs w:val="24"/>
              </w:rPr>
              <w:t>1,583</w:t>
            </w:r>
          </w:p>
        </w:tc>
        <w:tc>
          <w:tcPr>
            <w:tcW w:w="397" w:type="pct"/>
            <w:tcBorders>
              <w:top w:val="nil"/>
              <w:left w:val="nil"/>
              <w:bottom w:val="single" w:sz="4" w:space="0" w:color="auto"/>
              <w:right w:val="single" w:sz="4" w:space="0" w:color="auto"/>
            </w:tcBorders>
            <w:noWrap/>
            <w:vAlign w:val="bottom"/>
            <w:hideMark/>
          </w:tcPr>
          <w:p w14:paraId="350DD783" w14:textId="77777777" w:rsidR="00EA21F4" w:rsidRPr="00886FD2" w:rsidRDefault="00EA21F4" w:rsidP="00EA21F4">
            <w:pPr>
              <w:spacing w:after="240" w:line="360" w:lineRule="auto"/>
              <w:jc w:val="right"/>
              <w:rPr>
                <w:rFonts w:eastAsia="Times New Roman"/>
                <w:color w:val="000000"/>
                <w:sz w:val="24"/>
                <w:szCs w:val="24"/>
              </w:rPr>
            </w:pPr>
            <w:r w:rsidRPr="00886FD2">
              <w:rPr>
                <w:rFonts w:eastAsia="Times New Roman"/>
                <w:color w:val="000000"/>
                <w:sz w:val="24"/>
                <w:szCs w:val="24"/>
              </w:rPr>
              <w:t>1,690</w:t>
            </w:r>
          </w:p>
        </w:tc>
      </w:tr>
      <w:tr w:rsidR="00EA21F4" w:rsidRPr="00886FD2" w14:paraId="276A37AA" w14:textId="77777777" w:rsidTr="00EA21F4">
        <w:trPr>
          <w:trHeight w:val="300"/>
        </w:trPr>
        <w:tc>
          <w:tcPr>
            <w:tcW w:w="3013" w:type="pct"/>
            <w:gridSpan w:val="2"/>
            <w:tcBorders>
              <w:top w:val="single" w:sz="4" w:space="0" w:color="auto"/>
              <w:left w:val="single" w:sz="4" w:space="0" w:color="auto"/>
              <w:bottom w:val="single" w:sz="4" w:space="0" w:color="auto"/>
              <w:right w:val="single" w:sz="4" w:space="0" w:color="auto"/>
            </w:tcBorders>
            <w:noWrap/>
            <w:vAlign w:val="bottom"/>
            <w:hideMark/>
          </w:tcPr>
          <w:p w14:paraId="10E18A58" w14:textId="77777777" w:rsidR="00EA21F4" w:rsidRPr="00886FD2" w:rsidRDefault="00EA21F4" w:rsidP="00EA21F4">
            <w:pPr>
              <w:spacing w:after="240" w:line="360" w:lineRule="auto"/>
              <w:rPr>
                <w:rFonts w:eastAsia="Times New Roman"/>
                <w:color w:val="000000"/>
                <w:sz w:val="24"/>
                <w:szCs w:val="24"/>
              </w:rPr>
            </w:pPr>
            <w:r w:rsidRPr="00886FD2">
              <w:rPr>
                <w:rFonts w:eastAsia="Times New Roman"/>
                <w:color w:val="000000"/>
                <w:sz w:val="24"/>
                <w:szCs w:val="24"/>
              </w:rPr>
              <w:t>Other Current Assets</w:t>
            </w:r>
          </w:p>
        </w:tc>
        <w:tc>
          <w:tcPr>
            <w:tcW w:w="397" w:type="pct"/>
            <w:tcBorders>
              <w:top w:val="nil"/>
              <w:left w:val="nil"/>
              <w:bottom w:val="single" w:sz="4" w:space="0" w:color="auto"/>
              <w:right w:val="single" w:sz="4" w:space="0" w:color="auto"/>
            </w:tcBorders>
            <w:noWrap/>
            <w:vAlign w:val="bottom"/>
            <w:hideMark/>
          </w:tcPr>
          <w:p w14:paraId="37850226" w14:textId="77777777" w:rsidR="00EA21F4" w:rsidRPr="00886FD2" w:rsidRDefault="00EA21F4" w:rsidP="00EA21F4">
            <w:pPr>
              <w:spacing w:after="240" w:line="360" w:lineRule="auto"/>
              <w:jc w:val="right"/>
              <w:rPr>
                <w:rFonts w:eastAsia="Times New Roman"/>
                <w:color w:val="000000"/>
                <w:sz w:val="24"/>
                <w:szCs w:val="24"/>
              </w:rPr>
            </w:pPr>
            <w:r w:rsidRPr="00886FD2">
              <w:rPr>
                <w:rFonts w:eastAsia="Times New Roman"/>
                <w:color w:val="000000"/>
                <w:sz w:val="24"/>
                <w:szCs w:val="24"/>
              </w:rPr>
              <w:t>291</w:t>
            </w:r>
          </w:p>
        </w:tc>
        <w:tc>
          <w:tcPr>
            <w:tcW w:w="397" w:type="pct"/>
            <w:tcBorders>
              <w:top w:val="nil"/>
              <w:left w:val="nil"/>
              <w:bottom w:val="single" w:sz="4" w:space="0" w:color="auto"/>
              <w:right w:val="single" w:sz="4" w:space="0" w:color="auto"/>
            </w:tcBorders>
            <w:noWrap/>
            <w:vAlign w:val="bottom"/>
            <w:hideMark/>
          </w:tcPr>
          <w:p w14:paraId="04B03DC8" w14:textId="77777777" w:rsidR="00EA21F4" w:rsidRPr="00886FD2" w:rsidRDefault="00EA21F4" w:rsidP="00EA21F4">
            <w:pPr>
              <w:spacing w:after="240" w:line="360" w:lineRule="auto"/>
              <w:jc w:val="right"/>
              <w:rPr>
                <w:rFonts w:eastAsia="Times New Roman"/>
                <w:color w:val="000000"/>
                <w:sz w:val="24"/>
                <w:szCs w:val="24"/>
              </w:rPr>
            </w:pPr>
            <w:r w:rsidRPr="00886FD2">
              <w:rPr>
                <w:rFonts w:eastAsia="Times New Roman"/>
                <w:color w:val="000000"/>
                <w:sz w:val="24"/>
                <w:szCs w:val="24"/>
              </w:rPr>
              <w:t>257</w:t>
            </w:r>
          </w:p>
        </w:tc>
        <w:tc>
          <w:tcPr>
            <w:tcW w:w="397" w:type="pct"/>
            <w:tcBorders>
              <w:top w:val="nil"/>
              <w:left w:val="nil"/>
              <w:bottom w:val="single" w:sz="4" w:space="0" w:color="auto"/>
              <w:right w:val="single" w:sz="4" w:space="0" w:color="auto"/>
            </w:tcBorders>
            <w:noWrap/>
            <w:vAlign w:val="bottom"/>
            <w:hideMark/>
          </w:tcPr>
          <w:p w14:paraId="783ECA30" w14:textId="77777777" w:rsidR="00EA21F4" w:rsidRPr="00886FD2" w:rsidRDefault="00EA21F4" w:rsidP="00EA21F4">
            <w:pPr>
              <w:spacing w:after="240" w:line="360" w:lineRule="auto"/>
              <w:jc w:val="right"/>
              <w:rPr>
                <w:rFonts w:eastAsia="Times New Roman"/>
                <w:color w:val="000000"/>
                <w:sz w:val="24"/>
                <w:szCs w:val="24"/>
              </w:rPr>
            </w:pPr>
            <w:r w:rsidRPr="00886FD2">
              <w:rPr>
                <w:rFonts w:eastAsia="Times New Roman"/>
                <w:color w:val="000000"/>
                <w:sz w:val="24"/>
                <w:szCs w:val="24"/>
              </w:rPr>
              <w:t>252</w:t>
            </w:r>
          </w:p>
        </w:tc>
        <w:tc>
          <w:tcPr>
            <w:tcW w:w="397" w:type="pct"/>
            <w:tcBorders>
              <w:top w:val="nil"/>
              <w:left w:val="nil"/>
              <w:bottom w:val="single" w:sz="4" w:space="0" w:color="auto"/>
              <w:right w:val="single" w:sz="4" w:space="0" w:color="auto"/>
            </w:tcBorders>
            <w:noWrap/>
            <w:vAlign w:val="bottom"/>
            <w:hideMark/>
          </w:tcPr>
          <w:p w14:paraId="1BDF9DE8" w14:textId="77777777" w:rsidR="00EA21F4" w:rsidRPr="00886FD2" w:rsidRDefault="00EA21F4" w:rsidP="00EA21F4">
            <w:pPr>
              <w:spacing w:after="240" w:line="360" w:lineRule="auto"/>
              <w:jc w:val="right"/>
              <w:rPr>
                <w:rFonts w:eastAsia="Times New Roman"/>
                <w:color w:val="000000"/>
                <w:sz w:val="24"/>
                <w:szCs w:val="24"/>
              </w:rPr>
            </w:pPr>
            <w:r w:rsidRPr="00886FD2">
              <w:rPr>
                <w:rFonts w:eastAsia="Times New Roman"/>
                <w:color w:val="000000"/>
                <w:sz w:val="24"/>
                <w:szCs w:val="24"/>
              </w:rPr>
              <w:t>313</w:t>
            </w:r>
          </w:p>
        </w:tc>
        <w:tc>
          <w:tcPr>
            <w:tcW w:w="397" w:type="pct"/>
            <w:tcBorders>
              <w:top w:val="nil"/>
              <w:left w:val="nil"/>
              <w:bottom w:val="single" w:sz="4" w:space="0" w:color="auto"/>
              <w:right w:val="single" w:sz="4" w:space="0" w:color="auto"/>
            </w:tcBorders>
            <w:noWrap/>
            <w:vAlign w:val="bottom"/>
            <w:hideMark/>
          </w:tcPr>
          <w:p w14:paraId="6CB99A88" w14:textId="77777777" w:rsidR="00EA21F4" w:rsidRPr="00886FD2" w:rsidRDefault="00EA21F4" w:rsidP="00EA21F4">
            <w:pPr>
              <w:spacing w:after="240" w:line="360" w:lineRule="auto"/>
              <w:jc w:val="right"/>
              <w:rPr>
                <w:rFonts w:eastAsia="Times New Roman"/>
                <w:color w:val="000000"/>
                <w:sz w:val="24"/>
                <w:szCs w:val="24"/>
              </w:rPr>
            </w:pPr>
            <w:r w:rsidRPr="00886FD2">
              <w:rPr>
                <w:rFonts w:eastAsia="Times New Roman"/>
                <w:color w:val="000000"/>
                <w:sz w:val="24"/>
                <w:szCs w:val="24"/>
              </w:rPr>
              <w:t>336</w:t>
            </w:r>
          </w:p>
        </w:tc>
      </w:tr>
      <w:tr w:rsidR="00EA21F4" w:rsidRPr="00886FD2" w14:paraId="47C8B958" w14:textId="77777777" w:rsidTr="00EA21F4">
        <w:trPr>
          <w:trHeight w:val="300"/>
        </w:trPr>
        <w:tc>
          <w:tcPr>
            <w:tcW w:w="3013" w:type="pct"/>
            <w:gridSpan w:val="2"/>
            <w:tcBorders>
              <w:top w:val="single" w:sz="4" w:space="0" w:color="auto"/>
              <w:left w:val="single" w:sz="4" w:space="0" w:color="auto"/>
              <w:bottom w:val="single" w:sz="4" w:space="0" w:color="auto"/>
              <w:right w:val="single" w:sz="4" w:space="0" w:color="auto"/>
            </w:tcBorders>
            <w:noWrap/>
            <w:vAlign w:val="bottom"/>
            <w:hideMark/>
          </w:tcPr>
          <w:p w14:paraId="30E629BC" w14:textId="77777777" w:rsidR="00EA21F4" w:rsidRPr="00886FD2" w:rsidRDefault="00EA21F4" w:rsidP="00EA21F4">
            <w:pPr>
              <w:spacing w:after="240" w:line="360" w:lineRule="auto"/>
              <w:rPr>
                <w:rFonts w:eastAsia="Times New Roman"/>
                <w:color w:val="000000"/>
                <w:sz w:val="24"/>
                <w:szCs w:val="24"/>
              </w:rPr>
            </w:pPr>
            <w:r w:rsidRPr="00886FD2">
              <w:rPr>
                <w:rFonts w:eastAsia="Times New Roman"/>
                <w:color w:val="000000"/>
                <w:sz w:val="24"/>
                <w:szCs w:val="24"/>
              </w:rPr>
              <w:t>Total Current Assets</w:t>
            </w:r>
          </w:p>
        </w:tc>
        <w:tc>
          <w:tcPr>
            <w:tcW w:w="397" w:type="pct"/>
            <w:tcBorders>
              <w:top w:val="nil"/>
              <w:left w:val="nil"/>
              <w:bottom w:val="single" w:sz="4" w:space="0" w:color="auto"/>
              <w:right w:val="single" w:sz="4" w:space="0" w:color="auto"/>
            </w:tcBorders>
            <w:noWrap/>
            <w:vAlign w:val="bottom"/>
            <w:hideMark/>
          </w:tcPr>
          <w:p w14:paraId="08DBD4E3" w14:textId="77777777" w:rsidR="00EA21F4" w:rsidRPr="00886FD2" w:rsidRDefault="00EA21F4" w:rsidP="00EA21F4">
            <w:pPr>
              <w:spacing w:after="240" w:line="360" w:lineRule="auto"/>
              <w:jc w:val="right"/>
              <w:rPr>
                <w:rFonts w:eastAsia="Times New Roman"/>
                <w:color w:val="000000"/>
                <w:sz w:val="24"/>
                <w:szCs w:val="24"/>
              </w:rPr>
            </w:pPr>
            <w:r w:rsidRPr="00886FD2">
              <w:rPr>
                <w:rFonts w:eastAsia="Times New Roman"/>
                <w:color w:val="000000"/>
                <w:sz w:val="24"/>
                <w:szCs w:val="24"/>
              </w:rPr>
              <w:t>2,871</w:t>
            </w:r>
          </w:p>
        </w:tc>
        <w:tc>
          <w:tcPr>
            <w:tcW w:w="397" w:type="pct"/>
            <w:tcBorders>
              <w:top w:val="nil"/>
              <w:left w:val="nil"/>
              <w:bottom w:val="single" w:sz="4" w:space="0" w:color="auto"/>
              <w:right w:val="single" w:sz="4" w:space="0" w:color="auto"/>
            </w:tcBorders>
            <w:noWrap/>
            <w:vAlign w:val="bottom"/>
            <w:hideMark/>
          </w:tcPr>
          <w:p w14:paraId="7482B5CB" w14:textId="77777777" w:rsidR="00EA21F4" w:rsidRPr="00886FD2" w:rsidRDefault="00EA21F4" w:rsidP="00EA21F4">
            <w:pPr>
              <w:spacing w:after="240" w:line="360" w:lineRule="auto"/>
              <w:jc w:val="right"/>
              <w:rPr>
                <w:rFonts w:eastAsia="Times New Roman"/>
                <w:color w:val="000000"/>
                <w:sz w:val="24"/>
                <w:szCs w:val="24"/>
              </w:rPr>
            </w:pPr>
            <w:r w:rsidRPr="00886FD2">
              <w:rPr>
                <w:rFonts w:eastAsia="Times New Roman"/>
                <w:color w:val="000000"/>
                <w:sz w:val="24"/>
                <w:szCs w:val="24"/>
              </w:rPr>
              <w:t>2,870</w:t>
            </w:r>
          </w:p>
        </w:tc>
        <w:tc>
          <w:tcPr>
            <w:tcW w:w="397" w:type="pct"/>
            <w:tcBorders>
              <w:top w:val="nil"/>
              <w:left w:val="nil"/>
              <w:bottom w:val="single" w:sz="4" w:space="0" w:color="auto"/>
              <w:right w:val="single" w:sz="4" w:space="0" w:color="auto"/>
            </w:tcBorders>
            <w:noWrap/>
            <w:vAlign w:val="bottom"/>
            <w:hideMark/>
          </w:tcPr>
          <w:p w14:paraId="558528D4" w14:textId="77777777" w:rsidR="00EA21F4" w:rsidRPr="00886FD2" w:rsidRDefault="00EA21F4" w:rsidP="00EA21F4">
            <w:pPr>
              <w:spacing w:after="240" w:line="360" w:lineRule="auto"/>
              <w:jc w:val="right"/>
              <w:rPr>
                <w:rFonts w:eastAsia="Times New Roman"/>
                <w:color w:val="000000"/>
                <w:sz w:val="24"/>
                <w:szCs w:val="24"/>
              </w:rPr>
            </w:pPr>
            <w:r w:rsidRPr="00886FD2">
              <w:rPr>
                <w:rFonts w:eastAsia="Times New Roman"/>
                <w:color w:val="000000"/>
                <w:sz w:val="24"/>
                <w:szCs w:val="24"/>
              </w:rPr>
              <w:t>2,614</w:t>
            </w:r>
          </w:p>
        </w:tc>
        <w:tc>
          <w:tcPr>
            <w:tcW w:w="397" w:type="pct"/>
            <w:tcBorders>
              <w:top w:val="nil"/>
              <w:left w:val="nil"/>
              <w:bottom w:val="single" w:sz="4" w:space="0" w:color="auto"/>
              <w:right w:val="single" w:sz="4" w:space="0" w:color="auto"/>
            </w:tcBorders>
            <w:noWrap/>
            <w:vAlign w:val="bottom"/>
            <w:hideMark/>
          </w:tcPr>
          <w:p w14:paraId="707C1F0F" w14:textId="77777777" w:rsidR="00EA21F4" w:rsidRPr="00886FD2" w:rsidRDefault="00EA21F4" w:rsidP="00EA21F4">
            <w:pPr>
              <w:spacing w:after="240" w:line="360" w:lineRule="auto"/>
              <w:jc w:val="right"/>
              <w:rPr>
                <w:rFonts w:eastAsia="Times New Roman"/>
                <w:color w:val="000000"/>
                <w:sz w:val="24"/>
                <w:szCs w:val="24"/>
              </w:rPr>
            </w:pPr>
            <w:r w:rsidRPr="00886FD2">
              <w:rPr>
                <w:rFonts w:eastAsia="Times New Roman"/>
                <w:color w:val="000000"/>
                <w:sz w:val="24"/>
                <w:szCs w:val="24"/>
              </w:rPr>
              <w:t>3,272</w:t>
            </w:r>
          </w:p>
        </w:tc>
        <w:tc>
          <w:tcPr>
            <w:tcW w:w="397" w:type="pct"/>
            <w:tcBorders>
              <w:top w:val="nil"/>
              <w:left w:val="nil"/>
              <w:bottom w:val="single" w:sz="4" w:space="0" w:color="auto"/>
              <w:right w:val="single" w:sz="4" w:space="0" w:color="auto"/>
            </w:tcBorders>
            <w:noWrap/>
            <w:vAlign w:val="bottom"/>
            <w:hideMark/>
          </w:tcPr>
          <w:p w14:paraId="64C07EAE" w14:textId="77777777" w:rsidR="00EA21F4" w:rsidRPr="00886FD2" w:rsidRDefault="00EA21F4" w:rsidP="00EA21F4">
            <w:pPr>
              <w:spacing w:after="240" w:line="360" w:lineRule="auto"/>
              <w:jc w:val="right"/>
              <w:rPr>
                <w:rFonts w:eastAsia="Times New Roman"/>
                <w:color w:val="000000"/>
                <w:sz w:val="24"/>
                <w:szCs w:val="24"/>
              </w:rPr>
            </w:pPr>
            <w:r w:rsidRPr="00886FD2">
              <w:rPr>
                <w:rFonts w:eastAsia="Times New Roman"/>
                <w:color w:val="000000"/>
                <w:sz w:val="24"/>
                <w:szCs w:val="24"/>
              </w:rPr>
              <w:t>2,996</w:t>
            </w:r>
          </w:p>
        </w:tc>
      </w:tr>
      <w:tr w:rsidR="00EA21F4" w:rsidRPr="00886FD2" w14:paraId="6FED7561" w14:textId="77777777" w:rsidTr="00EA21F4">
        <w:trPr>
          <w:trHeight w:val="300"/>
        </w:trPr>
        <w:tc>
          <w:tcPr>
            <w:tcW w:w="3013" w:type="pct"/>
            <w:gridSpan w:val="2"/>
            <w:tcBorders>
              <w:top w:val="single" w:sz="4" w:space="0" w:color="auto"/>
              <w:left w:val="single" w:sz="4" w:space="0" w:color="auto"/>
              <w:bottom w:val="single" w:sz="4" w:space="0" w:color="auto"/>
              <w:right w:val="single" w:sz="4" w:space="0" w:color="auto"/>
            </w:tcBorders>
            <w:noWrap/>
            <w:vAlign w:val="bottom"/>
            <w:hideMark/>
          </w:tcPr>
          <w:p w14:paraId="7A7B4087" w14:textId="77777777" w:rsidR="00EA21F4" w:rsidRPr="00886FD2" w:rsidRDefault="00EA21F4" w:rsidP="00EA21F4">
            <w:pPr>
              <w:spacing w:after="240" w:line="360" w:lineRule="auto"/>
              <w:rPr>
                <w:rFonts w:eastAsia="Times New Roman"/>
                <w:color w:val="000000"/>
                <w:sz w:val="24"/>
                <w:szCs w:val="24"/>
              </w:rPr>
            </w:pPr>
            <w:r w:rsidRPr="00886FD2">
              <w:rPr>
                <w:rFonts w:eastAsia="Times New Roman"/>
                <w:color w:val="000000"/>
                <w:sz w:val="24"/>
                <w:szCs w:val="24"/>
              </w:rPr>
              <w:t>Property and Equipment</w:t>
            </w:r>
          </w:p>
        </w:tc>
        <w:tc>
          <w:tcPr>
            <w:tcW w:w="397" w:type="pct"/>
            <w:tcBorders>
              <w:top w:val="nil"/>
              <w:left w:val="nil"/>
              <w:bottom w:val="single" w:sz="4" w:space="0" w:color="auto"/>
              <w:right w:val="single" w:sz="4" w:space="0" w:color="auto"/>
            </w:tcBorders>
            <w:noWrap/>
            <w:vAlign w:val="bottom"/>
            <w:hideMark/>
          </w:tcPr>
          <w:p w14:paraId="656779E5" w14:textId="77777777" w:rsidR="00EA21F4" w:rsidRPr="00886FD2" w:rsidRDefault="00EA21F4" w:rsidP="00EA21F4">
            <w:pPr>
              <w:spacing w:after="240" w:line="360" w:lineRule="auto"/>
              <w:jc w:val="right"/>
              <w:rPr>
                <w:rFonts w:eastAsia="Times New Roman"/>
                <w:color w:val="000000"/>
                <w:sz w:val="24"/>
                <w:szCs w:val="24"/>
              </w:rPr>
            </w:pPr>
            <w:r w:rsidRPr="00886FD2">
              <w:rPr>
                <w:rFonts w:eastAsia="Times New Roman"/>
                <w:color w:val="000000"/>
                <w:sz w:val="24"/>
                <w:szCs w:val="24"/>
              </w:rPr>
              <w:t>73</w:t>
            </w:r>
          </w:p>
        </w:tc>
        <w:tc>
          <w:tcPr>
            <w:tcW w:w="397" w:type="pct"/>
            <w:tcBorders>
              <w:top w:val="nil"/>
              <w:left w:val="nil"/>
              <w:bottom w:val="single" w:sz="4" w:space="0" w:color="auto"/>
              <w:right w:val="single" w:sz="4" w:space="0" w:color="auto"/>
            </w:tcBorders>
            <w:noWrap/>
            <w:vAlign w:val="bottom"/>
            <w:hideMark/>
          </w:tcPr>
          <w:p w14:paraId="4DBC33F6" w14:textId="77777777" w:rsidR="00EA21F4" w:rsidRPr="00886FD2" w:rsidRDefault="00EA21F4" w:rsidP="00EA21F4">
            <w:pPr>
              <w:spacing w:after="240" w:line="360" w:lineRule="auto"/>
              <w:jc w:val="right"/>
              <w:rPr>
                <w:rFonts w:eastAsia="Times New Roman"/>
                <w:color w:val="000000"/>
                <w:sz w:val="24"/>
                <w:szCs w:val="24"/>
              </w:rPr>
            </w:pPr>
            <w:r w:rsidRPr="00886FD2">
              <w:rPr>
                <w:rFonts w:eastAsia="Times New Roman"/>
                <w:color w:val="000000"/>
                <w:sz w:val="24"/>
                <w:szCs w:val="24"/>
              </w:rPr>
              <w:t>102</w:t>
            </w:r>
          </w:p>
        </w:tc>
        <w:tc>
          <w:tcPr>
            <w:tcW w:w="397" w:type="pct"/>
            <w:tcBorders>
              <w:top w:val="nil"/>
              <w:left w:val="nil"/>
              <w:bottom w:val="single" w:sz="4" w:space="0" w:color="auto"/>
              <w:right w:val="single" w:sz="4" w:space="0" w:color="auto"/>
            </w:tcBorders>
            <w:noWrap/>
            <w:vAlign w:val="bottom"/>
            <w:hideMark/>
          </w:tcPr>
          <w:p w14:paraId="4822422D" w14:textId="77777777" w:rsidR="00EA21F4" w:rsidRPr="00886FD2" w:rsidRDefault="00EA21F4" w:rsidP="00EA21F4">
            <w:pPr>
              <w:spacing w:after="240" w:line="360" w:lineRule="auto"/>
              <w:jc w:val="right"/>
              <w:rPr>
                <w:rFonts w:eastAsia="Times New Roman"/>
                <w:color w:val="000000"/>
                <w:sz w:val="24"/>
                <w:szCs w:val="24"/>
              </w:rPr>
            </w:pPr>
            <w:r w:rsidRPr="00886FD2">
              <w:rPr>
                <w:rFonts w:eastAsia="Times New Roman"/>
                <w:color w:val="000000"/>
                <w:sz w:val="24"/>
                <w:szCs w:val="24"/>
              </w:rPr>
              <w:t>242</w:t>
            </w:r>
          </w:p>
        </w:tc>
        <w:tc>
          <w:tcPr>
            <w:tcW w:w="397" w:type="pct"/>
            <w:tcBorders>
              <w:top w:val="nil"/>
              <w:left w:val="nil"/>
              <w:bottom w:val="single" w:sz="4" w:space="0" w:color="auto"/>
              <w:right w:val="single" w:sz="4" w:space="0" w:color="auto"/>
            </w:tcBorders>
            <w:noWrap/>
            <w:vAlign w:val="bottom"/>
            <w:hideMark/>
          </w:tcPr>
          <w:p w14:paraId="6551A212" w14:textId="77777777" w:rsidR="00EA21F4" w:rsidRPr="00886FD2" w:rsidRDefault="00EA21F4" w:rsidP="00EA21F4">
            <w:pPr>
              <w:spacing w:after="240" w:line="360" w:lineRule="auto"/>
              <w:jc w:val="right"/>
              <w:rPr>
                <w:rFonts w:eastAsia="Times New Roman"/>
                <w:color w:val="000000"/>
                <w:sz w:val="24"/>
                <w:szCs w:val="24"/>
              </w:rPr>
            </w:pPr>
            <w:r w:rsidRPr="00886FD2">
              <w:rPr>
                <w:rFonts w:eastAsia="Times New Roman"/>
                <w:color w:val="000000"/>
                <w:sz w:val="24"/>
                <w:szCs w:val="24"/>
              </w:rPr>
              <w:t>190</w:t>
            </w:r>
          </w:p>
        </w:tc>
        <w:tc>
          <w:tcPr>
            <w:tcW w:w="397" w:type="pct"/>
            <w:tcBorders>
              <w:top w:val="nil"/>
              <w:left w:val="nil"/>
              <w:bottom w:val="single" w:sz="4" w:space="0" w:color="auto"/>
              <w:right w:val="single" w:sz="4" w:space="0" w:color="auto"/>
            </w:tcBorders>
            <w:noWrap/>
            <w:vAlign w:val="bottom"/>
            <w:hideMark/>
          </w:tcPr>
          <w:p w14:paraId="07C371B2" w14:textId="77777777" w:rsidR="00EA21F4" w:rsidRPr="00886FD2" w:rsidRDefault="00EA21F4" w:rsidP="00EA21F4">
            <w:pPr>
              <w:spacing w:after="240" w:line="360" w:lineRule="auto"/>
              <w:jc w:val="right"/>
              <w:rPr>
                <w:rFonts w:eastAsia="Times New Roman"/>
                <w:color w:val="000000"/>
                <w:sz w:val="24"/>
                <w:szCs w:val="24"/>
              </w:rPr>
            </w:pPr>
            <w:r w:rsidRPr="00886FD2">
              <w:rPr>
                <w:rFonts w:eastAsia="Times New Roman"/>
                <w:color w:val="000000"/>
                <w:sz w:val="24"/>
                <w:szCs w:val="24"/>
              </w:rPr>
              <w:t>185</w:t>
            </w:r>
          </w:p>
        </w:tc>
      </w:tr>
      <w:tr w:rsidR="00EA21F4" w:rsidRPr="00886FD2" w14:paraId="63D48AE6" w14:textId="77777777" w:rsidTr="00EA21F4">
        <w:trPr>
          <w:trHeight w:val="300"/>
        </w:trPr>
        <w:tc>
          <w:tcPr>
            <w:tcW w:w="3013" w:type="pct"/>
            <w:gridSpan w:val="2"/>
            <w:tcBorders>
              <w:top w:val="single" w:sz="4" w:space="0" w:color="auto"/>
              <w:left w:val="single" w:sz="4" w:space="0" w:color="auto"/>
              <w:bottom w:val="single" w:sz="4" w:space="0" w:color="auto"/>
              <w:right w:val="single" w:sz="4" w:space="0" w:color="auto"/>
            </w:tcBorders>
            <w:noWrap/>
            <w:vAlign w:val="bottom"/>
            <w:hideMark/>
          </w:tcPr>
          <w:p w14:paraId="03BD0187" w14:textId="77777777" w:rsidR="00EA21F4" w:rsidRPr="00886FD2" w:rsidRDefault="00EA21F4" w:rsidP="00EA21F4">
            <w:pPr>
              <w:spacing w:after="240" w:line="360" w:lineRule="auto"/>
              <w:rPr>
                <w:rFonts w:eastAsia="Times New Roman"/>
                <w:color w:val="000000"/>
                <w:sz w:val="24"/>
                <w:szCs w:val="24"/>
              </w:rPr>
            </w:pPr>
            <w:r w:rsidRPr="00886FD2">
              <w:rPr>
                <w:rFonts w:eastAsia="Times New Roman"/>
                <w:color w:val="000000"/>
                <w:sz w:val="24"/>
                <w:szCs w:val="24"/>
              </w:rPr>
              <w:t>Total Assets</w:t>
            </w:r>
          </w:p>
        </w:tc>
        <w:tc>
          <w:tcPr>
            <w:tcW w:w="397" w:type="pct"/>
            <w:tcBorders>
              <w:top w:val="nil"/>
              <w:left w:val="nil"/>
              <w:bottom w:val="single" w:sz="4" w:space="0" w:color="auto"/>
              <w:right w:val="single" w:sz="4" w:space="0" w:color="auto"/>
            </w:tcBorders>
            <w:noWrap/>
            <w:vAlign w:val="bottom"/>
            <w:hideMark/>
          </w:tcPr>
          <w:p w14:paraId="04F0521E" w14:textId="77777777" w:rsidR="00EA21F4" w:rsidRPr="00886FD2" w:rsidRDefault="00EA21F4" w:rsidP="00EA21F4">
            <w:pPr>
              <w:spacing w:after="240" w:line="360" w:lineRule="auto"/>
              <w:jc w:val="right"/>
              <w:rPr>
                <w:rFonts w:eastAsia="Times New Roman"/>
                <w:color w:val="000000"/>
                <w:sz w:val="24"/>
                <w:szCs w:val="24"/>
              </w:rPr>
            </w:pPr>
            <w:r w:rsidRPr="00886FD2">
              <w:rPr>
                <w:rFonts w:eastAsia="Times New Roman"/>
                <w:color w:val="000000"/>
                <w:sz w:val="24"/>
                <w:szCs w:val="24"/>
              </w:rPr>
              <w:t>15,441</w:t>
            </w:r>
          </w:p>
        </w:tc>
        <w:tc>
          <w:tcPr>
            <w:tcW w:w="397" w:type="pct"/>
            <w:tcBorders>
              <w:top w:val="nil"/>
              <w:left w:val="nil"/>
              <w:bottom w:val="single" w:sz="4" w:space="0" w:color="auto"/>
              <w:right w:val="single" w:sz="4" w:space="0" w:color="auto"/>
            </w:tcBorders>
            <w:noWrap/>
            <w:vAlign w:val="bottom"/>
            <w:hideMark/>
          </w:tcPr>
          <w:p w14:paraId="128AF39C" w14:textId="77777777" w:rsidR="00EA21F4" w:rsidRPr="00886FD2" w:rsidRDefault="00EA21F4" w:rsidP="00EA21F4">
            <w:pPr>
              <w:spacing w:after="240" w:line="360" w:lineRule="auto"/>
              <w:jc w:val="right"/>
              <w:rPr>
                <w:rFonts w:eastAsia="Times New Roman"/>
                <w:color w:val="000000"/>
                <w:sz w:val="24"/>
                <w:szCs w:val="24"/>
              </w:rPr>
            </w:pPr>
            <w:r w:rsidRPr="00886FD2">
              <w:rPr>
                <w:rFonts w:eastAsia="Times New Roman"/>
                <w:color w:val="000000"/>
                <w:sz w:val="24"/>
                <w:szCs w:val="24"/>
              </w:rPr>
              <w:t>15,512</w:t>
            </w:r>
          </w:p>
        </w:tc>
        <w:tc>
          <w:tcPr>
            <w:tcW w:w="397" w:type="pct"/>
            <w:tcBorders>
              <w:top w:val="nil"/>
              <w:left w:val="nil"/>
              <w:bottom w:val="single" w:sz="4" w:space="0" w:color="auto"/>
              <w:right w:val="single" w:sz="4" w:space="0" w:color="auto"/>
            </w:tcBorders>
            <w:noWrap/>
            <w:vAlign w:val="bottom"/>
            <w:hideMark/>
          </w:tcPr>
          <w:p w14:paraId="77B06FAD" w14:textId="77777777" w:rsidR="00EA21F4" w:rsidRPr="00886FD2" w:rsidRDefault="00EA21F4" w:rsidP="00EA21F4">
            <w:pPr>
              <w:spacing w:after="240" w:line="360" w:lineRule="auto"/>
              <w:jc w:val="right"/>
              <w:rPr>
                <w:rFonts w:eastAsia="Times New Roman"/>
                <w:color w:val="000000"/>
                <w:sz w:val="24"/>
                <w:szCs w:val="24"/>
              </w:rPr>
            </w:pPr>
            <w:r w:rsidRPr="00886FD2">
              <w:rPr>
                <w:rFonts w:eastAsia="Times New Roman"/>
                <w:color w:val="000000"/>
                <w:sz w:val="24"/>
                <w:szCs w:val="24"/>
              </w:rPr>
              <w:t>15,401</w:t>
            </w:r>
          </w:p>
        </w:tc>
        <w:tc>
          <w:tcPr>
            <w:tcW w:w="397" w:type="pct"/>
            <w:tcBorders>
              <w:top w:val="nil"/>
              <w:left w:val="nil"/>
              <w:bottom w:val="single" w:sz="4" w:space="0" w:color="auto"/>
              <w:right w:val="single" w:sz="4" w:space="0" w:color="auto"/>
            </w:tcBorders>
            <w:noWrap/>
            <w:vAlign w:val="bottom"/>
            <w:hideMark/>
          </w:tcPr>
          <w:p w14:paraId="46B92F0B" w14:textId="77777777" w:rsidR="00EA21F4" w:rsidRPr="00886FD2" w:rsidRDefault="00EA21F4" w:rsidP="00EA21F4">
            <w:pPr>
              <w:spacing w:after="240" w:line="360" w:lineRule="auto"/>
              <w:jc w:val="right"/>
              <w:rPr>
                <w:rFonts w:eastAsia="Times New Roman"/>
                <w:color w:val="000000"/>
                <w:sz w:val="24"/>
                <w:szCs w:val="24"/>
              </w:rPr>
            </w:pPr>
            <w:r w:rsidRPr="00886FD2">
              <w:rPr>
                <w:rFonts w:eastAsia="Times New Roman"/>
                <w:color w:val="000000"/>
                <w:sz w:val="24"/>
                <w:szCs w:val="24"/>
              </w:rPr>
              <w:t>16,522</w:t>
            </w:r>
          </w:p>
        </w:tc>
        <w:tc>
          <w:tcPr>
            <w:tcW w:w="397" w:type="pct"/>
            <w:tcBorders>
              <w:top w:val="nil"/>
              <w:left w:val="nil"/>
              <w:bottom w:val="single" w:sz="4" w:space="0" w:color="auto"/>
              <w:right w:val="single" w:sz="4" w:space="0" w:color="auto"/>
            </w:tcBorders>
            <w:noWrap/>
            <w:vAlign w:val="bottom"/>
            <w:hideMark/>
          </w:tcPr>
          <w:p w14:paraId="494E81C0" w14:textId="77777777" w:rsidR="00EA21F4" w:rsidRPr="00886FD2" w:rsidRDefault="00EA21F4" w:rsidP="00EA21F4">
            <w:pPr>
              <w:spacing w:after="240" w:line="360" w:lineRule="auto"/>
              <w:jc w:val="right"/>
              <w:rPr>
                <w:rFonts w:eastAsia="Times New Roman"/>
                <w:color w:val="000000"/>
                <w:sz w:val="24"/>
                <w:szCs w:val="24"/>
              </w:rPr>
            </w:pPr>
            <w:r w:rsidRPr="00886FD2">
              <w:rPr>
                <w:rFonts w:eastAsia="Times New Roman"/>
                <w:color w:val="000000"/>
                <w:sz w:val="24"/>
                <w:szCs w:val="24"/>
              </w:rPr>
              <w:t>16,774</w:t>
            </w:r>
          </w:p>
        </w:tc>
      </w:tr>
      <w:tr w:rsidR="00EA21F4" w:rsidRPr="00886FD2" w14:paraId="1803031C" w14:textId="77777777" w:rsidTr="00EA21F4">
        <w:trPr>
          <w:trHeight w:val="300"/>
        </w:trPr>
        <w:tc>
          <w:tcPr>
            <w:tcW w:w="3013" w:type="pct"/>
            <w:gridSpan w:val="2"/>
            <w:tcBorders>
              <w:top w:val="single" w:sz="4" w:space="0" w:color="auto"/>
              <w:left w:val="single" w:sz="4" w:space="0" w:color="auto"/>
              <w:bottom w:val="single" w:sz="4" w:space="0" w:color="auto"/>
              <w:right w:val="single" w:sz="4" w:space="0" w:color="auto"/>
            </w:tcBorders>
            <w:noWrap/>
            <w:vAlign w:val="bottom"/>
            <w:hideMark/>
          </w:tcPr>
          <w:p w14:paraId="6BE185D3" w14:textId="77777777" w:rsidR="00EA21F4" w:rsidRPr="00886FD2" w:rsidRDefault="00EA21F4" w:rsidP="00EA21F4">
            <w:pPr>
              <w:spacing w:after="240" w:line="360" w:lineRule="auto"/>
              <w:rPr>
                <w:rFonts w:eastAsia="Times New Roman"/>
                <w:color w:val="000000"/>
                <w:sz w:val="24"/>
                <w:szCs w:val="24"/>
              </w:rPr>
            </w:pPr>
            <w:r w:rsidRPr="00886FD2">
              <w:rPr>
                <w:rFonts w:eastAsia="Times New Roman"/>
                <w:color w:val="000000"/>
                <w:sz w:val="24"/>
                <w:szCs w:val="24"/>
              </w:rPr>
              <w:t>Accounts Payable</w:t>
            </w:r>
          </w:p>
        </w:tc>
        <w:tc>
          <w:tcPr>
            <w:tcW w:w="397" w:type="pct"/>
            <w:tcBorders>
              <w:top w:val="nil"/>
              <w:left w:val="nil"/>
              <w:bottom w:val="single" w:sz="4" w:space="0" w:color="auto"/>
              <w:right w:val="single" w:sz="4" w:space="0" w:color="auto"/>
            </w:tcBorders>
            <w:noWrap/>
            <w:vAlign w:val="bottom"/>
            <w:hideMark/>
          </w:tcPr>
          <w:p w14:paraId="45D7DB8D" w14:textId="77777777" w:rsidR="00EA21F4" w:rsidRPr="00886FD2" w:rsidRDefault="00EA21F4" w:rsidP="00EA21F4">
            <w:pPr>
              <w:spacing w:after="240" w:line="360" w:lineRule="auto"/>
              <w:jc w:val="right"/>
              <w:rPr>
                <w:rFonts w:eastAsia="Times New Roman"/>
                <w:color w:val="000000"/>
                <w:sz w:val="24"/>
                <w:szCs w:val="24"/>
              </w:rPr>
            </w:pPr>
            <w:r w:rsidRPr="00886FD2">
              <w:rPr>
                <w:rFonts w:eastAsia="Times New Roman"/>
                <w:color w:val="000000"/>
                <w:sz w:val="24"/>
                <w:szCs w:val="24"/>
              </w:rPr>
              <w:t>500</w:t>
            </w:r>
          </w:p>
        </w:tc>
        <w:tc>
          <w:tcPr>
            <w:tcW w:w="397" w:type="pct"/>
            <w:tcBorders>
              <w:top w:val="nil"/>
              <w:left w:val="nil"/>
              <w:bottom w:val="single" w:sz="4" w:space="0" w:color="auto"/>
              <w:right w:val="single" w:sz="4" w:space="0" w:color="auto"/>
            </w:tcBorders>
            <w:noWrap/>
            <w:vAlign w:val="bottom"/>
            <w:hideMark/>
          </w:tcPr>
          <w:p w14:paraId="050E7948" w14:textId="77777777" w:rsidR="00EA21F4" w:rsidRPr="00886FD2" w:rsidRDefault="00EA21F4" w:rsidP="00EA21F4">
            <w:pPr>
              <w:spacing w:after="240" w:line="360" w:lineRule="auto"/>
              <w:jc w:val="right"/>
              <w:rPr>
                <w:rFonts w:eastAsia="Times New Roman"/>
                <w:color w:val="000000"/>
                <w:sz w:val="24"/>
                <w:szCs w:val="24"/>
              </w:rPr>
            </w:pPr>
            <w:r w:rsidRPr="00886FD2">
              <w:rPr>
                <w:rFonts w:eastAsia="Times New Roman"/>
                <w:color w:val="000000"/>
                <w:sz w:val="24"/>
                <w:szCs w:val="24"/>
              </w:rPr>
              <w:t>520</w:t>
            </w:r>
          </w:p>
        </w:tc>
        <w:tc>
          <w:tcPr>
            <w:tcW w:w="397" w:type="pct"/>
            <w:tcBorders>
              <w:top w:val="nil"/>
              <w:left w:val="nil"/>
              <w:bottom w:val="single" w:sz="4" w:space="0" w:color="auto"/>
              <w:right w:val="single" w:sz="4" w:space="0" w:color="auto"/>
            </w:tcBorders>
            <w:noWrap/>
            <w:vAlign w:val="bottom"/>
            <w:hideMark/>
          </w:tcPr>
          <w:p w14:paraId="174F7675" w14:textId="77777777" w:rsidR="00EA21F4" w:rsidRPr="00886FD2" w:rsidRDefault="00EA21F4" w:rsidP="00EA21F4">
            <w:pPr>
              <w:spacing w:after="240" w:line="360" w:lineRule="auto"/>
              <w:jc w:val="right"/>
              <w:rPr>
                <w:rFonts w:eastAsia="Times New Roman"/>
                <w:color w:val="000000"/>
                <w:sz w:val="24"/>
                <w:szCs w:val="24"/>
              </w:rPr>
            </w:pPr>
            <w:r w:rsidRPr="00886FD2">
              <w:rPr>
                <w:rFonts w:eastAsia="Times New Roman"/>
                <w:color w:val="000000"/>
                <w:sz w:val="24"/>
                <w:szCs w:val="24"/>
              </w:rPr>
              <w:t>550</w:t>
            </w:r>
          </w:p>
        </w:tc>
        <w:tc>
          <w:tcPr>
            <w:tcW w:w="397" w:type="pct"/>
            <w:tcBorders>
              <w:top w:val="nil"/>
              <w:left w:val="nil"/>
              <w:bottom w:val="single" w:sz="4" w:space="0" w:color="auto"/>
              <w:right w:val="single" w:sz="4" w:space="0" w:color="auto"/>
            </w:tcBorders>
            <w:noWrap/>
            <w:vAlign w:val="bottom"/>
            <w:hideMark/>
          </w:tcPr>
          <w:p w14:paraId="5E801BED" w14:textId="77777777" w:rsidR="00EA21F4" w:rsidRPr="00886FD2" w:rsidRDefault="00EA21F4" w:rsidP="00EA21F4">
            <w:pPr>
              <w:spacing w:after="240" w:line="360" w:lineRule="auto"/>
              <w:jc w:val="right"/>
              <w:rPr>
                <w:rFonts w:eastAsia="Times New Roman"/>
                <w:color w:val="000000"/>
                <w:sz w:val="24"/>
                <w:szCs w:val="24"/>
              </w:rPr>
            </w:pPr>
            <w:r w:rsidRPr="00886FD2">
              <w:rPr>
                <w:rFonts w:eastAsia="Times New Roman"/>
                <w:color w:val="000000"/>
                <w:sz w:val="24"/>
                <w:szCs w:val="24"/>
              </w:rPr>
              <w:t>600</w:t>
            </w:r>
          </w:p>
        </w:tc>
        <w:tc>
          <w:tcPr>
            <w:tcW w:w="397" w:type="pct"/>
            <w:tcBorders>
              <w:top w:val="nil"/>
              <w:left w:val="nil"/>
              <w:bottom w:val="single" w:sz="4" w:space="0" w:color="auto"/>
              <w:right w:val="single" w:sz="4" w:space="0" w:color="auto"/>
            </w:tcBorders>
            <w:noWrap/>
            <w:vAlign w:val="bottom"/>
            <w:hideMark/>
          </w:tcPr>
          <w:p w14:paraId="73BC407D" w14:textId="77777777" w:rsidR="00EA21F4" w:rsidRPr="00886FD2" w:rsidRDefault="00EA21F4" w:rsidP="00EA21F4">
            <w:pPr>
              <w:spacing w:after="240" w:line="360" w:lineRule="auto"/>
              <w:jc w:val="right"/>
              <w:rPr>
                <w:rFonts w:eastAsia="Times New Roman"/>
                <w:color w:val="000000"/>
                <w:sz w:val="24"/>
                <w:szCs w:val="24"/>
              </w:rPr>
            </w:pPr>
            <w:r w:rsidRPr="00886FD2">
              <w:rPr>
                <w:rFonts w:eastAsia="Times New Roman"/>
                <w:color w:val="000000"/>
                <w:sz w:val="24"/>
                <w:szCs w:val="24"/>
              </w:rPr>
              <w:t>700</w:t>
            </w:r>
          </w:p>
        </w:tc>
      </w:tr>
      <w:tr w:rsidR="00EA21F4" w:rsidRPr="00886FD2" w14:paraId="7E88A7D3" w14:textId="77777777" w:rsidTr="00EA21F4">
        <w:trPr>
          <w:trHeight w:val="300"/>
        </w:trPr>
        <w:tc>
          <w:tcPr>
            <w:tcW w:w="3013" w:type="pct"/>
            <w:gridSpan w:val="2"/>
            <w:tcBorders>
              <w:top w:val="single" w:sz="4" w:space="0" w:color="auto"/>
              <w:left w:val="single" w:sz="4" w:space="0" w:color="auto"/>
              <w:bottom w:val="single" w:sz="4" w:space="0" w:color="auto"/>
              <w:right w:val="single" w:sz="4" w:space="0" w:color="auto"/>
            </w:tcBorders>
            <w:noWrap/>
            <w:vAlign w:val="bottom"/>
            <w:hideMark/>
          </w:tcPr>
          <w:p w14:paraId="469AFAD9" w14:textId="77777777" w:rsidR="00EA21F4" w:rsidRPr="00886FD2" w:rsidRDefault="00EA21F4" w:rsidP="00EA21F4">
            <w:pPr>
              <w:spacing w:after="240" w:line="360" w:lineRule="auto"/>
              <w:rPr>
                <w:rFonts w:eastAsia="Times New Roman"/>
                <w:color w:val="000000"/>
                <w:sz w:val="24"/>
                <w:szCs w:val="24"/>
              </w:rPr>
            </w:pPr>
            <w:r w:rsidRPr="00886FD2">
              <w:rPr>
                <w:rFonts w:eastAsia="Times New Roman"/>
                <w:color w:val="000000"/>
                <w:sz w:val="24"/>
                <w:szCs w:val="24"/>
              </w:rPr>
              <w:lastRenderedPageBreak/>
              <w:t>Total Current Liabilities</w:t>
            </w:r>
          </w:p>
        </w:tc>
        <w:tc>
          <w:tcPr>
            <w:tcW w:w="397" w:type="pct"/>
            <w:tcBorders>
              <w:top w:val="nil"/>
              <w:left w:val="nil"/>
              <w:bottom w:val="single" w:sz="4" w:space="0" w:color="auto"/>
              <w:right w:val="single" w:sz="4" w:space="0" w:color="auto"/>
            </w:tcBorders>
            <w:noWrap/>
            <w:vAlign w:val="bottom"/>
            <w:hideMark/>
          </w:tcPr>
          <w:p w14:paraId="42964115" w14:textId="77777777" w:rsidR="00EA21F4" w:rsidRPr="00886FD2" w:rsidRDefault="00EA21F4" w:rsidP="00EA21F4">
            <w:pPr>
              <w:spacing w:after="240" w:line="360" w:lineRule="auto"/>
              <w:jc w:val="right"/>
              <w:rPr>
                <w:rFonts w:eastAsia="Times New Roman"/>
                <w:color w:val="000000"/>
                <w:sz w:val="24"/>
                <w:szCs w:val="24"/>
              </w:rPr>
            </w:pPr>
            <w:r w:rsidRPr="00886FD2">
              <w:rPr>
                <w:rFonts w:eastAsia="Times New Roman"/>
                <w:color w:val="000000"/>
                <w:sz w:val="24"/>
                <w:szCs w:val="24"/>
              </w:rPr>
              <w:t>3,019</w:t>
            </w:r>
          </w:p>
        </w:tc>
        <w:tc>
          <w:tcPr>
            <w:tcW w:w="397" w:type="pct"/>
            <w:tcBorders>
              <w:top w:val="nil"/>
              <w:left w:val="nil"/>
              <w:bottom w:val="single" w:sz="4" w:space="0" w:color="auto"/>
              <w:right w:val="single" w:sz="4" w:space="0" w:color="auto"/>
            </w:tcBorders>
            <w:noWrap/>
            <w:vAlign w:val="bottom"/>
            <w:hideMark/>
          </w:tcPr>
          <w:p w14:paraId="194B8BD6" w14:textId="77777777" w:rsidR="00EA21F4" w:rsidRPr="00886FD2" w:rsidRDefault="00EA21F4" w:rsidP="00EA21F4">
            <w:pPr>
              <w:spacing w:after="240" w:line="360" w:lineRule="auto"/>
              <w:jc w:val="right"/>
              <w:rPr>
                <w:rFonts w:eastAsia="Times New Roman"/>
                <w:color w:val="000000"/>
                <w:sz w:val="24"/>
                <w:szCs w:val="24"/>
              </w:rPr>
            </w:pPr>
            <w:r w:rsidRPr="00886FD2">
              <w:rPr>
                <w:rFonts w:eastAsia="Times New Roman"/>
                <w:color w:val="000000"/>
                <w:sz w:val="24"/>
                <w:szCs w:val="24"/>
              </w:rPr>
              <w:t>3,372</w:t>
            </w:r>
          </w:p>
        </w:tc>
        <w:tc>
          <w:tcPr>
            <w:tcW w:w="397" w:type="pct"/>
            <w:tcBorders>
              <w:top w:val="nil"/>
              <w:left w:val="nil"/>
              <w:bottom w:val="single" w:sz="4" w:space="0" w:color="auto"/>
              <w:right w:val="single" w:sz="4" w:space="0" w:color="auto"/>
            </w:tcBorders>
            <w:noWrap/>
            <w:vAlign w:val="bottom"/>
            <w:hideMark/>
          </w:tcPr>
          <w:p w14:paraId="024055FB" w14:textId="77777777" w:rsidR="00EA21F4" w:rsidRPr="00886FD2" w:rsidRDefault="00EA21F4" w:rsidP="00EA21F4">
            <w:pPr>
              <w:spacing w:after="240" w:line="360" w:lineRule="auto"/>
              <w:jc w:val="right"/>
              <w:rPr>
                <w:rFonts w:eastAsia="Times New Roman"/>
                <w:color w:val="000000"/>
                <w:sz w:val="24"/>
                <w:szCs w:val="24"/>
              </w:rPr>
            </w:pPr>
            <w:r w:rsidRPr="00886FD2">
              <w:rPr>
                <w:rFonts w:eastAsia="Times New Roman"/>
                <w:color w:val="000000"/>
                <w:sz w:val="24"/>
                <w:szCs w:val="24"/>
              </w:rPr>
              <w:t>3,722</w:t>
            </w:r>
          </w:p>
        </w:tc>
        <w:tc>
          <w:tcPr>
            <w:tcW w:w="397" w:type="pct"/>
            <w:tcBorders>
              <w:top w:val="nil"/>
              <w:left w:val="nil"/>
              <w:bottom w:val="single" w:sz="4" w:space="0" w:color="auto"/>
              <w:right w:val="single" w:sz="4" w:space="0" w:color="auto"/>
            </w:tcBorders>
            <w:noWrap/>
            <w:vAlign w:val="bottom"/>
            <w:hideMark/>
          </w:tcPr>
          <w:p w14:paraId="792F2B5D" w14:textId="77777777" w:rsidR="00EA21F4" w:rsidRPr="00886FD2" w:rsidRDefault="00EA21F4" w:rsidP="00EA21F4">
            <w:pPr>
              <w:spacing w:after="240" w:line="360" w:lineRule="auto"/>
              <w:jc w:val="right"/>
              <w:rPr>
                <w:rFonts w:eastAsia="Times New Roman"/>
                <w:color w:val="000000"/>
                <w:sz w:val="24"/>
                <w:szCs w:val="24"/>
              </w:rPr>
            </w:pPr>
            <w:r w:rsidRPr="00886FD2">
              <w:rPr>
                <w:rFonts w:eastAsia="Times New Roman"/>
                <w:color w:val="000000"/>
                <w:sz w:val="24"/>
                <w:szCs w:val="24"/>
              </w:rPr>
              <w:t>4,700</w:t>
            </w:r>
          </w:p>
        </w:tc>
        <w:tc>
          <w:tcPr>
            <w:tcW w:w="397" w:type="pct"/>
            <w:tcBorders>
              <w:top w:val="nil"/>
              <w:left w:val="nil"/>
              <w:bottom w:val="single" w:sz="4" w:space="0" w:color="auto"/>
              <w:right w:val="single" w:sz="4" w:space="0" w:color="auto"/>
            </w:tcBorders>
            <w:noWrap/>
            <w:vAlign w:val="bottom"/>
            <w:hideMark/>
          </w:tcPr>
          <w:p w14:paraId="219F7CEF" w14:textId="77777777" w:rsidR="00EA21F4" w:rsidRPr="00886FD2" w:rsidRDefault="00EA21F4" w:rsidP="00EA21F4">
            <w:pPr>
              <w:spacing w:after="240" w:line="360" w:lineRule="auto"/>
              <w:jc w:val="right"/>
              <w:rPr>
                <w:rFonts w:eastAsia="Times New Roman"/>
                <w:color w:val="000000"/>
                <w:sz w:val="24"/>
                <w:szCs w:val="24"/>
              </w:rPr>
            </w:pPr>
            <w:r w:rsidRPr="00886FD2">
              <w:rPr>
                <w:rFonts w:eastAsia="Times New Roman"/>
                <w:color w:val="000000"/>
                <w:sz w:val="24"/>
                <w:szCs w:val="24"/>
              </w:rPr>
              <w:t>4,508</w:t>
            </w:r>
          </w:p>
        </w:tc>
      </w:tr>
      <w:tr w:rsidR="00EA21F4" w:rsidRPr="00886FD2" w14:paraId="72FE80FB" w14:textId="77777777" w:rsidTr="00EA21F4">
        <w:trPr>
          <w:trHeight w:val="300"/>
        </w:trPr>
        <w:tc>
          <w:tcPr>
            <w:tcW w:w="3013" w:type="pct"/>
            <w:gridSpan w:val="2"/>
            <w:tcBorders>
              <w:top w:val="single" w:sz="4" w:space="0" w:color="auto"/>
              <w:left w:val="single" w:sz="4" w:space="0" w:color="auto"/>
              <w:bottom w:val="single" w:sz="4" w:space="0" w:color="auto"/>
              <w:right w:val="single" w:sz="4" w:space="0" w:color="auto"/>
            </w:tcBorders>
            <w:noWrap/>
            <w:vAlign w:val="bottom"/>
            <w:hideMark/>
          </w:tcPr>
          <w:p w14:paraId="5B9B4309" w14:textId="77777777" w:rsidR="00EA21F4" w:rsidRPr="00886FD2" w:rsidRDefault="00EA21F4" w:rsidP="00EA21F4">
            <w:pPr>
              <w:spacing w:after="240" w:line="360" w:lineRule="auto"/>
              <w:rPr>
                <w:rFonts w:eastAsia="Times New Roman"/>
                <w:color w:val="000000"/>
                <w:sz w:val="24"/>
                <w:szCs w:val="24"/>
              </w:rPr>
            </w:pPr>
            <w:r w:rsidRPr="00886FD2">
              <w:rPr>
                <w:rFonts w:eastAsia="Times New Roman"/>
                <w:color w:val="000000"/>
                <w:sz w:val="24"/>
                <w:szCs w:val="24"/>
              </w:rPr>
              <w:t>Long-Term Debt</w:t>
            </w:r>
          </w:p>
        </w:tc>
        <w:tc>
          <w:tcPr>
            <w:tcW w:w="397" w:type="pct"/>
            <w:tcBorders>
              <w:top w:val="nil"/>
              <w:left w:val="nil"/>
              <w:bottom w:val="single" w:sz="4" w:space="0" w:color="auto"/>
              <w:right w:val="single" w:sz="4" w:space="0" w:color="auto"/>
            </w:tcBorders>
            <w:noWrap/>
            <w:vAlign w:val="bottom"/>
            <w:hideMark/>
          </w:tcPr>
          <w:p w14:paraId="6E6793FF" w14:textId="77777777" w:rsidR="00EA21F4" w:rsidRPr="00886FD2" w:rsidRDefault="00EA21F4" w:rsidP="00EA21F4">
            <w:pPr>
              <w:spacing w:after="240" w:line="360" w:lineRule="auto"/>
              <w:jc w:val="right"/>
              <w:rPr>
                <w:rFonts w:eastAsia="Times New Roman"/>
                <w:color w:val="000000"/>
                <w:sz w:val="24"/>
                <w:szCs w:val="24"/>
              </w:rPr>
            </w:pPr>
            <w:r w:rsidRPr="00886FD2">
              <w:rPr>
                <w:rFonts w:eastAsia="Times New Roman"/>
                <w:color w:val="000000"/>
                <w:sz w:val="24"/>
                <w:szCs w:val="24"/>
              </w:rPr>
              <w:t>8,712</w:t>
            </w:r>
          </w:p>
        </w:tc>
        <w:tc>
          <w:tcPr>
            <w:tcW w:w="397" w:type="pct"/>
            <w:tcBorders>
              <w:top w:val="nil"/>
              <w:left w:val="nil"/>
              <w:bottom w:val="single" w:sz="4" w:space="0" w:color="auto"/>
              <w:right w:val="single" w:sz="4" w:space="0" w:color="auto"/>
            </w:tcBorders>
            <w:noWrap/>
            <w:vAlign w:val="bottom"/>
            <w:hideMark/>
          </w:tcPr>
          <w:p w14:paraId="16A594C7" w14:textId="77777777" w:rsidR="00EA21F4" w:rsidRPr="00886FD2" w:rsidRDefault="00EA21F4" w:rsidP="00EA21F4">
            <w:pPr>
              <w:spacing w:after="240" w:line="360" w:lineRule="auto"/>
              <w:jc w:val="right"/>
              <w:rPr>
                <w:rFonts w:eastAsia="Times New Roman"/>
                <w:color w:val="000000"/>
                <w:sz w:val="24"/>
                <w:szCs w:val="24"/>
              </w:rPr>
            </w:pPr>
            <w:r w:rsidRPr="00886FD2">
              <w:rPr>
                <w:rFonts w:eastAsia="Times New Roman"/>
                <w:color w:val="000000"/>
                <w:sz w:val="24"/>
                <w:szCs w:val="24"/>
              </w:rPr>
              <w:t>8,708</w:t>
            </w:r>
          </w:p>
        </w:tc>
        <w:tc>
          <w:tcPr>
            <w:tcW w:w="397" w:type="pct"/>
            <w:tcBorders>
              <w:top w:val="nil"/>
              <w:left w:val="nil"/>
              <w:bottom w:val="single" w:sz="4" w:space="0" w:color="auto"/>
              <w:right w:val="single" w:sz="4" w:space="0" w:color="auto"/>
            </w:tcBorders>
            <w:noWrap/>
            <w:vAlign w:val="bottom"/>
            <w:hideMark/>
          </w:tcPr>
          <w:p w14:paraId="69494293" w14:textId="77777777" w:rsidR="00EA21F4" w:rsidRPr="00886FD2" w:rsidRDefault="00EA21F4" w:rsidP="00EA21F4">
            <w:pPr>
              <w:spacing w:after="240" w:line="360" w:lineRule="auto"/>
              <w:jc w:val="right"/>
              <w:rPr>
                <w:rFonts w:eastAsia="Times New Roman"/>
                <w:color w:val="000000"/>
                <w:sz w:val="24"/>
                <w:szCs w:val="24"/>
              </w:rPr>
            </w:pPr>
            <w:r w:rsidRPr="00886FD2">
              <w:rPr>
                <w:rFonts w:eastAsia="Times New Roman"/>
                <w:color w:val="000000"/>
                <w:sz w:val="24"/>
                <w:szCs w:val="24"/>
              </w:rPr>
              <w:t>9,157</w:t>
            </w:r>
          </w:p>
        </w:tc>
        <w:tc>
          <w:tcPr>
            <w:tcW w:w="397" w:type="pct"/>
            <w:tcBorders>
              <w:top w:val="nil"/>
              <w:left w:val="nil"/>
              <w:bottom w:val="single" w:sz="4" w:space="0" w:color="auto"/>
              <w:right w:val="single" w:sz="4" w:space="0" w:color="auto"/>
            </w:tcBorders>
            <w:noWrap/>
            <w:vAlign w:val="bottom"/>
            <w:hideMark/>
          </w:tcPr>
          <w:p w14:paraId="3A8BE8A7" w14:textId="77777777" w:rsidR="00EA21F4" w:rsidRPr="00886FD2" w:rsidRDefault="00EA21F4" w:rsidP="00EA21F4">
            <w:pPr>
              <w:spacing w:after="240" w:line="360" w:lineRule="auto"/>
              <w:jc w:val="right"/>
              <w:rPr>
                <w:rFonts w:eastAsia="Times New Roman"/>
                <w:color w:val="000000"/>
                <w:sz w:val="24"/>
                <w:szCs w:val="24"/>
              </w:rPr>
            </w:pPr>
            <w:r w:rsidRPr="00886FD2">
              <w:rPr>
                <w:rFonts w:eastAsia="Times New Roman"/>
                <w:color w:val="000000"/>
                <w:sz w:val="24"/>
                <w:szCs w:val="24"/>
              </w:rPr>
              <w:t>10,616</w:t>
            </w:r>
          </w:p>
        </w:tc>
        <w:tc>
          <w:tcPr>
            <w:tcW w:w="397" w:type="pct"/>
            <w:tcBorders>
              <w:top w:val="nil"/>
              <w:left w:val="nil"/>
              <w:bottom w:val="single" w:sz="4" w:space="0" w:color="auto"/>
              <w:right w:val="single" w:sz="4" w:space="0" w:color="auto"/>
            </w:tcBorders>
            <w:noWrap/>
            <w:vAlign w:val="bottom"/>
            <w:hideMark/>
          </w:tcPr>
          <w:p w14:paraId="2469340C" w14:textId="77777777" w:rsidR="00EA21F4" w:rsidRPr="00886FD2" w:rsidRDefault="00EA21F4" w:rsidP="00EA21F4">
            <w:pPr>
              <w:spacing w:after="240" w:line="360" w:lineRule="auto"/>
              <w:jc w:val="right"/>
              <w:rPr>
                <w:rFonts w:eastAsia="Times New Roman"/>
                <w:color w:val="000000"/>
                <w:sz w:val="24"/>
                <w:szCs w:val="24"/>
              </w:rPr>
            </w:pPr>
            <w:r w:rsidRPr="00886FD2">
              <w:rPr>
                <w:rFonts w:eastAsia="Times New Roman"/>
                <w:color w:val="000000"/>
                <w:sz w:val="24"/>
                <w:szCs w:val="24"/>
              </w:rPr>
              <w:t>12,338</w:t>
            </w:r>
          </w:p>
        </w:tc>
      </w:tr>
      <w:tr w:rsidR="00EA21F4" w:rsidRPr="00886FD2" w14:paraId="51D56DF4" w14:textId="77777777" w:rsidTr="00EA21F4">
        <w:trPr>
          <w:trHeight w:val="300"/>
        </w:trPr>
        <w:tc>
          <w:tcPr>
            <w:tcW w:w="3013" w:type="pct"/>
            <w:gridSpan w:val="2"/>
            <w:tcBorders>
              <w:top w:val="single" w:sz="4" w:space="0" w:color="auto"/>
              <w:left w:val="single" w:sz="4" w:space="0" w:color="auto"/>
              <w:bottom w:val="single" w:sz="4" w:space="0" w:color="auto"/>
              <w:right w:val="single" w:sz="4" w:space="0" w:color="auto"/>
            </w:tcBorders>
            <w:noWrap/>
            <w:vAlign w:val="bottom"/>
            <w:hideMark/>
          </w:tcPr>
          <w:p w14:paraId="28A7081C" w14:textId="77777777" w:rsidR="00EA21F4" w:rsidRPr="00886FD2" w:rsidRDefault="00EA21F4" w:rsidP="00EA21F4">
            <w:pPr>
              <w:spacing w:after="240" w:line="360" w:lineRule="auto"/>
              <w:rPr>
                <w:rFonts w:eastAsia="Times New Roman"/>
                <w:color w:val="000000"/>
                <w:sz w:val="24"/>
                <w:szCs w:val="24"/>
              </w:rPr>
            </w:pPr>
            <w:r w:rsidRPr="00886FD2">
              <w:rPr>
                <w:rFonts w:eastAsia="Times New Roman"/>
                <w:color w:val="000000"/>
                <w:sz w:val="24"/>
                <w:szCs w:val="24"/>
              </w:rPr>
              <w:t>Total Liabilities</w:t>
            </w:r>
          </w:p>
        </w:tc>
        <w:tc>
          <w:tcPr>
            <w:tcW w:w="397" w:type="pct"/>
            <w:tcBorders>
              <w:top w:val="nil"/>
              <w:left w:val="nil"/>
              <w:bottom w:val="single" w:sz="4" w:space="0" w:color="auto"/>
              <w:right w:val="single" w:sz="4" w:space="0" w:color="auto"/>
            </w:tcBorders>
            <w:noWrap/>
            <w:vAlign w:val="bottom"/>
            <w:hideMark/>
          </w:tcPr>
          <w:p w14:paraId="2AEED571" w14:textId="77777777" w:rsidR="00EA21F4" w:rsidRPr="00886FD2" w:rsidRDefault="00EA21F4" w:rsidP="00EA21F4">
            <w:pPr>
              <w:spacing w:after="240" w:line="360" w:lineRule="auto"/>
              <w:jc w:val="right"/>
              <w:rPr>
                <w:rFonts w:eastAsia="Times New Roman"/>
                <w:color w:val="000000"/>
                <w:sz w:val="24"/>
                <w:szCs w:val="24"/>
              </w:rPr>
            </w:pPr>
            <w:r w:rsidRPr="00886FD2">
              <w:rPr>
                <w:rFonts w:eastAsia="Times New Roman"/>
                <w:color w:val="000000"/>
                <w:sz w:val="24"/>
                <w:szCs w:val="24"/>
              </w:rPr>
              <w:t>16,260</w:t>
            </w:r>
          </w:p>
        </w:tc>
        <w:tc>
          <w:tcPr>
            <w:tcW w:w="397" w:type="pct"/>
            <w:tcBorders>
              <w:top w:val="nil"/>
              <w:left w:val="nil"/>
              <w:bottom w:val="single" w:sz="4" w:space="0" w:color="auto"/>
              <w:right w:val="single" w:sz="4" w:space="0" w:color="auto"/>
            </w:tcBorders>
            <w:noWrap/>
            <w:vAlign w:val="bottom"/>
            <w:hideMark/>
          </w:tcPr>
          <w:p w14:paraId="277F1D87" w14:textId="77777777" w:rsidR="00EA21F4" w:rsidRPr="00886FD2" w:rsidRDefault="00EA21F4" w:rsidP="00EA21F4">
            <w:pPr>
              <w:spacing w:after="240" w:line="360" w:lineRule="auto"/>
              <w:jc w:val="right"/>
              <w:rPr>
                <w:rFonts w:eastAsia="Times New Roman"/>
                <w:color w:val="000000"/>
                <w:sz w:val="24"/>
                <w:szCs w:val="24"/>
              </w:rPr>
            </w:pPr>
            <w:r w:rsidRPr="00886FD2">
              <w:rPr>
                <w:rFonts w:eastAsia="Times New Roman"/>
                <w:color w:val="000000"/>
                <w:sz w:val="24"/>
                <w:szCs w:val="24"/>
              </w:rPr>
              <w:t>16,610</w:t>
            </w:r>
          </w:p>
        </w:tc>
        <w:tc>
          <w:tcPr>
            <w:tcW w:w="397" w:type="pct"/>
            <w:tcBorders>
              <w:top w:val="nil"/>
              <w:left w:val="nil"/>
              <w:bottom w:val="single" w:sz="4" w:space="0" w:color="auto"/>
              <w:right w:val="single" w:sz="4" w:space="0" w:color="auto"/>
            </w:tcBorders>
            <w:noWrap/>
            <w:vAlign w:val="bottom"/>
            <w:hideMark/>
          </w:tcPr>
          <w:p w14:paraId="529C96D7" w14:textId="77777777" w:rsidR="00EA21F4" w:rsidRPr="00886FD2" w:rsidRDefault="00EA21F4" w:rsidP="00EA21F4">
            <w:pPr>
              <w:spacing w:after="240" w:line="360" w:lineRule="auto"/>
              <w:jc w:val="right"/>
              <w:rPr>
                <w:rFonts w:eastAsia="Times New Roman"/>
                <w:color w:val="000000"/>
                <w:sz w:val="24"/>
                <w:szCs w:val="24"/>
              </w:rPr>
            </w:pPr>
            <w:r w:rsidRPr="00886FD2">
              <w:rPr>
                <w:rFonts w:eastAsia="Times New Roman"/>
                <w:color w:val="000000"/>
                <w:sz w:val="24"/>
                <w:szCs w:val="24"/>
              </w:rPr>
              <w:t>17,748</w:t>
            </w:r>
          </w:p>
        </w:tc>
        <w:tc>
          <w:tcPr>
            <w:tcW w:w="397" w:type="pct"/>
            <w:tcBorders>
              <w:top w:val="nil"/>
              <w:left w:val="nil"/>
              <w:bottom w:val="single" w:sz="4" w:space="0" w:color="auto"/>
              <w:right w:val="single" w:sz="4" w:space="0" w:color="auto"/>
            </w:tcBorders>
            <w:noWrap/>
            <w:vAlign w:val="bottom"/>
            <w:hideMark/>
          </w:tcPr>
          <w:p w14:paraId="5C5384EE" w14:textId="77777777" w:rsidR="00EA21F4" w:rsidRPr="00886FD2" w:rsidRDefault="00EA21F4" w:rsidP="00EA21F4">
            <w:pPr>
              <w:spacing w:after="240" w:line="360" w:lineRule="auto"/>
              <w:jc w:val="right"/>
              <w:rPr>
                <w:rFonts w:eastAsia="Times New Roman"/>
                <w:color w:val="000000"/>
                <w:sz w:val="24"/>
                <w:szCs w:val="24"/>
              </w:rPr>
            </w:pPr>
            <w:r w:rsidRPr="00886FD2">
              <w:rPr>
                <w:rFonts w:eastAsia="Times New Roman"/>
                <w:color w:val="000000"/>
                <w:sz w:val="24"/>
                <w:szCs w:val="24"/>
              </w:rPr>
              <w:t>20,228</w:t>
            </w:r>
          </w:p>
        </w:tc>
        <w:tc>
          <w:tcPr>
            <w:tcW w:w="397" w:type="pct"/>
            <w:tcBorders>
              <w:top w:val="nil"/>
              <w:left w:val="nil"/>
              <w:bottom w:val="single" w:sz="4" w:space="0" w:color="auto"/>
              <w:right w:val="single" w:sz="4" w:space="0" w:color="auto"/>
            </w:tcBorders>
            <w:noWrap/>
            <w:vAlign w:val="bottom"/>
            <w:hideMark/>
          </w:tcPr>
          <w:p w14:paraId="0B1F7B9A" w14:textId="77777777" w:rsidR="00EA21F4" w:rsidRPr="00886FD2" w:rsidRDefault="00EA21F4" w:rsidP="00EA21F4">
            <w:pPr>
              <w:spacing w:after="240" w:line="360" w:lineRule="auto"/>
              <w:jc w:val="right"/>
              <w:rPr>
                <w:rFonts w:eastAsia="Times New Roman"/>
                <w:color w:val="000000"/>
                <w:sz w:val="24"/>
                <w:szCs w:val="24"/>
              </w:rPr>
            </w:pPr>
            <w:r w:rsidRPr="00886FD2">
              <w:rPr>
                <w:rFonts w:eastAsia="Times New Roman"/>
                <w:color w:val="000000"/>
                <w:sz w:val="24"/>
                <w:szCs w:val="24"/>
              </w:rPr>
              <w:t>22,133</w:t>
            </w:r>
          </w:p>
        </w:tc>
      </w:tr>
      <w:tr w:rsidR="00EA21F4" w:rsidRPr="00886FD2" w14:paraId="535F3428" w14:textId="77777777" w:rsidTr="00EA21F4">
        <w:trPr>
          <w:trHeight w:val="300"/>
        </w:trPr>
        <w:tc>
          <w:tcPr>
            <w:tcW w:w="3013" w:type="pct"/>
            <w:gridSpan w:val="2"/>
            <w:tcBorders>
              <w:top w:val="single" w:sz="4" w:space="0" w:color="auto"/>
              <w:left w:val="single" w:sz="4" w:space="0" w:color="auto"/>
              <w:bottom w:val="single" w:sz="4" w:space="0" w:color="auto"/>
              <w:right w:val="single" w:sz="4" w:space="0" w:color="auto"/>
            </w:tcBorders>
            <w:noWrap/>
            <w:vAlign w:val="bottom"/>
            <w:hideMark/>
          </w:tcPr>
          <w:p w14:paraId="03E80D86" w14:textId="77777777" w:rsidR="00EA21F4" w:rsidRPr="00886FD2" w:rsidRDefault="00EA21F4" w:rsidP="00EA21F4">
            <w:pPr>
              <w:spacing w:after="240" w:line="360" w:lineRule="auto"/>
              <w:rPr>
                <w:rFonts w:eastAsia="Times New Roman"/>
                <w:color w:val="000000"/>
                <w:sz w:val="24"/>
                <w:szCs w:val="24"/>
              </w:rPr>
            </w:pPr>
            <w:r w:rsidRPr="00886FD2">
              <w:rPr>
                <w:rFonts w:eastAsia="Times New Roman"/>
                <w:color w:val="000000"/>
                <w:sz w:val="24"/>
                <w:szCs w:val="24"/>
              </w:rPr>
              <w:t>Shareholders' Equity</w:t>
            </w:r>
          </w:p>
        </w:tc>
        <w:tc>
          <w:tcPr>
            <w:tcW w:w="397" w:type="pct"/>
            <w:tcBorders>
              <w:top w:val="nil"/>
              <w:left w:val="nil"/>
              <w:bottom w:val="single" w:sz="4" w:space="0" w:color="auto"/>
              <w:right w:val="single" w:sz="4" w:space="0" w:color="auto"/>
            </w:tcBorders>
            <w:noWrap/>
            <w:vAlign w:val="bottom"/>
            <w:hideMark/>
          </w:tcPr>
          <w:p w14:paraId="785B8606" w14:textId="77777777" w:rsidR="00EA21F4" w:rsidRPr="00886FD2" w:rsidRDefault="00EA21F4" w:rsidP="00EA21F4">
            <w:pPr>
              <w:spacing w:after="240" w:line="360" w:lineRule="auto"/>
              <w:jc w:val="right"/>
              <w:rPr>
                <w:rFonts w:eastAsia="Times New Roman"/>
                <w:color w:val="000000"/>
                <w:sz w:val="24"/>
                <w:szCs w:val="24"/>
              </w:rPr>
            </w:pPr>
            <w:r w:rsidRPr="00886FD2">
              <w:rPr>
                <w:rFonts w:eastAsia="Times New Roman"/>
                <w:color w:val="000000"/>
                <w:sz w:val="24"/>
                <w:szCs w:val="24"/>
              </w:rPr>
              <w:t>-819</w:t>
            </w:r>
          </w:p>
        </w:tc>
        <w:tc>
          <w:tcPr>
            <w:tcW w:w="397" w:type="pct"/>
            <w:tcBorders>
              <w:top w:val="nil"/>
              <w:left w:val="nil"/>
              <w:bottom w:val="single" w:sz="4" w:space="0" w:color="auto"/>
              <w:right w:val="single" w:sz="4" w:space="0" w:color="auto"/>
            </w:tcBorders>
            <w:noWrap/>
            <w:vAlign w:val="bottom"/>
            <w:hideMark/>
          </w:tcPr>
          <w:p w14:paraId="6A3184CB" w14:textId="77777777" w:rsidR="00EA21F4" w:rsidRPr="00886FD2" w:rsidRDefault="00EA21F4" w:rsidP="00EA21F4">
            <w:pPr>
              <w:spacing w:after="240" w:line="360" w:lineRule="auto"/>
              <w:jc w:val="right"/>
              <w:rPr>
                <w:rFonts w:eastAsia="Times New Roman"/>
                <w:color w:val="000000"/>
                <w:sz w:val="24"/>
                <w:szCs w:val="24"/>
              </w:rPr>
            </w:pPr>
            <w:r w:rsidRPr="00886FD2">
              <w:rPr>
                <w:rFonts w:eastAsia="Times New Roman"/>
                <w:color w:val="000000"/>
                <w:sz w:val="24"/>
                <w:szCs w:val="24"/>
              </w:rPr>
              <w:t>-1,098</w:t>
            </w:r>
          </w:p>
        </w:tc>
        <w:tc>
          <w:tcPr>
            <w:tcW w:w="397" w:type="pct"/>
            <w:tcBorders>
              <w:top w:val="nil"/>
              <w:left w:val="nil"/>
              <w:bottom w:val="single" w:sz="4" w:space="0" w:color="auto"/>
              <w:right w:val="single" w:sz="4" w:space="0" w:color="auto"/>
            </w:tcBorders>
            <w:noWrap/>
            <w:vAlign w:val="bottom"/>
            <w:hideMark/>
          </w:tcPr>
          <w:p w14:paraId="08C06040" w14:textId="77777777" w:rsidR="00EA21F4" w:rsidRPr="00886FD2" w:rsidRDefault="00EA21F4" w:rsidP="00EA21F4">
            <w:pPr>
              <w:spacing w:after="240" w:line="360" w:lineRule="auto"/>
              <w:jc w:val="right"/>
              <w:rPr>
                <w:rFonts w:eastAsia="Times New Roman"/>
                <w:color w:val="000000"/>
                <w:sz w:val="24"/>
                <w:szCs w:val="24"/>
              </w:rPr>
            </w:pPr>
            <w:r w:rsidRPr="00886FD2">
              <w:rPr>
                <w:rFonts w:eastAsia="Times New Roman"/>
                <w:color w:val="000000"/>
                <w:sz w:val="24"/>
                <w:szCs w:val="24"/>
              </w:rPr>
              <w:t>-2,347</w:t>
            </w:r>
          </w:p>
        </w:tc>
        <w:tc>
          <w:tcPr>
            <w:tcW w:w="397" w:type="pct"/>
            <w:tcBorders>
              <w:top w:val="nil"/>
              <w:left w:val="nil"/>
              <w:bottom w:val="single" w:sz="4" w:space="0" w:color="auto"/>
              <w:right w:val="single" w:sz="4" w:space="0" w:color="auto"/>
            </w:tcBorders>
            <w:noWrap/>
            <w:vAlign w:val="bottom"/>
            <w:hideMark/>
          </w:tcPr>
          <w:p w14:paraId="57393E6E" w14:textId="77777777" w:rsidR="00EA21F4" w:rsidRPr="00886FD2" w:rsidRDefault="00EA21F4" w:rsidP="00EA21F4">
            <w:pPr>
              <w:spacing w:after="240" w:line="360" w:lineRule="auto"/>
              <w:jc w:val="right"/>
              <w:rPr>
                <w:rFonts w:eastAsia="Times New Roman"/>
                <w:color w:val="000000"/>
                <w:sz w:val="24"/>
                <w:szCs w:val="24"/>
              </w:rPr>
            </w:pPr>
            <w:r w:rsidRPr="00886FD2">
              <w:rPr>
                <w:rFonts w:eastAsia="Times New Roman"/>
                <w:color w:val="000000"/>
                <w:sz w:val="24"/>
                <w:szCs w:val="24"/>
              </w:rPr>
              <w:t>-3,706</w:t>
            </w:r>
          </w:p>
        </w:tc>
        <w:tc>
          <w:tcPr>
            <w:tcW w:w="397" w:type="pct"/>
            <w:tcBorders>
              <w:top w:val="nil"/>
              <w:left w:val="nil"/>
              <w:bottom w:val="single" w:sz="4" w:space="0" w:color="auto"/>
              <w:right w:val="single" w:sz="4" w:space="0" w:color="auto"/>
            </w:tcBorders>
            <w:noWrap/>
            <w:vAlign w:val="bottom"/>
            <w:hideMark/>
          </w:tcPr>
          <w:p w14:paraId="4A1CF13B" w14:textId="77777777" w:rsidR="00EA21F4" w:rsidRPr="00886FD2" w:rsidRDefault="00EA21F4" w:rsidP="00EA21F4">
            <w:pPr>
              <w:spacing w:after="240" w:line="360" w:lineRule="auto"/>
              <w:jc w:val="right"/>
              <w:rPr>
                <w:rFonts w:eastAsia="Times New Roman"/>
                <w:color w:val="000000"/>
                <w:sz w:val="24"/>
                <w:szCs w:val="24"/>
              </w:rPr>
            </w:pPr>
            <w:r w:rsidRPr="00886FD2">
              <w:rPr>
                <w:rFonts w:eastAsia="Times New Roman"/>
                <w:color w:val="000000"/>
                <w:sz w:val="24"/>
                <w:szCs w:val="24"/>
              </w:rPr>
              <w:t>-5,359</w:t>
            </w:r>
          </w:p>
        </w:tc>
      </w:tr>
      <w:tr w:rsidR="00EA21F4" w:rsidRPr="00886FD2" w14:paraId="58B3C02A" w14:textId="77777777" w:rsidTr="00EA21F4">
        <w:trPr>
          <w:trHeight w:val="300"/>
        </w:trPr>
        <w:tc>
          <w:tcPr>
            <w:tcW w:w="3013" w:type="pct"/>
            <w:gridSpan w:val="2"/>
            <w:tcBorders>
              <w:top w:val="single" w:sz="4" w:space="0" w:color="auto"/>
              <w:left w:val="single" w:sz="4" w:space="0" w:color="auto"/>
              <w:bottom w:val="single" w:sz="4" w:space="0" w:color="auto"/>
              <w:right w:val="single" w:sz="4" w:space="0" w:color="auto"/>
            </w:tcBorders>
            <w:noWrap/>
            <w:vAlign w:val="bottom"/>
            <w:hideMark/>
          </w:tcPr>
          <w:p w14:paraId="0660C690" w14:textId="77777777" w:rsidR="00EA21F4" w:rsidRPr="00886FD2" w:rsidRDefault="00EA21F4" w:rsidP="00EA21F4">
            <w:pPr>
              <w:spacing w:after="240" w:line="360" w:lineRule="auto"/>
              <w:rPr>
                <w:rFonts w:eastAsia="Times New Roman"/>
                <w:color w:val="000000"/>
                <w:sz w:val="24"/>
                <w:szCs w:val="24"/>
              </w:rPr>
            </w:pPr>
            <w:r w:rsidRPr="00886FD2">
              <w:rPr>
                <w:rFonts w:eastAsia="Times New Roman"/>
                <w:color w:val="000000"/>
                <w:sz w:val="24"/>
                <w:szCs w:val="24"/>
              </w:rPr>
              <w:t>Operating Cash Flow</w:t>
            </w:r>
          </w:p>
        </w:tc>
        <w:tc>
          <w:tcPr>
            <w:tcW w:w="397" w:type="pct"/>
            <w:tcBorders>
              <w:top w:val="nil"/>
              <w:left w:val="nil"/>
              <w:bottom w:val="single" w:sz="4" w:space="0" w:color="auto"/>
              <w:right w:val="single" w:sz="4" w:space="0" w:color="auto"/>
            </w:tcBorders>
            <w:noWrap/>
            <w:vAlign w:val="bottom"/>
            <w:hideMark/>
          </w:tcPr>
          <w:p w14:paraId="49AE4898" w14:textId="77777777" w:rsidR="00EA21F4" w:rsidRPr="00886FD2" w:rsidRDefault="00EA21F4" w:rsidP="00EA21F4">
            <w:pPr>
              <w:spacing w:after="240" w:line="360" w:lineRule="auto"/>
              <w:jc w:val="right"/>
              <w:rPr>
                <w:rFonts w:eastAsia="Times New Roman"/>
                <w:color w:val="000000"/>
                <w:sz w:val="24"/>
                <w:szCs w:val="24"/>
              </w:rPr>
            </w:pPr>
            <w:r w:rsidRPr="00886FD2">
              <w:rPr>
                <w:rFonts w:eastAsia="Times New Roman"/>
                <w:color w:val="000000"/>
                <w:sz w:val="24"/>
                <w:szCs w:val="24"/>
              </w:rPr>
              <w:t>109</w:t>
            </w:r>
          </w:p>
        </w:tc>
        <w:tc>
          <w:tcPr>
            <w:tcW w:w="397" w:type="pct"/>
            <w:tcBorders>
              <w:top w:val="nil"/>
              <w:left w:val="nil"/>
              <w:bottom w:val="single" w:sz="4" w:space="0" w:color="auto"/>
              <w:right w:val="single" w:sz="4" w:space="0" w:color="auto"/>
            </w:tcBorders>
            <w:noWrap/>
            <w:vAlign w:val="bottom"/>
            <w:hideMark/>
          </w:tcPr>
          <w:p w14:paraId="3E23D798" w14:textId="77777777" w:rsidR="00EA21F4" w:rsidRPr="00886FD2" w:rsidRDefault="00EA21F4" w:rsidP="00EA21F4">
            <w:pPr>
              <w:spacing w:after="240" w:line="360" w:lineRule="auto"/>
              <w:jc w:val="right"/>
              <w:rPr>
                <w:rFonts w:eastAsia="Times New Roman"/>
                <w:color w:val="000000"/>
                <w:sz w:val="24"/>
                <w:szCs w:val="24"/>
              </w:rPr>
            </w:pPr>
            <w:r w:rsidRPr="00886FD2">
              <w:rPr>
                <w:rFonts w:eastAsia="Times New Roman"/>
                <w:color w:val="000000"/>
                <w:sz w:val="24"/>
                <w:szCs w:val="24"/>
              </w:rPr>
              <w:t>1,681</w:t>
            </w:r>
          </w:p>
        </w:tc>
        <w:tc>
          <w:tcPr>
            <w:tcW w:w="397" w:type="pct"/>
            <w:tcBorders>
              <w:top w:val="nil"/>
              <w:left w:val="nil"/>
              <w:bottom w:val="single" w:sz="4" w:space="0" w:color="auto"/>
              <w:right w:val="single" w:sz="4" w:space="0" w:color="auto"/>
            </w:tcBorders>
            <w:noWrap/>
            <w:vAlign w:val="bottom"/>
            <w:hideMark/>
          </w:tcPr>
          <w:p w14:paraId="0012BD09" w14:textId="77777777" w:rsidR="00EA21F4" w:rsidRPr="00886FD2" w:rsidRDefault="00EA21F4" w:rsidP="00EA21F4">
            <w:pPr>
              <w:spacing w:after="240" w:line="360" w:lineRule="auto"/>
              <w:jc w:val="right"/>
              <w:rPr>
                <w:rFonts w:eastAsia="Times New Roman"/>
                <w:color w:val="000000"/>
                <w:sz w:val="24"/>
                <w:szCs w:val="24"/>
              </w:rPr>
            </w:pPr>
            <w:r w:rsidRPr="00886FD2">
              <w:rPr>
                <w:rFonts w:eastAsia="Times New Roman"/>
                <w:color w:val="000000"/>
                <w:sz w:val="24"/>
                <w:szCs w:val="24"/>
              </w:rPr>
              <w:t>1,946</w:t>
            </w:r>
          </w:p>
        </w:tc>
        <w:tc>
          <w:tcPr>
            <w:tcW w:w="397" w:type="pct"/>
            <w:tcBorders>
              <w:top w:val="nil"/>
              <w:left w:val="nil"/>
              <w:bottom w:val="single" w:sz="4" w:space="0" w:color="auto"/>
              <w:right w:val="single" w:sz="4" w:space="0" w:color="auto"/>
            </w:tcBorders>
            <w:noWrap/>
            <w:vAlign w:val="bottom"/>
            <w:hideMark/>
          </w:tcPr>
          <w:p w14:paraId="69EABB70" w14:textId="77777777" w:rsidR="00EA21F4" w:rsidRPr="00886FD2" w:rsidRDefault="00EA21F4" w:rsidP="00EA21F4">
            <w:pPr>
              <w:spacing w:after="240" w:line="360" w:lineRule="auto"/>
              <w:jc w:val="right"/>
              <w:rPr>
                <w:rFonts w:eastAsia="Times New Roman"/>
                <w:color w:val="000000"/>
                <w:sz w:val="24"/>
                <w:szCs w:val="24"/>
              </w:rPr>
            </w:pPr>
            <w:r w:rsidRPr="00886FD2">
              <w:rPr>
                <w:rFonts w:eastAsia="Times New Roman"/>
                <w:color w:val="000000"/>
                <w:sz w:val="24"/>
                <w:szCs w:val="24"/>
              </w:rPr>
              <w:t>2,013</w:t>
            </w:r>
          </w:p>
        </w:tc>
        <w:tc>
          <w:tcPr>
            <w:tcW w:w="397" w:type="pct"/>
            <w:tcBorders>
              <w:top w:val="nil"/>
              <w:left w:val="nil"/>
              <w:bottom w:val="single" w:sz="4" w:space="0" w:color="auto"/>
              <w:right w:val="single" w:sz="4" w:space="0" w:color="auto"/>
            </w:tcBorders>
            <w:noWrap/>
            <w:vAlign w:val="bottom"/>
            <w:hideMark/>
          </w:tcPr>
          <w:p w14:paraId="6D25A83B" w14:textId="77777777" w:rsidR="00EA21F4" w:rsidRPr="00886FD2" w:rsidRDefault="00EA21F4" w:rsidP="00EA21F4">
            <w:pPr>
              <w:spacing w:after="240" w:line="360" w:lineRule="auto"/>
              <w:jc w:val="right"/>
              <w:rPr>
                <w:rFonts w:eastAsia="Times New Roman"/>
                <w:color w:val="000000"/>
                <w:sz w:val="24"/>
                <w:szCs w:val="24"/>
              </w:rPr>
            </w:pPr>
            <w:r w:rsidRPr="00886FD2">
              <w:rPr>
                <w:rFonts w:eastAsia="Times New Roman"/>
                <w:color w:val="000000"/>
                <w:sz w:val="24"/>
                <w:szCs w:val="24"/>
              </w:rPr>
              <w:t>2,129</w:t>
            </w:r>
          </w:p>
        </w:tc>
      </w:tr>
      <w:tr w:rsidR="00EA21F4" w:rsidRPr="00886FD2" w14:paraId="59160D7A" w14:textId="77777777" w:rsidTr="00EA21F4">
        <w:trPr>
          <w:trHeight w:val="300"/>
        </w:trPr>
        <w:tc>
          <w:tcPr>
            <w:tcW w:w="3013" w:type="pct"/>
            <w:gridSpan w:val="2"/>
            <w:tcBorders>
              <w:top w:val="single" w:sz="4" w:space="0" w:color="auto"/>
              <w:left w:val="single" w:sz="4" w:space="0" w:color="auto"/>
              <w:bottom w:val="single" w:sz="4" w:space="0" w:color="auto"/>
              <w:right w:val="single" w:sz="4" w:space="0" w:color="auto"/>
            </w:tcBorders>
            <w:noWrap/>
            <w:vAlign w:val="bottom"/>
            <w:hideMark/>
          </w:tcPr>
          <w:p w14:paraId="02DFF848" w14:textId="77777777" w:rsidR="00EA21F4" w:rsidRPr="00886FD2" w:rsidRDefault="00EA21F4" w:rsidP="00EA21F4">
            <w:pPr>
              <w:spacing w:after="240" w:line="360" w:lineRule="auto"/>
              <w:rPr>
                <w:rFonts w:eastAsia="Times New Roman"/>
                <w:color w:val="000000"/>
                <w:sz w:val="24"/>
                <w:szCs w:val="24"/>
              </w:rPr>
            </w:pPr>
            <w:r w:rsidRPr="00886FD2">
              <w:rPr>
                <w:rFonts w:eastAsia="Times New Roman"/>
                <w:color w:val="000000"/>
                <w:sz w:val="24"/>
                <w:szCs w:val="24"/>
              </w:rPr>
              <w:t>Investing Cash Flow</w:t>
            </w:r>
          </w:p>
        </w:tc>
        <w:tc>
          <w:tcPr>
            <w:tcW w:w="397" w:type="pct"/>
            <w:tcBorders>
              <w:top w:val="nil"/>
              <w:left w:val="nil"/>
              <w:bottom w:val="single" w:sz="4" w:space="0" w:color="auto"/>
              <w:right w:val="single" w:sz="4" w:space="0" w:color="auto"/>
            </w:tcBorders>
            <w:noWrap/>
            <w:vAlign w:val="bottom"/>
            <w:hideMark/>
          </w:tcPr>
          <w:p w14:paraId="6544A0A5" w14:textId="77777777" w:rsidR="00EA21F4" w:rsidRPr="00886FD2" w:rsidRDefault="00EA21F4" w:rsidP="00EA21F4">
            <w:pPr>
              <w:spacing w:after="240" w:line="360" w:lineRule="auto"/>
              <w:jc w:val="right"/>
              <w:rPr>
                <w:rFonts w:eastAsia="Times New Roman"/>
                <w:color w:val="000000"/>
                <w:sz w:val="24"/>
                <w:szCs w:val="24"/>
              </w:rPr>
            </w:pPr>
            <w:r w:rsidRPr="00886FD2">
              <w:rPr>
                <w:rFonts w:eastAsia="Times New Roman"/>
                <w:color w:val="000000"/>
                <w:sz w:val="24"/>
                <w:szCs w:val="24"/>
              </w:rPr>
              <w:t>-57</w:t>
            </w:r>
          </w:p>
        </w:tc>
        <w:tc>
          <w:tcPr>
            <w:tcW w:w="397" w:type="pct"/>
            <w:tcBorders>
              <w:top w:val="nil"/>
              <w:left w:val="nil"/>
              <w:bottom w:val="single" w:sz="4" w:space="0" w:color="auto"/>
              <w:right w:val="single" w:sz="4" w:space="0" w:color="auto"/>
            </w:tcBorders>
            <w:noWrap/>
            <w:vAlign w:val="bottom"/>
            <w:hideMark/>
          </w:tcPr>
          <w:p w14:paraId="14D3C685" w14:textId="77777777" w:rsidR="00EA21F4" w:rsidRPr="00886FD2" w:rsidRDefault="00EA21F4" w:rsidP="00EA21F4">
            <w:pPr>
              <w:spacing w:after="240" w:line="360" w:lineRule="auto"/>
              <w:jc w:val="right"/>
              <w:rPr>
                <w:rFonts w:eastAsia="Times New Roman"/>
                <w:color w:val="000000"/>
                <w:sz w:val="24"/>
                <w:szCs w:val="24"/>
              </w:rPr>
            </w:pPr>
            <w:r w:rsidRPr="00886FD2">
              <w:rPr>
                <w:rFonts w:eastAsia="Times New Roman"/>
                <w:color w:val="000000"/>
                <w:sz w:val="24"/>
                <w:szCs w:val="24"/>
              </w:rPr>
              <w:t>-123</w:t>
            </w:r>
          </w:p>
        </w:tc>
        <w:tc>
          <w:tcPr>
            <w:tcW w:w="397" w:type="pct"/>
            <w:tcBorders>
              <w:top w:val="nil"/>
              <w:left w:val="nil"/>
              <w:bottom w:val="single" w:sz="4" w:space="0" w:color="auto"/>
              <w:right w:val="single" w:sz="4" w:space="0" w:color="auto"/>
            </w:tcBorders>
            <w:noWrap/>
            <w:vAlign w:val="bottom"/>
            <w:hideMark/>
          </w:tcPr>
          <w:p w14:paraId="1B738801" w14:textId="77777777" w:rsidR="00EA21F4" w:rsidRPr="00886FD2" w:rsidRDefault="00EA21F4" w:rsidP="00EA21F4">
            <w:pPr>
              <w:spacing w:after="240" w:line="360" w:lineRule="auto"/>
              <w:jc w:val="right"/>
              <w:rPr>
                <w:rFonts w:eastAsia="Times New Roman"/>
                <w:color w:val="000000"/>
                <w:sz w:val="24"/>
                <w:szCs w:val="24"/>
              </w:rPr>
            </w:pPr>
            <w:r w:rsidRPr="00886FD2">
              <w:rPr>
                <w:rFonts w:eastAsia="Times New Roman"/>
                <w:color w:val="000000"/>
                <w:sz w:val="24"/>
                <w:szCs w:val="24"/>
              </w:rPr>
              <w:t>-305</w:t>
            </w:r>
          </w:p>
        </w:tc>
        <w:tc>
          <w:tcPr>
            <w:tcW w:w="397" w:type="pct"/>
            <w:tcBorders>
              <w:top w:val="nil"/>
              <w:left w:val="nil"/>
              <w:bottom w:val="single" w:sz="4" w:space="0" w:color="auto"/>
              <w:right w:val="single" w:sz="4" w:space="0" w:color="auto"/>
            </w:tcBorders>
            <w:noWrap/>
            <w:vAlign w:val="bottom"/>
            <w:hideMark/>
          </w:tcPr>
          <w:p w14:paraId="3A353DDE" w14:textId="77777777" w:rsidR="00EA21F4" w:rsidRPr="00886FD2" w:rsidRDefault="00EA21F4" w:rsidP="00EA21F4">
            <w:pPr>
              <w:spacing w:after="240" w:line="360" w:lineRule="auto"/>
              <w:jc w:val="right"/>
              <w:rPr>
                <w:rFonts w:eastAsia="Times New Roman"/>
                <w:color w:val="000000"/>
                <w:sz w:val="24"/>
                <w:szCs w:val="24"/>
              </w:rPr>
            </w:pPr>
            <w:r w:rsidRPr="00886FD2">
              <w:rPr>
                <w:rFonts w:eastAsia="Times New Roman"/>
                <w:color w:val="000000"/>
                <w:sz w:val="24"/>
                <w:szCs w:val="24"/>
              </w:rPr>
              <w:t>-446</w:t>
            </w:r>
          </w:p>
        </w:tc>
        <w:tc>
          <w:tcPr>
            <w:tcW w:w="397" w:type="pct"/>
            <w:tcBorders>
              <w:top w:val="nil"/>
              <w:left w:val="nil"/>
              <w:bottom w:val="single" w:sz="4" w:space="0" w:color="auto"/>
              <w:right w:val="single" w:sz="4" w:space="0" w:color="auto"/>
            </w:tcBorders>
            <w:noWrap/>
            <w:vAlign w:val="bottom"/>
            <w:hideMark/>
          </w:tcPr>
          <w:p w14:paraId="27934DA2" w14:textId="77777777" w:rsidR="00EA21F4" w:rsidRPr="00886FD2" w:rsidRDefault="00EA21F4" w:rsidP="00EA21F4">
            <w:pPr>
              <w:spacing w:after="240" w:line="360" w:lineRule="auto"/>
              <w:jc w:val="right"/>
              <w:rPr>
                <w:rFonts w:eastAsia="Times New Roman"/>
                <w:color w:val="000000"/>
                <w:sz w:val="24"/>
                <w:szCs w:val="24"/>
              </w:rPr>
            </w:pPr>
            <w:r w:rsidRPr="00886FD2">
              <w:rPr>
                <w:rFonts w:eastAsia="Times New Roman"/>
                <w:color w:val="000000"/>
                <w:sz w:val="24"/>
                <w:szCs w:val="24"/>
              </w:rPr>
              <w:t>-190</w:t>
            </w:r>
          </w:p>
        </w:tc>
      </w:tr>
      <w:tr w:rsidR="00EA21F4" w:rsidRPr="00886FD2" w14:paraId="1FA3C9E5" w14:textId="77777777" w:rsidTr="00EA21F4">
        <w:trPr>
          <w:trHeight w:val="300"/>
        </w:trPr>
        <w:tc>
          <w:tcPr>
            <w:tcW w:w="3013" w:type="pct"/>
            <w:gridSpan w:val="2"/>
            <w:tcBorders>
              <w:top w:val="single" w:sz="4" w:space="0" w:color="auto"/>
              <w:left w:val="single" w:sz="4" w:space="0" w:color="auto"/>
              <w:bottom w:val="single" w:sz="4" w:space="0" w:color="auto"/>
              <w:right w:val="single" w:sz="4" w:space="0" w:color="auto"/>
            </w:tcBorders>
            <w:noWrap/>
            <w:vAlign w:val="bottom"/>
            <w:hideMark/>
          </w:tcPr>
          <w:p w14:paraId="3E0FE20E" w14:textId="77777777" w:rsidR="00EA21F4" w:rsidRPr="00886FD2" w:rsidRDefault="00EA21F4" w:rsidP="00EA21F4">
            <w:pPr>
              <w:spacing w:after="240" w:line="360" w:lineRule="auto"/>
              <w:rPr>
                <w:rFonts w:eastAsia="Times New Roman"/>
                <w:color w:val="000000"/>
                <w:sz w:val="24"/>
                <w:szCs w:val="24"/>
              </w:rPr>
            </w:pPr>
            <w:r w:rsidRPr="00886FD2">
              <w:rPr>
                <w:rFonts w:eastAsia="Times New Roman"/>
                <w:color w:val="000000"/>
                <w:sz w:val="24"/>
                <w:szCs w:val="24"/>
              </w:rPr>
              <w:t>Financing Cash Flow</w:t>
            </w:r>
          </w:p>
        </w:tc>
        <w:tc>
          <w:tcPr>
            <w:tcW w:w="397" w:type="pct"/>
            <w:tcBorders>
              <w:top w:val="nil"/>
              <w:left w:val="nil"/>
              <w:bottom w:val="single" w:sz="4" w:space="0" w:color="auto"/>
              <w:right w:val="single" w:sz="4" w:space="0" w:color="auto"/>
            </w:tcBorders>
            <w:noWrap/>
            <w:vAlign w:val="bottom"/>
            <w:hideMark/>
          </w:tcPr>
          <w:p w14:paraId="025FF9AC" w14:textId="77777777" w:rsidR="00EA21F4" w:rsidRPr="00886FD2" w:rsidRDefault="00EA21F4" w:rsidP="00EA21F4">
            <w:pPr>
              <w:spacing w:after="240" w:line="360" w:lineRule="auto"/>
              <w:jc w:val="right"/>
              <w:rPr>
                <w:rFonts w:eastAsia="Times New Roman"/>
                <w:color w:val="000000"/>
                <w:sz w:val="24"/>
                <w:szCs w:val="24"/>
              </w:rPr>
            </w:pPr>
            <w:r w:rsidRPr="00886FD2">
              <w:rPr>
                <w:rFonts w:eastAsia="Times New Roman"/>
                <w:color w:val="000000"/>
                <w:sz w:val="24"/>
                <w:szCs w:val="24"/>
              </w:rPr>
              <w:t>-1,793</w:t>
            </w:r>
          </w:p>
        </w:tc>
        <w:tc>
          <w:tcPr>
            <w:tcW w:w="397" w:type="pct"/>
            <w:tcBorders>
              <w:top w:val="nil"/>
              <w:left w:val="nil"/>
              <w:bottom w:val="single" w:sz="4" w:space="0" w:color="auto"/>
              <w:right w:val="single" w:sz="4" w:space="0" w:color="auto"/>
            </w:tcBorders>
            <w:noWrap/>
            <w:vAlign w:val="bottom"/>
            <w:hideMark/>
          </w:tcPr>
          <w:p w14:paraId="36F9F302" w14:textId="77777777" w:rsidR="00EA21F4" w:rsidRPr="00886FD2" w:rsidRDefault="00EA21F4" w:rsidP="00EA21F4">
            <w:pPr>
              <w:spacing w:after="240" w:line="360" w:lineRule="auto"/>
              <w:jc w:val="right"/>
              <w:rPr>
                <w:rFonts w:eastAsia="Times New Roman"/>
                <w:color w:val="000000"/>
                <w:sz w:val="24"/>
                <w:szCs w:val="24"/>
              </w:rPr>
            </w:pPr>
            <w:r w:rsidRPr="00886FD2">
              <w:rPr>
                <w:rFonts w:eastAsia="Times New Roman"/>
                <w:color w:val="000000"/>
                <w:sz w:val="24"/>
                <w:szCs w:val="24"/>
              </w:rPr>
              <w:t>-1,765</w:t>
            </w:r>
          </w:p>
        </w:tc>
        <w:tc>
          <w:tcPr>
            <w:tcW w:w="397" w:type="pct"/>
            <w:tcBorders>
              <w:top w:val="nil"/>
              <w:left w:val="nil"/>
              <w:bottom w:val="single" w:sz="4" w:space="0" w:color="auto"/>
              <w:right w:val="single" w:sz="4" w:space="0" w:color="auto"/>
            </w:tcBorders>
            <w:noWrap/>
            <w:vAlign w:val="bottom"/>
            <w:hideMark/>
          </w:tcPr>
          <w:p w14:paraId="2DEC5E0F" w14:textId="77777777" w:rsidR="00EA21F4" w:rsidRPr="00886FD2" w:rsidRDefault="00EA21F4" w:rsidP="00EA21F4">
            <w:pPr>
              <w:spacing w:after="240" w:line="360" w:lineRule="auto"/>
              <w:jc w:val="right"/>
              <w:rPr>
                <w:rFonts w:eastAsia="Times New Roman"/>
                <w:color w:val="000000"/>
                <w:sz w:val="24"/>
                <w:szCs w:val="24"/>
              </w:rPr>
            </w:pPr>
            <w:r w:rsidRPr="00886FD2">
              <w:rPr>
                <w:rFonts w:eastAsia="Times New Roman"/>
                <w:color w:val="000000"/>
                <w:sz w:val="24"/>
                <w:szCs w:val="24"/>
              </w:rPr>
              <w:t>-2,040</w:t>
            </w:r>
          </w:p>
        </w:tc>
        <w:tc>
          <w:tcPr>
            <w:tcW w:w="397" w:type="pct"/>
            <w:tcBorders>
              <w:top w:val="nil"/>
              <w:left w:val="nil"/>
              <w:bottom w:val="single" w:sz="4" w:space="0" w:color="auto"/>
              <w:right w:val="single" w:sz="4" w:space="0" w:color="auto"/>
            </w:tcBorders>
            <w:noWrap/>
            <w:vAlign w:val="bottom"/>
            <w:hideMark/>
          </w:tcPr>
          <w:p w14:paraId="5FE1371F" w14:textId="77777777" w:rsidR="00EA21F4" w:rsidRPr="00886FD2" w:rsidRDefault="00EA21F4" w:rsidP="00EA21F4">
            <w:pPr>
              <w:spacing w:after="240" w:line="360" w:lineRule="auto"/>
              <w:jc w:val="right"/>
              <w:rPr>
                <w:rFonts w:eastAsia="Times New Roman"/>
                <w:color w:val="000000"/>
                <w:sz w:val="24"/>
                <w:szCs w:val="24"/>
              </w:rPr>
            </w:pPr>
            <w:r w:rsidRPr="00886FD2">
              <w:rPr>
                <w:rFonts w:eastAsia="Times New Roman"/>
                <w:color w:val="000000"/>
                <w:sz w:val="24"/>
                <w:szCs w:val="24"/>
              </w:rPr>
              <w:t>-1,045</w:t>
            </w:r>
          </w:p>
        </w:tc>
        <w:tc>
          <w:tcPr>
            <w:tcW w:w="397" w:type="pct"/>
            <w:tcBorders>
              <w:top w:val="nil"/>
              <w:left w:val="nil"/>
              <w:bottom w:val="single" w:sz="4" w:space="0" w:color="auto"/>
              <w:right w:val="single" w:sz="4" w:space="0" w:color="auto"/>
            </w:tcBorders>
            <w:noWrap/>
            <w:vAlign w:val="bottom"/>
            <w:hideMark/>
          </w:tcPr>
          <w:p w14:paraId="5E0C79A6" w14:textId="77777777" w:rsidR="00EA21F4" w:rsidRPr="00886FD2" w:rsidRDefault="00EA21F4" w:rsidP="00EA21F4">
            <w:pPr>
              <w:spacing w:after="240" w:line="360" w:lineRule="auto"/>
              <w:jc w:val="right"/>
              <w:rPr>
                <w:rFonts w:eastAsia="Times New Roman"/>
                <w:color w:val="000000"/>
                <w:sz w:val="24"/>
                <w:szCs w:val="24"/>
              </w:rPr>
            </w:pPr>
            <w:r w:rsidRPr="00886FD2">
              <w:rPr>
                <w:rFonts w:eastAsia="Times New Roman"/>
                <w:color w:val="000000"/>
                <w:sz w:val="24"/>
                <w:szCs w:val="24"/>
              </w:rPr>
              <w:t>-2,348</w:t>
            </w:r>
          </w:p>
        </w:tc>
      </w:tr>
      <w:tr w:rsidR="00EA21F4" w:rsidRPr="00886FD2" w14:paraId="21C8FBDD" w14:textId="77777777" w:rsidTr="00EA21F4">
        <w:trPr>
          <w:trHeight w:val="300"/>
        </w:trPr>
        <w:tc>
          <w:tcPr>
            <w:tcW w:w="3013" w:type="pct"/>
            <w:gridSpan w:val="2"/>
            <w:tcBorders>
              <w:top w:val="single" w:sz="4" w:space="0" w:color="auto"/>
              <w:left w:val="single" w:sz="4" w:space="0" w:color="auto"/>
              <w:bottom w:val="single" w:sz="4" w:space="0" w:color="auto"/>
              <w:right w:val="single" w:sz="4" w:space="0" w:color="auto"/>
            </w:tcBorders>
            <w:noWrap/>
            <w:vAlign w:val="bottom"/>
            <w:hideMark/>
          </w:tcPr>
          <w:p w14:paraId="698521F1" w14:textId="77777777" w:rsidR="00EA21F4" w:rsidRPr="00886FD2" w:rsidRDefault="00EA21F4" w:rsidP="00EA21F4">
            <w:pPr>
              <w:spacing w:after="240" w:line="360" w:lineRule="auto"/>
              <w:rPr>
                <w:rFonts w:eastAsia="Times New Roman"/>
                <w:color w:val="000000"/>
                <w:sz w:val="24"/>
                <w:szCs w:val="24"/>
              </w:rPr>
            </w:pPr>
            <w:r w:rsidRPr="00886FD2">
              <w:rPr>
                <w:rFonts w:eastAsia="Times New Roman"/>
                <w:color w:val="000000"/>
                <w:sz w:val="24"/>
                <w:szCs w:val="24"/>
              </w:rPr>
              <w:t>Inventory</w:t>
            </w:r>
          </w:p>
        </w:tc>
        <w:tc>
          <w:tcPr>
            <w:tcW w:w="397" w:type="pct"/>
            <w:tcBorders>
              <w:top w:val="nil"/>
              <w:left w:val="nil"/>
              <w:bottom w:val="single" w:sz="4" w:space="0" w:color="auto"/>
              <w:right w:val="single" w:sz="4" w:space="0" w:color="auto"/>
            </w:tcBorders>
            <w:noWrap/>
            <w:vAlign w:val="bottom"/>
            <w:hideMark/>
          </w:tcPr>
          <w:p w14:paraId="33740CE4" w14:textId="77777777" w:rsidR="00EA21F4" w:rsidRPr="00886FD2" w:rsidRDefault="00EA21F4" w:rsidP="00EA21F4">
            <w:pPr>
              <w:spacing w:after="240" w:line="360" w:lineRule="auto"/>
              <w:jc w:val="right"/>
              <w:rPr>
                <w:rFonts w:eastAsia="Times New Roman"/>
                <w:color w:val="000000"/>
                <w:sz w:val="24"/>
                <w:szCs w:val="24"/>
              </w:rPr>
            </w:pPr>
            <w:r w:rsidRPr="00886FD2">
              <w:rPr>
                <w:rFonts w:eastAsia="Times New Roman"/>
                <w:color w:val="000000"/>
                <w:sz w:val="24"/>
                <w:szCs w:val="24"/>
              </w:rPr>
              <w:t>0</w:t>
            </w:r>
          </w:p>
        </w:tc>
        <w:tc>
          <w:tcPr>
            <w:tcW w:w="397" w:type="pct"/>
            <w:tcBorders>
              <w:top w:val="nil"/>
              <w:left w:val="nil"/>
              <w:bottom w:val="single" w:sz="4" w:space="0" w:color="auto"/>
              <w:right w:val="single" w:sz="4" w:space="0" w:color="auto"/>
            </w:tcBorders>
            <w:noWrap/>
            <w:vAlign w:val="bottom"/>
            <w:hideMark/>
          </w:tcPr>
          <w:p w14:paraId="061F67B7" w14:textId="77777777" w:rsidR="00EA21F4" w:rsidRPr="00886FD2" w:rsidRDefault="00EA21F4" w:rsidP="00EA21F4">
            <w:pPr>
              <w:spacing w:after="240" w:line="360" w:lineRule="auto"/>
              <w:jc w:val="right"/>
              <w:rPr>
                <w:rFonts w:eastAsia="Times New Roman"/>
                <w:color w:val="000000"/>
                <w:sz w:val="24"/>
                <w:szCs w:val="24"/>
              </w:rPr>
            </w:pPr>
            <w:r w:rsidRPr="00886FD2">
              <w:rPr>
                <w:rFonts w:eastAsia="Times New Roman"/>
                <w:color w:val="000000"/>
                <w:sz w:val="24"/>
                <w:szCs w:val="24"/>
              </w:rPr>
              <w:t>0</w:t>
            </w:r>
          </w:p>
        </w:tc>
        <w:tc>
          <w:tcPr>
            <w:tcW w:w="397" w:type="pct"/>
            <w:tcBorders>
              <w:top w:val="nil"/>
              <w:left w:val="nil"/>
              <w:bottom w:val="single" w:sz="4" w:space="0" w:color="auto"/>
              <w:right w:val="single" w:sz="4" w:space="0" w:color="auto"/>
            </w:tcBorders>
            <w:noWrap/>
            <w:vAlign w:val="bottom"/>
            <w:hideMark/>
          </w:tcPr>
          <w:p w14:paraId="7DDA85A2" w14:textId="77777777" w:rsidR="00EA21F4" w:rsidRPr="00886FD2" w:rsidRDefault="00EA21F4" w:rsidP="00EA21F4">
            <w:pPr>
              <w:spacing w:after="240" w:line="360" w:lineRule="auto"/>
              <w:jc w:val="right"/>
              <w:rPr>
                <w:rFonts w:eastAsia="Times New Roman"/>
                <w:color w:val="000000"/>
                <w:sz w:val="24"/>
                <w:szCs w:val="24"/>
              </w:rPr>
            </w:pPr>
            <w:r w:rsidRPr="00886FD2">
              <w:rPr>
                <w:rFonts w:eastAsia="Times New Roman"/>
                <w:color w:val="000000"/>
                <w:sz w:val="24"/>
                <w:szCs w:val="24"/>
              </w:rPr>
              <w:t>0</w:t>
            </w:r>
          </w:p>
        </w:tc>
        <w:tc>
          <w:tcPr>
            <w:tcW w:w="397" w:type="pct"/>
            <w:tcBorders>
              <w:top w:val="nil"/>
              <w:left w:val="nil"/>
              <w:bottom w:val="single" w:sz="4" w:space="0" w:color="auto"/>
              <w:right w:val="single" w:sz="4" w:space="0" w:color="auto"/>
            </w:tcBorders>
            <w:noWrap/>
            <w:vAlign w:val="bottom"/>
            <w:hideMark/>
          </w:tcPr>
          <w:p w14:paraId="434593DC" w14:textId="77777777" w:rsidR="00EA21F4" w:rsidRPr="00886FD2" w:rsidRDefault="00EA21F4" w:rsidP="00EA21F4">
            <w:pPr>
              <w:spacing w:after="240" w:line="360" w:lineRule="auto"/>
              <w:jc w:val="right"/>
              <w:rPr>
                <w:rFonts w:eastAsia="Times New Roman"/>
                <w:color w:val="000000"/>
                <w:sz w:val="24"/>
                <w:szCs w:val="24"/>
              </w:rPr>
            </w:pPr>
            <w:r w:rsidRPr="00886FD2">
              <w:rPr>
                <w:rFonts w:eastAsia="Times New Roman"/>
                <w:color w:val="000000"/>
                <w:sz w:val="24"/>
                <w:szCs w:val="24"/>
              </w:rPr>
              <w:t>0</w:t>
            </w:r>
          </w:p>
        </w:tc>
        <w:tc>
          <w:tcPr>
            <w:tcW w:w="397" w:type="pct"/>
            <w:tcBorders>
              <w:top w:val="nil"/>
              <w:left w:val="nil"/>
              <w:bottom w:val="single" w:sz="4" w:space="0" w:color="auto"/>
              <w:right w:val="single" w:sz="4" w:space="0" w:color="auto"/>
            </w:tcBorders>
            <w:noWrap/>
            <w:vAlign w:val="bottom"/>
            <w:hideMark/>
          </w:tcPr>
          <w:p w14:paraId="5F462A13" w14:textId="77777777" w:rsidR="00EA21F4" w:rsidRPr="00886FD2" w:rsidRDefault="00EA21F4" w:rsidP="00EA21F4">
            <w:pPr>
              <w:spacing w:after="240" w:line="360" w:lineRule="auto"/>
              <w:jc w:val="right"/>
              <w:rPr>
                <w:rFonts w:eastAsia="Times New Roman"/>
                <w:color w:val="000000"/>
                <w:sz w:val="24"/>
                <w:szCs w:val="24"/>
              </w:rPr>
            </w:pPr>
            <w:r w:rsidRPr="00886FD2">
              <w:rPr>
                <w:rFonts w:eastAsia="Times New Roman"/>
                <w:color w:val="000000"/>
                <w:sz w:val="24"/>
                <w:szCs w:val="24"/>
              </w:rPr>
              <w:t>0</w:t>
            </w:r>
          </w:p>
        </w:tc>
      </w:tr>
      <w:tr w:rsidR="00EA21F4" w:rsidRPr="00886FD2" w14:paraId="4E105EE4" w14:textId="77777777" w:rsidTr="00EA21F4">
        <w:trPr>
          <w:trHeight w:val="300"/>
        </w:trPr>
        <w:tc>
          <w:tcPr>
            <w:tcW w:w="3013" w:type="pct"/>
            <w:gridSpan w:val="2"/>
            <w:tcBorders>
              <w:top w:val="single" w:sz="4" w:space="0" w:color="auto"/>
              <w:left w:val="single" w:sz="4" w:space="0" w:color="auto"/>
              <w:bottom w:val="single" w:sz="4" w:space="0" w:color="auto"/>
              <w:right w:val="single" w:sz="4" w:space="0" w:color="auto"/>
            </w:tcBorders>
            <w:noWrap/>
            <w:vAlign w:val="bottom"/>
            <w:hideMark/>
          </w:tcPr>
          <w:p w14:paraId="36730269" w14:textId="77777777" w:rsidR="00EA21F4" w:rsidRPr="00886FD2" w:rsidRDefault="00EA21F4" w:rsidP="00EA21F4">
            <w:pPr>
              <w:spacing w:after="240" w:line="360" w:lineRule="auto"/>
              <w:rPr>
                <w:rFonts w:eastAsia="Times New Roman"/>
                <w:color w:val="000000"/>
                <w:sz w:val="24"/>
                <w:szCs w:val="24"/>
              </w:rPr>
            </w:pPr>
            <w:r w:rsidRPr="00886FD2">
              <w:rPr>
                <w:rFonts w:eastAsia="Times New Roman"/>
                <w:color w:val="000000"/>
                <w:sz w:val="24"/>
                <w:szCs w:val="24"/>
              </w:rPr>
              <w:t>Dividends Paid</w:t>
            </w:r>
          </w:p>
        </w:tc>
        <w:tc>
          <w:tcPr>
            <w:tcW w:w="397" w:type="pct"/>
            <w:tcBorders>
              <w:top w:val="nil"/>
              <w:left w:val="nil"/>
              <w:bottom w:val="single" w:sz="4" w:space="0" w:color="auto"/>
              <w:right w:val="single" w:sz="4" w:space="0" w:color="auto"/>
            </w:tcBorders>
            <w:noWrap/>
            <w:vAlign w:val="bottom"/>
            <w:hideMark/>
          </w:tcPr>
          <w:p w14:paraId="753047AA" w14:textId="77777777" w:rsidR="00EA21F4" w:rsidRPr="00886FD2" w:rsidRDefault="00EA21F4" w:rsidP="00EA21F4">
            <w:pPr>
              <w:spacing w:after="240" w:line="360" w:lineRule="auto"/>
              <w:jc w:val="right"/>
              <w:rPr>
                <w:rFonts w:eastAsia="Times New Roman"/>
                <w:color w:val="000000"/>
                <w:sz w:val="24"/>
                <w:szCs w:val="24"/>
              </w:rPr>
            </w:pPr>
            <w:r w:rsidRPr="00886FD2">
              <w:rPr>
                <w:rFonts w:eastAsia="Times New Roman"/>
                <w:color w:val="000000"/>
                <w:sz w:val="24"/>
                <w:szCs w:val="24"/>
              </w:rPr>
              <w:t>0</w:t>
            </w:r>
          </w:p>
        </w:tc>
        <w:tc>
          <w:tcPr>
            <w:tcW w:w="397" w:type="pct"/>
            <w:tcBorders>
              <w:top w:val="nil"/>
              <w:left w:val="nil"/>
              <w:bottom w:val="single" w:sz="4" w:space="0" w:color="auto"/>
              <w:right w:val="single" w:sz="4" w:space="0" w:color="auto"/>
            </w:tcBorders>
            <w:noWrap/>
            <w:vAlign w:val="bottom"/>
            <w:hideMark/>
          </w:tcPr>
          <w:p w14:paraId="583A3693" w14:textId="77777777" w:rsidR="00EA21F4" w:rsidRPr="00886FD2" w:rsidRDefault="00EA21F4" w:rsidP="00EA21F4">
            <w:pPr>
              <w:spacing w:after="240" w:line="360" w:lineRule="auto"/>
              <w:jc w:val="right"/>
              <w:rPr>
                <w:rFonts w:eastAsia="Times New Roman"/>
                <w:color w:val="000000"/>
                <w:sz w:val="24"/>
                <w:szCs w:val="24"/>
              </w:rPr>
            </w:pPr>
            <w:r w:rsidRPr="00886FD2">
              <w:rPr>
                <w:rFonts w:eastAsia="Times New Roman"/>
                <w:color w:val="000000"/>
                <w:sz w:val="24"/>
                <w:szCs w:val="24"/>
              </w:rPr>
              <w:t>-123</w:t>
            </w:r>
          </w:p>
        </w:tc>
        <w:tc>
          <w:tcPr>
            <w:tcW w:w="397" w:type="pct"/>
            <w:tcBorders>
              <w:top w:val="nil"/>
              <w:left w:val="nil"/>
              <w:bottom w:val="single" w:sz="4" w:space="0" w:color="auto"/>
              <w:right w:val="single" w:sz="4" w:space="0" w:color="auto"/>
            </w:tcBorders>
            <w:noWrap/>
            <w:vAlign w:val="bottom"/>
            <w:hideMark/>
          </w:tcPr>
          <w:p w14:paraId="4C4C7BF2" w14:textId="77777777" w:rsidR="00EA21F4" w:rsidRPr="00886FD2" w:rsidRDefault="00EA21F4" w:rsidP="00EA21F4">
            <w:pPr>
              <w:spacing w:after="240" w:line="360" w:lineRule="auto"/>
              <w:jc w:val="right"/>
              <w:rPr>
                <w:rFonts w:eastAsia="Times New Roman"/>
                <w:color w:val="000000"/>
                <w:sz w:val="24"/>
                <w:szCs w:val="24"/>
              </w:rPr>
            </w:pPr>
            <w:r w:rsidRPr="00886FD2">
              <w:rPr>
                <w:rFonts w:eastAsia="Times New Roman"/>
                <w:color w:val="000000"/>
                <w:sz w:val="24"/>
                <w:szCs w:val="24"/>
              </w:rPr>
              <w:t>-158</w:t>
            </w:r>
          </w:p>
        </w:tc>
        <w:tc>
          <w:tcPr>
            <w:tcW w:w="397" w:type="pct"/>
            <w:tcBorders>
              <w:top w:val="nil"/>
              <w:left w:val="nil"/>
              <w:bottom w:val="single" w:sz="4" w:space="0" w:color="auto"/>
              <w:right w:val="single" w:sz="4" w:space="0" w:color="auto"/>
            </w:tcBorders>
            <w:noWrap/>
            <w:vAlign w:val="bottom"/>
            <w:hideMark/>
          </w:tcPr>
          <w:p w14:paraId="2D3BC4E3" w14:textId="77777777" w:rsidR="00EA21F4" w:rsidRPr="00886FD2" w:rsidRDefault="00EA21F4" w:rsidP="00EA21F4">
            <w:pPr>
              <w:spacing w:after="240" w:line="360" w:lineRule="auto"/>
              <w:jc w:val="right"/>
              <w:rPr>
                <w:rFonts w:eastAsia="Times New Roman"/>
                <w:color w:val="000000"/>
                <w:sz w:val="24"/>
                <w:szCs w:val="24"/>
              </w:rPr>
            </w:pPr>
            <w:r w:rsidRPr="00886FD2">
              <w:rPr>
                <w:rFonts w:eastAsia="Times New Roman"/>
                <w:color w:val="000000"/>
                <w:sz w:val="24"/>
                <w:szCs w:val="24"/>
              </w:rPr>
              <w:t>-150</w:t>
            </w:r>
          </w:p>
        </w:tc>
        <w:tc>
          <w:tcPr>
            <w:tcW w:w="397" w:type="pct"/>
            <w:tcBorders>
              <w:top w:val="nil"/>
              <w:left w:val="nil"/>
              <w:bottom w:val="single" w:sz="4" w:space="0" w:color="auto"/>
              <w:right w:val="single" w:sz="4" w:space="0" w:color="auto"/>
            </w:tcBorders>
            <w:noWrap/>
            <w:vAlign w:val="bottom"/>
            <w:hideMark/>
          </w:tcPr>
          <w:p w14:paraId="68FD075D" w14:textId="77777777" w:rsidR="00EA21F4" w:rsidRPr="00886FD2" w:rsidRDefault="00EA21F4" w:rsidP="00EA21F4">
            <w:pPr>
              <w:spacing w:after="240" w:line="360" w:lineRule="auto"/>
              <w:jc w:val="right"/>
              <w:rPr>
                <w:rFonts w:eastAsia="Times New Roman"/>
                <w:color w:val="000000"/>
                <w:sz w:val="24"/>
                <w:szCs w:val="24"/>
              </w:rPr>
            </w:pPr>
            <w:r w:rsidRPr="00886FD2">
              <w:rPr>
                <w:rFonts w:eastAsia="Times New Roman"/>
                <w:color w:val="000000"/>
                <w:sz w:val="24"/>
                <w:szCs w:val="24"/>
              </w:rPr>
              <w:t>-143</w:t>
            </w:r>
          </w:p>
        </w:tc>
      </w:tr>
      <w:tr w:rsidR="00EA21F4" w:rsidRPr="00886FD2" w14:paraId="6A145932" w14:textId="77777777" w:rsidTr="00EA21F4">
        <w:trPr>
          <w:trHeight w:val="300"/>
        </w:trPr>
        <w:tc>
          <w:tcPr>
            <w:tcW w:w="3013" w:type="pct"/>
            <w:gridSpan w:val="2"/>
            <w:tcBorders>
              <w:top w:val="single" w:sz="4" w:space="0" w:color="auto"/>
              <w:left w:val="single" w:sz="4" w:space="0" w:color="auto"/>
              <w:bottom w:val="single" w:sz="4" w:space="0" w:color="auto"/>
              <w:right w:val="single" w:sz="4" w:space="0" w:color="auto"/>
            </w:tcBorders>
            <w:noWrap/>
            <w:vAlign w:val="bottom"/>
            <w:hideMark/>
          </w:tcPr>
          <w:p w14:paraId="65151E14" w14:textId="77777777" w:rsidR="00EA21F4" w:rsidRPr="00886FD2" w:rsidRDefault="00EA21F4" w:rsidP="00EA21F4">
            <w:pPr>
              <w:spacing w:after="240" w:line="360" w:lineRule="auto"/>
              <w:rPr>
                <w:rFonts w:eastAsia="Times New Roman"/>
                <w:color w:val="000000"/>
                <w:sz w:val="24"/>
                <w:szCs w:val="24"/>
              </w:rPr>
            </w:pPr>
            <w:r w:rsidRPr="00886FD2">
              <w:rPr>
                <w:rFonts w:eastAsia="Times New Roman"/>
                <w:color w:val="000000"/>
                <w:sz w:val="24"/>
                <w:szCs w:val="24"/>
              </w:rPr>
              <w:t>Diluted EPS ($)</w:t>
            </w:r>
          </w:p>
        </w:tc>
        <w:tc>
          <w:tcPr>
            <w:tcW w:w="397" w:type="pct"/>
            <w:tcBorders>
              <w:top w:val="nil"/>
              <w:left w:val="nil"/>
              <w:bottom w:val="single" w:sz="4" w:space="0" w:color="auto"/>
              <w:right w:val="single" w:sz="4" w:space="0" w:color="auto"/>
            </w:tcBorders>
            <w:noWrap/>
            <w:vAlign w:val="bottom"/>
            <w:hideMark/>
          </w:tcPr>
          <w:p w14:paraId="762FC984" w14:textId="77777777" w:rsidR="00EA21F4" w:rsidRPr="00886FD2" w:rsidRDefault="00EA21F4" w:rsidP="00EA21F4">
            <w:pPr>
              <w:spacing w:after="240" w:line="360" w:lineRule="auto"/>
              <w:jc w:val="right"/>
              <w:rPr>
                <w:rFonts w:eastAsia="Times New Roman"/>
                <w:color w:val="000000"/>
                <w:sz w:val="24"/>
                <w:szCs w:val="24"/>
              </w:rPr>
            </w:pPr>
            <w:r w:rsidRPr="00886FD2">
              <w:rPr>
                <w:rFonts w:eastAsia="Times New Roman"/>
                <w:color w:val="000000"/>
                <w:sz w:val="24"/>
                <w:szCs w:val="24"/>
              </w:rPr>
              <w:t>1.46</w:t>
            </w:r>
          </w:p>
        </w:tc>
        <w:tc>
          <w:tcPr>
            <w:tcW w:w="397" w:type="pct"/>
            <w:tcBorders>
              <w:top w:val="nil"/>
              <w:left w:val="nil"/>
              <w:bottom w:val="single" w:sz="4" w:space="0" w:color="auto"/>
              <w:right w:val="single" w:sz="4" w:space="0" w:color="auto"/>
            </w:tcBorders>
            <w:noWrap/>
            <w:vAlign w:val="bottom"/>
            <w:hideMark/>
          </w:tcPr>
          <w:p w14:paraId="2252CE82" w14:textId="77777777" w:rsidR="00EA21F4" w:rsidRPr="00886FD2" w:rsidRDefault="00EA21F4" w:rsidP="00EA21F4">
            <w:pPr>
              <w:spacing w:after="240" w:line="360" w:lineRule="auto"/>
              <w:jc w:val="right"/>
              <w:rPr>
                <w:rFonts w:eastAsia="Times New Roman"/>
                <w:color w:val="000000"/>
                <w:sz w:val="24"/>
                <w:szCs w:val="24"/>
              </w:rPr>
            </w:pPr>
            <w:r w:rsidRPr="00886FD2">
              <w:rPr>
                <w:rFonts w:eastAsia="Times New Roman"/>
                <w:color w:val="000000"/>
                <w:sz w:val="24"/>
                <w:szCs w:val="24"/>
              </w:rPr>
              <w:t>4.53</w:t>
            </w:r>
          </w:p>
        </w:tc>
        <w:tc>
          <w:tcPr>
            <w:tcW w:w="397" w:type="pct"/>
            <w:tcBorders>
              <w:top w:val="nil"/>
              <w:left w:val="nil"/>
              <w:bottom w:val="single" w:sz="4" w:space="0" w:color="auto"/>
              <w:right w:val="single" w:sz="4" w:space="0" w:color="auto"/>
            </w:tcBorders>
            <w:noWrap/>
            <w:vAlign w:val="bottom"/>
            <w:hideMark/>
          </w:tcPr>
          <w:p w14:paraId="5DC906F3" w14:textId="77777777" w:rsidR="00EA21F4" w:rsidRPr="00886FD2" w:rsidRDefault="00EA21F4" w:rsidP="00EA21F4">
            <w:pPr>
              <w:spacing w:after="240" w:line="360" w:lineRule="auto"/>
              <w:jc w:val="right"/>
              <w:rPr>
                <w:rFonts w:eastAsia="Times New Roman"/>
                <w:color w:val="000000"/>
                <w:sz w:val="24"/>
                <w:szCs w:val="24"/>
              </w:rPr>
            </w:pPr>
            <w:r w:rsidRPr="00886FD2">
              <w:rPr>
                <w:rFonts w:eastAsia="Times New Roman"/>
                <w:color w:val="000000"/>
                <w:sz w:val="24"/>
                <w:szCs w:val="24"/>
              </w:rPr>
              <w:t>4.33</w:t>
            </w:r>
          </w:p>
        </w:tc>
        <w:tc>
          <w:tcPr>
            <w:tcW w:w="397" w:type="pct"/>
            <w:tcBorders>
              <w:top w:val="nil"/>
              <w:left w:val="nil"/>
              <w:bottom w:val="single" w:sz="4" w:space="0" w:color="auto"/>
              <w:right w:val="single" w:sz="4" w:space="0" w:color="auto"/>
            </w:tcBorders>
            <w:noWrap/>
            <w:vAlign w:val="bottom"/>
            <w:hideMark/>
          </w:tcPr>
          <w:p w14:paraId="041C7B30" w14:textId="77777777" w:rsidR="00EA21F4" w:rsidRPr="00886FD2" w:rsidRDefault="00EA21F4" w:rsidP="00EA21F4">
            <w:pPr>
              <w:spacing w:after="240" w:line="360" w:lineRule="auto"/>
              <w:jc w:val="right"/>
              <w:rPr>
                <w:rFonts w:eastAsia="Times New Roman"/>
                <w:color w:val="000000"/>
                <w:sz w:val="24"/>
                <w:szCs w:val="24"/>
              </w:rPr>
            </w:pPr>
            <w:r w:rsidRPr="00886FD2">
              <w:rPr>
                <w:rFonts w:eastAsia="Times New Roman"/>
                <w:color w:val="000000"/>
                <w:sz w:val="24"/>
                <w:szCs w:val="24"/>
              </w:rPr>
              <w:t>6.14</w:t>
            </w:r>
          </w:p>
        </w:tc>
        <w:tc>
          <w:tcPr>
            <w:tcW w:w="397" w:type="pct"/>
            <w:tcBorders>
              <w:top w:val="nil"/>
              <w:left w:val="nil"/>
              <w:bottom w:val="single" w:sz="4" w:space="0" w:color="auto"/>
              <w:right w:val="single" w:sz="4" w:space="0" w:color="auto"/>
            </w:tcBorders>
            <w:noWrap/>
            <w:vAlign w:val="bottom"/>
            <w:hideMark/>
          </w:tcPr>
          <w:p w14:paraId="53AE8AEC" w14:textId="77777777" w:rsidR="00EA21F4" w:rsidRPr="00886FD2" w:rsidRDefault="00EA21F4" w:rsidP="00EA21F4">
            <w:pPr>
              <w:spacing w:after="240" w:line="360" w:lineRule="auto"/>
              <w:jc w:val="right"/>
              <w:rPr>
                <w:rFonts w:eastAsia="Times New Roman"/>
                <w:color w:val="000000"/>
                <w:sz w:val="24"/>
                <w:szCs w:val="24"/>
              </w:rPr>
            </w:pPr>
            <w:r w:rsidRPr="00886FD2">
              <w:rPr>
                <w:rFonts w:eastAsia="Times New Roman"/>
                <w:color w:val="000000"/>
                <w:sz w:val="24"/>
                <w:szCs w:val="24"/>
              </w:rPr>
              <w:t>6.12</w:t>
            </w:r>
          </w:p>
        </w:tc>
      </w:tr>
      <w:tr w:rsidR="00EA21F4" w:rsidRPr="00886FD2" w14:paraId="4E4E454A" w14:textId="77777777" w:rsidTr="00EA21F4">
        <w:trPr>
          <w:trHeight w:val="300"/>
        </w:trPr>
        <w:tc>
          <w:tcPr>
            <w:tcW w:w="1306" w:type="pct"/>
            <w:tcBorders>
              <w:top w:val="nil"/>
              <w:left w:val="nil"/>
              <w:bottom w:val="nil"/>
              <w:right w:val="nil"/>
            </w:tcBorders>
            <w:noWrap/>
            <w:vAlign w:val="bottom"/>
            <w:hideMark/>
          </w:tcPr>
          <w:p w14:paraId="29AECEB9" w14:textId="77777777" w:rsidR="00EA21F4" w:rsidRPr="00886FD2" w:rsidRDefault="00EA21F4" w:rsidP="00EA21F4">
            <w:pPr>
              <w:spacing w:after="240" w:line="360" w:lineRule="auto"/>
              <w:jc w:val="right"/>
              <w:rPr>
                <w:rFonts w:eastAsia="Times New Roman"/>
                <w:color w:val="000000"/>
                <w:sz w:val="24"/>
                <w:szCs w:val="24"/>
              </w:rPr>
            </w:pPr>
          </w:p>
        </w:tc>
        <w:tc>
          <w:tcPr>
            <w:tcW w:w="1707" w:type="pct"/>
            <w:tcBorders>
              <w:top w:val="nil"/>
              <w:left w:val="nil"/>
              <w:bottom w:val="nil"/>
              <w:right w:val="nil"/>
            </w:tcBorders>
            <w:noWrap/>
            <w:vAlign w:val="bottom"/>
            <w:hideMark/>
          </w:tcPr>
          <w:p w14:paraId="323D56D7" w14:textId="77777777" w:rsidR="00EA21F4" w:rsidRPr="00886FD2" w:rsidRDefault="00EA21F4" w:rsidP="00EA21F4">
            <w:pPr>
              <w:spacing w:after="240" w:line="360" w:lineRule="auto"/>
              <w:rPr>
                <w:rFonts w:eastAsia="Times New Roman"/>
                <w:sz w:val="24"/>
                <w:szCs w:val="24"/>
              </w:rPr>
            </w:pPr>
          </w:p>
        </w:tc>
        <w:tc>
          <w:tcPr>
            <w:tcW w:w="397" w:type="pct"/>
            <w:tcBorders>
              <w:top w:val="nil"/>
              <w:left w:val="nil"/>
              <w:bottom w:val="nil"/>
              <w:right w:val="nil"/>
            </w:tcBorders>
            <w:noWrap/>
            <w:vAlign w:val="bottom"/>
            <w:hideMark/>
          </w:tcPr>
          <w:p w14:paraId="76394274" w14:textId="77777777" w:rsidR="00EA21F4" w:rsidRPr="00886FD2" w:rsidRDefault="00EA21F4" w:rsidP="00EA21F4">
            <w:pPr>
              <w:spacing w:after="240" w:line="360" w:lineRule="auto"/>
              <w:rPr>
                <w:rFonts w:eastAsia="Times New Roman"/>
                <w:sz w:val="24"/>
                <w:szCs w:val="24"/>
              </w:rPr>
            </w:pPr>
          </w:p>
        </w:tc>
        <w:tc>
          <w:tcPr>
            <w:tcW w:w="397" w:type="pct"/>
            <w:tcBorders>
              <w:top w:val="nil"/>
              <w:left w:val="nil"/>
              <w:bottom w:val="nil"/>
              <w:right w:val="nil"/>
            </w:tcBorders>
            <w:noWrap/>
            <w:vAlign w:val="bottom"/>
            <w:hideMark/>
          </w:tcPr>
          <w:p w14:paraId="0DB75FDE" w14:textId="77777777" w:rsidR="00EA21F4" w:rsidRPr="00886FD2" w:rsidRDefault="00EA21F4" w:rsidP="00EA21F4">
            <w:pPr>
              <w:spacing w:after="240" w:line="360" w:lineRule="auto"/>
              <w:rPr>
                <w:rFonts w:eastAsia="Times New Roman"/>
                <w:sz w:val="24"/>
                <w:szCs w:val="24"/>
              </w:rPr>
            </w:pPr>
          </w:p>
        </w:tc>
        <w:tc>
          <w:tcPr>
            <w:tcW w:w="397" w:type="pct"/>
            <w:tcBorders>
              <w:top w:val="nil"/>
              <w:left w:val="nil"/>
              <w:bottom w:val="nil"/>
              <w:right w:val="nil"/>
            </w:tcBorders>
            <w:noWrap/>
            <w:vAlign w:val="bottom"/>
            <w:hideMark/>
          </w:tcPr>
          <w:p w14:paraId="4EE587B6" w14:textId="77777777" w:rsidR="00EA21F4" w:rsidRPr="00886FD2" w:rsidRDefault="00EA21F4" w:rsidP="00EA21F4">
            <w:pPr>
              <w:spacing w:after="240" w:line="360" w:lineRule="auto"/>
              <w:rPr>
                <w:rFonts w:eastAsia="Times New Roman"/>
                <w:sz w:val="24"/>
                <w:szCs w:val="24"/>
              </w:rPr>
            </w:pPr>
          </w:p>
        </w:tc>
        <w:tc>
          <w:tcPr>
            <w:tcW w:w="397" w:type="pct"/>
            <w:tcBorders>
              <w:top w:val="nil"/>
              <w:left w:val="nil"/>
              <w:bottom w:val="nil"/>
              <w:right w:val="nil"/>
            </w:tcBorders>
            <w:noWrap/>
            <w:vAlign w:val="bottom"/>
            <w:hideMark/>
          </w:tcPr>
          <w:p w14:paraId="56943692" w14:textId="77777777" w:rsidR="00EA21F4" w:rsidRPr="00886FD2" w:rsidRDefault="00EA21F4" w:rsidP="00EA21F4">
            <w:pPr>
              <w:spacing w:after="240" w:line="360" w:lineRule="auto"/>
              <w:rPr>
                <w:rFonts w:eastAsia="Times New Roman"/>
                <w:sz w:val="24"/>
                <w:szCs w:val="24"/>
              </w:rPr>
            </w:pPr>
          </w:p>
        </w:tc>
        <w:tc>
          <w:tcPr>
            <w:tcW w:w="397" w:type="pct"/>
            <w:tcBorders>
              <w:top w:val="nil"/>
              <w:left w:val="nil"/>
              <w:bottom w:val="nil"/>
              <w:right w:val="nil"/>
            </w:tcBorders>
            <w:noWrap/>
            <w:vAlign w:val="bottom"/>
            <w:hideMark/>
          </w:tcPr>
          <w:p w14:paraId="0EFE56A2" w14:textId="77777777" w:rsidR="00EA21F4" w:rsidRPr="00886FD2" w:rsidRDefault="00EA21F4" w:rsidP="00EA21F4">
            <w:pPr>
              <w:spacing w:after="240" w:line="360" w:lineRule="auto"/>
              <w:rPr>
                <w:rFonts w:eastAsia="Times New Roman"/>
                <w:sz w:val="24"/>
                <w:szCs w:val="24"/>
              </w:rPr>
            </w:pPr>
          </w:p>
        </w:tc>
      </w:tr>
      <w:tr w:rsidR="00EA21F4" w:rsidRPr="00886FD2" w14:paraId="64BE5C46" w14:textId="77777777" w:rsidTr="00EA21F4">
        <w:trPr>
          <w:trHeight w:val="300"/>
        </w:trPr>
        <w:tc>
          <w:tcPr>
            <w:tcW w:w="1306" w:type="pct"/>
            <w:tcBorders>
              <w:top w:val="single" w:sz="4" w:space="0" w:color="auto"/>
              <w:left w:val="single" w:sz="4" w:space="0" w:color="auto"/>
              <w:bottom w:val="single" w:sz="4" w:space="0" w:color="auto"/>
              <w:right w:val="single" w:sz="4" w:space="0" w:color="auto"/>
            </w:tcBorders>
            <w:noWrap/>
            <w:vAlign w:val="bottom"/>
            <w:hideMark/>
          </w:tcPr>
          <w:p w14:paraId="2BC509D1" w14:textId="77777777" w:rsidR="00EA21F4" w:rsidRPr="00886FD2" w:rsidRDefault="00EA21F4" w:rsidP="00EA21F4">
            <w:pPr>
              <w:spacing w:after="240" w:line="360" w:lineRule="auto"/>
              <w:rPr>
                <w:rFonts w:eastAsia="Times New Roman"/>
                <w:b/>
                <w:bCs/>
                <w:color w:val="000000"/>
                <w:sz w:val="24"/>
                <w:szCs w:val="24"/>
              </w:rPr>
            </w:pPr>
            <w:r w:rsidRPr="00886FD2">
              <w:rPr>
                <w:rFonts w:eastAsia="Times New Roman"/>
                <w:b/>
                <w:bCs/>
                <w:color w:val="000000"/>
                <w:sz w:val="24"/>
                <w:szCs w:val="24"/>
              </w:rPr>
              <w:t>Profitability Ratios</w:t>
            </w:r>
          </w:p>
        </w:tc>
        <w:tc>
          <w:tcPr>
            <w:tcW w:w="1707" w:type="pct"/>
            <w:tcBorders>
              <w:top w:val="single" w:sz="4" w:space="0" w:color="auto"/>
              <w:left w:val="nil"/>
              <w:bottom w:val="single" w:sz="4" w:space="0" w:color="auto"/>
              <w:right w:val="single" w:sz="4" w:space="0" w:color="auto"/>
            </w:tcBorders>
            <w:noWrap/>
            <w:vAlign w:val="bottom"/>
            <w:hideMark/>
          </w:tcPr>
          <w:p w14:paraId="411659E9" w14:textId="77777777" w:rsidR="00EA21F4" w:rsidRPr="00886FD2" w:rsidRDefault="00EA21F4" w:rsidP="00EA21F4">
            <w:pPr>
              <w:spacing w:after="240" w:line="360" w:lineRule="auto"/>
              <w:rPr>
                <w:rFonts w:eastAsia="Times New Roman"/>
                <w:b/>
                <w:bCs/>
                <w:color w:val="000000"/>
                <w:sz w:val="24"/>
                <w:szCs w:val="24"/>
              </w:rPr>
            </w:pPr>
            <w:r w:rsidRPr="00886FD2">
              <w:rPr>
                <w:rFonts w:eastAsia="Times New Roman"/>
                <w:b/>
                <w:bCs/>
                <w:color w:val="000000"/>
                <w:sz w:val="24"/>
                <w:szCs w:val="24"/>
              </w:rPr>
              <w:t>Formula</w:t>
            </w:r>
          </w:p>
        </w:tc>
        <w:tc>
          <w:tcPr>
            <w:tcW w:w="397" w:type="pct"/>
            <w:tcBorders>
              <w:top w:val="single" w:sz="4" w:space="0" w:color="auto"/>
              <w:left w:val="nil"/>
              <w:bottom w:val="single" w:sz="4" w:space="0" w:color="auto"/>
              <w:right w:val="single" w:sz="4" w:space="0" w:color="auto"/>
            </w:tcBorders>
            <w:noWrap/>
            <w:vAlign w:val="bottom"/>
            <w:hideMark/>
          </w:tcPr>
          <w:p w14:paraId="11842853" w14:textId="77777777" w:rsidR="00EA21F4" w:rsidRPr="00886FD2" w:rsidRDefault="00EA21F4" w:rsidP="00EA21F4">
            <w:pPr>
              <w:spacing w:after="240" w:line="360" w:lineRule="auto"/>
              <w:jc w:val="center"/>
              <w:rPr>
                <w:rFonts w:eastAsia="Times New Roman"/>
                <w:b/>
                <w:bCs/>
                <w:i/>
                <w:iCs/>
                <w:color w:val="000000"/>
                <w:sz w:val="24"/>
                <w:szCs w:val="24"/>
              </w:rPr>
            </w:pPr>
            <w:r w:rsidRPr="00886FD2">
              <w:rPr>
                <w:rFonts w:eastAsia="Times New Roman"/>
                <w:b/>
                <w:bCs/>
                <w:i/>
                <w:iCs/>
                <w:color w:val="000000"/>
                <w:sz w:val="24"/>
                <w:szCs w:val="24"/>
              </w:rPr>
              <w:t>2021</w:t>
            </w:r>
          </w:p>
        </w:tc>
        <w:tc>
          <w:tcPr>
            <w:tcW w:w="397" w:type="pct"/>
            <w:tcBorders>
              <w:top w:val="single" w:sz="4" w:space="0" w:color="auto"/>
              <w:left w:val="nil"/>
              <w:bottom w:val="single" w:sz="4" w:space="0" w:color="auto"/>
              <w:right w:val="single" w:sz="4" w:space="0" w:color="auto"/>
            </w:tcBorders>
            <w:noWrap/>
            <w:vAlign w:val="bottom"/>
            <w:hideMark/>
          </w:tcPr>
          <w:p w14:paraId="160BA21D" w14:textId="77777777" w:rsidR="00EA21F4" w:rsidRPr="00886FD2" w:rsidRDefault="00EA21F4" w:rsidP="00EA21F4">
            <w:pPr>
              <w:spacing w:after="240" w:line="360" w:lineRule="auto"/>
              <w:jc w:val="center"/>
              <w:rPr>
                <w:rFonts w:eastAsia="Times New Roman"/>
                <w:b/>
                <w:bCs/>
                <w:i/>
                <w:iCs/>
                <w:color w:val="000000"/>
                <w:sz w:val="24"/>
                <w:szCs w:val="24"/>
              </w:rPr>
            </w:pPr>
            <w:r w:rsidRPr="00886FD2">
              <w:rPr>
                <w:rFonts w:eastAsia="Times New Roman"/>
                <w:b/>
                <w:bCs/>
                <w:i/>
                <w:iCs/>
                <w:color w:val="000000"/>
                <w:sz w:val="24"/>
                <w:szCs w:val="24"/>
              </w:rPr>
              <w:t>2022</w:t>
            </w:r>
          </w:p>
        </w:tc>
        <w:tc>
          <w:tcPr>
            <w:tcW w:w="397" w:type="pct"/>
            <w:tcBorders>
              <w:top w:val="single" w:sz="4" w:space="0" w:color="auto"/>
              <w:left w:val="nil"/>
              <w:bottom w:val="single" w:sz="4" w:space="0" w:color="auto"/>
              <w:right w:val="single" w:sz="4" w:space="0" w:color="auto"/>
            </w:tcBorders>
            <w:noWrap/>
            <w:vAlign w:val="bottom"/>
            <w:hideMark/>
          </w:tcPr>
          <w:p w14:paraId="57570195" w14:textId="77777777" w:rsidR="00EA21F4" w:rsidRPr="00886FD2" w:rsidRDefault="00EA21F4" w:rsidP="00EA21F4">
            <w:pPr>
              <w:spacing w:after="240" w:line="360" w:lineRule="auto"/>
              <w:jc w:val="center"/>
              <w:rPr>
                <w:rFonts w:eastAsia="Times New Roman"/>
                <w:b/>
                <w:bCs/>
                <w:i/>
                <w:iCs/>
                <w:color w:val="000000"/>
                <w:sz w:val="24"/>
                <w:szCs w:val="24"/>
              </w:rPr>
            </w:pPr>
            <w:r w:rsidRPr="00886FD2">
              <w:rPr>
                <w:rFonts w:eastAsia="Times New Roman"/>
                <w:b/>
                <w:bCs/>
                <w:i/>
                <w:iCs/>
                <w:color w:val="000000"/>
                <w:sz w:val="24"/>
                <w:szCs w:val="24"/>
              </w:rPr>
              <w:t>2023</w:t>
            </w:r>
          </w:p>
        </w:tc>
        <w:tc>
          <w:tcPr>
            <w:tcW w:w="397" w:type="pct"/>
            <w:tcBorders>
              <w:top w:val="single" w:sz="4" w:space="0" w:color="auto"/>
              <w:left w:val="nil"/>
              <w:bottom w:val="single" w:sz="4" w:space="0" w:color="auto"/>
              <w:right w:val="single" w:sz="4" w:space="0" w:color="auto"/>
            </w:tcBorders>
            <w:noWrap/>
            <w:vAlign w:val="bottom"/>
            <w:hideMark/>
          </w:tcPr>
          <w:p w14:paraId="3FE4A32C" w14:textId="77777777" w:rsidR="00EA21F4" w:rsidRPr="00886FD2" w:rsidRDefault="00EA21F4" w:rsidP="00EA21F4">
            <w:pPr>
              <w:spacing w:after="240" w:line="360" w:lineRule="auto"/>
              <w:jc w:val="center"/>
              <w:rPr>
                <w:rFonts w:eastAsia="Times New Roman"/>
                <w:b/>
                <w:bCs/>
                <w:i/>
                <w:iCs/>
                <w:color w:val="000000"/>
                <w:sz w:val="24"/>
                <w:szCs w:val="24"/>
              </w:rPr>
            </w:pPr>
            <w:r w:rsidRPr="00886FD2">
              <w:rPr>
                <w:rFonts w:eastAsia="Times New Roman"/>
                <w:b/>
                <w:bCs/>
                <w:i/>
                <w:iCs/>
                <w:color w:val="000000"/>
                <w:sz w:val="24"/>
                <w:szCs w:val="24"/>
              </w:rPr>
              <w:t>2024</w:t>
            </w:r>
          </w:p>
        </w:tc>
        <w:tc>
          <w:tcPr>
            <w:tcW w:w="397" w:type="pct"/>
            <w:tcBorders>
              <w:top w:val="single" w:sz="4" w:space="0" w:color="auto"/>
              <w:left w:val="nil"/>
              <w:bottom w:val="single" w:sz="4" w:space="0" w:color="auto"/>
              <w:right w:val="single" w:sz="4" w:space="0" w:color="auto"/>
            </w:tcBorders>
            <w:noWrap/>
            <w:vAlign w:val="bottom"/>
            <w:hideMark/>
          </w:tcPr>
          <w:p w14:paraId="415493FE" w14:textId="77777777" w:rsidR="00EA21F4" w:rsidRPr="00886FD2" w:rsidRDefault="00EA21F4" w:rsidP="00EA21F4">
            <w:pPr>
              <w:spacing w:after="240" w:line="360" w:lineRule="auto"/>
              <w:jc w:val="center"/>
              <w:rPr>
                <w:rFonts w:eastAsia="Times New Roman"/>
                <w:b/>
                <w:bCs/>
                <w:i/>
                <w:iCs/>
                <w:color w:val="000000"/>
                <w:sz w:val="24"/>
                <w:szCs w:val="24"/>
              </w:rPr>
            </w:pPr>
            <w:r w:rsidRPr="00886FD2">
              <w:rPr>
                <w:rFonts w:eastAsia="Times New Roman"/>
                <w:b/>
                <w:bCs/>
                <w:i/>
                <w:iCs/>
                <w:color w:val="000000"/>
                <w:sz w:val="24"/>
                <w:szCs w:val="24"/>
              </w:rPr>
              <w:t>2025</w:t>
            </w:r>
          </w:p>
        </w:tc>
      </w:tr>
      <w:tr w:rsidR="00EA21F4" w:rsidRPr="00886FD2" w14:paraId="531F855A" w14:textId="77777777" w:rsidTr="00EA21F4">
        <w:trPr>
          <w:trHeight w:val="300"/>
        </w:trPr>
        <w:tc>
          <w:tcPr>
            <w:tcW w:w="1306" w:type="pct"/>
            <w:tcBorders>
              <w:top w:val="nil"/>
              <w:left w:val="single" w:sz="4" w:space="0" w:color="auto"/>
              <w:bottom w:val="single" w:sz="4" w:space="0" w:color="auto"/>
              <w:right w:val="single" w:sz="4" w:space="0" w:color="auto"/>
            </w:tcBorders>
            <w:noWrap/>
            <w:vAlign w:val="center"/>
            <w:hideMark/>
          </w:tcPr>
          <w:p w14:paraId="75E6E3EF" w14:textId="77777777" w:rsidR="00EA21F4" w:rsidRPr="00886FD2" w:rsidRDefault="00EA21F4" w:rsidP="00EA21F4">
            <w:pPr>
              <w:spacing w:after="240" w:line="360" w:lineRule="auto"/>
              <w:rPr>
                <w:rFonts w:eastAsia="Times New Roman"/>
                <w:color w:val="000000"/>
                <w:sz w:val="24"/>
                <w:szCs w:val="24"/>
              </w:rPr>
            </w:pPr>
            <w:r w:rsidRPr="00886FD2">
              <w:rPr>
                <w:rFonts w:eastAsia="Times New Roman"/>
                <w:color w:val="000000"/>
                <w:sz w:val="24"/>
                <w:szCs w:val="24"/>
              </w:rPr>
              <w:t>Gross Profit Margin</w:t>
            </w:r>
          </w:p>
        </w:tc>
        <w:tc>
          <w:tcPr>
            <w:tcW w:w="1707" w:type="pct"/>
            <w:tcBorders>
              <w:top w:val="nil"/>
              <w:left w:val="nil"/>
              <w:bottom w:val="single" w:sz="4" w:space="0" w:color="auto"/>
              <w:right w:val="single" w:sz="4" w:space="0" w:color="auto"/>
            </w:tcBorders>
            <w:noWrap/>
            <w:vAlign w:val="center"/>
            <w:hideMark/>
          </w:tcPr>
          <w:p w14:paraId="35C3475A" w14:textId="77777777" w:rsidR="00EA21F4" w:rsidRPr="00886FD2" w:rsidRDefault="00EA21F4" w:rsidP="00EA21F4">
            <w:pPr>
              <w:spacing w:after="240" w:line="360" w:lineRule="auto"/>
              <w:rPr>
                <w:rFonts w:eastAsia="Times New Roman"/>
                <w:i/>
                <w:iCs/>
                <w:color w:val="000000"/>
                <w:sz w:val="24"/>
                <w:szCs w:val="24"/>
              </w:rPr>
            </w:pPr>
            <w:r w:rsidRPr="00886FD2">
              <w:rPr>
                <w:rFonts w:eastAsia="Times New Roman"/>
                <w:i/>
                <w:iCs/>
                <w:color w:val="000000"/>
                <w:sz w:val="24"/>
                <w:szCs w:val="24"/>
              </w:rPr>
              <w:t>Gross Profit/Revenue</w:t>
            </w:r>
          </w:p>
        </w:tc>
        <w:tc>
          <w:tcPr>
            <w:tcW w:w="397" w:type="pct"/>
            <w:tcBorders>
              <w:top w:val="nil"/>
              <w:left w:val="nil"/>
              <w:bottom w:val="single" w:sz="4" w:space="0" w:color="auto"/>
              <w:right w:val="single" w:sz="4" w:space="0" w:color="auto"/>
            </w:tcBorders>
            <w:noWrap/>
            <w:vAlign w:val="center"/>
            <w:hideMark/>
          </w:tcPr>
          <w:p w14:paraId="1F952788" w14:textId="77777777" w:rsidR="00EA21F4" w:rsidRPr="00886FD2" w:rsidRDefault="00EA21F4" w:rsidP="00EA21F4">
            <w:pPr>
              <w:spacing w:after="240" w:line="360" w:lineRule="auto"/>
              <w:jc w:val="right"/>
              <w:rPr>
                <w:rFonts w:eastAsia="Times New Roman"/>
                <w:color w:val="000000"/>
                <w:sz w:val="24"/>
                <w:szCs w:val="24"/>
              </w:rPr>
            </w:pPr>
            <w:r w:rsidRPr="00886FD2">
              <w:rPr>
                <w:rFonts w:eastAsia="Times New Roman"/>
                <w:color w:val="000000"/>
                <w:sz w:val="24"/>
                <w:szCs w:val="24"/>
              </w:rPr>
              <w:t>0.883</w:t>
            </w:r>
          </w:p>
        </w:tc>
        <w:tc>
          <w:tcPr>
            <w:tcW w:w="397" w:type="pct"/>
            <w:tcBorders>
              <w:top w:val="nil"/>
              <w:left w:val="nil"/>
              <w:bottom w:val="single" w:sz="4" w:space="0" w:color="auto"/>
              <w:right w:val="single" w:sz="4" w:space="0" w:color="auto"/>
            </w:tcBorders>
            <w:noWrap/>
            <w:vAlign w:val="center"/>
            <w:hideMark/>
          </w:tcPr>
          <w:p w14:paraId="381A4C19" w14:textId="77777777" w:rsidR="00EA21F4" w:rsidRPr="00886FD2" w:rsidRDefault="00EA21F4" w:rsidP="00EA21F4">
            <w:pPr>
              <w:spacing w:after="240" w:line="360" w:lineRule="auto"/>
              <w:jc w:val="right"/>
              <w:rPr>
                <w:rFonts w:eastAsia="Times New Roman"/>
                <w:color w:val="000000"/>
                <w:sz w:val="24"/>
                <w:szCs w:val="24"/>
              </w:rPr>
            </w:pPr>
            <w:r w:rsidRPr="00886FD2">
              <w:rPr>
                <w:rFonts w:eastAsia="Times New Roman"/>
                <w:color w:val="000000"/>
                <w:sz w:val="24"/>
                <w:szCs w:val="24"/>
              </w:rPr>
              <w:t>0.886</w:t>
            </w:r>
          </w:p>
        </w:tc>
        <w:tc>
          <w:tcPr>
            <w:tcW w:w="397" w:type="pct"/>
            <w:tcBorders>
              <w:top w:val="nil"/>
              <w:left w:val="nil"/>
              <w:bottom w:val="single" w:sz="4" w:space="0" w:color="auto"/>
              <w:right w:val="single" w:sz="4" w:space="0" w:color="auto"/>
            </w:tcBorders>
            <w:noWrap/>
            <w:vAlign w:val="center"/>
            <w:hideMark/>
          </w:tcPr>
          <w:p w14:paraId="63E61DB1" w14:textId="77777777" w:rsidR="00EA21F4" w:rsidRPr="00886FD2" w:rsidRDefault="00EA21F4" w:rsidP="00EA21F4">
            <w:pPr>
              <w:spacing w:after="240" w:line="360" w:lineRule="auto"/>
              <w:jc w:val="right"/>
              <w:rPr>
                <w:rFonts w:eastAsia="Times New Roman"/>
                <w:color w:val="000000"/>
                <w:sz w:val="24"/>
                <w:szCs w:val="24"/>
              </w:rPr>
            </w:pPr>
            <w:r w:rsidRPr="00886FD2">
              <w:rPr>
                <w:rFonts w:eastAsia="Times New Roman"/>
                <w:color w:val="000000"/>
                <w:sz w:val="24"/>
                <w:szCs w:val="24"/>
              </w:rPr>
              <w:t>0.889</w:t>
            </w:r>
          </w:p>
        </w:tc>
        <w:tc>
          <w:tcPr>
            <w:tcW w:w="397" w:type="pct"/>
            <w:tcBorders>
              <w:top w:val="nil"/>
              <w:left w:val="nil"/>
              <w:bottom w:val="single" w:sz="4" w:space="0" w:color="auto"/>
              <w:right w:val="single" w:sz="4" w:space="0" w:color="auto"/>
            </w:tcBorders>
            <w:noWrap/>
            <w:vAlign w:val="center"/>
            <w:hideMark/>
          </w:tcPr>
          <w:p w14:paraId="0E0DFB80" w14:textId="77777777" w:rsidR="00EA21F4" w:rsidRPr="00886FD2" w:rsidRDefault="00EA21F4" w:rsidP="00EA21F4">
            <w:pPr>
              <w:spacing w:after="240" w:line="360" w:lineRule="auto"/>
              <w:jc w:val="right"/>
              <w:rPr>
                <w:rFonts w:eastAsia="Times New Roman"/>
                <w:color w:val="000000"/>
                <w:sz w:val="24"/>
                <w:szCs w:val="24"/>
              </w:rPr>
            </w:pPr>
            <w:r w:rsidRPr="00886FD2">
              <w:rPr>
                <w:rFonts w:eastAsia="Times New Roman"/>
                <w:color w:val="000000"/>
                <w:sz w:val="24"/>
                <w:szCs w:val="24"/>
              </w:rPr>
              <w:t>0.899</w:t>
            </w:r>
          </w:p>
        </w:tc>
        <w:tc>
          <w:tcPr>
            <w:tcW w:w="397" w:type="pct"/>
            <w:tcBorders>
              <w:top w:val="nil"/>
              <w:left w:val="nil"/>
              <w:bottom w:val="single" w:sz="4" w:space="0" w:color="auto"/>
              <w:right w:val="single" w:sz="4" w:space="0" w:color="auto"/>
            </w:tcBorders>
            <w:noWrap/>
            <w:vAlign w:val="center"/>
            <w:hideMark/>
          </w:tcPr>
          <w:p w14:paraId="49761C11" w14:textId="77777777" w:rsidR="00EA21F4" w:rsidRPr="00886FD2" w:rsidRDefault="00EA21F4" w:rsidP="00EA21F4">
            <w:pPr>
              <w:spacing w:after="240" w:line="360" w:lineRule="auto"/>
              <w:jc w:val="right"/>
              <w:rPr>
                <w:rFonts w:eastAsia="Times New Roman"/>
                <w:color w:val="000000"/>
                <w:sz w:val="24"/>
                <w:szCs w:val="24"/>
              </w:rPr>
            </w:pPr>
            <w:r w:rsidRPr="00886FD2">
              <w:rPr>
                <w:rFonts w:eastAsia="Times New Roman"/>
                <w:color w:val="000000"/>
                <w:sz w:val="24"/>
                <w:szCs w:val="24"/>
              </w:rPr>
              <w:t>0.909</w:t>
            </w:r>
          </w:p>
        </w:tc>
      </w:tr>
      <w:tr w:rsidR="00EA21F4" w:rsidRPr="00886FD2" w14:paraId="770B2F45" w14:textId="77777777" w:rsidTr="00EA21F4">
        <w:trPr>
          <w:trHeight w:val="300"/>
        </w:trPr>
        <w:tc>
          <w:tcPr>
            <w:tcW w:w="1306" w:type="pct"/>
            <w:tcBorders>
              <w:top w:val="nil"/>
              <w:left w:val="single" w:sz="4" w:space="0" w:color="auto"/>
              <w:bottom w:val="single" w:sz="4" w:space="0" w:color="auto"/>
              <w:right w:val="single" w:sz="4" w:space="0" w:color="auto"/>
            </w:tcBorders>
            <w:noWrap/>
            <w:vAlign w:val="center"/>
            <w:hideMark/>
          </w:tcPr>
          <w:p w14:paraId="7B4BAAFA" w14:textId="77777777" w:rsidR="00EA21F4" w:rsidRPr="00886FD2" w:rsidRDefault="00EA21F4" w:rsidP="00EA21F4">
            <w:pPr>
              <w:spacing w:after="240" w:line="360" w:lineRule="auto"/>
              <w:rPr>
                <w:rFonts w:eastAsia="Times New Roman"/>
                <w:color w:val="000000"/>
                <w:sz w:val="24"/>
                <w:szCs w:val="24"/>
              </w:rPr>
            </w:pPr>
            <w:r w:rsidRPr="00886FD2">
              <w:rPr>
                <w:rFonts w:eastAsia="Times New Roman"/>
                <w:color w:val="000000"/>
                <w:sz w:val="24"/>
                <w:szCs w:val="24"/>
              </w:rPr>
              <w:t>Operating Profit Margin</w:t>
            </w:r>
          </w:p>
        </w:tc>
        <w:tc>
          <w:tcPr>
            <w:tcW w:w="1707" w:type="pct"/>
            <w:tcBorders>
              <w:top w:val="nil"/>
              <w:left w:val="nil"/>
              <w:bottom w:val="single" w:sz="4" w:space="0" w:color="auto"/>
              <w:right w:val="single" w:sz="4" w:space="0" w:color="auto"/>
            </w:tcBorders>
            <w:noWrap/>
            <w:vAlign w:val="center"/>
            <w:hideMark/>
          </w:tcPr>
          <w:p w14:paraId="20EB3E7F" w14:textId="77777777" w:rsidR="00EA21F4" w:rsidRPr="00886FD2" w:rsidRDefault="00EA21F4" w:rsidP="00EA21F4">
            <w:pPr>
              <w:spacing w:after="240" w:line="360" w:lineRule="auto"/>
              <w:rPr>
                <w:rFonts w:eastAsia="Times New Roman"/>
                <w:i/>
                <w:iCs/>
                <w:color w:val="000000"/>
                <w:sz w:val="24"/>
                <w:szCs w:val="24"/>
              </w:rPr>
            </w:pPr>
            <w:r w:rsidRPr="00886FD2">
              <w:rPr>
                <w:rFonts w:eastAsia="Times New Roman"/>
                <w:i/>
                <w:iCs/>
                <w:color w:val="000000"/>
                <w:sz w:val="24"/>
                <w:szCs w:val="24"/>
              </w:rPr>
              <w:t>Operating Income/Revenue</w:t>
            </w:r>
          </w:p>
        </w:tc>
        <w:tc>
          <w:tcPr>
            <w:tcW w:w="397" w:type="pct"/>
            <w:tcBorders>
              <w:top w:val="nil"/>
              <w:left w:val="nil"/>
              <w:bottom w:val="single" w:sz="4" w:space="0" w:color="auto"/>
              <w:right w:val="single" w:sz="4" w:space="0" w:color="auto"/>
            </w:tcBorders>
            <w:noWrap/>
            <w:vAlign w:val="center"/>
            <w:hideMark/>
          </w:tcPr>
          <w:p w14:paraId="7BC94368" w14:textId="77777777" w:rsidR="00EA21F4" w:rsidRPr="00886FD2" w:rsidRDefault="00EA21F4" w:rsidP="00EA21F4">
            <w:pPr>
              <w:spacing w:after="240" w:line="360" w:lineRule="auto"/>
              <w:jc w:val="right"/>
              <w:rPr>
                <w:rFonts w:eastAsia="Times New Roman"/>
                <w:color w:val="000000"/>
                <w:sz w:val="24"/>
                <w:szCs w:val="24"/>
              </w:rPr>
            </w:pPr>
            <w:r w:rsidRPr="00886FD2">
              <w:rPr>
                <w:rFonts w:eastAsia="Times New Roman"/>
                <w:color w:val="000000"/>
                <w:sz w:val="24"/>
                <w:szCs w:val="24"/>
              </w:rPr>
              <w:t>0.174</w:t>
            </w:r>
          </w:p>
        </w:tc>
        <w:tc>
          <w:tcPr>
            <w:tcW w:w="397" w:type="pct"/>
            <w:tcBorders>
              <w:top w:val="nil"/>
              <w:left w:val="nil"/>
              <w:bottom w:val="single" w:sz="4" w:space="0" w:color="auto"/>
              <w:right w:val="single" w:sz="4" w:space="0" w:color="auto"/>
            </w:tcBorders>
            <w:noWrap/>
            <w:vAlign w:val="center"/>
            <w:hideMark/>
          </w:tcPr>
          <w:p w14:paraId="732BF29A" w14:textId="77777777" w:rsidR="00EA21F4" w:rsidRPr="00886FD2" w:rsidRDefault="00EA21F4" w:rsidP="00EA21F4">
            <w:pPr>
              <w:spacing w:after="240" w:line="360" w:lineRule="auto"/>
              <w:jc w:val="right"/>
              <w:rPr>
                <w:rFonts w:eastAsia="Times New Roman"/>
                <w:color w:val="000000"/>
                <w:sz w:val="24"/>
                <w:szCs w:val="24"/>
              </w:rPr>
            </w:pPr>
            <w:r w:rsidRPr="00886FD2">
              <w:rPr>
                <w:rFonts w:eastAsia="Times New Roman"/>
                <w:color w:val="000000"/>
                <w:sz w:val="24"/>
                <w:szCs w:val="24"/>
              </w:rPr>
              <w:t>0.239</w:t>
            </w:r>
          </w:p>
        </w:tc>
        <w:tc>
          <w:tcPr>
            <w:tcW w:w="397" w:type="pct"/>
            <w:tcBorders>
              <w:top w:val="nil"/>
              <w:left w:val="nil"/>
              <w:bottom w:val="single" w:sz="4" w:space="0" w:color="auto"/>
              <w:right w:val="single" w:sz="4" w:space="0" w:color="auto"/>
            </w:tcBorders>
            <w:noWrap/>
            <w:vAlign w:val="center"/>
            <w:hideMark/>
          </w:tcPr>
          <w:p w14:paraId="7806E7AB" w14:textId="77777777" w:rsidR="00EA21F4" w:rsidRPr="00886FD2" w:rsidRDefault="00EA21F4" w:rsidP="00EA21F4">
            <w:pPr>
              <w:spacing w:after="240" w:line="360" w:lineRule="auto"/>
              <w:jc w:val="right"/>
              <w:rPr>
                <w:rFonts w:eastAsia="Times New Roman"/>
                <w:color w:val="000000"/>
                <w:sz w:val="24"/>
                <w:szCs w:val="24"/>
              </w:rPr>
            </w:pPr>
            <w:r w:rsidRPr="00886FD2">
              <w:rPr>
                <w:rFonts w:eastAsia="Times New Roman"/>
                <w:color w:val="000000"/>
                <w:sz w:val="24"/>
                <w:szCs w:val="24"/>
              </w:rPr>
              <w:t>0.217</w:t>
            </w:r>
          </w:p>
        </w:tc>
        <w:tc>
          <w:tcPr>
            <w:tcW w:w="397" w:type="pct"/>
            <w:tcBorders>
              <w:top w:val="nil"/>
              <w:left w:val="nil"/>
              <w:bottom w:val="single" w:sz="4" w:space="0" w:color="auto"/>
              <w:right w:val="single" w:sz="4" w:space="0" w:color="auto"/>
            </w:tcBorders>
            <w:noWrap/>
            <w:vAlign w:val="center"/>
            <w:hideMark/>
          </w:tcPr>
          <w:p w14:paraId="3BF2705A" w14:textId="77777777" w:rsidR="00EA21F4" w:rsidRPr="00886FD2" w:rsidRDefault="00EA21F4" w:rsidP="00EA21F4">
            <w:pPr>
              <w:spacing w:after="240" w:line="360" w:lineRule="auto"/>
              <w:jc w:val="right"/>
              <w:rPr>
                <w:rFonts w:eastAsia="Times New Roman"/>
                <w:color w:val="000000"/>
                <w:sz w:val="24"/>
                <w:szCs w:val="24"/>
              </w:rPr>
            </w:pPr>
            <w:r w:rsidRPr="00886FD2">
              <w:rPr>
                <w:rFonts w:eastAsia="Times New Roman"/>
                <w:color w:val="000000"/>
                <w:sz w:val="24"/>
                <w:szCs w:val="24"/>
              </w:rPr>
              <w:t>0.212</w:t>
            </w:r>
          </w:p>
        </w:tc>
        <w:tc>
          <w:tcPr>
            <w:tcW w:w="397" w:type="pct"/>
            <w:tcBorders>
              <w:top w:val="nil"/>
              <w:left w:val="nil"/>
              <w:bottom w:val="single" w:sz="4" w:space="0" w:color="auto"/>
              <w:right w:val="single" w:sz="4" w:space="0" w:color="auto"/>
            </w:tcBorders>
            <w:noWrap/>
            <w:vAlign w:val="center"/>
            <w:hideMark/>
          </w:tcPr>
          <w:p w14:paraId="5ECCEF74" w14:textId="77777777" w:rsidR="00EA21F4" w:rsidRPr="00886FD2" w:rsidRDefault="00EA21F4" w:rsidP="00EA21F4">
            <w:pPr>
              <w:spacing w:after="240" w:line="360" w:lineRule="auto"/>
              <w:jc w:val="right"/>
              <w:rPr>
                <w:rFonts w:eastAsia="Times New Roman"/>
                <w:color w:val="000000"/>
                <w:sz w:val="24"/>
                <w:szCs w:val="24"/>
              </w:rPr>
            </w:pPr>
            <w:r w:rsidRPr="00886FD2">
              <w:rPr>
                <w:rFonts w:eastAsia="Times New Roman"/>
                <w:color w:val="000000"/>
                <w:sz w:val="24"/>
                <w:szCs w:val="24"/>
              </w:rPr>
              <w:t>0.224</w:t>
            </w:r>
          </w:p>
        </w:tc>
      </w:tr>
      <w:tr w:rsidR="00EA21F4" w:rsidRPr="00886FD2" w14:paraId="33DC81FD" w14:textId="77777777" w:rsidTr="00EA21F4">
        <w:trPr>
          <w:trHeight w:val="300"/>
        </w:trPr>
        <w:tc>
          <w:tcPr>
            <w:tcW w:w="1306" w:type="pct"/>
            <w:tcBorders>
              <w:top w:val="nil"/>
              <w:left w:val="single" w:sz="4" w:space="0" w:color="auto"/>
              <w:bottom w:val="single" w:sz="4" w:space="0" w:color="auto"/>
              <w:right w:val="single" w:sz="4" w:space="0" w:color="auto"/>
            </w:tcBorders>
            <w:noWrap/>
            <w:vAlign w:val="center"/>
            <w:hideMark/>
          </w:tcPr>
          <w:p w14:paraId="03216D1F" w14:textId="77777777" w:rsidR="00EA21F4" w:rsidRPr="00886FD2" w:rsidRDefault="00EA21F4" w:rsidP="00EA21F4">
            <w:pPr>
              <w:spacing w:after="240" w:line="360" w:lineRule="auto"/>
              <w:rPr>
                <w:rFonts w:eastAsia="Times New Roman"/>
                <w:color w:val="000000"/>
                <w:sz w:val="24"/>
                <w:szCs w:val="24"/>
              </w:rPr>
            </w:pPr>
            <w:r w:rsidRPr="00886FD2">
              <w:rPr>
                <w:rFonts w:eastAsia="Times New Roman"/>
                <w:color w:val="000000"/>
                <w:sz w:val="24"/>
                <w:szCs w:val="24"/>
              </w:rPr>
              <w:lastRenderedPageBreak/>
              <w:t>Net Profit Margin</w:t>
            </w:r>
          </w:p>
        </w:tc>
        <w:tc>
          <w:tcPr>
            <w:tcW w:w="1707" w:type="pct"/>
            <w:tcBorders>
              <w:top w:val="nil"/>
              <w:left w:val="nil"/>
              <w:bottom w:val="single" w:sz="4" w:space="0" w:color="auto"/>
              <w:right w:val="single" w:sz="4" w:space="0" w:color="auto"/>
            </w:tcBorders>
            <w:noWrap/>
            <w:vAlign w:val="center"/>
            <w:hideMark/>
          </w:tcPr>
          <w:p w14:paraId="3463E5E6" w14:textId="77777777" w:rsidR="00EA21F4" w:rsidRPr="00886FD2" w:rsidRDefault="00EA21F4" w:rsidP="00EA21F4">
            <w:pPr>
              <w:spacing w:after="240" w:line="360" w:lineRule="auto"/>
              <w:rPr>
                <w:rFonts w:eastAsia="Times New Roman"/>
                <w:i/>
                <w:iCs/>
                <w:color w:val="000000"/>
                <w:sz w:val="24"/>
                <w:szCs w:val="24"/>
              </w:rPr>
            </w:pPr>
            <w:r w:rsidRPr="00886FD2">
              <w:rPr>
                <w:rFonts w:eastAsia="Times New Roman"/>
                <w:i/>
                <w:iCs/>
                <w:color w:val="000000"/>
                <w:sz w:val="24"/>
                <w:szCs w:val="24"/>
              </w:rPr>
              <w:t>Net Income/Revenue</w:t>
            </w:r>
          </w:p>
        </w:tc>
        <w:tc>
          <w:tcPr>
            <w:tcW w:w="397" w:type="pct"/>
            <w:tcBorders>
              <w:top w:val="nil"/>
              <w:left w:val="nil"/>
              <w:bottom w:val="single" w:sz="4" w:space="0" w:color="auto"/>
              <w:right w:val="single" w:sz="4" w:space="0" w:color="auto"/>
            </w:tcBorders>
            <w:noWrap/>
            <w:vAlign w:val="center"/>
            <w:hideMark/>
          </w:tcPr>
          <w:p w14:paraId="777785C4" w14:textId="77777777" w:rsidR="00EA21F4" w:rsidRPr="00886FD2" w:rsidRDefault="00EA21F4" w:rsidP="00EA21F4">
            <w:pPr>
              <w:spacing w:after="240" w:line="360" w:lineRule="auto"/>
              <w:jc w:val="right"/>
              <w:rPr>
                <w:rFonts w:eastAsia="Times New Roman"/>
                <w:color w:val="000000"/>
                <w:sz w:val="24"/>
                <w:szCs w:val="24"/>
              </w:rPr>
            </w:pPr>
            <w:r w:rsidRPr="00886FD2">
              <w:rPr>
                <w:rFonts w:eastAsia="Times New Roman"/>
                <w:color w:val="000000"/>
                <w:sz w:val="24"/>
                <w:szCs w:val="24"/>
              </w:rPr>
              <w:t>0.071</w:t>
            </w:r>
          </w:p>
        </w:tc>
        <w:tc>
          <w:tcPr>
            <w:tcW w:w="397" w:type="pct"/>
            <w:tcBorders>
              <w:top w:val="nil"/>
              <w:left w:val="nil"/>
              <w:bottom w:val="single" w:sz="4" w:space="0" w:color="auto"/>
              <w:right w:val="single" w:sz="4" w:space="0" w:color="auto"/>
            </w:tcBorders>
            <w:noWrap/>
            <w:vAlign w:val="center"/>
            <w:hideMark/>
          </w:tcPr>
          <w:p w14:paraId="3F539F8C" w14:textId="77777777" w:rsidR="00EA21F4" w:rsidRPr="00886FD2" w:rsidRDefault="00EA21F4" w:rsidP="00EA21F4">
            <w:pPr>
              <w:spacing w:after="240" w:line="360" w:lineRule="auto"/>
              <w:jc w:val="right"/>
              <w:rPr>
                <w:rFonts w:eastAsia="Times New Roman"/>
                <w:color w:val="000000"/>
                <w:sz w:val="24"/>
                <w:szCs w:val="24"/>
              </w:rPr>
            </w:pPr>
            <w:r w:rsidRPr="00886FD2">
              <w:rPr>
                <w:rFonts w:eastAsia="Times New Roman"/>
                <w:color w:val="000000"/>
                <w:sz w:val="24"/>
                <w:szCs w:val="24"/>
              </w:rPr>
              <w:t>0.143</w:t>
            </w:r>
          </w:p>
        </w:tc>
        <w:tc>
          <w:tcPr>
            <w:tcW w:w="397" w:type="pct"/>
            <w:tcBorders>
              <w:top w:val="nil"/>
              <w:left w:val="nil"/>
              <w:bottom w:val="single" w:sz="4" w:space="0" w:color="auto"/>
              <w:right w:val="single" w:sz="4" w:space="0" w:color="auto"/>
            </w:tcBorders>
            <w:noWrap/>
            <w:vAlign w:val="center"/>
            <w:hideMark/>
          </w:tcPr>
          <w:p w14:paraId="061C94B5" w14:textId="77777777" w:rsidR="00EA21F4" w:rsidRPr="00886FD2" w:rsidRDefault="00EA21F4" w:rsidP="00EA21F4">
            <w:pPr>
              <w:spacing w:after="240" w:line="360" w:lineRule="auto"/>
              <w:jc w:val="right"/>
              <w:rPr>
                <w:rFonts w:eastAsia="Times New Roman"/>
                <w:color w:val="000000"/>
                <w:sz w:val="24"/>
                <w:szCs w:val="24"/>
              </w:rPr>
            </w:pPr>
            <w:r w:rsidRPr="00886FD2">
              <w:rPr>
                <w:rFonts w:eastAsia="Times New Roman"/>
                <w:color w:val="000000"/>
                <w:sz w:val="24"/>
                <w:szCs w:val="24"/>
              </w:rPr>
              <w:t>0.111</w:t>
            </w:r>
          </w:p>
        </w:tc>
        <w:tc>
          <w:tcPr>
            <w:tcW w:w="397" w:type="pct"/>
            <w:tcBorders>
              <w:top w:val="nil"/>
              <w:left w:val="nil"/>
              <w:bottom w:val="single" w:sz="4" w:space="0" w:color="auto"/>
              <w:right w:val="single" w:sz="4" w:space="0" w:color="auto"/>
            </w:tcBorders>
            <w:noWrap/>
            <w:vAlign w:val="center"/>
            <w:hideMark/>
          </w:tcPr>
          <w:p w14:paraId="118184E0" w14:textId="77777777" w:rsidR="00EA21F4" w:rsidRPr="00886FD2" w:rsidRDefault="00EA21F4" w:rsidP="00EA21F4">
            <w:pPr>
              <w:spacing w:after="240" w:line="360" w:lineRule="auto"/>
              <w:jc w:val="right"/>
              <w:rPr>
                <w:rFonts w:eastAsia="Times New Roman"/>
                <w:color w:val="000000"/>
                <w:sz w:val="24"/>
                <w:szCs w:val="24"/>
              </w:rPr>
            </w:pPr>
            <w:r w:rsidRPr="00886FD2">
              <w:rPr>
                <w:rFonts w:eastAsia="Times New Roman"/>
                <w:color w:val="000000"/>
                <w:sz w:val="24"/>
                <w:szCs w:val="24"/>
              </w:rPr>
              <w:t>0.137</w:t>
            </w:r>
          </w:p>
        </w:tc>
        <w:tc>
          <w:tcPr>
            <w:tcW w:w="397" w:type="pct"/>
            <w:tcBorders>
              <w:top w:val="nil"/>
              <w:left w:val="nil"/>
              <w:bottom w:val="single" w:sz="4" w:space="0" w:color="auto"/>
              <w:right w:val="single" w:sz="4" w:space="0" w:color="auto"/>
            </w:tcBorders>
            <w:noWrap/>
            <w:vAlign w:val="center"/>
            <w:hideMark/>
          </w:tcPr>
          <w:p w14:paraId="30D343CB" w14:textId="77777777" w:rsidR="00EA21F4" w:rsidRPr="00886FD2" w:rsidRDefault="00EA21F4" w:rsidP="00EA21F4">
            <w:pPr>
              <w:spacing w:after="240" w:line="360" w:lineRule="auto"/>
              <w:jc w:val="right"/>
              <w:rPr>
                <w:rFonts w:eastAsia="Times New Roman"/>
                <w:color w:val="000000"/>
                <w:sz w:val="24"/>
                <w:szCs w:val="24"/>
              </w:rPr>
            </w:pPr>
            <w:r w:rsidRPr="00886FD2">
              <w:rPr>
                <w:rFonts w:eastAsia="Times New Roman"/>
                <w:color w:val="000000"/>
                <w:sz w:val="24"/>
                <w:szCs w:val="24"/>
              </w:rPr>
              <w:t>0.121</w:t>
            </w:r>
          </w:p>
        </w:tc>
      </w:tr>
      <w:tr w:rsidR="00EA21F4" w:rsidRPr="00886FD2" w14:paraId="6F81A56C" w14:textId="77777777" w:rsidTr="00EA21F4">
        <w:trPr>
          <w:trHeight w:val="300"/>
        </w:trPr>
        <w:tc>
          <w:tcPr>
            <w:tcW w:w="1306" w:type="pct"/>
            <w:tcBorders>
              <w:top w:val="nil"/>
              <w:left w:val="single" w:sz="4" w:space="0" w:color="auto"/>
              <w:bottom w:val="single" w:sz="4" w:space="0" w:color="auto"/>
              <w:right w:val="single" w:sz="4" w:space="0" w:color="auto"/>
            </w:tcBorders>
            <w:noWrap/>
            <w:vAlign w:val="center"/>
            <w:hideMark/>
          </w:tcPr>
          <w:p w14:paraId="2D738613" w14:textId="77777777" w:rsidR="00EA21F4" w:rsidRPr="00886FD2" w:rsidRDefault="00EA21F4" w:rsidP="00EA21F4">
            <w:pPr>
              <w:spacing w:after="240" w:line="360" w:lineRule="auto"/>
              <w:rPr>
                <w:rFonts w:eastAsia="Times New Roman"/>
                <w:color w:val="000000"/>
                <w:sz w:val="24"/>
                <w:szCs w:val="24"/>
              </w:rPr>
            </w:pPr>
            <w:r w:rsidRPr="00886FD2">
              <w:rPr>
                <w:rFonts w:eastAsia="Times New Roman"/>
                <w:color w:val="000000"/>
                <w:sz w:val="24"/>
                <w:szCs w:val="24"/>
              </w:rPr>
              <w:t>EBITDA Margin</w:t>
            </w:r>
          </w:p>
        </w:tc>
        <w:tc>
          <w:tcPr>
            <w:tcW w:w="1707" w:type="pct"/>
            <w:tcBorders>
              <w:top w:val="nil"/>
              <w:left w:val="nil"/>
              <w:bottom w:val="single" w:sz="4" w:space="0" w:color="auto"/>
              <w:right w:val="single" w:sz="4" w:space="0" w:color="auto"/>
            </w:tcBorders>
            <w:noWrap/>
            <w:vAlign w:val="center"/>
            <w:hideMark/>
          </w:tcPr>
          <w:p w14:paraId="43EB6576" w14:textId="77777777" w:rsidR="00EA21F4" w:rsidRPr="00886FD2" w:rsidRDefault="00EA21F4" w:rsidP="00EA21F4">
            <w:pPr>
              <w:spacing w:after="240" w:line="360" w:lineRule="auto"/>
              <w:rPr>
                <w:rFonts w:eastAsia="Times New Roman"/>
                <w:i/>
                <w:iCs/>
                <w:color w:val="000000"/>
                <w:sz w:val="24"/>
                <w:szCs w:val="24"/>
              </w:rPr>
            </w:pPr>
            <w:r w:rsidRPr="00886FD2">
              <w:rPr>
                <w:rFonts w:eastAsia="Times New Roman"/>
                <w:i/>
                <w:iCs/>
                <w:color w:val="000000"/>
                <w:sz w:val="24"/>
                <w:szCs w:val="24"/>
              </w:rPr>
              <w:t>EBITDA/Revenue</w:t>
            </w:r>
          </w:p>
        </w:tc>
        <w:tc>
          <w:tcPr>
            <w:tcW w:w="397" w:type="pct"/>
            <w:tcBorders>
              <w:top w:val="nil"/>
              <w:left w:val="nil"/>
              <w:bottom w:val="single" w:sz="4" w:space="0" w:color="auto"/>
              <w:right w:val="single" w:sz="4" w:space="0" w:color="auto"/>
            </w:tcBorders>
            <w:noWrap/>
            <w:vAlign w:val="center"/>
            <w:hideMark/>
          </w:tcPr>
          <w:p w14:paraId="38A0428C" w14:textId="77777777" w:rsidR="00EA21F4" w:rsidRPr="00886FD2" w:rsidRDefault="00EA21F4" w:rsidP="00EA21F4">
            <w:pPr>
              <w:spacing w:after="240" w:line="360" w:lineRule="auto"/>
              <w:jc w:val="right"/>
              <w:rPr>
                <w:rFonts w:eastAsia="Times New Roman"/>
                <w:color w:val="000000"/>
                <w:sz w:val="24"/>
                <w:szCs w:val="24"/>
              </w:rPr>
            </w:pPr>
            <w:r w:rsidRPr="00886FD2">
              <w:rPr>
                <w:rFonts w:eastAsia="Times New Roman"/>
                <w:color w:val="000000"/>
                <w:sz w:val="24"/>
                <w:szCs w:val="24"/>
              </w:rPr>
              <w:t>0.215</w:t>
            </w:r>
          </w:p>
        </w:tc>
        <w:tc>
          <w:tcPr>
            <w:tcW w:w="397" w:type="pct"/>
            <w:tcBorders>
              <w:top w:val="nil"/>
              <w:left w:val="nil"/>
              <w:bottom w:val="single" w:sz="4" w:space="0" w:color="auto"/>
              <w:right w:val="single" w:sz="4" w:space="0" w:color="auto"/>
            </w:tcBorders>
            <w:noWrap/>
            <w:vAlign w:val="center"/>
            <w:hideMark/>
          </w:tcPr>
          <w:p w14:paraId="7725D72A" w14:textId="77777777" w:rsidR="00EA21F4" w:rsidRPr="00886FD2" w:rsidRDefault="00EA21F4" w:rsidP="00EA21F4">
            <w:pPr>
              <w:spacing w:after="240" w:line="360" w:lineRule="auto"/>
              <w:jc w:val="right"/>
              <w:rPr>
                <w:rFonts w:eastAsia="Times New Roman"/>
                <w:color w:val="000000"/>
                <w:sz w:val="24"/>
                <w:szCs w:val="24"/>
              </w:rPr>
            </w:pPr>
            <w:r w:rsidRPr="00886FD2">
              <w:rPr>
                <w:rFonts w:eastAsia="Times New Roman"/>
                <w:color w:val="000000"/>
                <w:sz w:val="24"/>
                <w:szCs w:val="24"/>
              </w:rPr>
              <w:t>0.263</w:t>
            </w:r>
          </w:p>
        </w:tc>
        <w:tc>
          <w:tcPr>
            <w:tcW w:w="397" w:type="pct"/>
            <w:tcBorders>
              <w:top w:val="nil"/>
              <w:left w:val="nil"/>
              <w:bottom w:val="single" w:sz="4" w:space="0" w:color="auto"/>
              <w:right w:val="single" w:sz="4" w:space="0" w:color="auto"/>
            </w:tcBorders>
            <w:noWrap/>
            <w:vAlign w:val="center"/>
            <w:hideMark/>
          </w:tcPr>
          <w:p w14:paraId="01BC4C17" w14:textId="77777777" w:rsidR="00EA21F4" w:rsidRPr="00886FD2" w:rsidRDefault="00EA21F4" w:rsidP="00EA21F4">
            <w:pPr>
              <w:spacing w:after="240" w:line="360" w:lineRule="auto"/>
              <w:jc w:val="right"/>
              <w:rPr>
                <w:rFonts w:eastAsia="Times New Roman"/>
                <w:color w:val="000000"/>
                <w:sz w:val="24"/>
                <w:szCs w:val="24"/>
              </w:rPr>
            </w:pPr>
            <w:r w:rsidRPr="00886FD2">
              <w:rPr>
                <w:rFonts w:eastAsia="Times New Roman"/>
                <w:color w:val="000000"/>
                <w:sz w:val="24"/>
                <w:szCs w:val="24"/>
              </w:rPr>
              <w:t>0.238</w:t>
            </w:r>
          </w:p>
        </w:tc>
        <w:tc>
          <w:tcPr>
            <w:tcW w:w="397" w:type="pct"/>
            <w:tcBorders>
              <w:top w:val="nil"/>
              <w:left w:val="nil"/>
              <w:bottom w:val="single" w:sz="4" w:space="0" w:color="auto"/>
              <w:right w:val="single" w:sz="4" w:space="0" w:color="auto"/>
            </w:tcBorders>
            <w:noWrap/>
            <w:vAlign w:val="center"/>
            <w:hideMark/>
          </w:tcPr>
          <w:p w14:paraId="2FBFBC23" w14:textId="77777777" w:rsidR="00EA21F4" w:rsidRPr="00886FD2" w:rsidRDefault="00EA21F4" w:rsidP="00EA21F4">
            <w:pPr>
              <w:spacing w:after="240" w:line="360" w:lineRule="auto"/>
              <w:jc w:val="right"/>
              <w:rPr>
                <w:rFonts w:eastAsia="Times New Roman"/>
                <w:color w:val="000000"/>
                <w:sz w:val="24"/>
                <w:szCs w:val="24"/>
              </w:rPr>
            </w:pPr>
            <w:r w:rsidRPr="00886FD2">
              <w:rPr>
                <w:rFonts w:eastAsia="Times New Roman"/>
                <w:color w:val="000000"/>
                <w:sz w:val="24"/>
                <w:szCs w:val="24"/>
              </w:rPr>
              <w:t>0.231</w:t>
            </w:r>
          </w:p>
        </w:tc>
        <w:tc>
          <w:tcPr>
            <w:tcW w:w="397" w:type="pct"/>
            <w:tcBorders>
              <w:top w:val="nil"/>
              <w:left w:val="nil"/>
              <w:bottom w:val="single" w:sz="4" w:space="0" w:color="auto"/>
              <w:right w:val="single" w:sz="4" w:space="0" w:color="auto"/>
            </w:tcBorders>
            <w:noWrap/>
            <w:vAlign w:val="center"/>
            <w:hideMark/>
          </w:tcPr>
          <w:p w14:paraId="69A163E1" w14:textId="77777777" w:rsidR="00EA21F4" w:rsidRPr="00886FD2" w:rsidRDefault="00EA21F4" w:rsidP="00EA21F4">
            <w:pPr>
              <w:spacing w:after="240" w:line="360" w:lineRule="auto"/>
              <w:jc w:val="right"/>
              <w:rPr>
                <w:rFonts w:eastAsia="Times New Roman"/>
                <w:color w:val="000000"/>
                <w:sz w:val="24"/>
                <w:szCs w:val="24"/>
              </w:rPr>
            </w:pPr>
            <w:r w:rsidRPr="00886FD2">
              <w:rPr>
                <w:rFonts w:eastAsia="Times New Roman"/>
                <w:color w:val="000000"/>
                <w:sz w:val="24"/>
                <w:szCs w:val="24"/>
              </w:rPr>
              <w:t>0.245</w:t>
            </w:r>
          </w:p>
        </w:tc>
      </w:tr>
      <w:tr w:rsidR="00EA21F4" w:rsidRPr="00886FD2" w14:paraId="5FFCE1D2" w14:textId="77777777" w:rsidTr="00EA21F4">
        <w:trPr>
          <w:trHeight w:val="300"/>
        </w:trPr>
        <w:tc>
          <w:tcPr>
            <w:tcW w:w="1306" w:type="pct"/>
            <w:tcBorders>
              <w:top w:val="nil"/>
              <w:left w:val="single" w:sz="4" w:space="0" w:color="auto"/>
              <w:bottom w:val="single" w:sz="4" w:space="0" w:color="auto"/>
              <w:right w:val="single" w:sz="4" w:space="0" w:color="auto"/>
            </w:tcBorders>
            <w:noWrap/>
            <w:vAlign w:val="center"/>
            <w:hideMark/>
          </w:tcPr>
          <w:p w14:paraId="5BB415A5" w14:textId="77777777" w:rsidR="00EA21F4" w:rsidRPr="00886FD2" w:rsidRDefault="00EA21F4" w:rsidP="00EA21F4">
            <w:pPr>
              <w:spacing w:after="240" w:line="360" w:lineRule="auto"/>
              <w:rPr>
                <w:rFonts w:eastAsia="Times New Roman"/>
                <w:color w:val="000000"/>
                <w:sz w:val="24"/>
                <w:szCs w:val="24"/>
              </w:rPr>
            </w:pPr>
            <w:r w:rsidRPr="00886FD2">
              <w:rPr>
                <w:rFonts w:eastAsia="Times New Roman"/>
                <w:color w:val="000000"/>
                <w:sz w:val="24"/>
                <w:szCs w:val="24"/>
              </w:rPr>
              <w:t>Return on Assets (ROA)</w:t>
            </w:r>
          </w:p>
        </w:tc>
        <w:tc>
          <w:tcPr>
            <w:tcW w:w="1707" w:type="pct"/>
            <w:tcBorders>
              <w:top w:val="nil"/>
              <w:left w:val="nil"/>
              <w:bottom w:val="single" w:sz="4" w:space="0" w:color="auto"/>
              <w:right w:val="single" w:sz="4" w:space="0" w:color="auto"/>
            </w:tcBorders>
            <w:noWrap/>
            <w:vAlign w:val="center"/>
            <w:hideMark/>
          </w:tcPr>
          <w:p w14:paraId="26AF4D0F" w14:textId="77777777" w:rsidR="00EA21F4" w:rsidRPr="00886FD2" w:rsidRDefault="00EA21F4" w:rsidP="00EA21F4">
            <w:pPr>
              <w:spacing w:after="240" w:line="360" w:lineRule="auto"/>
              <w:rPr>
                <w:rFonts w:eastAsia="Times New Roman"/>
                <w:i/>
                <w:iCs/>
                <w:color w:val="000000"/>
                <w:sz w:val="24"/>
                <w:szCs w:val="24"/>
              </w:rPr>
            </w:pPr>
            <w:r w:rsidRPr="00886FD2">
              <w:rPr>
                <w:rFonts w:eastAsia="Times New Roman"/>
                <w:i/>
                <w:iCs/>
                <w:color w:val="000000"/>
                <w:sz w:val="24"/>
                <w:szCs w:val="24"/>
              </w:rPr>
              <w:t>Net Income/Total Assets</w:t>
            </w:r>
          </w:p>
        </w:tc>
        <w:tc>
          <w:tcPr>
            <w:tcW w:w="397" w:type="pct"/>
            <w:tcBorders>
              <w:top w:val="nil"/>
              <w:left w:val="nil"/>
              <w:bottom w:val="single" w:sz="4" w:space="0" w:color="auto"/>
              <w:right w:val="single" w:sz="4" w:space="0" w:color="auto"/>
            </w:tcBorders>
            <w:noWrap/>
            <w:vAlign w:val="center"/>
            <w:hideMark/>
          </w:tcPr>
          <w:p w14:paraId="2E2C046E" w14:textId="77777777" w:rsidR="00EA21F4" w:rsidRPr="00886FD2" w:rsidRDefault="00EA21F4" w:rsidP="00EA21F4">
            <w:pPr>
              <w:spacing w:after="240" w:line="360" w:lineRule="auto"/>
              <w:jc w:val="right"/>
              <w:rPr>
                <w:rFonts w:eastAsia="Times New Roman"/>
                <w:color w:val="000000"/>
                <w:sz w:val="24"/>
                <w:szCs w:val="24"/>
              </w:rPr>
            </w:pPr>
            <w:r w:rsidRPr="00886FD2">
              <w:rPr>
                <w:rFonts w:eastAsia="Times New Roman"/>
                <w:color w:val="000000"/>
                <w:sz w:val="24"/>
                <w:szCs w:val="24"/>
              </w:rPr>
              <w:t>0.027</w:t>
            </w:r>
          </w:p>
        </w:tc>
        <w:tc>
          <w:tcPr>
            <w:tcW w:w="397" w:type="pct"/>
            <w:tcBorders>
              <w:top w:val="nil"/>
              <w:left w:val="nil"/>
              <w:bottom w:val="single" w:sz="4" w:space="0" w:color="auto"/>
              <w:right w:val="single" w:sz="4" w:space="0" w:color="auto"/>
            </w:tcBorders>
            <w:noWrap/>
            <w:vAlign w:val="center"/>
            <w:hideMark/>
          </w:tcPr>
          <w:p w14:paraId="69B2AA7A" w14:textId="77777777" w:rsidR="00EA21F4" w:rsidRPr="00886FD2" w:rsidRDefault="00EA21F4" w:rsidP="00EA21F4">
            <w:pPr>
              <w:spacing w:after="240" w:line="360" w:lineRule="auto"/>
              <w:jc w:val="right"/>
              <w:rPr>
                <w:rFonts w:eastAsia="Times New Roman"/>
                <w:color w:val="000000"/>
                <w:sz w:val="24"/>
                <w:szCs w:val="24"/>
              </w:rPr>
            </w:pPr>
            <w:r w:rsidRPr="00886FD2">
              <w:rPr>
                <w:rFonts w:eastAsia="Times New Roman"/>
                <w:color w:val="000000"/>
                <w:sz w:val="24"/>
                <w:szCs w:val="24"/>
              </w:rPr>
              <w:t>0.081</w:t>
            </w:r>
          </w:p>
        </w:tc>
        <w:tc>
          <w:tcPr>
            <w:tcW w:w="397" w:type="pct"/>
            <w:tcBorders>
              <w:top w:val="nil"/>
              <w:left w:val="nil"/>
              <w:bottom w:val="single" w:sz="4" w:space="0" w:color="auto"/>
              <w:right w:val="single" w:sz="4" w:space="0" w:color="auto"/>
            </w:tcBorders>
            <w:noWrap/>
            <w:vAlign w:val="center"/>
            <w:hideMark/>
          </w:tcPr>
          <w:p w14:paraId="06430535" w14:textId="77777777" w:rsidR="00EA21F4" w:rsidRPr="00886FD2" w:rsidRDefault="00EA21F4" w:rsidP="00EA21F4">
            <w:pPr>
              <w:spacing w:after="240" w:line="360" w:lineRule="auto"/>
              <w:jc w:val="right"/>
              <w:rPr>
                <w:rFonts w:eastAsia="Times New Roman"/>
                <w:color w:val="000000"/>
                <w:sz w:val="24"/>
                <w:szCs w:val="24"/>
              </w:rPr>
            </w:pPr>
            <w:r w:rsidRPr="00886FD2">
              <w:rPr>
                <w:rFonts w:eastAsia="Times New Roman"/>
                <w:color w:val="000000"/>
                <w:sz w:val="24"/>
                <w:szCs w:val="24"/>
              </w:rPr>
              <w:t>0.074</w:t>
            </w:r>
          </w:p>
        </w:tc>
        <w:tc>
          <w:tcPr>
            <w:tcW w:w="397" w:type="pct"/>
            <w:tcBorders>
              <w:top w:val="nil"/>
              <w:left w:val="nil"/>
              <w:bottom w:val="single" w:sz="4" w:space="0" w:color="auto"/>
              <w:right w:val="single" w:sz="4" w:space="0" w:color="auto"/>
            </w:tcBorders>
            <w:noWrap/>
            <w:vAlign w:val="center"/>
            <w:hideMark/>
          </w:tcPr>
          <w:p w14:paraId="542B7188" w14:textId="77777777" w:rsidR="00EA21F4" w:rsidRPr="00886FD2" w:rsidRDefault="00EA21F4" w:rsidP="00EA21F4">
            <w:pPr>
              <w:spacing w:after="240" w:line="360" w:lineRule="auto"/>
              <w:jc w:val="right"/>
              <w:rPr>
                <w:rFonts w:eastAsia="Times New Roman"/>
                <w:color w:val="000000"/>
                <w:sz w:val="24"/>
                <w:szCs w:val="24"/>
              </w:rPr>
            </w:pPr>
            <w:r w:rsidRPr="00886FD2">
              <w:rPr>
                <w:rFonts w:eastAsia="Times New Roman"/>
                <w:color w:val="000000"/>
                <w:sz w:val="24"/>
                <w:szCs w:val="24"/>
              </w:rPr>
              <w:t>0.093</w:t>
            </w:r>
          </w:p>
        </w:tc>
        <w:tc>
          <w:tcPr>
            <w:tcW w:w="397" w:type="pct"/>
            <w:tcBorders>
              <w:top w:val="nil"/>
              <w:left w:val="nil"/>
              <w:bottom w:val="single" w:sz="4" w:space="0" w:color="auto"/>
              <w:right w:val="single" w:sz="4" w:space="0" w:color="auto"/>
            </w:tcBorders>
            <w:noWrap/>
            <w:vAlign w:val="center"/>
            <w:hideMark/>
          </w:tcPr>
          <w:p w14:paraId="21AF5FDA" w14:textId="77777777" w:rsidR="00EA21F4" w:rsidRPr="00886FD2" w:rsidRDefault="00EA21F4" w:rsidP="00EA21F4">
            <w:pPr>
              <w:spacing w:after="240" w:line="360" w:lineRule="auto"/>
              <w:jc w:val="right"/>
              <w:rPr>
                <w:rFonts w:eastAsia="Times New Roman"/>
                <w:color w:val="000000"/>
                <w:sz w:val="24"/>
                <w:szCs w:val="24"/>
              </w:rPr>
            </w:pPr>
            <w:r w:rsidRPr="00886FD2">
              <w:rPr>
                <w:rFonts w:eastAsia="Times New Roman"/>
                <w:color w:val="000000"/>
                <w:sz w:val="24"/>
                <w:szCs w:val="24"/>
              </w:rPr>
              <w:t>0.087</w:t>
            </w:r>
          </w:p>
        </w:tc>
      </w:tr>
      <w:tr w:rsidR="00EA21F4" w:rsidRPr="00886FD2" w14:paraId="0DD21FB7" w14:textId="77777777" w:rsidTr="00EA21F4">
        <w:trPr>
          <w:trHeight w:val="300"/>
        </w:trPr>
        <w:tc>
          <w:tcPr>
            <w:tcW w:w="1306" w:type="pct"/>
            <w:tcBorders>
              <w:top w:val="nil"/>
              <w:left w:val="single" w:sz="4" w:space="0" w:color="auto"/>
              <w:bottom w:val="single" w:sz="4" w:space="0" w:color="auto"/>
              <w:right w:val="single" w:sz="4" w:space="0" w:color="auto"/>
            </w:tcBorders>
            <w:noWrap/>
            <w:vAlign w:val="center"/>
            <w:hideMark/>
          </w:tcPr>
          <w:p w14:paraId="037014E7" w14:textId="77777777" w:rsidR="00EA21F4" w:rsidRPr="00886FD2" w:rsidRDefault="00EA21F4" w:rsidP="00EA21F4">
            <w:pPr>
              <w:spacing w:after="240" w:line="360" w:lineRule="auto"/>
              <w:rPr>
                <w:rFonts w:eastAsia="Times New Roman"/>
                <w:color w:val="000000"/>
                <w:sz w:val="24"/>
                <w:szCs w:val="24"/>
              </w:rPr>
            </w:pPr>
            <w:r w:rsidRPr="00886FD2">
              <w:rPr>
                <w:rFonts w:eastAsia="Times New Roman"/>
                <w:color w:val="000000"/>
                <w:sz w:val="24"/>
                <w:szCs w:val="24"/>
              </w:rPr>
              <w:t>Return on Equity (ROE)</w:t>
            </w:r>
          </w:p>
        </w:tc>
        <w:tc>
          <w:tcPr>
            <w:tcW w:w="1707" w:type="pct"/>
            <w:tcBorders>
              <w:top w:val="nil"/>
              <w:left w:val="nil"/>
              <w:bottom w:val="single" w:sz="4" w:space="0" w:color="auto"/>
              <w:right w:val="single" w:sz="4" w:space="0" w:color="auto"/>
            </w:tcBorders>
            <w:noWrap/>
            <w:vAlign w:val="center"/>
            <w:hideMark/>
          </w:tcPr>
          <w:p w14:paraId="7DDE8CB3" w14:textId="77777777" w:rsidR="00EA21F4" w:rsidRPr="00886FD2" w:rsidRDefault="00EA21F4" w:rsidP="00EA21F4">
            <w:pPr>
              <w:spacing w:after="240" w:line="360" w:lineRule="auto"/>
              <w:rPr>
                <w:rFonts w:eastAsia="Times New Roman"/>
                <w:i/>
                <w:iCs/>
                <w:color w:val="000000"/>
                <w:sz w:val="24"/>
                <w:szCs w:val="24"/>
              </w:rPr>
            </w:pPr>
            <w:r w:rsidRPr="00886FD2">
              <w:rPr>
                <w:rFonts w:eastAsia="Times New Roman"/>
                <w:i/>
                <w:iCs/>
                <w:color w:val="000000"/>
                <w:sz w:val="24"/>
                <w:szCs w:val="24"/>
              </w:rPr>
              <w:t>Net Income/Equity</w:t>
            </w:r>
          </w:p>
        </w:tc>
        <w:tc>
          <w:tcPr>
            <w:tcW w:w="397" w:type="pct"/>
            <w:tcBorders>
              <w:top w:val="nil"/>
              <w:left w:val="nil"/>
              <w:bottom w:val="single" w:sz="4" w:space="0" w:color="auto"/>
              <w:right w:val="single" w:sz="4" w:space="0" w:color="auto"/>
            </w:tcBorders>
            <w:noWrap/>
            <w:vAlign w:val="center"/>
            <w:hideMark/>
          </w:tcPr>
          <w:p w14:paraId="5DC8A45D" w14:textId="77777777" w:rsidR="00EA21F4" w:rsidRPr="00886FD2" w:rsidRDefault="00EA21F4" w:rsidP="00EA21F4">
            <w:pPr>
              <w:spacing w:after="240" w:line="360" w:lineRule="auto"/>
              <w:jc w:val="right"/>
              <w:rPr>
                <w:rFonts w:eastAsia="Times New Roman"/>
                <w:color w:val="000000"/>
                <w:sz w:val="24"/>
                <w:szCs w:val="24"/>
              </w:rPr>
            </w:pPr>
            <w:r w:rsidRPr="00886FD2">
              <w:rPr>
                <w:rFonts w:eastAsia="Times New Roman"/>
                <w:color w:val="000000"/>
                <w:sz w:val="24"/>
                <w:szCs w:val="24"/>
              </w:rPr>
              <w:t>-0.501</w:t>
            </w:r>
          </w:p>
        </w:tc>
        <w:tc>
          <w:tcPr>
            <w:tcW w:w="397" w:type="pct"/>
            <w:tcBorders>
              <w:top w:val="nil"/>
              <w:left w:val="nil"/>
              <w:bottom w:val="single" w:sz="4" w:space="0" w:color="auto"/>
              <w:right w:val="single" w:sz="4" w:space="0" w:color="auto"/>
            </w:tcBorders>
            <w:noWrap/>
            <w:vAlign w:val="center"/>
            <w:hideMark/>
          </w:tcPr>
          <w:p w14:paraId="75566F01" w14:textId="77777777" w:rsidR="00EA21F4" w:rsidRPr="00886FD2" w:rsidRDefault="00EA21F4" w:rsidP="00EA21F4">
            <w:pPr>
              <w:spacing w:after="240" w:line="360" w:lineRule="auto"/>
              <w:jc w:val="right"/>
              <w:rPr>
                <w:rFonts w:eastAsia="Times New Roman"/>
                <w:color w:val="000000"/>
                <w:sz w:val="24"/>
                <w:szCs w:val="24"/>
              </w:rPr>
            </w:pPr>
            <w:r w:rsidRPr="00886FD2">
              <w:rPr>
                <w:rFonts w:eastAsia="Times New Roman"/>
                <w:color w:val="000000"/>
                <w:sz w:val="24"/>
                <w:szCs w:val="24"/>
              </w:rPr>
              <w:t>-1.143</w:t>
            </w:r>
          </w:p>
        </w:tc>
        <w:tc>
          <w:tcPr>
            <w:tcW w:w="397" w:type="pct"/>
            <w:tcBorders>
              <w:top w:val="nil"/>
              <w:left w:val="nil"/>
              <w:bottom w:val="single" w:sz="4" w:space="0" w:color="auto"/>
              <w:right w:val="single" w:sz="4" w:space="0" w:color="auto"/>
            </w:tcBorders>
            <w:noWrap/>
            <w:vAlign w:val="center"/>
            <w:hideMark/>
          </w:tcPr>
          <w:p w14:paraId="0FED76CC" w14:textId="77777777" w:rsidR="00EA21F4" w:rsidRPr="00886FD2" w:rsidRDefault="00EA21F4" w:rsidP="00EA21F4">
            <w:pPr>
              <w:spacing w:after="240" w:line="360" w:lineRule="auto"/>
              <w:jc w:val="right"/>
              <w:rPr>
                <w:rFonts w:eastAsia="Times New Roman"/>
                <w:color w:val="000000"/>
                <w:sz w:val="24"/>
                <w:szCs w:val="24"/>
              </w:rPr>
            </w:pPr>
            <w:r w:rsidRPr="00886FD2">
              <w:rPr>
                <w:rFonts w:eastAsia="Times New Roman"/>
                <w:color w:val="000000"/>
                <w:sz w:val="24"/>
                <w:szCs w:val="24"/>
              </w:rPr>
              <w:t>-0.486</w:t>
            </w:r>
          </w:p>
        </w:tc>
        <w:tc>
          <w:tcPr>
            <w:tcW w:w="397" w:type="pct"/>
            <w:tcBorders>
              <w:top w:val="nil"/>
              <w:left w:val="nil"/>
              <w:bottom w:val="single" w:sz="4" w:space="0" w:color="auto"/>
              <w:right w:val="single" w:sz="4" w:space="0" w:color="auto"/>
            </w:tcBorders>
            <w:noWrap/>
            <w:vAlign w:val="center"/>
            <w:hideMark/>
          </w:tcPr>
          <w:p w14:paraId="23F32649" w14:textId="77777777" w:rsidR="00EA21F4" w:rsidRPr="00886FD2" w:rsidRDefault="00EA21F4" w:rsidP="00EA21F4">
            <w:pPr>
              <w:spacing w:after="240" w:line="360" w:lineRule="auto"/>
              <w:jc w:val="right"/>
              <w:rPr>
                <w:rFonts w:eastAsia="Times New Roman"/>
                <w:color w:val="000000"/>
                <w:sz w:val="24"/>
                <w:szCs w:val="24"/>
              </w:rPr>
            </w:pPr>
            <w:r w:rsidRPr="00886FD2">
              <w:rPr>
                <w:rFonts w:eastAsia="Times New Roman"/>
                <w:color w:val="000000"/>
                <w:sz w:val="24"/>
                <w:szCs w:val="24"/>
              </w:rPr>
              <w:t>-0.414</w:t>
            </w:r>
          </w:p>
        </w:tc>
        <w:tc>
          <w:tcPr>
            <w:tcW w:w="397" w:type="pct"/>
            <w:tcBorders>
              <w:top w:val="nil"/>
              <w:left w:val="nil"/>
              <w:bottom w:val="single" w:sz="4" w:space="0" w:color="auto"/>
              <w:right w:val="single" w:sz="4" w:space="0" w:color="auto"/>
            </w:tcBorders>
            <w:noWrap/>
            <w:vAlign w:val="center"/>
            <w:hideMark/>
          </w:tcPr>
          <w:p w14:paraId="42107E82" w14:textId="77777777" w:rsidR="00EA21F4" w:rsidRPr="00886FD2" w:rsidRDefault="00EA21F4" w:rsidP="00EA21F4">
            <w:pPr>
              <w:spacing w:after="240" w:line="360" w:lineRule="auto"/>
              <w:jc w:val="right"/>
              <w:rPr>
                <w:rFonts w:eastAsia="Times New Roman"/>
                <w:color w:val="000000"/>
                <w:sz w:val="24"/>
                <w:szCs w:val="24"/>
              </w:rPr>
            </w:pPr>
            <w:r w:rsidRPr="00886FD2">
              <w:rPr>
                <w:rFonts w:eastAsia="Times New Roman"/>
                <w:color w:val="000000"/>
                <w:sz w:val="24"/>
                <w:szCs w:val="24"/>
              </w:rPr>
              <w:t>-0.272</w:t>
            </w:r>
          </w:p>
        </w:tc>
      </w:tr>
      <w:tr w:rsidR="00EA21F4" w:rsidRPr="00886FD2" w14:paraId="446CC995" w14:textId="77777777" w:rsidTr="00EA21F4">
        <w:trPr>
          <w:trHeight w:val="300"/>
        </w:trPr>
        <w:tc>
          <w:tcPr>
            <w:tcW w:w="1306" w:type="pct"/>
            <w:tcBorders>
              <w:top w:val="nil"/>
              <w:left w:val="single" w:sz="4" w:space="0" w:color="auto"/>
              <w:bottom w:val="single" w:sz="4" w:space="0" w:color="auto"/>
              <w:right w:val="single" w:sz="4" w:space="0" w:color="auto"/>
            </w:tcBorders>
            <w:noWrap/>
            <w:vAlign w:val="bottom"/>
            <w:hideMark/>
          </w:tcPr>
          <w:p w14:paraId="511764D4" w14:textId="77777777" w:rsidR="00EA21F4" w:rsidRPr="00886FD2" w:rsidRDefault="00EA21F4" w:rsidP="00EA21F4">
            <w:pPr>
              <w:spacing w:after="240" w:line="360" w:lineRule="auto"/>
              <w:rPr>
                <w:rFonts w:eastAsia="Times New Roman"/>
                <w:b/>
                <w:bCs/>
                <w:color w:val="000000"/>
                <w:sz w:val="24"/>
                <w:szCs w:val="24"/>
              </w:rPr>
            </w:pPr>
            <w:r w:rsidRPr="00886FD2">
              <w:rPr>
                <w:rFonts w:eastAsia="Times New Roman"/>
                <w:b/>
                <w:bCs/>
                <w:color w:val="000000"/>
                <w:sz w:val="24"/>
                <w:szCs w:val="24"/>
              </w:rPr>
              <w:t>Liquidity Ratios</w:t>
            </w:r>
          </w:p>
        </w:tc>
        <w:tc>
          <w:tcPr>
            <w:tcW w:w="1707" w:type="pct"/>
            <w:tcBorders>
              <w:top w:val="nil"/>
              <w:left w:val="nil"/>
              <w:bottom w:val="single" w:sz="4" w:space="0" w:color="auto"/>
              <w:right w:val="single" w:sz="4" w:space="0" w:color="auto"/>
            </w:tcBorders>
            <w:noWrap/>
            <w:vAlign w:val="bottom"/>
            <w:hideMark/>
          </w:tcPr>
          <w:p w14:paraId="0983FF72" w14:textId="77777777" w:rsidR="00EA21F4" w:rsidRPr="00886FD2" w:rsidRDefault="00EA21F4" w:rsidP="00EA21F4">
            <w:pPr>
              <w:spacing w:after="240" w:line="360" w:lineRule="auto"/>
              <w:rPr>
                <w:rFonts w:eastAsia="Times New Roman"/>
                <w:b/>
                <w:bCs/>
                <w:color w:val="000000"/>
                <w:sz w:val="24"/>
                <w:szCs w:val="24"/>
              </w:rPr>
            </w:pPr>
            <w:r w:rsidRPr="00886FD2">
              <w:rPr>
                <w:rFonts w:eastAsia="Times New Roman"/>
                <w:b/>
                <w:bCs/>
                <w:color w:val="000000"/>
                <w:sz w:val="24"/>
                <w:szCs w:val="24"/>
              </w:rPr>
              <w:t>Formula</w:t>
            </w:r>
          </w:p>
        </w:tc>
        <w:tc>
          <w:tcPr>
            <w:tcW w:w="397" w:type="pct"/>
            <w:tcBorders>
              <w:top w:val="nil"/>
              <w:left w:val="nil"/>
              <w:bottom w:val="single" w:sz="4" w:space="0" w:color="auto"/>
              <w:right w:val="single" w:sz="4" w:space="0" w:color="auto"/>
            </w:tcBorders>
            <w:noWrap/>
            <w:vAlign w:val="bottom"/>
            <w:hideMark/>
          </w:tcPr>
          <w:p w14:paraId="27EB7781" w14:textId="77777777" w:rsidR="00EA21F4" w:rsidRPr="00886FD2" w:rsidRDefault="00EA21F4" w:rsidP="00EA21F4">
            <w:pPr>
              <w:spacing w:after="240" w:line="360" w:lineRule="auto"/>
              <w:jc w:val="center"/>
              <w:rPr>
                <w:rFonts w:eastAsia="Times New Roman"/>
                <w:b/>
                <w:bCs/>
                <w:i/>
                <w:iCs/>
                <w:color w:val="000000"/>
                <w:sz w:val="24"/>
                <w:szCs w:val="24"/>
              </w:rPr>
            </w:pPr>
            <w:r w:rsidRPr="00886FD2">
              <w:rPr>
                <w:rFonts w:eastAsia="Times New Roman"/>
                <w:b/>
                <w:bCs/>
                <w:i/>
                <w:iCs/>
                <w:color w:val="000000"/>
                <w:sz w:val="24"/>
                <w:szCs w:val="24"/>
              </w:rPr>
              <w:t>2021</w:t>
            </w:r>
          </w:p>
        </w:tc>
        <w:tc>
          <w:tcPr>
            <w:tcW w:w="397" w:type="pct"/>
            <w:tcBorders>
              <w:top w:val="nil"/>
              <w:left w:val="nil"/>
              <w:bottom w:val="single" w:sz="4" w:space="0" w:color="auto"/>
              <w:right w:val="single" w:sz="4" w:space="0" w:color="auto"/>
            </w:tcBorders>
            <w:noWrap/>
            <w:vAlign w:val="bottom"/>
            <w:hideMark/>
          </w:tcPr>
          <w:p w14:paraId="0F546775" w14:textId="77777777" w:rsidR="00EA21F4" w:rsidRPr="00886FD2" w:rsidRDefault="00EA21F4" w:rsidP="00EA21F4">
            <w:pPr>
              <w:spacing w:after="240" w:line="360" w:lineRule="auto"/>
              <w:jc w:val="center"/>
              <w:rPr>
                <w:rFonts w:eastAsia="Times New Roman"/>
                <w:b/>
                <w:bCs/>
                <w:i/>
                <w:iCs/>
                <w:color w:val="000000"/>
                <w:sz w:val="24"/>
                <w:szCs w:val="24"/>
              </w:rPr>
            </w:pPr>
            <w:r w:rsidRPr="00886FD2">
              <w:rPr>
                <w:rFonts w:eastAsia="Times New Roman"/>
                <w:b/>
                <w:bCs/>
                <w:i/>
                <w:iCs/>
                <w:color w:val="000000"/>
                <w:sz w:val="24"/>
                <w:szCs w:val="24"/>
              </w:rPr>
              <w:t>2022</w:t>
            </w:r>
          </w:p>
        </w:tc>
        <w:tc>
          <w:tcPr>
            <w:tcW w:w="397" w:type="pct"/>
            <w:tcBorders>
              <w:top w:val="nil"/>
              <w:left w:val="nil"/>
              <w:bottom w:val="single" w:sz="4" w:space="0" w:color="auto"/>
              <w:right w:val="single" w:sz="4" w:space="0" w:color="auto"/>
            </w:tcBorders>
            <w:noWrap/>
            <w:vAlign w:val="bottom"/>
            <w:hideMark/>
          </w:tcPr>
          <w:p w14:paraId="3411B3F1" w14:textId="77777777" w:rsidR="00EA21F4" w:rsidRPr="00886FD2" w:rsidRDefault="00EA21F4" w:rsidP="00EA21F4">
            <w:pPr>
              <w:spacing w:after="240" w:line="360" w:lineRule="auto"/>
              <w:jc w:val="center"/>
              <w:rPr>
                <w:rFonts w:eastAsia="Times New Roman"/>
                <w:b/>
                <w:bCs/>
                <w:i/>
                <w:iCs/>
                <w:color w:val="000000"/>
                <w:sz w:val="24"/>
                <w:szCs w:val="24"/>
              </w:rPr>
            </w:pPr>
            <w:r w:rsidRPr="00886FD2">
              <w:rPr>
                <w:rFonts w:eastAsia="Times New Roman"/>
                <w:b/>
                <w:bCs/>
                <w:i/>
                <w:iCs/>
                <w:color w:val="000000"/>
                <w:sz w:val="24"/>
                <w:szCs w:val="24"/>
              </w:rPr>
              <w:t>2023</w:t>
            </w:r>
          </w:p>
        </w:tc>
        <w:tc>
          <w:tcPr>
            <w:tcW w:w="397" w:type="pct"/>
            <w:tcBorders>
              <w:top w:val="nil"/>
              <w:left w:val="nil"/>
              <w:bottom w:val="single" w:sz="4" w:space="0" w:color="auto"/>
              <w:right w:val="single" w:sz="4" w:space="0" w:color="auto"/>
            </w:tcBorders>
            <w:noWrap/>
            <w:vAlign w:val="bottom"/>
            <w:hideMark/>
          </w:tcPr>
          <w:p w14:paraId="2631067C" w14:textId="77777777" w:rsidR="00EA21F4" w:rsidRPr="00886FD2" w:rsidRDefault="00EA21F4" w:rsidP="00EA21F4">
            <w:pPr>
              <w:spacing w:after="240" w:line="360" w:lineRule="auto"/>
              <w:jc w:val="center"/>
              <w:rPr>
                <w:rFonts w:eastAsia="Times New Roman"/>
                <w:b/>
                <w:bCs/>
                <w:i/>
                <w:iCs/>
                <w:color w:val="000000"/>
                <w:sz w:val="24"/>
                <w:szCs w:val="24"/>
              </w:rPr>
            </w:pPr>
            <w:r w:rsidRPr="00886FD2">
              <w:rPr>
                <w:rFonts w:eastAsia="Times New Roman"/>
                <w:b/>
                <w:bCs/>
                <w:i/>
                <w:iCs/>
                <w:color w:val="000000"/>
                <w:sz w:val="24"/>
                <w:szCs w:val="24"/>
              </w:rPr>
              <w:t>2024</w:t>
            </w:r>
          </w:p>
        </w:tc>
        <w:tc>
          <w:tcPr>
            <w:tcW w:w="397" w:type="pct"/>
            <w:tcBorders>
              <w:top w:val="nil"/>
              <w:left w:val="nil"/>
              <w:bottom w:val="single" w:sz="4" w:space="0" w:color="auto"/>
              <w:right w:val="single" w:sz="4" w:space="0" w:color="auto"/>
            </w:tcBorders>
            <w:noWrap/>
            <w:vAlign w:val="bottom"/>
            <w:hideMark/>
          </w:tcPr>
          <w:p w14:paraId="41D28608" w14:textId="77777777" w:rsidR="00EA21F4" w:rsidRPr="00886FD2" w:rsidRDefault="00EA21F4" w:rsidP="00EA21F4">
            <w:pPr>
              <w:spacing w:after="240" w:line="360" w:lineRule="auto"/>
              <w:jc w:val="center"/>
              <w:rPr>
                <w:rFonts w:eastAsia="Times New Roman"/>
                <w:b/>
                <w:bCs/>
                <w:i/>
                <w:iCs/>
                <w:color w:val="000000"/>
                <w:sz w:val="24"/>
                <w:szCs w:val="24"/>
              </w:rPr>
            </w:pPr>
            <w:r w:rsidRPr="00886FD2">
              <w:rPr>
                <w:rFonts w:eastAsia="Times New Roman"/>
                <w:b/>
                <w:bCs/>
                <w:i/>
                <w:iCs/>
                <w:color w:val="000000"/>
                <w:sz w:val="24"/>
                <w:szCs w:val="24"/>
              </w:rPr>
              <w:t>2025</w:t>
            </w:r>
          </w:p>
        </w:tc>
      </w:tr>
      <w:tr w:rsidR="00EA21F4" w:rsidRPr="00886FD2" w14:paraId="1940FA64" w14:textId="77777777" w:rsidTr="00EA21F4">
        <w:trPr>
          <w:trHeight w:val="300"/>
        </w:trPr>
        <w:tc>
          <w:tcPr>
            <w:tcW w:w="1306" w:type="pct"/>
            <w:tcBorders>
              <w:top w:val="nil"/>
              <w:left w:val="single" w:sz="4" w:space="0" w:color="auto"/>
              <w:bottom w:val="single" w:sz="4" w:space="0" w:color="auto"/>
              <w:right w:val="single" w:sz="4" w:space="0" w:color="auto"/>
            </w:tcBorders>
            <w:noWrap/>
            <w:vAlign w:val="bottom"/>
            <w:hideMark/>
          </w:tcPr>
          <w:p w14:paraId="1C7E2974" w14:textId="77777777" w:rsidR="00EA21F4" w:rsidRPr="00886FD2" w:rsidRDefault="00EA21F4" w:rsidP="00EA21F4">
            <w:pPr>
              <w:spacing w:after="240" w:line="360" w:lineRule="auto"/>
              <w:rPr>
                <w:rFonts w:eastAsia="Times New Roman"/>
                <w:color w:val="000000"/>
                <w:sz w:val="24"/>
                <w:szCs w:val="24"/>
              </w:rPr>
            </w:pPr>
            <w:r w:rsidRPr="00886FD2">
              <w:rPr>
                <w:rFonts w:eastAsia="Times New Roman"/>
                <w:color w:val="000000"/>
                <w:sz w:val="24"/>
                <w:szCs w:val="24"/>
              </w:rPr>
              <w:t>Current Ratio</w:t>
            </w:r>
          </w:p>
        </w:tc>
        <w:tc>
          <w:tcPr>
            <w:tcW w:w="1707" w:type="pct"/>
            <w:tcBorders>
              <w:top w:val="nil"/>
              <w:left w:val="nil"/>
              <w:bottom w:val="single" w:sz="4" w:space="0" w:color="auto"/>
              <w:right w:val="single" w:sz="4" w:space="0" w:color="auto"/>
            </w:tcBorders>
            <w:noWrap/>
            <w:vAlign w:val="bottom"/>
            <w:hideMark/>
          </w:tcPr>
          <w:p w14:paraId="2F091631" w14:textId="3A034038" w:rsidR="00EA21F4" w:rsidRPr="00886FD2" w:rsidRDefault="00EA21F4" w:rsidP="00EA21F4">
            <w:pPr>
              <w:spacing w:after="240" w:line="360" w:lineRule="auto"/>
              <w:rPr>
                <w:rFonts w:eastAsia="Times New Roman"/>
                <w:i/>
                <w:iCs/>
                <w:color w:val="000000"/>
                <w:sz w:val="24"/>
                <w:szCs w:val="24"/>
              </w:rPr>
            </w:pPr>
            <w:r w:rsidRPr="00886FD2">
              <w:rPr>
                <w:rFonts w:eastAsia="Times New Roman"/>
                <w:i/>
                <w:iCs/>
                <w:color w:val="000000"/>
                <w:sz w:val="24"/>
                <w:szCs w:val="24"/>
              </w:rPr>
              <w:t>Current Assets/Current Liabilities</w:t>
            </w:r>
          </w:p>
        </w:tc>
        <w:tc>
          <w:tcPr>
            <w:tcW w:w="397" w:type="pct"/>
            <w:tcBorders>
              <w:top w:val="nil"/>
              <w:left w:val="nil"/>
              <w:bottom w:val="single" w:sz="4" w:space="0" w:color="auto"/>
              <w:right w:val="single" w:sz="4" w:space="0" w:color="auto"/>
            </w:tcBorders>
            <w:noWrap/>
            <w:vAlign w:val="bottom"/>
            <w:hideMark/>
          </w:tcPr>
          <w:p w14:paraId="0AA5217B" w14:textId="77777777" w:rsidR="00EA21F4" w:rsidRPr="00886FD2" w:rsidRDefault="00EA21F4" w:rsidP="00EA21F4">
            <w:pPr>
              <w:spacing w:after="240" w:line="360" w:lineRule="auto"/>
              <w:jc w:val="right"/>
              <w:rPr>
                <w:rFonts w:eastAsia="Times New Roman"/>
                <w:color w:val="000000"/>
                <w:sz w:val="24"/>
                <w:szCs w:val="24"/>
              </w:rPr>
            </w:pPr>
            <w:r w:rsidRPr="00886FD2">
              <w:rPr>
                <w:rFonts w:eastAsia="Times New Roman"/>
                <w:color w:val="000000"/>
                <w:sz w:val="24"/>
                <w:szCs w:val="24"/>
              </w:rPr>
              <w:t>0.951</w:t>
            </w:r>
          </w:p>
        </w:tc>
        <w:tc>
          <w:tcPr>
            <w:tcW w:w="397" w:type="pct"/>
            <w:tcBorders>
              <w:top w:val="nil"/>
              <w:left w:val="nil"/>
              <w:bottom w:val="single" w:sz="4" w:space="0" w:color="auto"/>
              <w:right w:val="single" w:sz="4" w:space="0" w:color="auto"/>
            </w:tcBorders>
            <w:noWrap/>
            <w:vAlign w:val="bottom"/>
            <w:hideMark/>
          </w:tcPr>
          <w:p w14:paraId="7C0230B0" w14:textId="77777777" w:rsidR="00EA21F4" w:rsidRPr="00886FD2" w:rsidRDefault="00EA21F4" w:rsidP="00EA21F4">
            <w:pPr>
              <w:spacing w:after="240" w:line="360" w:lineRule="auto"/>
              <w:jc w:val="right"/>
              <w:rPr>
                <w:rFonts w:eastAsia="Times New Roman"/>
                <w:color w:val="000000"/>
                <w:sz w:val="24"/>
                <w:szCs w:val="24"/>
              </w:rPr>
            </w:pPr>
            <w:r w:rsidRPr="00886FD2">
              <w:rPr>
                <w:rFonts w:eastAsia="Times New Roman"/>
                <w:color w:val="000000"/>
                <w:sz w:val="24"/>
                <w:szCs w:val="24"/>
              </w:rPr>
              <w:t>0.851</w:t>
            </w:r>
          </w:p>
        </w:tc>
        <w:tc>
          <w:tcPr>
            <w:tcW w:w="397" w:type="pct"/>
            <w:tcBorders>
              <w:top w:val="nil"/>
              <w:left w:val="nil"/>
              <w:bottom w:val="single" w:sz="4" w:space="0" w:color="auto"/>
              <w:right w:val="single" w:sz="4" w:space="0" w:color="auto"/>
            </w:tcBorders>
            <w:noWrap/>
            <w:vAlign w:val="bottom"/>
            <w:hideMark/>
          </w:tcPr>
          <w:p w14:paraId="7B12DB4D" w14:textId="77777777" w:rsidR="00EA21F4" w:rsidRPr="00886FD2" w:rsidRDefault="00EA21F4" w:rsidP="00EA21F4">
            <w:pPr>
              <w:spacing w:after="240" w:line="360" w:lineRule="auto"/>
              <w:jc w:val="right"/>
              <w:rPr>
                <w:rFonts w:eastAsia="Times New Roman"/>
                <w:color w:val="000000"/>
                <w:sz w:val="24"/>
                <w:szCs w:val="24"/>
              </w:rPr>
            </w:pPr>
            <w:r w:rsidRPr="00886FD2">
              <w:rPr>
                <w:rFonts w:eastAsia="Times New Roman"/>
                <w:color w:val="000000"/>
                <w:sz w:val="24"/>
                <w:szCs w:val="24"/>
              </w:rPr>
              <w:t>0.702</w:t>
            </w:r>
          </w:p>
        </w:tc>
        <w:tc>
          <w:tcPr>
            <w:tcW w:w="397" w:type="pct"/>
            <w:tcBorders>
              <w:top w:val="nil"/>
              <w:left w:val="nil"/>
              <w:bottom w:val="single" w:sz="4" w:space="0" w:color="auto"/>
              <w:right w:val="single" w:sz="4" w:space="0" w:color="auto"/>
            </w:tcBorders>
            <w:noWrap/>
            <w:vAlign w:val="bottom"/>
            <w:hideMark/>
          </w:tcPr>
          <w:p w14:paraId="1D74137C" w14:textId="77777777" w:rsidR="00EA21F4" w:rsidRPr="00886FD2" w:rsidRDefault="00EA21F4" w:rsidP="00EA21F4">
            <w:pPr>
              <w:spacing w:after="240" w:line="360" w:lineRule="auto"/>
              <w:jc w:val="right"/>
              <w:rPr>
                <w:rFonts w:eastAsia="Times New Roman"/>
                <w:color w:val="000000"/>
                <w:sz w:val="24"/>
                <w:szCs w:val="24"/>
              </w:rPr>
            </w:pPr>
            <w:r w:rsidRPr="00886FD2">
              <w:rPr>
                <w:rFonts w:eastAsia="Times New Roman"/>
                <w:color w:val="000000"/>
                <w:sz w:val="24"/>
                <w:szCs w:val="24"/>
              </w:rPr>
              <w:t>0.696</w:t>
            </w:r>
          </w:p>
        </w:tc>
        <w:tc>
          <w:tcPr>
            <w:tcW w:w="397" w:type="pct"/>
            <w:tcBorders>
              <w:top w:val="nil"/>
              <w:left w:val="nil"/>
              <w:bottom w:val="single" w:sz="4" w:space="0" w:color="auto"/>
              <w:right w:val="single" w:sz="4" w:space="0" w:color="auto"/>
            </w:tcBorders>
            <w:noWrap/>
            <w:vAlign w:val="bottom"/>
            <w:hideMark/>
          </w:tcPr>
          <w:p w14:paraId="091C2EED" w14:textId="77777777" w:rsidR="00EA21F4" w:rsidRPr="00886FD2" w:rsidRDefault="00EA21F4" w:rsidP="00EA21F4">
            <w:pPr>
              <w:spacing w:after="240" w:line="360" w:lineRule="auto"/>
              <w:jc w:val="right"/>
              <w:rPr>
                <w:rFonts w:eastAsia="Times New Roman"/>
                <w:color w:val="000000"/>
                <w:sz w:val="24"/>
                <w:szCs w:val="24"/>
              </w:rPr>
            </w:pPr>
            <w:r w:rsidRPr="00886FD2">
              <w:rPr>
                <w:rFonts w:eastAsia="Times New Roman"/>
                <w:color w:val="000000"/>
                <w:sz w:val="24"/>
                <w:szCs w:val="24"/>
              </w:rPr>
              <w:t>0.665</w:t>
            </w:r>
          </w:p>
        </w:tc>
      </w:tr>
      <w:tr w:rsidR="00EA21F4" w:rsidRPr="00886FD2" w14:paraId="4A1555B5" w14:textId="77777777" w:rsidTr="00EA21F4">
        <w:trPr>
          <w:trHeight w:val="300"/>
        </w:trPr>
        <w:tc>
          <w:tcPr>
            <w:tcW w:w="1306" w:type="pct"/>
            <w:tcBorders>
              <w:top w:val="nil"/>
              <w:left w:val="single" w:sz="4" w:space="0" w:color="auto"/>
              <w:bottom w:val="single" w:sz="4" w:space="0" w:color="auto"/>
              <w:right w:val="single" w:sz="4" w:space="0" w:color="auto"/>
            </w:tcBorders>
            <w:noWrap/>
            <w:vAlign w:val="bottom"/>
            <w:hideMark/>
          </w:tcPr>
          <w:p w14:paraId="6CD27BF5" w14:textId="77777777" w:rsidR="00EA21F4" w:rsidRPr="00886FD2" w:rsidRDefault="00EA21F4" w:rsidP="00EA21F4">
            <w:pPr>
              <w:spacing w:after="240" w:line="360" w:lineRule="auto"/>
              <w:rPr>
                <w:rFonts w:eastAsia="Times New Roman"/>
                <w:color w:val="000000"/>
                <w:sz w:val="24"/>
                <w:szCs w:val="24"/>
              </w:rPr>
            </w:pPr>
            <w:r w:rsidRPr="00886FD2">
              <w:rPr>
                <w:rFonts w:eastAsia="Times New Roman"/>
                <w:color w:val="000000"/>
                <w:sz w:val="24"/>
                <w:szCs w:val="24"/>
              </w:rPr>
              <w:t>Cash Ratio</w:t>
            </w:r>
          </w:p>
        </w:tc>
        <w:tc>
          <w:tcPr>
            <w:tcW w:w="1707" w:type="pct"/>
            <w:tcBorders>
              <w:top w:val="nil"/>
              <w:left w:val="nil"/>
              <w:bottom w:val="single" w:sz="4" w:space="0" w:color="auto"/>
              <w:right w:val="single" w:sz="4" w:space="0" w:color="auto"/>
            </w:tcBorders>
            <w:noWrap/>
            <w:vAlign w:val="bottom"/>
            <w:hideMark/>
          </w:tcPr>
          <w:p w14:paraId="61EA5798" w14:textId="29C37079" w:rsidR="00EA21F4" w:rsidRPr="00886FD2" w:rsidRDefault="00EA21F4" w:rsidP="00EA21F4">
            <w:pPr>
              <w:spacing w:after="240" w:line="360" w:lineRule="auto"/>
              <w:rPr>
                <w:rFonts w:eastAsia="Times New Roman"/>
                <w:i/>
                <w:iCs/>
                <w:color w:val="000000"/>
                <w:sz w:val="24"/>
                <w:szCs w:val="24"/>
              </w:rPr>
            </w:pPr>
            <w:r w:rsidRPr="00886FD2">
              <w:rPr>
                <w:rFonts w:eastAsia="Times New Roman"/>
                <w:i/>
                <w:iCs/>
                <w:color w:val="000000"/>
                <w:sz w:val="24"/>
                <w:szCs w:val="24"/>
              </w:rPr>
              <w:t>Cash/Current Liabilities</w:t>
            </w:r>
          </w:p>
        </w:tc>
        <w:tc>
          <w:tcPr>
            <w:tcW w:w="397" w:type="pct"/>
            <w:tcBorders>
              <w:top w:val="nil"/>
              <w:left w:val="nil"/>
              <w:bottom w:val="single" w:sz="4" w:space="0" w:color="auto"/>
              <w:right w:val="single" w:sz="4" w:space="0" w:color="auto"/>
            </w:tcBorders>
            <w:noWrap/>
            <w:vAlign w:val="bottom"/>
            <w:hideMark/>
          </w:tcPr>
          <w:p w14:paraId="762F4A24" w14:textId="77777777" w:rsidR="00EA21F4" w:rsidRPr="00886FD2" w:rsidRDefault="00EA21F4" w:rsidP="00EA21F4">
            <w:pPr>
              <w:spacing w:after="240" w:line="360" w:lineRule="auto"/>
              <w:jc w:val="right"/>
              <w:rPr>
                <w:rFonts w:eastAsia="Times New Roman"/>
                <w:color w:val="000000"/>
                <w:sz w:val="24"/>
                <w:szCs w:val="24"/>
              </w:rPr>
            </w:pPr>
            <w:r w:rsidRPr="00886FD2">
              <w:rPr>
                <w:rFonts w:eastAsia="Times New Roman"/>
                <w:color w:val="000000"/>
                <w:sz w:val="24"/>
                <w:szCs w:val="24"/>
              </w:rPr>
              <w:t>5.115</w:t>
            </w:r>
          </w:p>
        </w:tc>
        <w:tc>
          <w:tcPr>
            <w:tcW w:w="397" w:type="pct"/>
            <w:tcBorders>
              <w:top w:val="nil"/>
              <w:left w:val="nil"/>
              <w:bottom w:val="single" w:sz="4" w:space="0" w:color="auto"/>
              <w:right w:val="single" w:sz="4" w:space="0" w:color="auto"/>
            </w:tcBorders>
            <w:noWrap/>
            <w:vAlign w:val="bottom"/>
            <w:hideMark/>
          </w:tcPr>
          <w:p w14:paraId="0F3C44D0" w14:textId="77777777" w:rsidR="00EA21F4" w:rsidRPr="00886FD2" w:rsidRDefault="00EA21F4" w:rsidP="00EA21F4">
            <w:pPr>
              <w:spacing w:after="240" w:line="360" w:lineRule="auto"/>
              <w:jc w:val="right"/>
              <w:rPr>
                <w:rFonts w:eastAsia="Times New Roman"/>
                <w:color w:val="000000"/>
                <w:sz w:val="24"/>
                <w:szCs w:val="24"/>
              </w:rPr>
            </w:pPr>
            <w:r w:rsidRPr="00886FD2">
              <w:rPr>
                <w:rFonts w:eastAsia="Times New Roman"/>
                <w:color w:val="000000"/>
                <w:sz w:val="24"/>
                <w:szCs w:val="24"/>
              </w:rPr>
              <w:t>4.600</w:t>
            </w:r>
          </w:p>
        </w:tc>
        <w:tc>
          <w:tcPr>
            <w:tcW w:w="397" w:type="pct"/>
            <w:tcBorders>
              <w:top w:val="nil"/>
              <w:left w:val="nil"/>
              <w:bottom w:val="single" w:sz="4" w:space="0" w:color="auto"/>
              <w:right w:val="single" w:sz="4" w:space="0" w:color="auto"/>
            </w:tcBorders>
            <w:noWrap/>
            <w:vAlign w:val="bottom"/>
            <w:hideMark/>
          </w:tcPr>
          <w:p w14:paraId="16288B40" w14:textId="77777777" w:rsidR="00EA21F4" w:rsidRPr="00886FD2" w:rsidRDefault="00EA21F4" w:rsidP="00EA21F4">
            <w:pPr>
              <w:spacing w:after="240" w:line="360" w:lineRule="auto"/>
              <w:jc w:val="right"/>
              <w:rPr>
                <w:rFonts w:eastAsia="Times New Roman"/>
                <w:color w:val="000000"/>
                <w:sz w:val="24"/>
                <w:szCs w:val="24"/>
              </w:rPr>
            </w:pPr>
            <w:r w:rsidRPr="00886FD2">
              <w:rPr>
                <w:rFonts w:eastAsia="Times New Roman"/>
                <w:color w:val="000000"/>
                <w:sz w:val="24"/>
                <w:szCs w:val="24"/>
              </w:rPr>
              <w:t>4.138</w:t>
            </w:r>
          </w:p>
        </w:tc>
        <w:tc>
          <w:tcPr>
            <w:tcW w:w="397" w:type="pct"/>
            <w:tcBorders>
              <w:top w:val="nil"/>
              <w:left w:val="nil"/>
              <w:bottom w:val="single" w:sz="4" w:space="0" w:color="auto"/>
              <w:right w:val="single" w:sz="4" w:space="0" w:color="auto"/>
            </w:tcBorders>
            <w:noWrap/>
            <w:vAlign w:val="bottom"/>
            <w:hideMark/>
          </w:tcPr>
          <w:p w14:paraId="2C72C5C2" w14:textId="77777777" w:rsidR="00EA21F4" w:rsidRPr="00886FD2" w:rsidRDefault="00EA21F4" w:rsidP="00EA21F4">
            <w:pPr>
              <w:spacing w:after="240" w:line="360" w:lineRule="auto"/>
              <w:jc w:val="right"/>
              <w:rPr>
                <w:rFonts w:eastAsia="Times New Roman"/>
                <w:color w:val="000000"/>
                <w:sz w:val="24"/>
                <w:szCs w:val="24"/>
              </w:rPr>
            </w:pPr>
            <w:r w:rsidRPr="00886FD2">
              <w:rPr>
                <w:rFonts w:eastAsia="Times New Roman"/>
                <w:color w:val="000000"/>
                <w:sz w:val="24"/>
                <w:szCs w:val="24"/>
              </w:rPr>
              <w:t>3.515</w:t>
            </w:r>
          </w:p>
        </w:tc>
        <w:tc>
          <w:tcPr>
            <w:tcW w:w="397" w:type="pct"/>
            <w:tcBorders>
              <w:top w:val="nil"/>
              <w:left w:val="nil"/>
              <w:bottom w:val="single" w:sz="4" w:space="0" w:color="auto"/>
              <w:right w:val="single" w:sz="4" w:space="0" w:color="auto"/>
            </w:tcBorders>
            <w:noWrap/>
            <w:vAlign w:val="bottom"/>
            <w:hideMark/>
          </w:tcPr>
          <w:p w14:paraId="4A195D19" w14:textId="77777777" w:rsidR="00EA21F4" w:rsidRPr="00886FD2" w:rsidRDefault="00EA21F4" w:rsidP="00EA21F4">
            <w:pPr>
              <w:spacing w:after="240" w:line="360" w:lineRule="auto"/>
              <w:jc w:val="right"/>
              <w:rPr>
                <w:rFonts w:eastAsia="Times New Roman"/>
                <w:color w:val="000000"/>
                <w:sz w:val="24"/>
                <w:szCs w:val="24"/>
              </w:rPr>
            </w:pPr>
            <w:r w:rsidRPr="00886FD2">
              <w:rPr>
                <w:rFonts w:eastAsia="Times New Roman"/>
                <w:color w:val="000000"/>
                <w:sz w:val="24"/>
                <w:szCs w:val="24"/>
              </w:rPr>
              <w:t>3.721</w:t>
            </w:r>
          </w:p>
        </w:tc>
      </w:tr>
      <w:tr w:rsidR="00EA21F4" w:rsidRPr="00886FD2" w14:paraId="2C0228CD" w14:textId="77777777" w:rsidTr="00EA21F4">
        <w:trPr>
          <w:trHeight w:val="300"/>
        </w:trPr>
        <w:tc>
          <w:tcPr>
            <w:tcW w:w="1306" w:type="pct"/>
            <w:tcBorders>
              <w:top w:val="nil"/>
              <w:left w:val="single" w:sz="4" w:space="0" w:color="auto"/>
              <w:bottom w:val="single" w:sz="4" w:space="0" w:color="auto"/>
              <w:right w:val="single" w:sz="4" w:space="0" w:color="auto"/>
            </w:tcBorders>
            <w:noWrap/>
            <w:vAlign w:val="bottom"/>
            <w:hideMark/>
          </w:tcPr>
          <w:p w14:paraId="2F85E17D" w14:textId="77777777" w:rsidR="00EA21F4" w:rsidRPr="00886FD2" w:rsidRDefault="00EA21F4" w:rsidP="00EA21F4">
            <w:pPr>
              <w:spacing w:after="240" w:line="360" w:lineRule="auto"/>
              <w:rPr>
                <w:rFonts w:eastAsia="Times New Roman"/>
                <w:b/>
                <w:bCs/>
                <w:color w:val="000000"/>
                <w:sz w:val="24"/>
                <w:szCs w:val="24"/>
              </w:rPr>
            </w:pPr>
            <w:r w:rsidRPr="00886FD2">
              <w:rPr>
                <w:rFonts w:eastAsia="Times New Roman"/>
                <w:b/>
                <w:bCs/>
                <w:color w:val="000000"/>
                <w:sz w:val="24"/>
                <w:szCs w:val="24"/>
              </w:rPr>
              <w:t>Efficiency Ratios</w:t>
            </w:r>
          </w:p>
        </w:tc>
        <w:tc>
          <w:tcPr>
            <w:tcW w:w="1707" w:type="pct"/>
            <w:tcBorders>
              <w:top w:val="nil"/>
              <w:left w:val="nil"/>
              <w:bottom w:val="single" w:sz="4" w:space="0" w:color="auto"/>
              <w:right w:val="single" w:sz="4" w:space="0" w:color="auto"/>
            </w:tcBorders>
            <w:noWrap/>
            <w:vAlign w:val="bottom"/>
            <w:hideMark/>
          </w:tcPr>
          <w:p w14:paraId="3E283EFE" w14:textId="77777777" w:rsidR="00EA21F4" w:rsidRPr="00886FD2" w:rsidRDefault="00EA21F4" w:rsidP="00EA21F4">
            <w:pPr>
              <w:spacing w:after="240" w:line="360" w:lineRule="auto"/>
              <w:rPr>
                <w:rFonts w:eastAsia="Times New Roman"/>
                <w:b/>
                <w:bCs/>
                <w:color w:val="000000"/>
                <w:sz w:val="24"/>
                <w:szCs w:val="24"/>
              </w:rPr>
            </w:pPr>
            <w:r w:rsidRPr="00886FD2">
              <w:rPr>
                <w:rFonts w:eastAsia="Times New Roman"/>
                <w:b/>
                <w:bCs/>
                <w:color w:val="000000"/>
                <w:sz w:val="24"/>
                <w:szCs w:val="24"/>
              </w:rPr>
              <w:t>Formula</w:t>
            </w:r>
          </w:p>
        </w:tc>
        <w:tc>
          <w:tcPr>
            <w:tcW w:w="397" w:type="pct"/>
            <w:tcBorders>
              <w:top w:val="nil"/>
              <w:left w:val="nil"/>
              <w:bottom w:val="single" w:sz="4" w:space="0" w:color="auto"/>
              <w:right w:val="single" w:sz="4" w:space="0" w:color="auto"/>
            </w:tcBorders>
            <w:noWrap/>
            <w:vAlign w:val="bottom"/>
            <w:hideMark/>
          </w:tcPr>
          <w:p w14:paraId="29057429" w14:textId="77777777" w:rsidR="00EA21F4" w:rsidRPr="00886FD2" w:rsidRDefault="00EA21F4" w:rsidP="00EA21F4">
            <w:pPr>
              <w:spacing w:after="240" w:line="360" w:lineRule="auto"/>
              <w:jc w:val="center"/>
              <w:rPr>
                <w:rFonts w:eastAsia="Times New Roman"/>
                <w:b/>
                <w:bCs/>
                <w:i/>
                <w:iCs/>
                <w:color w:val="000000"/>
                <w:sz w:val="24"/>
                <w:szCs w:val="24"/>
              </w:rPr>
            </w:pPr>
            <w:r w:rsidRPr="00886FD2">
              <w:rPr>
                <w:rFonts w:eastAsia="Times New Roman"/>
                <w:b/>
                <w:bCs/>
                <w:i/>
                <w:iCs/>
                <w:color w:val="000000"/>
                <w:sz w:val="24"/>
                <w:szCs w:val="24"/>
              </w:rPr>
              <w:t>2021</w:t>
            </w:r>
          </w:p>
        </w:tc>
        <w:tc>
          <w:tcPr>
            <w:tcW w:w="397" w:type="pct"/>
            <w:tcBorders>
              <w:top w:val="nil"/>
              <w:left w:val="nil"/>
              <w:bottom w:val="single" w:sz="4" w:space="0" w:color="auto"/>
              <w:right w:val="single" w:sz="4" w:space="0" w:color="auto"/>
            </w:tcBorders>
            <w:noWrap/>
            <w:vAlign w:val="bottom"/>
            <w:hideMark/>
          </w:tcPr>
          <w:p w14:paraId="51461339" w14:textId="77777777" w:rsidR="00EA21F4" w:rsidRPr="00886FD2" w:rsidRDefault="00EA21F4" w:rsidP="00EA21F4">
            <w:pPr>
              <w:spacing w:after="240" w:line="360" w:lineRule="auto"/>
              <w:jc w:val="center"/>
              <w:rPr>
                <w:rFonts w:eastAsia="Times New Roman"/>
                <w:b/>
                <w:bCs/>
                <w:i/>
                <w:iCs/>
                <w:color w:val="000000"/>
                <w:sz w:val="24"/>
                <w:szCs w:val="24"/>
              </w:rPr>
            </w:pPr>
            <w:r w:rsidRPr="00886FD2">
              <w:rPr>
                <w:rFonts w:eastAsia="Times New Roman"/>
                <w:b/>
                <w:bCs/>
                <w:i/>
                <w:iCs/>
                <w:color w:val="000000"/>
                <w:sz w:val="24"/>
                <w:szCs w:val="24"/>
              </w:rPr>
              <w:t>2022</w:t>
            </w:r>
          </w:p>
        </w:tc>
        <w:tc>
          <w:tcPr>
            <w:tcW w:w="397" w:type="pct"/>
            <w:tcBorders>
              <w:top w:val="nil"/>
              <w:left w:val="nil"/>
              <w:bottom w:val="single" w:sz="4" w:space="0" w:color="auto"/>
              <w:right w:val="single" w:sz="4" w:space="0" w:color="auto"/>
            </w:tcBorders>
            <w:noWrap/>
            <w:vAlign w:val="bottom"/>
            <w:hideMark/>
          </w:tcPr>
          <w:p w14:paraId="085C52BE" w14:textId="77777777" w:rsidR="00EA21F4" w:rsidRPr="00886FD2" w:rsidRDefault="00EA21F4" w:rsidP="00EA21F4">
            <w:pPr>
              <w:spacing w:after="240" w:line="360" w:lineRule="auto"/>
              <w:jc w:val="center"/>
              <w:rPr>
                <w:rFonts w:eastAsia="Times New Roman"/>
                <w:b/>
                <w:bCs/>
                <w:i/>
                <w:iCs/>
                <w:color w:val="000000"/>
                <w:sz w:val="24"/>
                <w:szCs w:val="24"/>
              </w:rPr>
            </w:pPr>
            <w:r w:rsidRPr="00886FD2">
              <w:rPr>
                <w:rFonts w:eastAsia="Times New Roman"/>
                <w:b/>
                <w:bCs/>
                <w:i/>
                <w:iCs/>
                <w:color w:val="000000"/>
                <w:sz w:val="24"/>
                <w:szCs w:val="24"/>
              </w:rPr>
              <w:t>2023</w:t>
            </w:r>
          </w:p>
        </w:tc>
        <w:tc>
          <w:tcPr>
            <w:tcW w:w="397" w:type="pct"/>
            <w:tcBorders>
              <w:top w:val="nil"/>
              <w:left w:val="nil"/>
              <w:bottom w:val="single" w:sz="4" w:space="0" w:color="auto"/>
              <w:right w:val="single" w:sz="4" w:space="0" w:color="auto"/>
            </w:tcBorders>
            <w:noWrap/>
            <w:vAlign w:val="bottom"/>
            <w:hideMark/>
          </w:tcPr>
          <w:p w14:paraId="58DEFF1D" w14:textId="77777777" w:rsidR="00EA21F4" w:rsidRPr="00886FD2" w:rsidRDefault="00EA21F4" w:rsidP="00EA21F4">
            <w:pPr>
              <w:spacing w:after="240" w:line="360" w:lineRule="auto"/>
              <w:jc w:val="center"/>
              <w:rPr>
                <w:rFonts w:eastAsia="Times New Roman"/>
                <w:b/>
                <w:bCs/>
                <w:i/>
                <w:iCs/>
                <w:color w:val="000000"/>
                <w:sz w:val="24"/>
                <w:szCs w:val="24"/>
              </w:rPr>
            </w:pPr>
            <w:r w:rsidRPr="00886FD2">
              <w:rPr>
                <w:rFonts w:eastAsia="Times New Roman"/>
                <w:b/>
                <w:bCs/>
                <w:i/>
                <w:iCs/>
                <w:color w:val="000000"/>
                <w:sz w:val="24"/>
                <w:szCs w:val="24"/>
              </w:rPr>
              <w:t>2024</w:t>
            </w:r>
          </w:p>
        </w:tc>
        <w:tc>
          <w:tcPr>
            <w:tcW w:w="397" w:type="pct"/>
            <w:tcBorders>
              <w:top w:val="nil"/>
              <w:left w:val="nil"/>
              <w:bottom w:val="single" w:sz="4" w:space="0" w:color="auto"/>
              <w:right w:val="single" w:sz="4" w:space="0" w:color="auto"/>
            </w:tcBorders>
            <w:noWrap/>
            <w:vAlign w:val="bottom"/>
            <w:hideMark/>
          </w:tcPr>
          <w:p w14:paraId="7DEDEF4C" w14:textId="77777777" w:rsidR="00EA21F4" w:rsidRPr="00886FD2" w:rsidRDefault="00EA21F4" w:rsidP="00EA21F4">
            <w:pPr>
              <w:spacing w:after="240" w:line="360" w:lineRule="auto"/>
              <w:jc w:val="center"/>
              <w:rPr>
                <w:rFonts w:eastAsia="Times New Roman"/>
                <w:b/>
                <w:bCs/>
                <w:i/>
                <w:iCs/>
                <w:color w:val="000000"/>
                <w:sz w:val="24"/>
                <w:szCs w:val="24"/>
              </w:rPr>
            </w:pPr>
            <w:r w:rsidRPr="00886FD2">
              <w:rPr>
                <w:rFonts w:eastAsia="Times New Roman"/>
                <w:b/>
                <w:bCs/>
                <w:i/>
                <w:iCs/>
                <w:color w:val="000000"/>
                <w:sz w:val="24"/>
                <w:szCs w:val="24"/>
              </w:rPr>
              <w:t>2025</w:t>
            </w:r>
          </w:p>
        </w:tc>
      </w:tr>
      <w:tr w:rsidR="00EA21F4" w:rsidRPr="00886FD2" w14:paraId="7610089D" w14:textId="77777777" w:rsidTr="00EA21F4">
        <w:trPr>
          <w:trHeight w:val="300"/>
        </w:trPr>
        <w:tc>
          <w:tcPr>
            <w:tcW w:w="1306" w:type="pct"/>
            <w:tcBorders>
              <w:top w:val="nil"/>
              <w:left w:val="single" w:sz="4" w:space="0" w:color="auto"/>
              <w:bottom w:val="single" w:sz="4" w:space="0" w:color="auto"/>
              <w:right w:val="single" w:sz="4" w:space="0" w:color="auto"/>
            </w:tcBorders>
            <w:noWrap/>
            <w:vAlign w:val="bottom"/>
            <w:hideMark/>
          </w:tcPr>
          <w:p w14:paraId="69E4136B" w14:textId="77777777" w:rsidR="00EA21F4" w:rsidRPr="00886FD2" w:rsidRDefault="00EA21F4" w:rsidP="00EA21F4">
            <w:pPr>
              <w:spacing w:after="240" w:line="360" w:lineRule="auto"/>
              <w:rPr>
                <w:rFonts w:eastAsia="Times New Roman"/>
                <w:color w:val="000000"/>
                <w:sz w:val="24"/>
                <w:szCs w:val="24"/>
              </w:rPr>
            </w:pPr>
            <w:r w:rsidRPr="00886FD2">
              <w:rPr>
                <w:rFonts w:eastAsia="Times New Roman"/>
                <w:color w:val="000000"/>
                <w:sz w:val="24"/>
                <w:szCs w:val="24"/>
              </w:rPr>
              <w:t>Total Asset Turnover</w:t>
            </w:r>
          </w:p>
        </w:tc>
        <w:tc>
          <w:tcPr>
            <w:tcW w:w="1707" w:type="pct"/>
            <w:tcBorders>
              <w:top w:val="nil"/>
              <w:left w:val="nil"/>
              <w:bottom w:val="single" w:sz="4" w:space="0" w:color="auto"/>
              <w:right w:val="single" w:sz="4" w:space="0" w:color="auto"/>
            </w:tcBorders>
            <w:noWrap/>
            <w:vAlign w:val="bottom"/>
            <w:hideMark/>
          </w:tcPr>
          <w:p w14:paraId="6DC9CCA1" w14:textId="77777777" w:rsidR="00EA21F4" w:rsidRPr="00886FD2" w:rsidRDefault="00EA21F4" w:rsidP="00EA21F4">
            <w:pPr>
              <w:spacing w:after="240" w:line="360" w:lineRule="auto"/>
              <w:rPr>
                <w:rFonts w:eastAsia="Times New Roman"/>
                <w:i/>
                <w:iCs/>
                <w:color w:val="000000"/>
                <w:sz w:val="24"/>
                <w:szCs w:val="24"/>
              </w:rPr>
            </w:pPr>
            <w:r w:rsidRPr="00886FD2">
              <w:rPr>
                <w:rFonts w:eastAsia="Times New Roman"/>
                <w:i/>
                <w:iCs/>
                <w:color w:val="000000"/>
                <w:sz w:val="24"/>
                <w:szCs w:val="24"/>
              </w:rPr>
              <w:t>Revenue/TotalAssets</w:t>
            </w:r>
          </w:p>
        </w:tc>
        <w:tc>
          <w:tcPr>
            <w:tcW w:w="397" w:type="pct"/>
            <w:tcBorders>
              <w:top w:val="nil"/>
              <w:left w:val="nil"/>
              <w:bottom w:val="single" w:sz="4" w:space="0" w:color="auto"/>
              <w:right w:val="single" w:sz="4" w:space="0" w:color="auto"/>
            </w:tcBorders>
            <w:noWrap/>
            <w:vAlign w:val="bottom"/>
            <w:hideMark/>
          </w:tcPr>
          <w:p w14:paraId="71BC37BE" w14:textId="77777777" w:rsidR="00EA21F4" w:rsidRPr="00886FD2" w:rsidRDefault="00EA21F4" w:rsidP="00EA21F4">
            <w:pPr>
              <w:spacing w:after="240" w:line="360" w:lineRule="auto"/>
              <w:jc w:val="right"/>
              <w:rPr>
                <w:rFonts w:eastAsia="Times New Roman"/>
                <w:color w:val="000000"/>
                <w:sz w:val="24"/>
                <w:szCs w:val="24"/>
              </w:rPr>
            </w:pPr>
            <w:r w:rsidRPr="00886FD2">
              <w:rPr>
                <w:rFonts w:eastAsia="Times New Roman"/>
                <w:color w:val="000000"/>
                <w:sz w:val="24"/>
                <w:szCs w:val="24"/>
              </w:rPr>
              <w:t>0.375</w:t>
            </w:r>
          </w:p>
        </w:tc>
        <w:tc>
          <w:tcPr>
            <w:tcW w:w="397" w:type="pct"/>
            <w:tcBorders>
              <w:top w:val="nil"/>
              <w:left w:val="nil"/>
              <w:bottom w:val="single" w:sz="4" w:space="0" w:color="auto"/>
              <w:right w:val="single" w:sz="4" w:space="0" w:color="auto"/>
            </w:tcBorders>
            <w:noWrap/>
            <w:vAlign w:val="bottom"/>
            <w:hideMark/>
          </w:tcPr>
          <w:p w14:paraId="5CB36C95" w14:textId="77777777" w:rsidR="00EA21F4" w:rsidRPr="00886FD2" w:rsidRDefault="00EA21F4" w:rsidP="00EA21F4">
            <w:pPr>
              <w:spacing w:after="240" w:line="360" w:lineRule="auto"/>
              <w:jc w:val="right"/>
              <w:rPr>
                <w:rFonts w:eastAsia="Times New Roman"/>
                <w:color w:val="000000"/>
                <w:sz w:val="24"/>
                <w:szCs w:val="24"/>
              </w:rPr>
            </w:pPr>
            <w:r w:rsidRPr="00886FD2">
              <w:rPr>
                <w:rFonts w:eastAsia="Times New Roman"/>
                <w:color w:val="000000"/>
                <w:sz w:val="24"/>
                <w:szCs w:val="24"/>
              </w:rPr>
              <w:t>0.566</w:t>
            </w:r>
          </w:p>
        </w:tc>
        <w:tc>
          <w:tcPr>
            <w:tcW w:w="397" w:type="pct"/>
            <w:tcBorders>
              <w:top w:val="nil"/>
              <w:left w:val="nil"/>
              <w:bottom w:val="single" w:sz="4" w:space="0" w:color="auto"/>
              <w:right w:val="single" w:sz="4" w:space="0" w:color="auto"/>
            </w:tcBorders>
            <w:noWrap/>
            <w:vAlign w:val="bottom"/>
            <w:hideMark/>
          </w:tcPr>
          <w:p w14:paraId="6A597402" w14:textId="77777777" w:rsidR="00EA21F4" w:rsidRPr="00886FD2" w:rsidRDefault="00EA21F4" w:rsidP="00EA21F4">
            <w:pPr>
              <w:spacing w:after="240" w:line="360" w:lineRule="auto"/>
              <w:jc w:val="right"/>
              <w:rPr>
                <w:rFonts w:eastAsia="Times New Roman"/>
                <w:color w:val="000000"/>
                <w:sz w:val="24"/>
                <w:szCs w:val="24"/>
              </w:rPr>
            </w:pPr>
            <w:r w:rsidRPr="00886FD2">
              <w:rPr>
                <w:rFonts w:eastAsia="Times New Roman"/>
                <w:color w:val="000000"/>
                <w:sz w:val="24"/>
                <w:szCs w:val="24"/>
              </w:rPr>
              <w:t>0.665</w:t>
            </w:r>
          </w:p>
        </w:tc>
        <w:tc>
          <w:tcPr>
            <w:tcW w:w="397" w:type="pct"/>
            <w:tcBorders>
              <w:top w:val="nil"/>
              <w:left w:val="nil"/>
              <w:bottom w:val="single" w:sz="4" w:space="0" w:color="auto"/>
              <w:right w:val="single" w:sz="4" w:space="0" w:color="auto"/>
            </w:tcBorders>
            <w:noWrap/>
            <w:vAlign w:val="bottom"/>
            <w:hideMark/>
          </w:tcPr>
          <w:p w14:paraId="04C44F71" w14:textId="77777777" w:rsidR="00EA21F4" w:rsidRPr="00886FD2" w:rsidRDefault="00EA21F4" w:rsidP="00EA21F4">
            <w:pPr>
              <w:spacing w:after="240" w:line="360" w:lineRule="auto"/>
              <w:jc w:val="right"/>
              <w:rPr>
                <w:rFonts w:eastAsia="Times New Roman"/>
                <w:color w:val="000000"/>
                <w:sz w:val="24"/>
                <w:szCs w:val="24"/>
              </w:rPr>
            </w:pPr>
            <w:r w:rsidRPr="00886FD2">
              <w:rPr>
                <w:rFonts w:eastAsia="Times New Roman"/>
                <w:color w:val="000000"/>
                <w:sz w:val="24"/>
                <w:szCs w:val="24"/>
              </w:rPr>
              <w:t>0.676</w:t>
            </w:r>
          </w:p>
        </w:tc>
        <w:tc>
          <w:tcPr>
            <w:tcW w:w="397" w:type="pct"/>
            <w:tcBorders>
              <w:top w:val="nil"/>
              <w:left w:val="nil"/>
              <w:bottom w:val="single" w:sz="4" w:space="0" w:color="auto"/>
              <w:right w:val="single" w:sz="4" w:space="0" w:color="auto"/>
            </w:tcBorders>
            <w:noWrap/>
            <w:vAlign w:val="bottom"/>
            <w:hideMark/>
          </w:tcPr>
          <w:p w14:paraId="7A2845F0" w14:textId="77777777" w:rsidR="00EA21F4" w:rsidRPr="00886FD2" w:rsidRDefault="00EA21F4" w:rsidP="00EA21F4">
            <w:pPr>
              <w:spacing w:after="240" w:line="360" w:lineRule="auto"/>
              <w:jc w:val="right"/>
              <w:rPr>
                <w:rFonts w:eastAsia="Times New Roman"/>
                <w:color w:val="000000"/>
                <w:sz w:val="24"/>
                <w:szCs w:val="24"/>
              </w:rPr>
            </w:pPr>
            <w:r w:rsidRPr="00886FD2">
              <w:rPr>
                <w:rFonts w:eastAsia="Times New Roman"/>
                <w:color w:val="000000"/>
                <w:sz w:val="24"/>
                <w:szCs w:val="24"/>
              </w:rPr>
              <w:t>0.718</w:t>
            </w:r>
          </w:p>
        </w:tc>
      </w:tr>
      <w:tr w:rsidR="00EA21F4" w:rsidRPr="00886FD2" w14:paraId="16461695" w14:textId="77777777" w:rsidTr="00EA21F4">
        <w:trPr>
          <w:trHeight w:val="300"/>
        </w:trPr>
        <w:tc>
          <w:tcPr>
            <w:tcW w:w="1306" w:type="pct"/>
            <w:tcBorders>
              <w:top w:val="nil"/>
              <w:left w:val="single" w:sz="4" w:space="0" w:color="auto"/>
              <w:bottom w:val="single" w:sz="4" w:space="0" w:color="auto"/>
              <w:right w:val="single" w:sz="4" w:space="0" w:color="auto"/>
            </w:tcBorders>
            <w:noWrap/>
            <w:vAlign w:val="bottom"/>
            <w:hideMark/>
          </w:tcPr>
          <w:p w14:paraId="602755C3" w14:textId="77777777" w:rsidR="00EA21F4" w:rsidRPr="00886FD2" w:rsidRDefault="00EA21F4" w:rsidP="00EA21F4">
            <w:pPr>
              <w:spacing w:after="240" w:line="360" w:lineRule="auto"/>
              <w:rPr>
                <w:rFonts w:eastAsia="Times New Roman"/>
                <w:color w:val="000000"/>
                <w:sz w:val="24"/>
                <w:szCs w:val="24"/>
              </w:rPr>
            </w:pPr>
            <w:r w:rsidRPr="00886FD2">
              <w:rPr>
                <w:rFonts w:eastAsia="Times New Roman"/>
                <w:color w:val="000000"/>
                <w:sz w:val="24"/>
                <w:szCs w:val="24"/>
              </w:rPr>
              <w:t>Receivables Turnover</w:t>
            </w:r>
          </w:p>
        </w:tc>
        <w:tc>
          <w:tcPr>
            <w:tcW w:w="1707" w:type="pct"/>
            <w:tcBorders>
              <w:top w:val="nil"/>
              <w:left w:val="nil"/>
              <w:bottom w:val="single" w:sz="4" w:space="0" w:color="auto"/>
              <w:right w:val="single" w:sz="4" w:space="0" w:color="auto"/>
            </w:tcBorders>
            <w:noWrap/>
            <w:vAlign w:val="bottom"/>
            <w:hideMark/>
          </w:tcPr>
          <w:p w14:paraId="6011F4E0" w14:textId="49BE9A6A" w:rsidR="00EA21F4" w:rsidRPr="00886FD2" w:rsidRDefault="00EA21F4" w:rsidP="00EA21F4">
            <w:pPr>
              <w:spacing w:after="240" w:line="360" w:lineRule="auto"/>
              <w:rPr>
                <w:rFonts w:eastAsia="Times New Roman"/>
                <w:i/>
                <w:iCs/>
                <w:color w:val="000000"/>
                <w:sz w:val="24"/>
                <w:szCs w:val="24"/>
              </w:rPr>
            </w:pPr>
            <w:r w:rsidRPr="00886FD2">
              <w:rPr>
                <w:rFonts w:eastAsia="Times New Roman"/>
                <w:i/>
                <w:iCs/>
                <w:color w:val="000000"/>
                <w:sz w:val="24"/>
                <w:szCs w:val="24"/>
              </w:rPr>
              <w:t>Revenue/Accounts Receivable</w:t>
            </w:r>
          </w:p>
        </w:tc>
        <w:tc>
          <w:tcPr>
            <w:tcW w:w="397" w:type="pct"/>
            <w:tcBorders>
              <w:top w:val="nil"/>
              <w:left w:val="nil"/>
              <w:bottom w:val="single" w:sz="4" w:space="0" w:color="auto"/>
              <w:right w:val="single" w:sz="4" w:space="0" w:color="auto"/>
            </w:tcBorders>
            <w:noWrap/>
            <w:vAlign w:val="bottom"/>
            <w:hideMark/>
          </w:tcPr>
          <w:p w14:paraId="2BEC29D1" w14:textId="77777777" w:rsidR="00EA21F4" w:rsidRPr="00886FD2" w:rsidRDefault="00EA21F4" w:rsidP="00EA21F4">
            <w:pPr>
              <w:spacing w:after="240" w:line="360" w:lineRule="auto"/>
              <w:jc w:val="right"/>
              <w:rPr>
                <w:rFonts w:eastAsia="Times New Roman"/>
                <w:color w:val="000000"/>
                <w:sz w:val="24"/>
                <w:szCs w:val="24"/>
              </w:rPr>
            </w:pPr>
            <w:r w:rsidRPr="00886FD2">
              <w:rPr>
                <w:rFonts w:eastAsia="Times New Roman"/>
                <w:color w:val="000000"/>
                <w:sz w:val="24"/>
                <w:szCs w:val="24"/>
              </w:rPr>
              <w:t>5.419</w:t>
            </w:r>
          </w:p>
        </w:tc>
        <w:tc>
          <w:tcPr>
            <w:tcW w:w="397" w:type="pct"/>
            <w:tcBorders>
              <w:top w:val="nil"/>
              <w:left w:val="nil"/>
              <w:bottom w:val="single" w:sz="4" w:space="0" w:color="auto"/>
              <w:right w:val="single" w:sz="4" w:space="0" w:color="auto"/>
            </w:tcBorders>
            <w:noWrap/>
            <w:vAlign w:val="bottom"/>
            <w:hideMark/>
          </w:tcPr>
          <w:p w14:paraId="1E0CF4BE" w14:textId="77777777" w:rsidR="00EA21F4" w:rsidRPr="00886FD2" w:rsidRDefault="00EA21F4" w:rsidP="00EA21F4">
            <w:pPr>
              <w:spacing w:after="240" w:line="360" w:lineRule="auto"/>
              <w:jc w:val="right"/>
              <w:rPr>
                <w:rFonts w:eastAsia="Times New Roman"/>
                <w:color w:val="000000"/>
                <w:sz w:val="24"/>
                <w:szCs w:val="24"/>
              </w:rPr>
            </w:pPr>
            <w:r w:rsidRPr="00886FD2">
              <w:rPr>
                <w:rFonts w:eastAsia="Times New Roman"/>
                <w:color w:val="000000"/>
                <w:sz w:val="24"/>
                <w:szCs w:val="24"/>
              </w:rPr>
              <w:t>6.611</w:t>
            </w:r>
          </w:p>
        </w:tc>
        <w:tc>
          <w:tcPr>
            <w:tcW w:w="397" w:type="pct"/>
            <w:tcBorders>
              <w:top w:val="nil"/>
              <w:left w:val="nil"/>
              <w:bottom w:val="single" w:sz="4" w:space="0" w:color="auto"/>
              <w:right w:val="single" w:sz="4" w:space="0" w:color="auto"/>
            </w:tcBorders>
            <w:noWrap/>
            <w:vAlign w:val="bottom"/>
            <w:hideMark/>
          </w:tcPr>
          <w:p w14:paraId="7215F13D" w14:textId="77777777" w:rsidR="00EA21F4" w:rsidRPr="00886FD2" w:rsidRDefault="00EA21F4" w:rsidP="00EA21F4">
            <w:pPr>
              <w:spacing w:after="240" w:line="360" w:lineRule="auto"/>
              <w:jc w:val="right"/>
              <w:rPr>
                <w:rFonts w:eastAsia="Times New Roman"/>
                <w:color w:val="000000"/>
                <w:sz w:val="24"/>
                <w:szCs w:val="24"/>
              </w:rPr>
            </w:pPr>
            <w:r w:rsidRPr="00886FD2">
              <w:rPr>
                <w:rFonts w:eastAsia="Times New Roman"/>
                <w:color w:val="000000"/>
                <w:sz w:val="24"/>
                <w:szCs w:val="24"/>
              </w:rPr>
              <w:t>6.883</w:t>
            </w:r>
          </w:p>
        </w:tc>
        <w:tc>
          <w:tcPr>
            <w:tcW w:w="397" w:type="pct"/>
            <w:tcBorders>
              <w:top w:val="nil"/>
              <w:left w:val="nil"/>
              <w:bottom w:val="single" w:sz="4" w:space="0" w:color="auto"/>
              <w:right w:val="single" w:sz="4" w:space="0" w:color="auto"/>
            </w:tcBorders>
            <w:noWrap/>
            <w:vAlign w:val="bottom"/>
            <w:hideMark/>
          </w:tcPr>
          <w:p w14:paraId="4ED4B7A8" w14:textId="77777777" w:rsidR="00EA21F4" w:rsidRPr="00886FD2" w:rsidRDefault="00EA21F4" w:rsidP="00EA21F4">
            <w:pPr>
              <w:spacing w:after="240" w:line="360" w:lineRule="auto"/>
              <w:jc w:val="right"/>
              <w:rPr>
                <w:rFonts w:eastAsia="Times New Roman"/>
                <w:color w:val="000000"/>
                <w:sz w:val="24"/>
                <w:szCs w:val="24"/>
              </w:rPr>
            </w:pPr>
            <w:r w:rsidRPr="00886FD2">
              <w:rPr>
                <w:rFonts w:eastAsia="Times New Roman"/>
                <w:color w:val="000000"/>
                <w:sz w:val="24"/>
                <w:szCs w:val="24"/>
              </w:rPr>
              <w:t>7.059</w:t>
            </w:r>
          </w:p>
        </w:tc>
        <w:tc>
          <w:tcPr>
            <w:tcW w:w="397" w:type="pct"/>
            <w:tcBorders>
              <w:top w:val="nil"/>
              <w:left w:val="nil"/>
              <w:bottom w:val="single" w:sz="4" w:space="0" w:color="auto"/>
              <w:right w:val="single" w:sz="4" w:space="0" w:color="auto"/>
            </w:tcBorders>
            <w:noWrap/>
            <w:vAlign w:val="bottom"/>
            <w:hideMark/>
          </w:tcPr>
          <w:p w14:paraId="519683AB" w14:textId="77777777" w:rsidR="00EA21F4" w:rsidRPr="00886FD2" w:rsidRDefault="00EA21F4" w:rsidP="00EA21F4">
            <w:pPr>
              <w:spacing w:after="240" w:line="360" w:lineRule="auto"/>
              <w:jc w:val="right"/>
              <w:rPr>
                <w:rFonts w:eastAsia="Times New Roman"/>
                <w:color w:val="000000"/>
                <w:sz w:val="24"/>
                <w:szCs w:val="24"/>
              </w:rPr>
            </w:pPr>
            <w:r w:rsidRPr="00886FD2">
              <w:rPr>
                <w:rFonts w:eastAsia="Times New Roman"/>
                <w:color w:val="000000"/>
                <w:sz w:val="24"/>
                <w:szCs w:val="24"/>
              </w:rPr>
              <w:t>7.124</w:t>
            </w:r>
          </w:p>
        </w:tc>
      </w:tr>
      <w:tr w:rsidR="00EA21F4" w:rsidRPr="00886FD2" w14:paraId="67C0F260" w14:textId="77777777" w:rsidTr="00EA21F4">
        <w:trPr>
          <w:trHeight w:val="300"/>
        </w:trPr>
        <w:tc>
          <w:tcPr>
            <w:tcW w:w="1306" w:type="pct"/>
            <w:tcBorders>
              <w:top w:val="nil"/>
              <w:left w:val="single" w:sz="4" w:space="0" w:color="auto"/>
              <w:bottom w:val="single" w:sz="4" w:space="0" w:color="auto"/>
              <w:right w:val="single" w:sz="4" w:space="0" w:color="auto"/>
            </w:tcBorders>
            <w:noWrap/>
            <w:vAlign w:val="bottom"/>
            <w:hideMark/>
          </w:tcPr>
          <w:p w14:paraId="19DD1558" w14:textId="77777777" w:rsidR="00EA21F4" w:rsidRPr="00886FD2" w:rsidRDefault="00EA21F4" w:rsidP="00EA21F4">
            <w:pPr>
              <w:spacing w:after="240" w:line="360" w:lineRule="auto"/>
              <w:rPr>
                <w:rFonts w:eastAsia="Times New Roman"/>
                <w:color w:val="000000"/>
                <w:sz w:val="24"/>
                <w:szCs w:val="24"/>
              </w:rPr>
            </w:pPr>
            <w:r w:rsidRPr="00886FD2">
              <w:rPr>
                <w:rFonts w:eastAsia="Times New Roman"/>
                <w:color w:val="000000"/>
                <w:sz w:val="24"/>
                <w:szCs w:val="24"/>
              </w:rPr>
              <w:t>Fixed Asset Turnover</w:t>
            </w:r>
          </w:p>
        </w:tc>
        <w:tc>
          <w:tcPr>
            <w:tcW w:w="1707" w:type="pct"/>
            <w:tcBorders>
              <w:top w:val="nil"/>
              <w:left w:val="nil"/>
              <w:bottom w:val="single" w:sz="4" w:space="0" w:color="auto"/>
              <w:right w:val="single" w:sz="4" w:space="0" w:color="auto"/>
            </w:tcBorders>
            <w:noWrap/>
            <w:vAlign w:val="bottom"/>
            <w:hideMark/>
          </w:tcPr>
          <w:p w14:paraId="518881D2" w14:textId="77777777" w:rsidR="00EA21F4" w:rsidRPr="00886FD2" w:rsidRDefault="00EA21F4" w:rsidP="00EA21F4">
            <w:pPr>
              <w:spacing w:after="240" w:line="360" w:lineRule="auto"/>
              <w:rPr>
                <w:rFonts w:eastAsia="Times New Roman"/>
                <w:i/>
                <w:iCs/>
                <w:color w:val="000000"/>
                <w:sz w:val="24"/>
                <w:szCs w:val="24"/>
              </w:rPr>
            </w:pPr>
            <w:r w:rsidRPr="00886FD2">
              <w:rPr>
                <w:rFonts w:eastAsia="Times New Roman"/>
                <w:i/>
                <w:iCs/>
                <w:color w:val="000000"/>
                <w:sz w:val="24"/>
                <w:szCs w:val="24"/>
              </w:rPr>
              <w:t>Revenue/PPE</w:t>
            </w:r>
          </w:p>
        </w:tc>
        <w:tc>
          <w:tcPr>
            <w:tcW w:w="397" w:type="pct"/>
            <w:tcBorders>
              <w:top w:val="nil"/>
              <w:left w:val="nil"/>
              <w:bottom w:val="single" w:sz="4" w:space="0" w:color="auto"/>
              <w:right w:val="single" w:sz="4" w:space="0" w:color="auto"/>
            </w:tcBorders>
            <w:noWrap/>
            <w:vAlign w:val="bottom"/>
            <w:hideMark/>
          </w:tcPr>
          <w:p w14:paraId="7CE93F9C" w14:textId="77777777" w:rsidR="00EA21F4" w:rsidRPr="00886FD2" w:rsidRDefault="00EA21F4" w:rsidP="00EA21F4">
            <w:pPr>
              <w:spacing w:after="240" w:line="360" w:lineRule="auto"/>
              <w:jc w:val="right"/>
              <w:rPr>
                <w:rFonts w:eastAsia="Times New Roman"/>
                <w:color w:val="000000"/>
                <w:sz w:val="24"/>
                <w:szCs w:val="24"/>
              </w:rPr>
            </w:pPr>
            <w:r w:rsidRPr="00886FD2">
              <w:rPr>
                <w:rFonts w:eastAsia="Times New Roman"/>
                <w:color w:val="000000"/>
                <w:sz w:val="24"/>
                <w:szCs w:val="24"/>
              </w:rPr>
              <w:t>79.288</w:t>
            </w:r>
          </w:p>
        </w:tc>
        <w:tc>
          <w:tcPr>
            <w:tcW w:w="397" w:type="pct"/>
            <w:tcBorders>
              <w:top w:val="nil"/>
              <w:left w:val="nil"/>
              <w:bottom w:val="single" w:sz="4" w:space="0" w:color="auto"/>
              <w:right w:val="single" w:sz="4" w:space="0" w:color="auto"/>
            </w:tcBorders>
            <w:noWrap/>
            <w:vAlign w:val="bottom"/>
            <w:hideMark/>
          </w:tcPr>
          <w:p w14:paraId="1B3A3A36" w14:textId="77777777" w:rsidR="00EA21F4" w:rsidRPr="00886FD2" w:rsidRDefault="00EA21F4" w:rsidP="00EA21F4">
            <w:pPr>
              <w:spacing w:after="240" w:line="360" w:lineRule="auto"/>
              <w:jc w:val="right"/>
              <w:rPr>
                <w:rFonts w:eastAsia="Times New Roman"/>
                <w:color w:val="000000"/>
                <w:sz w:val="24"/>
                <w:szCs w:val="24"/>
              </w:rPr>
            </w:pPr>
            <w:r w:rsidRPr="00886FD2">
              <w:rPr>
                <w:rFonts w:eastAsia="Times New Roman"/>
                <w:color w:val="000000"/>
                <w:sz w:val="24"/>
                <w:szCs w:val="24"/>
              </w:rPr>
              <w:t>86.010</w:t>
            </w:r>
          </w:p>
        </w:tc>
        <w:tc>
          <w:tcPr>
            <w:tcW w:w="397" w:type="pct"/>
            <w:tcBorders>
              <w:top w:val="nil"/>
              <w:left w:val="nil"/>
              <w:bottom w:val="single" w:sz="4" w:space="0" w:color="auto"/>
              <w:right w:val="single" w:sz="4" w:space="0" w:color="auto"/>
            </w:tcBorders>
            <w:noWrap/>
            <w:vAlign w:val="bottom"/>
            <w:hideMark/>
          </w:tcPr>
          <w:p w14:paraId="23D7EAE2" w14:textId="77777777" w:rsidR="00EA21F4" w:rsidRPr="00886FD2" w:rsidRDefault="00EA21F4" w:rsidP="00EA21F4">
            <w:pPr>
              <w:spacing w:after="240" w:line="360" w:lineRule="auto"/>
              <w:jc w:val="right"/>
              <w:rPr>
                <w:rFonts w:eastAsia="Times New Roman"/>
                <w:color w:val="000000"/>
                <w:sz w:val="24"/>
                <w:szCs w:val="24"/>
              </w:rPr>
            </w:pPr>
            <w:r w:rsidRPr="00886FD2">
              <w:rPr>
                <w:rFonts w:eastAsia="Times New Roman"/>
                <w:color w:val="000000"/>
                <w:sz w:val="24"/>
                <w:szCs w:val="24"/>
              </w:rPr>
              <w:t>42.293</w:t>
            </w:r>
          </w:p>
        </w:tc>
        <w:tc>
          <w:tcPr>
            <w:tcW w:w="397" w:type="pct"/>
            <w:tcBorders>
              <w:top w:val="nil"/>
              <w:left w:val="nil"/>
              <w:bottom w:val="single" w:sz="4" w:space="0" w:color="auto"/>
              <w:right w:val="single" w:sz="4" w:space="0" w:color="auto"/>
            </w:tcBorders>
            <w:noWrap/>
            <w:vAlign w:val="bottom"/>
            <w:hideMark/>
          </w:tcPr>
          <w:p w14:paraId="2D5A9B99" w14:textId="77777777" w:rsidR="00EA21F4" w:rsidRPr="00886FD2" w:rsidRDefault="00EA21F4" w:rsidP="00EA21F4">
            <w:pPr>
              <w:spacing w:after="240" w:line="360" w:lineRule="auto"/>
              <w:jc w:val="right"/>
              <w:rPr>
                <w:rFonts w:eastAsia="Times New Roman"/>
                <w:color w:val="000000"/>
                <w:sz w:val="24"/>
                <w:szCs w:val="24"/>
              </w:rPr>
            </w:pPr>
            <w:r w:rsidRPr="00886FD2">
              <w:rPr>
                <w:rFonts w:eastAsia="Times New Roman"/>
                <w:color w:val="000000"/>
                <w:sz w:val="24"/>
                <w:szCs w:val="24"/>
              </w:rPr>
              <w:t>58.811</w:t>
            </w:r>
          </w:p>
        </w:tc>
        <w:tc>
          <w:tcPr>
            <w:tcW w:w="397" w:type="pct"/>
            <w:tcBorders>
              <w:top w:val="nil"/>
              <w:left w:val="nil"/>
              <w:bottom w:val="single" w:sz="4" w:space="0" w:color="auto"/>
              <w:right w:val="single" w:sz="4" w:space="0" w:color="auto"/>
            </w:tcBorders>
            <w:noWrap/>
            <w:vAlign w:val="bottom"/>
            <w:hideMark/>
          </w:tcPr>
          <w:p w14:paraId="080FF89A" w14:textId="77777777" w:rsidR="00EA21F4" w:rsidRPr="00886FD2" w:rsidRDefault="00EA21F4" w:rsidP="00EA21F4">
            <w:pPr>
              <w:spacing w:after="240" w:line="360" w:lineRule="auto"/>
              <w:jc w:val="right"/>
              <w:rPr>
                <w:rFonts w:eastAsia="Times New Roman"/>
                <w:color w:val="000000"/>
                <w:sz w:val="24"/>
                <w:szCs w:val="24"/>
              </w:rPr>
            </w:pPr>
            <w:r w:rsidRPr="00886FD2">
              <w:rPr>
                <w:rFonts w:eastAsia="Times New Roman"/>
                <w:color w:val="000000"/>
                <w:sz w:val="24"/>
                <w:szCs w:val="24"/>
              </w:rPr>
              <w:t>65.076</w:t>
            </w:r>
          </w:p>
        </w:tc>
      </w:tr>
      <w:tr w:rsidR="00EA21F4" w:rsidRPr="00886FD2" w14:paraId="56A2DF61" w14:textId="77777777" w:rsidTr="00EA21F4">
        <w:trPr>
          <w:trHeight w:val="300"/>
        </w:trPr>
        <w:tc>
          <w:tcPr>
            <w:tcW w:w="1306" w:type="pct"/>
            <w:tcBorders>
              <w:top w:val="nil"/>
              <w:left w:val="single" w:sz="4" w:space="0" w:color="auto"/>
              <w:bottom w:val="single" w:sz="4" w:space="0" w:color="auto"/>
              <w:right w:val="single" w:sz="4" w:space="0" w:color="auto"/>
            </w:tcBorders>
            <w:noWrap/>
            <w:vAlign w:val="bottom"/>
            <w:hideMark/>
          </w:tcPr>
          <w:p w14:paraId="701F432F" w14:textId="77777777" w:rsidR="00EA21F4" w:rsidRPr="00886FD2" w:rsidRDefault="00EA21F4" w:rsidP="00EA21F4">
            <w:pPr>
              <w:spacing w:after="240" w:line="360" w:lineRule="auto"/>
              <w:rPr>
                <w:rFonts w:eastAsia="Times New Roman"/>
                <w:b/>
                <w:bCs/>
                <w:color w:val="000000"/>
                <w:sz w:val="24"/>
                <w:szCs w:val="24"/>
              </w:rPr>
            </w:pPr>
            <w:r w:rsidRPr="00886FD2">
              <w:rPr>
                <w:rFonts w:eastAsia="Times New Roman"/>
                <w:b/>
                <w:bCs/>
                <w:color w:val="000000"/>
                <w:sz w:val="24"/>
                <w:szCs w:val="24"/>
              </w:rPr>
              <w:t>Gearing (Leverage) Ratios</w:t>
            </w:r>
          </w:p>
        </w:tc>
        <w:tc>
          <w:tcPr>
            <w:tcW w:w="1707" w:type="pct"/>
            <w:tcBorders>
              <w:top w:val="nil"/>
              <w:left w:val="nil"/>
              <w:bottom w:val="single" w:sz="4" w:space="0" w:color="auto"/>
              <w:right w:val="single" w:sz="4" w:space="0" w:color="auto"/>
            </w:tcBorders>
            <w:noWrap/>
            <w:vAlign w:val="bottom"/>
            <w:hideMark/>
          </w:tcPr>
          <w:p w14:paraId="7A615B01" w14:textId="77777777" w:rsidR="00EA21F4" w:rsidRPr="00886FD2" w:rsidRDefault="00EA21F4" w:rsidP="00EA21F4">
            <w:pPr>
              <w:spacing w:after="240" w:line="360" w:lineRule="auto"/>
              <w:rPr>
                <w:rFonts w:eastAsia="Times New Roman"/>
                <w:b/>
                <w:bCs/>
                <w:color w:val="000000"/>
                <w:sz w:val="24"/>
                <w:szCs w:val="24"/>
              </w:rPr>
            </w:pPr>
            <w:r w:rsidRPr="00886FD2">
              <w:rPr>
                <w:rFonts w:eastAsia="Times New Roman"/>
                <w:b/>
                <w:bCs/>
                <w:color w:val="000000"/>
                <w:sz w:val="24"/>
                <w:szCs w:val="24"/>
              </w:rPr>
              <w:t>Formula</w:t>
            </w:r>
          </w:p>
        </w:tc>
        <w:tc>
          <w:tcPr>
            <w:tcW w:w="397" w:type="pct"/>
            <w:tcBorders>
              <w:top w:val="nil"/>
              <w:left w:val="nil"/>
              <w:bottom w:val="single" w:sz="4" w:space="0" w:color="auto"/>
              <w:right w:val="single" w:sz="4" w:space="0" w:color="auto"/>
            </w:tcBorders>
            <w:noWrap/>
            <w:vAlign w:val="bottom"/>
            <w:hideMark/>
          </w:tcPr>
          <w:p w14:paraId="03ED3C2A" w14:textId="77777777" w:rsidR="00EA21F4" w:rsidRPr="00886FD2" w:rsidRDefault="00EA21F4" w:rsidP="00EA21F4">
            <w:pPr>
              <w:spacing w:after="240" w:line="360" w:lineRule="auto"/>
              <w:jc w:val="center"/>
              <w:rPr>
                <w:rFonts w:eastAsia="Times New Roman"/>
                <w:b/>
                <w:bCs/>
                <w:i/>
                <w:iCs/>
                <w:color w:val="000000"/>
                <w:sz w:val="24"/>
                <w:szCs w:val="24"/>
              </w:rPr>
            </w:pPr>
            <w:r w:rsidRPr="00886FD2">
              <w:rPr>
                <w:rFonts w:eastAsia="Times New Roman"/>
                <w:b/>
                <w:bCs/>
                <w:i/>
                <w:iCs/>
                <w:color w:val="000000"/>
                <w:sz w:val="24"/>
                <w:szCs w:val="24"/>
              </w:rPr>
              <w:t>2021</w:t>
            </w:r>
          </w:p>
        </w:tc>
        <w:tc>
          <w:tcPr>
            <w:tcW w:w="397" w:type="pct"/>
            <w:tcBorders>
              <w:top w:val="nil"/>
              <w:left w:val="nil"/>
              <w:bottom w:val="single" w:sz="4" w:space="0" w:color="auto"/>
              <w:right w:val="single" w:sz="4" w:space="0" w:color="auto"/>
            </w:tcBorders>
            <w:noWrap/>
            <w:vAlign w:val="bottom"/>
            <w:hideMark/>
          </w:tcPr>
          <w:p w14:paraId="3F29C20B" w14:textId="77777777" w:rsidR="00EA21F4" w:rsidRPr="00886FD2" w:rsidRDefault="00EA21F4" w:rsidP="00EA21F4">
            <w:pPr>
              <w:spacing w:after="240" w:line="360" w:lineRule="auto"/>
              <w:jc w:val="center"/>
              <w:rPr>
                <w:rFonts w:eastAsia="Times New Roman"/>
                <w:b/>
                <w:bCs/>
                <w:i/>
                <w:iCs/>
                <w:color w:val="000000"/>
                <w:sz w:val="24"/>
                <w:szCs w:val="24"/>
              </w:rPr>
            </w:pPr>
            <w:r w:rsidRPr="00886FD2">
              <w:rPr>
                <w:rFonts w:eastAsia="Times New Roman"/>
                <w:b/>
                <w:bCs/>
                <w:i/>
                <w:iCs/>
                <w:color w:val="000000"/>
                <w:sz w:val="24"/>
                <w:szCs w:val="24"/>
              </w:rPr>
              <w:t>2022</w:t>
            </w:r>
          </w:p>
        </w:tc>
        <w:tc>
          <w:tcPr>
            <w:tcW w:w="397" w:type="pct"/>
            <w:tcBorders>
              <w:top w:val="nil"/>
              <w:left w:val="nil"/>
              <w:bottom w:val="single" w:sz="4" w:space="0" w:color="auto"/>
              <w:right w:val="single" w:sz="4" w:space="0" w:color="auto"/>
            </w:tcBorders>
            <w:noWrap/>
            <w:vAlign w:val="bottom"/>
            <w:hideMark/>
          </w:tcPr>
          <w:p w14:paraId="4005EEF9" w14:textId="77777777" w:rsidR="00EA21F4" w:rsidRPr="00886FD2" w:rsidRDefault="00EA21F4" w:rsidP="00EA21F4">
            <w:pPr>
              <w:spacing w:after="240" w:line="360" w:lineRule="auto"/>
              <w:jc w:val="center"/>
              <w:rPr>
                <w:rFonts w:eastAsia="Times New Roman"/>
                <w:b/>
                <w:bCs/>
                <w:i/>
                <w:iCs/>
                <w:color w:val="000000"/>
                <w:sz w:val="24"/>
                <w:szCs w:val="24"/>
              </w:rPr>
            </w:pPr>
            <w:r w:rsidRPr="00886FD2">
              <w:rPr>
                <w:rFonts w:eastAsia="Times New Roman"/>
                <w:b/>
                <w:bCs/>
                <w:i/>
                <w:iCs/>
                <w:color w:val="000000"/>
                <w:sz w:val="24"/>
                <w:szCs w:val="24"/>
              </w:rPr>
              <w:t>2023</w:t>
            </w:r>
          </w:p>
        </w:tc>
        <w:tc>
          <w:tcPr>
            <w:tcW w:w="397" w:type="pct"/>
            <w:tcBorders>
              <w:top w:val="nil"/>
              <w:left w:val="nil"/>
              <w:bottom w:val="single" w:sz="4" w:space="0" w:color="auto"/>
              <w:right w:val="single" w:sz="4" w:space="0" w:color="auto"/>
            </w:tcBorders>
            <w:noWrap/>
            <w:vAlign w:val="bottom"/>
            <w:hideMark/>
          </w:tcPr>
          <w:p w14:paraId="3EAD8B2B" w14:textId="77777777" w:rsidR="00EA21F4" w:rsidRPr="00886FD2" w:rsidRDefault="00EA21F4" w:rsidP="00EA21F4">
            <w:pPr>
              <w:spacing w:after="240" w:line="360" w:lineRule="auto"/>
              <w:jc w:val="center"/>
              <w:rPr>
                <w:rFonts w:eastAsia="Times New Roman"/>
                <w:b/>
                <w:bCs/>
                <w:i/>
                <w:iCs/>
                <w:color w:val="000000"/>
                <w:sz w:val="24"/>
                <w:szCs w:val="24"/>
              </w:rPr>
            </w:pPr>
            <w:r w:rsidRPr="00886FD2">
              <w:rPr>
                <w:rFonts w:eastAsia="Times New Roman"/>
                <w:b/>
                <w:bCs/>
                <w:i/>
                <w:iCs/>
                <w:color w:val="000000"/>
                <w:sz w:val="24"/>
                <w:szCs w:val="24"/>
              </w:rPr>
              <w:t>2024</w:t>
            </w:r>
          </w:p>
        </w:tc>
        <w:tc>
          <w:tcPr>
            <w:tcW w:w="397" w:type="pct"/>
            <w:tcBorders>
              <w:top w:val="nil"/>
              <w:left w:val="nil"/>
              <w:bottom w:val="single" w:sz="4" w:space="0" w:color="auto"/>
              <w:right w:val="single" w:sz="4" w:space="0" w:color="auto"/>
            </w:tcBorders>
            <w:noWrap/>
            <w:vAlign w:val="bottom"/>
            <w:hideMark/>
          </w:tcPr>
          <w:p w14:paraId="22C0B9C1" w14:textId="77777777" w:rsidR="00EA21F4" w:rsidRPr="00886FD2" w:rsidRDefault="00EA21F4" w:rsidP="00EA21F4">
            <w:pPr>
              <w:spacing w:after="240" w:line="360" w:lineRule="auto"/>
              <w:jc w:val="center"/>
              <w:rPr>
                <w:rFonts w:eastAsia="Times New Roman"/>
                <w:b/>
                <w:bCs/>
                <w:i/>
                <w:iCs/>
                <w:color w:val="000000"/>
                <w:sz w:val="24"/>
                <w:szCs w:val="24"/>
              </w:rPr>
            </w:pPr>
            <w:r w:rsidRPr="00886FD2">
              <w:rPr>
                <w:rFonts w:eastAsia="Times New Roman"/>
                <w:b/>
                <w:bCs/>
                <w:i/>
                <w:iCs/>
                <w:color w:val="000000"/>
                <w:sz w:val="24"/>
                <w:szCs w:val="24"/>
              </w:rPr>
              <w:t>2025</w:t>
            </w:r>
          </w:p>
        </w:tc>
      </w:tr>
      <w:tr w:rsidR="00EA21F4" w:rsidRPr="00886FD2" w14:paraId="33922247" w14:textId="77777777" w:rsidTr="00EA21F4">
        <w:trPr>
          <w:trHeight w:val="300"/>
        </w:trPr>
        <w:tc>
          <w:tcPr>
            <w:tcW w:w="1306" w:type="pct"/>
            <w:tcBorders>
              <w:top w:val="nil"/>
              <w:left w:val="single" w:sz="4" w:space="0" w:color="auto"/>
              <w:bottom w:val="single" w:sz="4" w:space="0" w:color="auto"/>
              <w:right w:val="single" w:sz="4" w:space="0" w:color="auto"/>
            </w:tcBorders>
            <w:noWrap/>
            <w:vAlign w:val="bottom"/>
            <w:hideMark/>
          </w:tcPr>
          <w:p w14:paraId="416063E8" w14:textId="77777777" w:rsidR="00EA21F4" w:rsidRPr="00886FD2" w:rsidRDefault="00EA21F4" w:rsidP="00EA21F4">
            <w:pPr>
              <w:spacing w:after="240" w:line="360" w:lineRule="auto"/>
              <w:rPr>
                <w:rFonts w:eastAsia="Times New Roman"/>
                <w:color w:val="000000"/>
                <w:sz w:val="24"/>
                <w:szCs w:val="24"/>
              </w:rPr>
            </w:pPr>
            <w:r w:rsidRPr="00886FD2">
              <w:rPr>
                <w:rFonts w:eastAsia="Times New Roman"/>
                <w:color w:val="000000"/>
                <w:sz w:val="24"/>
                <w:szCs w:val="24"/>
              </w:rPr>
              <w:lastRenderedPageBreak/>
              <w:t>Debt Ratio</w:t>
            </w:r>
          </w:p>
        </w:tc>
        <w:tc>
          <w:tcPr>
            <w:tcW w:w="1707" w:type="pct"/>
            <w:tcBorders>
              <w:top w:val="nil"/>
              <w:left w:val="nil"/>
              <w:bottom w:val="single" w:sz="4" w:space="0" w:color="auto"/>
              <w:right w:val="single" w:sz="4" w:space="0" w:color="auto"/>
            </w:tcBorders>
            <w:noWrap/>
            <w:vAlign w:val="bottom"/>
            <w:hideMark/>
          </w:tcPr>
          <w:p w14:paraId="29E582B1" w14:textId="3036A0C9" w:rsidR="00EA21F4" w:rsidRPr="00886FD2" w:rsidRDefault="00EA21F4" w:rsidP="00EA21F4">
            <w:pPr>
              <w:spacing w:after="240" w:line="360" w:lineRule="auto"/>
              <w:rPr>
                <w:rFonts w:eastAsia="Times New Roman"/>
                <w:i/>
                <w:iCs/>
                <w:color w:val="000000"/>
                <w:sz w:val="24"/>
                <w:szCs w:val="24"/>
              </w:rPr>
            </w:pPr>
            <w:r w:rsidRPr="00886FD2">
              <w:rPr>
                <w:rFonts w:eastAsia="Times New Roman"/>
                <w:i/>
                <w:iCs/>
                <w:color w:val="000000"/>
                <w:sz w:val="24"/>
                <w:szCs w:val="24"/>
              </w:rPr>
              <w:t>Total Liabilities/TotalAssets</w:t>
            </w:r>
          </w:p>
        </w:tc>
        <w:tc>
          <w:tcPr>
            <w:tcW w:w="397" w:type="pct"/>
            <w:tcBorders>
              <w:top w:val="nil"/>
              <w:left w:val="nil"/>
              <w:bottom w:val="single" w:sz="4" w:space="0" w:color="auto"/>
              <w:right w:val="single" w:sz="4" w:space="0" w:color="auto"/>
            </w:tcBorders>
            <w:noWrap/>
            <w:vAlign w:val="bottom"/>
            <w:hideMark/>
          </w:tcPr>
          <w:p w14:paraId="64D377BF" w14:textId="77777777" w:rsidR="00EA21F4" w:rsidRPr="00886FD2" w:rsidRDefault="00EA21F4" w:rsidP="00EA21F4">
            <w:pPr>
              <w:spacing w:after="240" w:line="360" w:lineRule="auto"/>
              <w:jc w:val="right"/>
              <w:rPr>
                <w:rFonts w:eastAsia="Times New Roman"/>
                <w:color w:val="000000"/>
                <w:sz w:val="24"/>
                <w:szCs w:val="24"/>
              </w:rPr>
            </w:pPr>
            <w:r w:rsidRPr="00886FD2">
              <w:rPr>
                <w:rFonts w:eastAsia="Times New Roman"/>
                <w:color w:val="000000"/>
                <w:sz w:val="24"/>
                <w:szCs w:val="24"/>
              </w:rPr>
              <w:t>1.05</w:t>
            </w:r>
          </w:p>
        </w:tc>
        <w:tc>
          <w:tcPr>
            <w:tcW w:w="397" w:type="pct"/>
            <w:tcBorders>
              <w:top w:val="nil"/>
              <w:left w:val="nil"/>
              <w:bottom w:val="single" w:sz="4" w:space="0" w:color="auto"/>
              <w:right w:val="single" w:sz="4" w:space="0" w:color="auto"/>
            </w:tcBorders>
            <w:noWrap/>
            <w:vAlign w:val="bottom"/>
            <w:hideMark/>
          </w:tcPr>
          <w:p w14:paraId="1FA5C41D" w14:textId="77777777" w:rsidR="00EA21F4" w:rsidRPr="00886FD2" w:rsidRDefault="00EA21F4" w:rsidP="00EA21F4">
            <w:pPr>
              <w:spacing w:after="240" w:line="360" w:lineRule="auto"/>
              <w:jc w:val="right"/>
              <w:rPr>
                <w:rFonts w:eastAsia="Times New Roman"/>
                <w:color w:val="000000"/>
                <w:sz w:val="24"/>
                <w:szCs w:val="24"/>
              </w:rPr>
            </w:pPr>
            <w:r w:rsidRPr="00886FD2">
              <w:rPr>
                <w:rFonts w:eastAsia="Times New Roman"/>
                <w:color w:val="000000"/>
                <w:sz w:val="24"/>
                <w:szCs w:val="24"/>
              </w:rPr>
              <w:t>1.07</w:t>
            </w:r>
          </w:p>
        </w:tc>
        <w:tc>
          <w:tcPr>
            <w:tcW w:w="397" w:type="pct"/>
            <w:tcBorders>
              <w:top w:val="nil"/>
              <w:left w:val="nil"/>
              <w:bottom w:val="single" w:sz="4" w:space="0" w:color="auto"/>
              <w:right w:val="single" w:sz="4" w:space="0" w:color="auto"/>
            </w:tcBorders>
            <w:noWrap/>
            <w:vAlign w:val="bottom"/>
            <w:hideMark/>
          </w:tcPr>
          <w:p w14:paraId="35614B53" w14:textId="77777777" w:rsidR="00EA21F4" w:rsidRPr="00886FD2" w:rsidRDefault="00EA21F4" w:rsidP="00EA21F4">
            <w:pPr>
              <w:spacing w:after="240" w:line="360" w:lineRule="auto"/>
              <w:jc w:val="right"/>
              <w:rPr>
                <w:rFonts w:eastAsia="Times New Roman"/>
                <w:color w:val="000000"/>
                <w:sz w:val="24"/>
                <w:szCs w:val="24"/>
              </w:rPr>
            </w:pPr>
            <w:r w:rsidRPr="00886FD2">
              <w:rPr>
                <w:rFonts w:eastAsia="Times New Roman"/>
                <w:color w:val="000000"/>
                <w:sz w:val="24"/>
                <w:szCs w:val="24"/>
              </w:rPr>
              <w:t>1.15</w:t>
            </w:r>
          </w:p>
        </w:tc>
        <w:tc>
          <w:tcPr>
            <w:tcW w:w="397" w:type="pct"/>
            <w:tcBorders>
              <w:top w:val="nil"/>
              <w:left w:val="nil"/>
              <w:bottom w:val="single" w:sz="4" w:space="0" w:color="auto"/>
              <w:right w:val="single" w:sz="4" w:space="0" w:color="auto"/>
            </w:tcBorders>
            <w:noWrap/>
            <w:vAlign w:val="bottom"/>
            <w:hideMark/>
          </w:tcPr>
          <w:p w14:paraId="7093913B" w14:textId="77777777" w:rsidR="00EA21F4" w:rsidRPr="00886FD2" w:rsidRDefault="00EA21F4" w:rsidP="00EA21F4">
            <w:pPr>
              <w:spacing w:after="240" w:line="360" w:lineRule="auto"/>
              <w:jc w:val="right"/>
              <w:rPr>
                <w:rFonts w:eastAsia="Times New Roman"/>
                <w:color w:val="000000"/>
                <w:sz w:val="24"/>
                <w:szCs w:val="24"/>
              </w:rPr>
            </w:pPr>
            <w:r w:rsidRPr="00886FD2">
              <w:rPr>
                <w:rFonts w:eastAsia="Times New Roman"/>
                <w:color w:val="000000"/>
                <w:sz w:val="24"/>
                <w:szCs w:val="24"/>
              </w:rPr>
              <w:t>1.22</w:t>
            </w:r>
          </w:p>
        </w:tc>
        <w:tc>
          <w:tcPr>
            <w:tcW w:w="397" w:type="pct"/>
            <w:tcBorders>
              <w:top w:val="nil"/>
              <w:left w:val="nil"/>
              <w:bottom w:val="single" w:sz="4" w:space="0" w:color="auto"/>
              <w:right w:val="single" w:sz="4" w:space="0" w:color="auto"/>
            </w:tcBorders>
            <w:noWrap/>
            <w:vAlign w:val="bottom"/>
            <w:hideMark/>
          </w:tcPr>
          <w:p w14:paraId="68377BB8" w14:textId="77777777" w:rsidR="00EA21F4" w:rsidRPr="00886FD2" w:rsidRDefault="00EA21F4" w:rsidP="00EA21F4">
            <w:pPr>
              <w:spacing w:after="240" w:line="360" w:lineRule="auto"/>
              <w:jc w:val="right"/>
              <w:rPr>
                <w:rFonts w:eastAsia="Times New Roman"/>
                <w:color w:val="000000"/>
                <w:sz w:val="24"/>
                <w:szCs w:val="24"/>
              </w:rPr>
            </w:pPr>
            <w:r w:rsidRPr="00886FD2">
              <w:rPr>
                <w:rFonts w:eastAsia="Times New Roman"/>
                <w:color w:val="000000"/>
                <w:sz w:val="24"/>
                <w:szCs w:val="24"/>
              </w:rPr>
              <w:t>1.32</w:t>
            </w:r>
          </w:p>
        </w:tc>
      </w:tr>
      <w:tr w:rsidR="00EA21F4" w:rsidRPr="00886FD2" w14:paraId="56C90FD7" w14:textId="77777777" w:rsidTr="00EA21F4">
        <w:trPr>
          <w:trHeight w:val="300"/>
        </w:trPr>
        <w:tc>
          <w:tcPr>
            <w:tcW w:w="1306" w:type="pct"/>
            <w:tcBorders>
              <w:top w:val="nil"/>
              <w:left w:val="single" w:sz="4" w:space="0" w:color="auto"/>
              <w:bottom w:val="single" w:sz="4" w:space="0" w:color="auto"/>
              <w:right w:val="single" w:sz="4" w:space="0" w:color="auto"/>
            </w:tcBorders>
            <w:noWrap/>
            <w:vAlign w:val="bottom"/>
            <w:hideMark/>
          </w:tcPr>
          <w:p w14:paraId="0839CEDE" w14:textId="77777777" w:rsidR="00EA21F4" w:rsidRPr="00886FD2" w:rsidRDefault="00EA21F4" w:rsidP="00EA21F4">
            <w:pPr>
              <w:spacing w:after="240" w:line="360" w:lineRule="auto"/>
              <w:rPr>
                <w:rFonts w:eastAsia="Times New Roman"/>
                <w:color w:val="000000"/>
                <w:sz w:val="24"/>
                <w:szCs w:val="24"/>
              </w:rPr>
            </w:pPr>
            <w:r w:rsidRPr="00886FD2">
              <w:rPr>
                <w:rFonts w:eastAsia="Times New Roman"/>
                <w:color w:val="000000"/>
                <w:sz w:val="24"/>
                <w:szCs w:val="24"/>
              </w:rPr>
              <w:t>Debt-to-Equity Ratio</w:t>
            </w:r>
          </w:p>
        </w:tc>
        <w:tc>
          <w:tcPr>
            <w:tcW w:w="1707" w:type="pct"/>
            <w:tcBorders>
              <w:top w:val="nil"/>
              <w:left w:val="nil"/>
              <w:bottom w:val="single" w:sz="4" w:space="0" w:color="auto"/>
              <w:right w:val="single" w:sz="4" w:space="0" w:color="auto"/>
            </w:tcBorders>
            <w:noWrap/>
            <w:vAlign w:val="bottom"/>
            <w:hideMark/>
          </w:tcPr>
          <w:p w14:paraId="2CC1E2A8" w14:textId="6919478A" w:rsidR="00EA21F4" w:rsidRPr="00886FD2" w:rsidRDefault="00EA21F4" w:rsidP="00EA21F4">
            <w:pPr>
              <w:spacing w:after="240" w:line="360" w:lineRule="auto"/>
              <w:rPr>
                <w:rFonts w:eastAsia="Times New Roman"/>
                <w:i/>
                <w:iCs/>
                <w:color w:val="000000"/>
                <w:sz w:val="24"/>
                <w:szCs w:val="24"/>
              </w:rPr>
            </w:pPr>
            <w:r w:rsidRPr="00886FD2">
              <w:rPr>
                <w:rFonts w:eastAsia="Times New Roman"/>
                <w:i/>
                <w:iCs/>
                <w:color w:val="000000"/>
                <w:sz w:val="24"/>
                <w:szCs w:val="24"/>
              </w:rPr>
              <w:t>Long Term Debt/Equity</w:t>
            </w:r>
          </w:p>
        </w:tc>
        <w:tc>
          <w:tcPr>
            <w:tcW w:w="397" w:type="pct"/>
            <w:tcBorders>
              <w:top w:val="nil"/>
              <w:left w:val="nil"/>
              <w:bottom w:val="single" w:sz="4" w:space="0" w:color="auto"/>
              <w:right w:val="single" w:sz="4" w:space="0" w:color="auto"/>
            </w:tcBorders>
            <w:noWrap/>
            <w:vAlign w:val="bottom"/>
            <w:hideMark/>
          </w:tcPr>
          <w:p w14:paraId="25210FDD" w14:textId="77777777" w:rsidR="00EA21F4" w:rsidRPr="00886FD2" w:rsidRDefault="00EA21F4" w:rsidP="00EA21F4">
            <w:pPr>
              <w:spacing w:after="240" w:line="360" w:lineRule="auto"/>
              <w:jc w:val="right"/>
              <w:rPr>
                <w:rFonts w:eastAsia="Times New Roman"/>
                <w:color w:val="000000"/>
                <w:sz w:val="24"/>
                <w:szCs w:val="24"/>
              </w:rPr>
            </w:pPr>
            <w:r w:rsidRPr="00886FD2">
              <w:rPr>
                <w:rFonts w:eastAsia="Times New Roman"/>
                <w:color w:val="000000"/>
                <w:sz w:val="24"/>
                <w:szCs w:val="24"/>
              </w:rPr>
              <w:t>-10.64</w:t>
            </w:r>
          </w:p>
        </w:tc>
        <w:tc>
          <w:tcPr>
            <w:tcW w:w="397" w:type="pct"/>
            <w:tcBorders>
              <w:top w:val="nil"/>
              <w:left w:val="nil"/>
              <w:bottom w:val="single" w:sz="4" w:space="0" w:color="auto"/>
              <w:right w:val="single" w:sz="4" w:space="0" w:color="auto"/>
            </w:tcBorders>
            <w:noWrap/>
            <w:vAlign w:val="bottom"/>
            <w:hideMark/>
          </w:tcPr>
          <w:p w14:paraId="006A5A0B" w14:textId="77777777" w:rsidR="00EA21F4" w:rsidRPr="00886FD2" w:rsidRDefault="00EA21F4" w:rsidP="00EA21F4">
            <w:pPr>
              <w:spacing w:after="240" w:line="360" w:lineRule="auto"/>
              <w:jc w:val="right"/>
              <w:rPr>
                <w:rFonts w:eastAsia="Times New Roman"/>
                <w:color w:val="000000"/>
                <w:sz w:val="24"/>
                <w:szCs w:val="24"/>
              </w:rPr>
            </w:pPr>
            <w:r w:rsidRPr="00886FD2">
              <w:rPr>
                <w:rFonts w:eastAsia="Times New Roman"/>
                <w:color w:val="000000"/>
                <w:sz w:val="24"/>
                <w:szCs w:val="24"/>
              </w:rPr>
              <w:t>-7.93</w:t>
            </w:r>
          </w:p>
        </w:tc>
        <w:tc>
          <w:tcPr>
            <w:tcW w:w="397" w:type="pct"/>
            <w:tcBorders>
              <w:top w:val="nil"/>
              <w:left w:val="nil"/>
              <w:bottom w:val="single" w:sz="4" w:space="0" w:color="auto"/>
              <w:right w:val="single" w:sz="4" w:space="0" w:color="auto"/>
            </w:tcBorders>
            <w:noWrap/>
            <w:vAlign w:val="bottom"/>
            <w:hideMark/>
          </w:tcPr>
          <w:p w14:paraId="0B0D19C9" w14:textId="77777777" w:rsidR="00EA21F4" w:rsidRPr="00886FD2" w:rsidRDefault="00EA21F4" w:rsidP="00EA21F4">
            <w:pPr>
              <w:spacing w:after="240" w:line="360" w:lineRule="auto"/>
              <w:jc w:val="right"/>
              <w:rPr>
                <w:rFonts w:eastAsia="Times New Roman"/>
                <w:color w:val="000000"/>
                <w:sz w:val="24"/>
                <w:szCs w:val="24"/>
              </w:rPr>
            </w:pPr>
            <w:r w:rsidRPr="00886FD2">
              <w:rPr>
                <w:rFonts w:eastAsia="Times New Roman"/>
                <w:color w:val="000000"/>
                <w:sz w:val="24"/>
                <w:szCs w:val="24"/>
              </w:rPr>
              <w:t>-3.90</w:t>
            </w:r>
          </w:p>
        </w:tc>
        <w:tc>
          <w:tcPr>
            <w:tcW w:w="397" w:type="pct"/>
            <w:tcBorders>
              <w:top w:val="nil"/>
              <w:left w:val="nil"/>
              <w:bottom w:val="single" w:sz="4" w:space="0" w:color="auto"/>
              <w:right w:val="single" w:sz="4" w:space="0" w:color="auto"/>
            </w:tcBorders>
            <w:noWrap/>
            <w:vAlign w:val="bottom"/>
            <w:hideMark/>
          </w:tcPr>
          <w:p w14:paraId="10A2F9EF" w14:textId="77777777" w:rsidR="00EA21F4" w:rsidRPr="00886FD2" w:rsidRDefault="00EA21F4" w:rsidP="00EA21F4">
            <w:pPr>
              <w:spacing w:after="240" w:line="360" w:lineRule="auto"/>
              <w:jc w:val="right"/>
              <w:rPr>
                <w:rFonts w:eastAsia="Times New Roman"/>
                <w:color w:val="000000"/>
                <w:sz w:val="24"/>
                <w:szCs w:val="24"/>
              </w:rPr>
            </w:pPr>
            <w:r w:rsidRPr="00886FD2">
              <w:rPr>
                <w:rFonts w:eastAsia="Times New Roman"/>
                <w:color w:val="000000"/>
                <w:sz w:val="24"/>
                <w:szCs w:val="24"/>
              </w:rPr>
              <w:t>-2.86</w:t>
            </w:r>
          </w:p>
        </w:tc>
        <w:tc>
          <w:tcPr>
            <w:tcW w:w="397" w:type="pct"/>
            <w:tcBorders>
              <w:top w:val="nil"/>
              <w:left w:val="nil"/>
              <w:bottom w:val="single" w:sz="4" w:space="0" w:color="auto"/>
              <w:right w:val="single" w:sz="4" w:space="0" w:color="auto"/>
            </w:tcBorders>
            <w:noWrap/>
            <w:vAlign w:val="bottom"/>
            <w:hideMark/>
          </w:tcPr>
          <w:p w14:paraId="575AF07F" w14:textId="77777777" w:rsidR="00EA21F4" w:rsidRPr="00886FD2" w:rsidRDefault="00EA21F4" w:rsidP="00EA21F4">
            <w:pPr>
              <w:spacing w:after="240" w:line="360" w:lineRule="auto"/>
              <w:jc w:val="right"/>
              <w:rPr>
                <w:rFonts w:eastAsia="Times New Roman"/>
                <w:color w:val="000000"/>
                <w:sz w:val="24"/>
                <w:szCs w:val="24"/>
              </w:rPr>
            </w:pPr>
            <w:r w:rsidRPr="00886FD2">
              <w:rPr>
                <w:rFonts w:eastAsia="Times New Roman"/>
                <w:color w:val="000000"/>
                <w:sz w:val="24"/>
                <w:szCs w:val="24"/>
              </w:rPr>
              <w:t>-2.30</w:t>
            </w:r>
          </w:p>
        </w:tc>
      </w:tr>
      <w:tr w:rsidR="00EA21F4" w:rsidRPr="00886FD2" w14:paraId="2DCE3E19" w14:textId="77777777" w:rsidTr="00EA21F4">
        <w:trPr>
          <w:trHeight w:val="300"/>
        </w:trPr>
        <w:tc>
          <w:tcPr>
            <w:tcW w:w="1306" w:type="pct"/>
            <w:tcBorders>
              <w:top w:val="nil"/>
              <w:left w:val="single" w:sz="4" w:space="0" w:color="auto"/>
              <w:bottom w:val="single" w:sz="4" w:space="0" w:color="auto"/>
              <w:right w:val="single" w:sz="4" w:space="0" w:color="auto"/>
            </w:tcBorders>
            <w:noWrap/>
            <w:vAlign w:val="bottom"/>
            <w:hideMark/>
          </w:tcPr>
          <w:p w14:paraId="7A718936" w14:textId="77777777" w:rsidR="00EA21F4" w:rsidRPr="00886FD2" w:rsidRDefault="00EA21F4" w:rsidP="00EA21F4">
            <w:pPr>
              <w:spacing w:after="240" w:line="360" w:lineRule="auto"/>
              <w:rPr>
                <w:rFonts w:eastAsia="Times New Roman"/>
                <w:color w:val="000000"/>
                <w:sz w:val="24"/>
                <w:szCs w:val="24"/>
              </w:rPr>
            </w:pPr>
            <w:r w:rsidRPr="00886FD2">
              <w:rPr>
                <w:rFonts w:eastAsia="Times New Roman"/>
                <w:color w:val="000000"/>
                <w:sz w:val="24"/>
                <w:szCs w:val="24"/>
              </w:rPr>
              <w:t>Equity Ratio</w:t>
            </w:r>
          </w:p>
        </w:tc>
        <w:tc>
          <w:tcPr>
            <w:tcW w:w="1707" w:type="pct"/>
            <w:tcBorders>
              <w:top w:val="nil"/>
              <w:left w:val="nil"/>
              <w:bottom w:val="single" w:sz="4" w:space="0" w:color="auto"/>
              <w:right w:val="single" w:sz="4" w:space="0" w:color="auto"/>
            </w:tcBorders>
            <w:noWrap/>
            <w:vAlign w:val="bottom"/>
            <w:hideMark/>
          </w:tcPr>
          <w:p w14:paraId="70A9E236" w14:textId="77777777" w:rsidR="00EA21F4" w:rsidRPr="00886FD2" w:rsidRDefault="00EA21F4" w:rsidP="00EA21F4">
            <w:pPr>
              <w:spacing w:after="240" w:line="360" w:lineRule="auto"/>
              <w:rPr>
                <w:rFonts w:eastAsia="Times New Roman"/>
                <w:i/>
                <w:iCs/>
                <w:color w:val="000000"/>
                <w:sz w:val="24"/>
                <w:szCs w:val="24"/>
              </w:rPr>
            </w:pPr>
            <w:r w:rsidRPr="00886FD2">
              <w:rPr>
                <w:rFonts w:eastAsia="Times New Roman"/>
                <w:i/>
                <w:iCs/>
                <w:color w:val="000000"/>
                <w:sz w:val="24"/>
                <w:szCs w:val="24"/>
              </w:rPr>
              <w:t>Equity/TotalAssets</w:t>
            </w:r>
          </w:p>
        </w:tc>
        <w:tc>
          <w:tcPr>
            <w:tcW w:w="397" w:type="pct"/>
            <w:tcBorders>
              <w:top w:val="nil"/>
              <w:left w:val="nil"/>
              <w:bottom w:val="single" w:sz="4" w:space="0" w:color="auto"/>
              <w:right w:val="single" w:sz="4" w:space="0" w:color="auto"/>
            </w:tcBorders>
            <w:noWrap/>
            <w:vAlign w:val="bottom"/>
            <w:hideMark/>
          </w:tcPr>
          <w:p w14:paraId="40582CBA" w14:textId="77777777" w:rsidR="00EA21F4" w:rsidRPr="00886FD2" w:rsidRDefault="00EA21F4" w:rsidP="00EA21F4">
            <w:pPr>
              <w:spacing w:after="240" w:line="360" w:lineRule="auto"/>
              <w:jc w:val="right"/>
              <w:rPr>
                <w:rFonts w:eastAsia="Times New Roman"/>
                <w:color w:val="000000"/>
                <w:sz w:val="24"/>
                <w:szCs w:val="24"/>
              </w:rPr>
            </w:pPr>
            <w:r w:rsidRPr="00886FD2">
              <w:rPr>
                <w:rFonts w:eastAsia="Times New Roman"/>
                <w:color w:val="000000"/>
                <w:sz w:val="24"/>
                <w:szCs w:val="24"/>
              </w:rPr>
              <w:t>-0.05</w:t>
            </w:r>
          </w:p>
        </w:tc>
        <w:tc>
          <w:tcPr>
            <w:tcW w:w="397" w:type="pct"/>
            <w:tcBorders>
              <w:top w:val="nil"/>
              <w:left w:val="nil"/>
              <w:bottom w:val="single" w:sz="4" w:space="0" w:color="auto"/>
              <w:right w:val="single" w:sz="4" w:space="0" w:color="auto"/>
            </w:tcBorders>
            <w:noWrap/>
            <w:vAlign w:val="bottom"/>
            <w:hideMark/>
          </w:tcPr>
          <w:p w14:paraId="11B89FD5" w14:textId="77777777" w:rsidR="00EA21F4" w:rsidRPr="00886FD2" w:rsidRDefault="00EA21F4" w:rsidP="00EA21F4">
            <w:pPr>
              <w:spacing w:after="240" w:line="360" w:lineRule="auto"/>
              <w:jc w:val="right"/>
              <w:rPr>
                <w:rFonts w:eastAsia="Times New Roman"/>
                <w:color w:val="000000"/>
                <w:sz w:val="24"/>
                <w:szCs w:val="24"/>
              </w:rPr>
            </w:pPr>
            <w:r w:rsidRPr="00886FD2">
              <w:rPr>
                <w:rFonts w:eastAsia="Times New Roman"/>
                <w:color w:val="000000"/>
                <w:sz w:val="24"/>
                <w:szCs w:val="24"/>
              </w:rPr>
              <w:t>-0.07</w:t>
            </w:r>
          </w:p>
        </w:tc>
        <w:tc>
          <w:tcPr>
            <w:tcW w:w="397" w:type="pct"/>
            <w:tcBorders>
              <w:top w:val="nil"/>
              <w:left w:val="nil"/>
              <w:bottom w:val="single" w:sz="4" w:space="0" w:color="auto"/>
              <w:right w:val="single" w:sz="4" w:space="0" w:color="auto"/>
            </w:tcBorders>
            <w:noWrap/>
            <w:vAlign w:val="bottom"/>
            <w:hideMark/>
          </w:tcPr>
          <w:p w14:paraId="72D8740F" w14:textId="77777777" w:rsidR="00EA21F4" w:rsidRPr="00886FD2" w:rsidRDefault="00EA21F4" w:rsidP="00EA21F4">
            <w:pPr>
              <w:spacing w:after="240" w:line="360" w:lineRule="auto"/>
              <w:jc w:val="right"/>
              <w:rPr>
                <w:rFonts w:eastAsia="Times New Roman"/>
                <w:color w:val="000000"/>
                <w:sz w:val="24"/>
                <w:szCs w:val="24"/>
              </w:rPr>
            </w:pPr>
            <w:r w:rsidRPr="00886FD2">
              <w:rPr>
                <w:rFonts w:eastAsia="Times New Roman"/>
                <w:color w:val="000000"/>
                <w:sz w:val="24"/>
                <w:szCs w:val="24"/>
              </w:rPr>
              <w:t>-0.15</w:t>
            </w:r>
          </w:p>
        </w:tc>
        <w:tc>
          <w:tcPr>
            <w:tcW w:w="397" w:type="pct"/>
            <w:tcBorders>
              <w:top w:val="nil"/>
              <w:left w:val="nil"/>
              <w:bottom w:val="single" w:sz="4" w:space="0" w:color="auto"/>
              <w:right w:val="single" w:sz="4" w:space="0" w:color="auto"/>
            </w:tcBorders>
            <w:noWrap/>
            <w:vAlign w:val="bottom"/>
            <w:hideMark/>
          </w:tcPr>
          <w:p w14:paraId="74E960CD" w14:textId="77777777" w:rsidR="00EA21F4" w:rsidRPr="00886FD2" w:rsidRDefault="00EA21F4" w:rsidP="00EA21F4">
            <w:pPr>
              <w:spacing w:after="240" w:line="360" w:lineRule="auto"/>
              <w:jc w:val="right"/>
              <w:rPr>
                <w:rFonts w:eastAsia="Times New Roman"/>
                <w:color w:val="000000"/>
                <w:sz w:val="24"/>
                <w:szCs w:val="24"/>
              </w:rPr>
            </w:pPr>
            <w:r w:rsidRPr="00886FD2">
              <w:rPr>
                <w:rFonts w:eastAsia="Times New Roman"/>
                <w:color w:val="000000"/>
                <w:sz w:val="24"/>
                <w:szCs w:val="24"/>
              </w:rPr>
              <w:t>-0.22</w:t>
            </w:r>
          </w:p>
        </w:tc>
        <w:tc>
          <w:tcPr>
            <w:tcW w:w="397" w:type="pct"/>
            <w:tcBorders>
              <w:top w:val="nil"/>
              <w:left w:val="nil"/>
              <w:bottom w:val="single" w:sz="4" w:space="0" w:color="auto"/>
              <w:right w:val="single" w:sz="4" w:space="0" w:color="auto"/>
            </w:tcBorders>
            <w:noWrap/>
            <w:vAlign w:val="bottom"/>
            <w:hideMark/>
          </w:tcPr>
          <w:p w14:paraId="38339454" w14:textId="77777777" w:rsidR="00EA21F4" w:rsidRPr="00886FD2" w:rsidRDefault="00EA21F4" w:rsidP="00EA21F4">
            <w:pPr>
              <w:spacing w:after="240" w:line="360" w:lineRule="auto"/>
              <w:jc w:val="right"/>
              <w:rPr>
                <w:rFonts w:eastAsia="Times New Roman"/>
                <w:color w:val="000000"/>
                <w:sz w:val="24"/>
                <w:szCs w:val="24"/>
              </w:rPr>
            </w:pPr>
            <w:r w:rsidRPr="00886FD2">
              <w:rPr>
                <w:rFonts w:eastAsia="Times New Roman"/>
                <w:color w:val="000000"/>
                <w:sz w:val="24"/>
                <w:szCs w:val="24"/>
              </w:rPr>
              <w:t>-0.32</w:t>
            </w:r>
          </w:p>
        </w:tc>
      </w:tr>
      <w:tr w:rsidR="00EA21F4" w:rsidRPr="00886FD2" w14:paraId="54027B93" w14:textId="77777777" w:rsidTr="00EA21F4">
        <w:trPr>
          <w:trHeight w:val="300"/>
        </w:trPr>
        <w:tc>
          <w:tcPr>
            <w:tcW w:w="1306" w:type="pct"/>
            <w:tcBorders>
              <w:top w:val="nil"/>
              <w:left w:val="single" w:sz="4" w:space="0" w:color="auto"/>
              <w:bottom w:val="single" w:sz="4" w:space="0" w:color="auto"/>
              <w:right w:val="single" w:sz="4" w:space="0" w:color="auto"/>
            </w:tcBorders>
            <w:noWrap/>
            <w:vAlign w:val="bottom"/>
            <w:hideMark/>
          </w:tcPr>
          <w:p w14:paraId="5C3107EB" w14:textId="77777777" w:rsidR="00EA21F4" w:rsidRPr="00886FD2" w:rsidRDefault="00EA21F4" w:rsidP="00EA21F4">
            <w:pPr>
              <w:spacing w:after="240" w:line="360" w:lineRule="auto"/>
              <w:rPr>
                <w:rFonts w:eastAsia="Times New Roman"/>
                <w:b/>
                <w:bCs/>
                <w:color w:val="000000"/>
                <w:sz w:val="24"/>
                <w:szCs w:val="24"/>
              </w:rPr>
            </w:pPr>
            <w:r w:rsidRPr="00886FD2">
              <w:rPr>
                <w:rFonts w:eastAsia="Times New Roman"/>
                <w:b/>
                <w:bCs/>
                <w:color w:val="000000"/>
                <w:sz w:val="24"/>
                <w:szCs w:val="24"/>
              </w:rPr>
              <w:t>Investment Ratios</w:t>
            </w:r>
          </w:p>
        </w:tc>
        <w:tc>
          <w:tcPr>
            <w:tcW w:w="1707" w:type="pct"/>
            <w:tcBorders>
              <w:top w:val="nil"/>
              <w:left w:val="nil"/>
              <w:bottom w:val="single" w:sz="4" w:space="0" w:color="auto"/>
              <w:right w:val="single" w:sz="4" w:space="0" w:color="auto"/>
            </w:tcBorders>
            <w:noWrap/>
            <w:vAlign w:val="bottom"/>
            <w:hideMark/>
          </w:tcPr>
          <w:p w14:paraId="60099D1C" w14:textId="77777777" w:rsidR="00EA21F4" w:rsidRPr="00886FD2" w:rsidRDefault="00EA21F4" w:rsidP="00EA21F4">
            <w:pPr>
              <w:spacing w:after="240" w:line="360" w:lineRule="auto"/>
              <w:rPr>
                <w:rFonts w:eastAsia="Times New Roman"/>
                <w:b/>
                <w:bCs/>
                <w:color w:val="000000"/>
                <w:sz w:val="24"/>
                <w:szCs w:val="24"/>
              </w:rPr>
            </w:pPr>
            <w:r w:rsidRPr="00886FD2">
              <w:rPr>
                <w:rFonts w:eastAsia="Times New Roman"/>
                <w:b/>
                <w:bCs/>
                <w:color w:val="000000"/>
                <w:sz w:val="24"/>
                <w:szCs w:val="24"/>
              </w:rPr>
              <w:t>Formula</w:t>
            </w:r>
          </w:p>
        </w:tc>
        <w:tc>
          <w:tcPr>
            <w:tcW w:w="397" w:type="pct"/>
            <w:tcBorders>
              <w:top w:val="nil"/>
              <w:left w:val="nil"/>
              <w:bottom w:val="single" w:sz="4" w:space="0" w:color="auto"/>
              <w:right w:val="single" w:sz="4" w:space="0" w:color="auto"/>
            </w:tcBorders>
            <w:noWrap/>
            <w:vAlign w:val="bottom"/>
            <w:hideMark/>
          </w:tcPr>
          <w:p w14:paraId="6BDD13BC" w14:textId="77777777" w:rsidR="00EA21F4" w:rsidRPr="00886FD2" w:rsidRDefault="00EA21F4" w:rsidP="00EA21F4">
            <w:pPr>
              <w:spacing w:after="240" w:line="360" w:lineRule="auto"/>
              <w:jc w:val="center"/>
              <w:rPr>
                <w:rFonts w:eastAsia="Times New Roman"/>
                <w:b/>
                <w:bCs/>
                <w:i/>
                <w:iCs/>
                <w:color w:val="000000"/>
                <w:sz w:val="24"/>
                <w:szCs w:val="24"/>
              </w:rPr>
            </w:pPr>
            <w:r w:rsidRPr="00886FD2">
              <w:rPr>
                <w:rFonts w:eastAsia="Times New Roman"/>
                <w:b/>
                <w:bCs/>
                <w:i/>
                <w:iCs/>
                <w:color w:val="000000"/>
                <w:sz w:val="24"/>
                <w:szCs w:val="24"/>
              </w:rPr>
              <w:t>2021</w:t>
            </w:r>
          </w:p>
        </w:tc>
        <w:tc>
          <w:tcPr>
            <w:tcW w:w="397" w:type="pct"/>
            <w:tcBorders>
              <w:top w:val="nil"/>
              <w:left w:val="nil"/>
              <w:bottom w:val="single" w:sz="4" w:space="0" w:color="auto"/>
              <w:right w:val="single" w:sz="4" w:space="0" w:color="auto"/>
            </w:tcBorders>
            <w:noWrap/>
            <w:vAlign w:val="bottom"/>
            <w:hideMark/>
          </w:tcPr>
          <w:p w14:paraId="1B4B07F6" w14:textId="77777777" w:rsidR="00EA21F4" w:rsidRPr="00886FD2" w:rsidRDefault="00EA21F4" w:rsidP="00EA21F4">
            <w:pPr>
              <w:spacing w:after="240" w:line="360" w:lineRule="auto"/>
              <w:jc w:val="center"/>
              <w:rPr>
                <w:rFonts w:eastAsia="Times New Roman"/>
                <w:b/>
                <w:bCs/>
                <w:i/>
                <w:iCs/>
                <w:color w:val="000000"/>
                <w:sz w:val="24"/>
                <w:szCs w:val="24"/>
              </w:rPr>
            </w:pPr>
            <w:r w:rsidRPr="00886FD2">
              <w:rPr>
                <w:rFonts w:eastAsia="Times New Roman"/>
                <w:b/>
                <w:bCs/>
                <w:i/>
                <w:iCs/>
                <w:color w:val="000000"/>
                <w:sz w:val="24"/>
                <w:szCs w:val="24"/>
              </w:rPr>
              <w:t>2022</w:t>
            </w:r>
          </w:p>
        </w:tc>
        <w:tc>
          <w:tcPr>
            <w:tcW w:w="397" w:type="pct"/>
            <w:tcBorders>
              <w:top w:val="nil"/>
              <w:left w:val="nil"/>
              <w:bottom w:val="single" w:sz="4" w:space="0" w:color="auto"/>
              <w:right w:val="single" w:sz="4" w:space="0" w:color="auto"/>
            </w:tcBorders>
            <w:noWrap/>
            <w:vAlign w:val="bottom"/>
            <w:hideMark/>
          </w:tcPr>
          <w:p w14:paraId="287D3B2A" w14:textId="77777777" w:rsidR="00EA21F4" w:rsidRPr="00886FD2" w:rsidRDefault="00EA21F4" w:rsidP="00EA21F4">
            <w:pPr>
              <w:spacing w:after="240" w:line="360" w:lineRule="auto"/>
              <w:jc w:val="center"/>
              <w:rPr>
                <w:rFonts w:eastAsia="Times New Roman"/>
                <w:b/>
                <w:bCs/>
                <w:i/>
                <w:iCs/>
                <w:color w:val="000000"/>
                <w:sz w:val="24"/>
                <w:szCs w:val="24"/>
              </w:rPr>
            </w:pPr>
            <w:r w:rsidRPr="00886FD2">
              <w:rPr>
                <w:rFonts w:eastAsia="Times New Roman"/>
                <w:b/>
                <w:bCs/>
                <w:i/>
                <w:iCs/>
                <w:color w:val="000000"/>
                <w:sz w:val="24"/>
                <w:szCs w:val="24"/>
              </w:rPr>
              <w:t>2023</w:t>
            </w:r>
          </w:p>
        </w:tc>
        <w:tc>
          <w:tcPr>
            <w:tcW w:w="397" w:type="pct"/>
            <w:tcBorders>
              <w:top w:val="nil"/>
              <w:left w:val="nil"/>
              <w:bottom w:val="single" w:sz="4" w:space="0" w:color="auto"/>
              <w:right w:val="single" w:sz="4" w:space="0" w:color="auto"/>
            </w:tcBorders>
            <w:noWrap/>
            <w:vAlign w:val="bottom"/>
            <w:hideMark/>
          </w:tcPr>
          <w:p w14:paraId="67538915" w14:textId="77777777" w:rsidR="00EA21F4" w:rsidRPr="00886FD2" w:rsidRDefault="00EA21F4" w:rsidP="00EA21F4">
            <w:pPr>
              <w:spacing w:after="240" w:line="360" w:lineRule="auto"/>
              <w:jc w:val="center"/>
              <w:rPr>
                <w:rFonts w:eastAsia="Times New Roman"/>
                <w:b/>
                <w:bCs/>
                <w:i/>
                <w:iCs/>
                <w:color w:val="000000"/>
                <w:sz w:val="24"/>
                <w:szCs w:val="24"/>
              </w:rPr>
            </w:pPr>
            <w:r w:rsidRPr="00886FD2">
              <w:rPr>
                <w:rFonts w:eastAsia="Times New Roman"/>
                <w:b/>
                <w:bCs/>
                <w:i/>
                <w:iCs/>
                <w:color w:val="000000"/>
                <w:sz w:val="24"/>
                <w:szCs w:val="24"/>
              </w:rPr>
              <w:t>2024</w:t>
            </w:r>
          </w:p>
        </w:tc>
        <w:tc>
          <w:tcPr>
            <w:tcW w:w="397" w:type="pct"/>
            <w:tcBorders>
              <w:top w:val="nil"/>
              <w:left w:val="nil"/>
              <w:bottom w:val="single" w:sz="4" w:space="0" w:color="auto"/>
              <w:right w:val="single" w:sz="4" w:space="0" w:color="auto"/>
            </w:tcBorders>
            <w:noWrap/>
            <w:vAlign w:val="bottom"/>
            <w:hideMark/>
          </w:tcPr>
          <w:p w14:paraId="0ABEC7C5" w14:textId="77777777" w:rsidR="00EA21F4" w:rsidRPr="00886FD2" w:rsidRDefault="00EA21F4" w:rsidP="00EA21F4">
            <w:pPr>
              <w:spacing w:after="240" w:line="360" w:lineRule="auto"/>
              <w:jc w:val="center"/>
              <w:rPr>
                <w:rFonts w:eastAsia="Times New Roman"/>
                <w:b/>
                <w:bCs/>
                <w:i/>
                <w:iCs/>
                <w:color w:val="000000"/>
                <w:sz w:val="24"/>
                <w:szCs w:val="24"/>
              </w:rPr>
            </w:pPr>
            <w:r w:rsidRPr="00886FD2">
              <w:rPr>
                <w:rFonts w:eastAsia="Times New Roman"/>
                <w:b/>
                <w:bCs/>
                <w:i/>
                <w:iCs/>
                <w:color w:val="000000"/>
                <w:sz w:val="24"/>
                <w:szCs w:val="24"/>
              </w:rPr>
              <w:t>2025</w:t>
            </w:r>
          </w:p>
        </w:tc>
      </w:tr>
      <w:tr w:rsidR="00EA21F4" w:rsidRPr="00886FD2" w14:paraId="5EDAA843" w14:textId="77777777" w:rsidTr="00EA21F4">
        <w:trPr>
          <w:trHeight w:val="300"/>
        </w:trPr>
        <w:tc>
          <w:tcPr>
            <w:tcW w:w="1306" w:type="pct"/>
            <w:tcBorders>
              <w:top w:val="nil"/>
              <w:left w:val="single" w:sz="4" w:space="0" w:color="auto"/>
              <w:bottom w:val="single" w:sz="4" w:space="0" w:color="auto"/>
              <w:right w:val="single" w:sz="4" w:space="0" w:color="auto"/>
            </w:tcBorders>
            <w:noWrap/>
            <w:vAlign w:val="center"/>
            <w:hideMark/>
          </w:tcPr>
          <w:p w14:paraId="7E4B9A47" w14:textId="77777777" w:rsidR="00EA21F4" w:rsidRPr="00886FD2" w:rsidRDefault="00EA21F4" w:rsidP="00EA21F4">
            <w:pPr>
              <w:spacing w:after="240" w:line="360" w:lineRule="auto"/>
              <w:rPr>
                <w:rFonts w:eastAsia="Times New Roman"/>
                <w:color w:val="000000"/>
                <w:sz w:val="24"/>
                <w:szCs w:val="24"/>
              </w:rPr>
            </w:pPr>
            <w:r w:rsidRPr="00886FD2">
              <w:rPr>
                <w:rFonts w:eastAsia="Times New Roman"/>
                <w:color w:val="000000"/>
                <w:sz w:val="24"/>
                <w:szCs w:val="24"/>
              </w:rPr>
              <w:t>Earnings per Share ($)</w:t>
            </w:r>
          </w:p>
        </w:tc>
        <w:tc>
          <w:tcPr>
            <w:tcW w:w="1707" w:type="pct"/>
            <w:tcBorders>
              <w:top w:val="nil"/>
              <w:left w:val="nil"/>
              <w:bottom w:val="single" w:sz="4" w:space="0" w:color="auto"/>
              <w:right w:val="single" w:sz="4" w:space="0" w:color="auto"/>
            </w:tcBorders>
            <w:noWrap/>
            <w:vAlign w:val="center"/>
            <w:hideMark/>
          </w:tcPr>
          <w:p w14:paraId="356A9ADE" w14:textId="1D062E92" w:rsidR="00EA21F4" w:rsidRPr="00886FD2" w:rsidRDefault="00EA21F4" w:rsidP="00EA21F4">
            <w:pPr>
              <w:spacing w:after="240" w:line="360" w:lineRule="auto"/>
              <w:rPr>
                <w:rFonts w:eastAsia="Times New Roman"/>
                <w:i/>
                <w:iCs/>
                <w:color w:val="000000"/>
                <w:sz w:val="24"/>
                <w:szCs w:val="24"/>
              </w:rPr>
            </w:pPr>
            <w:r w:rsidRPr="00886FD2">
              <w:rPr>
                <w:rFonts w:eastAsia="Times New Roman"/>
                <w:i/>
                <w:iCs/>
                <w:color w:val="000000"/>
                <w:sz w:val="24"/>
                <w:szCs w:val="24"/>
              </w:rPr>
              <w:t>Net Income/Shares Outstanding</w:t>
            </w:r>
          </w:p>
        </w:tc>
        <w:tc>
          <w:tcPr>
            <w:tcW w:w="397" w:type="pct"/>
            <w:tcBorders>
              <w:top w:val="nil"/>
              <w:left w:val="nil"/>
              <w:bottom w:val="single" w:sz="4" w:space="0" w:color="auto"/>
              <w:right w:val="single" w:sz="4" w:space="0" w:color="auto"/>
            </w:tcBorders>
            <w:vAlign w:val="center"/>
            <w:hideMark/>
          </w:tcPr>
          <w:p w14:paraId="55C400E7" w14:textId="77777777" w:rsidR="00EA21F4" w:rsidRPr="00886FD2" w:rsidRDefault="00EA21F4" w:rsidP="00EA21F4">
            <w:pPr>
              <w:spacing w:after="240" w:line="360" w:lineRule="auto"/>
              <w:jc w:val="right"/>
              <w:rPr>
                <w:rFonts w:eastAsia="Times New Roman"/>
                <w:color w:val="000000"/>
                <w:sz w:val="24"/>
                <w:szCs w:val="24"/>
              </w:rPr>
            </w:pPr>
            <w:r w:rsidRPr="00886FD2">
              <w:rPr>
                <w:rFonts w:eastAsia="Times New Roman"/>
                <w:color w:val="000000"/>
                <w:sz w:val="24"/>
                <w:szCs w:val="24"/>
              </w:rPr>
              <w:t>1.460</w:t>
            </w:r>
          </w:p>
        </w:tc>
        <w:tc>
          <w:tcPr>
            <w:tcW w:w="397" w:type="pct"/>
            <w:tcBorders>
              <w:top w:val="nil"/>
              <w:left w:val="nil"/>
              <w:bottom w:val="single" w:sz="4" w:space="0" w:color="auto"/>
              <w:right w:val="single" w:sz="4" w:space="0" w:color="auto"/>
            </w:tcBorders>
            <w:vAlign w:val="center"/>
            <w:hideMark/>
          </w:tcPr>
          <w:p w14:paraId="5B6377FB" w14:textId="77777777" w:rsidR="00EA21F4" w:rsidRPr="00886FD2" w:rsidRDefault="00EA21F4" w:rsidP="00EA21F4">
            <w:pPr>
              <w:spacing w:after="240" w:line="360" w:lineRule="auto"/>
              <w:jc w:val="right"/>
              <w:rPr>
                <w:rFonts w:eastAsia="Times New Roman"/>
                <w:color w:val="000000"/>
                <w:sz w:val="24"/>
                <w:szCs w:val="24"/>
              </w:rPr>
            </w:pPr>
            <w:r w:rsidRPr="00886FD2">
              <w:rPr>
                <w:rFonts w:eastAsia="Times New Roman"/>
                <w:color w:val="000000"/>
                <w:sz w:val="24"/>
                <w:szCs w:val="24"/>
              </w:rPr>
              <w:t>4.530</w:t>
            </w:r>
          </w:p>
        </w:tc>
        <w:tc>
          <w:tcPr>
            <w:tcW w:w="397" w:type="pct"/>
            <w:tcBorders>
              <w:top w:val="nil"/>
              <w:left w:val="nil"/>
              <w:bottom w:val="single" w:sz="4" w:space="0" w:color="auto"/>
              <w:right w:val="single" w:sz="4" w:space="0" w:color="auto"/>
            </w:tcBorders>
            <w:vAlign w:val="center"/>
            <w:hideMark/>
          </w:tcPr>
          <w:p w14:paraId="11FEBEC3" w14:textId="77777777" w:rsidR="00EA21F4" w:rsidRPr="00886FD2" w:rsidRDefault="00EA21F4" w:rsidP="00EA21F4">
            <w:pPr>
              <w:spacing w:after="240" w:line="360" w:lineRule="auto"/>
              <w:jc w:val="right"/>
              <w:rPr>
                <w:rFonts w:eastAsia="Times New Roman"/>
                <w:color w:val="000000"/>
                <w:sz w:val="24"/>
                <w:szCs w:val="24"/>
              </w:rPr>
            </w:pPr>
            <w:r w:rsidRPr="00886FD2">
              <w:rPr>
                <w:rFonts w:eastAsia="Times New Roman"/>
                <w:color w:val="000000"/>
                <w:sz w:val="24"/>
                <w:szCs w:val="24"/>
              </w:rPr>
              <w:t>4.330</w:t>
            </w:r>
          </w:p>
        </w:tc>
        <w:tc>
          <w:tcPr>
            <w:tcW w:w="397" w:type="pct"/>
            <w:tcBorders>
              <w:top w:val="nil"/>
              <w:left w:val="nil"/>
              <w:bottom w:val="single" w:sz="4" w:space="0" w:color="auto"/>
              <w:right w:val="single" w:sz="4" w:space="0" w:color="auto"/>
            </w:tcBorders>
            <w:vAlign w:val="center"/>
            <w:hideMark/>
          </w:tcPr>
          <w:p w14:paraId="74E90BDD" w14:textId="77777777" w:rsidR="00EA21F4" w:rsidRPr="00886FD2" w:rsidRDefault="00EA21F4" w:rsidP="00EA21F4">
            <w:pPr>
              <w:spacing w:after="240" w:line="360" w:lineRule="auto"/>
              <w:jc w:val="right"/>
              <w:rPr>
                <w:rFonts w:eastAsia="Times New Roman"/>
                <w:color w:val="000000"/>
                <w:sz w:val="24"/>
                <w:szCs w:val="24"/>
              </w:rPr>
            </w:pPr>
            <w:r w:rsidRPr="00886FD2">
              <w:rPr>
                <w:rFonts w:eastAsia="Times New Roman"/>
                <w:color w:val="000000"/>
                <w:sz w:val="24"/>
                <w:szCs w:val="24"/>
              </w:rPr>
              <w:t>6.140</w:t>
            </w:r>
          </w:p>
        </w:tc>
        <w:tc>
          <w:tcPr>
            <w:tcW w:w="397" w:type="pct"/>
            <w:tcBorders>
              <w:top w:val="nil"/>
              <w:left w:val="nil"/>
              <w:bottom w:val="single" w:sz="4" w:space="0" w:color="auto"/>
              <w:right w:val="single" w:sz="4" w:space="0" w:color="auto"/>
            </w:tcBorders>
            <w:vAlign w:val="center"/>
            <w:hideMark/>
          </w:tcPr>
          <w:p w14:paraId="2B791300" w14:textId="77777777" w:rsidR="00EA21F4" w:rsidRPr="00886FD2" w:rsidRDefault="00EA21F4" w:rsidP="00EA21F4">
            <w:pPr>
              <w:spacing w:after="240" w:line="360" w:lineRule="auto"/>
              <w:jc w:val="right"/>
              <w:rPr>
                <w:rFonts w:eastAsia="Times New Roman"/>
                <w:color w:val="000000"/>
                <w:sz w:val="24"/>
                <w:szCs w:val="24"/>
              </w:rPr>
            </w:pPr>
            <w:r w:rsidRPr="00886FD2">
              <w:rPr>
                <w:rFonts w:eastAsia="Times New Roman"/>
                <w:color w:val="000000"/>
                <w:sz w:val="24"/>
                <w:szCs w:val="24"/>
              </w:rPr>
              <w:t>6.120</w:t>
            </w:r>
          </w:p>
        </w:tc>
      </w:tr>
      <w:tr w:rsidR="00EA21F4" w:rsidRPr="00886FD2" w14:paraId="050C05F5" w14:textId="77777777" w:rsidTr="00EA21F4">
        <w:trPr>
          <w:trHeight w:val="300"/>
        </w:trPr>
        <w:tc>
          <w:tcPr>
            <w:tcW w:w="1306" w:type="pct"/>
            <w:tcBorders>
              <w:top w:val="nil"/>
              <w:left w:val="single" w:sz="4" w:space="0" w:color="auto"/>
              <w:bottom w:val="single" w:sz="4" w:space="0" w:color="auto"/>
              <w:right w:val="single" w:sz="4" w:space="0" w:color="auto"/>
            </w:tcBorders>
            <w:noWrap/>
            <w:vAlign w:val="center"/>
            <w:hideMark/>
          </w:tcPr>
          <w:p w14:paraId="0575F433" w14:textId="77777777" w:rsidR="00EA21F4" w:rsidRPr="00886FD2" w:rsidRDefault="00EA21F4" w:rsidP="00EA21F4">
            <w:pPr>
              <w:spacing w:after="240" w:line="360" w:lineRule="auto"/>
              <w:rPr>
                <w:rFonts w:eastAsia="Times New Roman"/>
                <w:color w:val="000000"/>
                <w:sz w:val="24"/>
                <w:szCs w:val="24"/>
              </w:rPr>
            </w:pPr>
            <w:r w:rsidRPr="00886FD2">
              <w:rPr>
                <w:rFonts w:eastAsia="Times New Roman"/>
                <w:color w:val="000000"/>
                <w:sz w:val="24"/>
                <w:szCs w:val="24"/>
              </w:rPr>
              <w:t>Dividend Payout Ratio</w:t>
            </w:r>
          </w:p>
        </w:tc>
        <w:tc>
          <w:tcPr>
            <w:tcW w:w="1707" w:type="pct"/>
            <w:tcBorders>
              <w:top w:val="nil"/>
              <w:left w:val="nil"/>
              <w:bottom w:val="single" w:sz="4" w:space="0" w:color="auto"/>
              <w:right w:val="single" w:sz="4" w:space="0" w:color="auto"/>
            </w:tcBorders>
            <w:noWrap/>
            <w:vAlign w:val="center"/>
            <w:hideMark/>
          </w:tcPr>
          <w:p w14:paraId="1926048C" w14:textId="0DCC08FE" w:rsidR="00EA21F4" w:rsidRPr="00886FD2" w:rsidRDefault="00EA21F4" w:rsidP="00EA21F4">
            <w:pPr>
              <w:spacing w:after="240" w:line="360" w:lineRule="auto"/>
              <w:rPr>
                <w:rFonts w:eastAsia="Times New Roman"/>
                <w:i/>
                <w:iCs/>
                <w:color w:val="000000"/>
                <w:sz w:val="24"/>
                <w:szCs w:val="24"/>
              </w:rPr>
            </w:pPr>
            <w:r w:rsidRPr="00886FD2">
              <w:rPr>
                <w:rFonts w:eastAsia="Times New Roman"/>
                <w:i/>
                <w:iCs/>
                <w:color w:val="000000"/>
                <w:sz w:val="24"/>
                <w:szCs w:val="24"/>
              </w:rPr>
              <w:t>Dividends Paid/Net Income</w:t>
            </w:r>
          </w:p>
        </w:tc>
        <w:tc>
          <w:tcPr>
            <w:tcW w:w="397" w:type="pct"/>
            <w:tcBorders>
              <w:top w:val="nil"/>
              <w:left w:val="nil"/>
              <w:bottom w:val="single" w:sz="4" w:space="0" w:color="auto"/>
              <w:right w:val="single" w:sz="4" w:space="0" w:color="auto"/>
            </w:tcBorders>
            <w:vAlign w:val="center"/>
            <w:hideMark/>
          </w:tcPr>
          <w:p w14:paraId="6289354A" w14:textId="77777777" w:rsidR="00EA21F4" w:rsidRPr="00886FD2" w:rsidRDefault="00EA21F4" w:rsidP="00EA21F4">
            <w:pPr>
              <w:spacing w:after="240" w:line="360" w:lineRule="auto"/>
              <w:jc w:val="right"/>
              <w:rPr>
                <w:rFonts w:eastAsia="Times New Roman"/>
                <w:color w:val="000000"/>
                <w:sz w:val="24"/>
                <w:szCs w:val="24"/>
              </w:rPr>
            </w:pPr>
            <w:r w:rsidRPr="00886FD2">
              <w:rPr>
                <w:rFonts w:eastAsia="Times New Roman"/>
                <w:color w:val="000000"/>
                <w:sz w:val="24"/>
                <w:szCs w:val="24"/>
              </w:rPr>
              <w:t>0.000</w:t>
            </w:r>
          </w:p>
        </w:tc>
        <w:tc>
          <w:tcPr>
            <w:tcW w:w="397" w:type="pct"/>
            <w:tcBorders>
              <w:top w:val="nil"/>
              <w:left w:val="nil"/>
              <w:bottom w:val="single" w:sz="4" w:space="0" w:color="auto"/>
              <w:right w:val="single" w:sz="4" w:space="0" w:color="auto"/>
            </w:tcBorders>
            <w:vAlign w:val="center"/>
            <w:hideMark/>
          </w:tcPr>
          <w:p w14:paraId="44CE4E32" w14:textId="77777777" w:rsidR="00EA21F4" w:rsidRPr="00886FD2" w:rsidRDefault="00EA21F4" w:rsidP="00EA21F4">
            <w:pPr>
              <w:spacing w:after="240" w:line="360" w:lineRule="auto"/>
              <w:jc w:val="right"/>
              <w:rPr>
                <w:rFonts w:eastAsia="Times New Roman"/>
                <w:color w:val="000000"/>
                <w:sz w:val="24"/>
                <w:szCs w:val="24"/>
              </w:rPr>
            </w:pPr>
            <w:r w:rsidRPr="00886FD2">
              <w:rPr>
                <w:rFonts w:eastAsia="Times New Roman"/>
                <w:color w:val="000000"/>
                <w:sz w:val="24"/>
                <w:szCs w:val="24"/>
              </w:rPr>
              <w:t>-0.098</w:t>
            </w:r>
          </w:p>
        </w:tc>
        <w:tc>
          <w:tcPr>
            <w:tcW w:w="397" w:type="pct"/>
            <w:tcBorders>
              <w:top w:val="nil"/>
              <w:left w:val="nil"/>
              <w:bottom w:val="single" w:sz="4" w:space="0" w:color="auto"/>
              <w:right w:val="single" w:sz="4" w:space="0" w:color="auto"/>
            </w:tcBorders>
            <w:vAlign w:val="center"/>
            <w:hideMark/>
          </w:tcPr>
          <w:p w14:paraId="399AA6BC" w14:textId="77777777" w:rsidR="00EA21F4" w:rsidRPr="00886FD2" w:rsidRDefault="00EA21F4" w:rsidP="00EA21F4">
            <w:pPr>
              <w:spacing w:after="240" w:line="360" w:lineRule="auto"/>
              <w:jc w:val="right"/>
              <w:rPr>
                <w:rFonts w:eastAsia="Times New Roman"/>
                <w:color w:val="000000"/>
                <w:sz w:val="24"/>
                <w:szCs w:val="24"/>
              </w:rPr>
            </w:pPr>
            <w:r w:rsidRPr="00886FD2">
              <w:rPr>
                <w:rFonts w:eastAsia="Times New Roman"/>
                <w:color w:val="000000"/>
                <w:sz w:val="24"/>
                <w:szCs w:val="24"/>
              </w:rPr>
              <w:t>-0.138</w:t>
            </w:r>
          </w:p>
        </w:tc>
        <w:tc>
          <w:tcPr>
            <w:tcW w:w="397" w:type="pct"/>
            <w:tcBorders>
              <w:top w:val="nil"/>
              <w:left w:val="nil"/>
              <w:bottom w:val="single" w:sz="4" w:space="0" w:color="auto"/>
              <w:right w:val="single" w:sz="4" w:space="0" w:color="auto"/>
            </w:tcBorders>
            <w:vAlign w:val="center"/>
            <w:hideMark/>
          </w:tcPr>
          <w:p w14:paraId="7CFB5A94" w14:textId="77777777" w:rsidR="00EA21F4" w:rsidRPr="00886FD2" w:rsidRDefault="00EA21F4" w:rsidP="00EA21F4">
            <w:pPr>
              <w:spacing w:after="240" w:line="360" w:lineRule="auto"/>
              <w:jc w:val="right"/>
              <w:rPr>
                <w:rFonts w:eastAsia="Times New Roman"/>
                <w:color w:val="000000"/>
                <w:sz w:val="24"/>
                <w:szCs w:val="24"/>
              </w:rPr>
            </w:pPr>
            <w:r w:rsidRPr="00886FD2">
              <w:rPr>
                <w:rFonts w:eastAsia="Times New Roman"/>
                <w:color w:val="000000"/>
                <w:sz w:val="24"/>
                <w:szCs w:val="24"/>
              </w:rPr>
              <w:t>-0.098</w:t>
            </w:r>
          </w:p>
        </w:tc>
        <w:tc>
          <w:tcPr>
            <w:tcW w:w="397" w:type="pct"/>
            <w:tcBorders>
              <w:top w:val="nil"/>
              <w:left w:val="nil"/>
              <w:bottom w:val="single" w:sz="4" w:space="0" w:color="auto"/>
              <w:right w:val="single" w:sz="4" w:space="0" w:color="auto"/>
            </w:tcBorders>
            <w:vAlign w:val="center"/>
            <w:hideMark/>
          </w:tcPr>
          <w:p w14:paraId="51CEC944" w14:textId="77777777" w:rsidR="00EA21F4" w:rsidRPr="00886FD2" w:rsidRDefault="00EA21F4" w:rsidP="00EA21F4">
            <w:pPr>
              <w:spacing w:after="240" w:line="360" w:lineRule="auto"/>
              <w:jc w:val="right"/>
              <w:rPr>
                <w:rFonts w:eastAsia="Times New Roman"/>
                <w:color w:val="000000"/>
                <w:sz w:val="24"/>
                <w:szCs w:val="24"/>
              </w:rPr>
            </w:pPr>
            <w:r w:rsidRPr="00886FD2">
              <w:rPr>
                <w:rFonts w:eastAsia="Times New Roman"/>
                <w:color w:val="000000"/>
                <w:sz w:val="24"/>
                <w:szCs w:val="24"/>
              </w:rPr>
              <w:t>-0.098</w:t>
            </w:r>
          </w:p>
        </w:tc>
      </w:tr>
      <w:tr w:rsidR="00EA21F4" w:rsidRPr="00886FD2" w14:paraId="559DECB8" w14:textId="77777777" w:rsidTr="00EA21F4">
        <w:trPr>
          <w:trHeight w:val="300"/>
        </w:trPr>
        <w:tc>
          <w:tcPr>
            <w:tcW w:w="1306" w:type="pct"/>
            <w:tcBorders>
              <w:top w:val="nil"/>
              <w:left w:val="single" w:sz="4" w:space="0" w:color="auto"/>
              <w:bottom w:val="single" w:sz="4" w:space="0" w:color="auto"/>
              <w:right w:val="single" w:sz="4" w:space="0" w:color="auto"/>
            </w:tcBorders>
            <w:noWrap/>
            <w:vAlign w:val="center"/>
            <w:hideMark/>
          </w:tcPr>
          <w:p w14:paraId="394D29B9" w14:textId="77777777" w:rsidR="00EA21F4" w:rsidRPr="00886FD2" w:rsidRDefault="00EA21F4" w:rsidP="00EA21F4">
            <w:pPr>
              <w:spacing w:after="240" w:line="360" w:lineRule="auto"/>
              <w:rPr>
                <w:rFonts w:eastAsia="Times New Roman"/>
                <w:color w:val="000000"/>
                <w:sz w:val="24"/>
                <w:szCs w:val="24"/>
              </w:rPr>
            </w:pPr>
            <w:r w:rsidRPr="00886FD2">
              <w:rPr>
                <w:rFonts w:eastAsia="Times New Roman"/>
                <w:color w:val="000000"/>
                <w:sz w:val="24"/>
                <w:szCs w:val="24"/>
              </w:rPr>
              <w:t>Retention Ratio</w:t>
            </w:r>
          </w:p>
        </w:tc>
        <w:tc>
          <w:tcPr>
            <w:tcW w:w="1707" w:type="pct"/>
            <w:tcBorders>
              <w:top w:val="nil"/>
              <w:left w:val="nil"/>
              <w:bottom w:val="single" w:sz="4" w:space="0" w:color="auto"/>
              <w:right w:val="single" w:sz="4" w:space="0" w:color="auto"/>
            </w:tcBorders>
            <w:noWrap/>
            <w:vAlign w:val="center"/>
            <w:hideMark/>
          </w:tcPr>
          <w:p w14:paraId="60466E01" w14:textId="77777777" w:rsidR="00EA21F4" w:rsidRPr="00886FD2" w:rsidRDefault="00EA21F4" w:rsidP="00EA21F4">
            <w:pPr>
              <w:spacing w:after="240" w:line="360" w:lineRule="auto"/>
              <w:rPr>
                <w:rFonts w:eastAsia="Times New Roman"/>
                <w:i/>
                <w:iCs/>
                <w:color w:val="000000"/>
                <w:sz w:val="24"/>
                <w:szCs w:val="24"/>
              </w:rPr>
            </w:pPr>
            <w:r w:rsidRPr="00886FD2">
              <w:rPr>
                <w:rFonts w:eastAsia="Times New Roman"/>
                <w:i/>
                <w:iCs/>
                <w:color w:val="000000"/>
                <w:sz w:val="24"/>
                <w:szCs w:val="24"/>
              </w:rPr>
              <w:t>1-DividendPayoutRatio</w:t>
            </w:r>
          </w:p>
        </w:tc>
        <w:tc>
          <w:tcPr>
            <w:tcW w:w="397" w:type="pct"/>
            <w:tcBorders>
              <w:top w:val="nil"/>
              <w:left w:val="nil"/>
              <w:bottom w:val="single" w:sz="4" w:space="0" w:color="auto"/>
              <w:right w:val="single" w:sz="4" w:space="0" w:color="auto"/>
            </w:tcBorders>
            <w:vAlign w:val="center"/>
            <w:hideMark/>
          </w:tcPr>
          <w:p w14:paraId="08F7075D" w14:textId="77777777" w:rsidR="00EA21F4" w:rsidRPr="00886FD2" w:rsidRDefault="00EA21F4" w:rsidP="00EA21F4">
            <w:pPr>
              <w:spacing w:after="240" w:line="360" w:lineRule="auto"/>
              <w:jc w:val="right"/>
              <w:rPr>
                <w:rFonts w:eastAsia="Times New Roman"/>
                <w:color w:val="000000"/>
                <w:sz w:val="24"/>
                <w:szCs w:val="24"/>
              </w:rPr>
            </w:pPr>
            <w:r w:rsidRPr="00886FD2">
              <w:rPr>
                <w:rFonts w:eastAsia="Times New Roman"/>
                <w:color w:val="000000"/>
                <w:sz w:val="24"/>
                <w:szCs w:val="24"/>
              </w:rPr>
              <w:t>1.000</w:t>
            </w:r>
          </w:p>
        </w:tc>
        <w:tc>
          <w:tcPr>
            <w:tcW w:w="397" w:type="pct"/>
            <w:tcBorders>
              <w:top w:val="nil"/>
              <w:left w:val="nil"/>
              <w:bottom w:val="single" w:sz="4" w:space="0" w:color="auto"/>
              <w:right w:val="single" w:sz="4" w:space="0" w:color="auto"/>
            </w:tcBorders>
            <w:vAlign w:val="center"/>
            <w:hideMark/>
          </w:tcPr>
          <w:p w14:paraId="07E23CF3" w14:textId="77777777" w:rsidR="00EA21F4" w:rsidRPr="00886FD2" w:rsidRDefault="00EA21F4" w:rsidP="00EA21F4">
            <w:pPr>
              <w:spacing w:after="240" w:line="360" w:lineRule="auto"/>
              <w:jc w:val="right"/>
              <w:rPr>
                <w:rFonts w:eastAsia="Times New Roman"/>
                <w:color w:val="000000"/>
                <w:sz w:val="24"/>
                <w:szCs w:val="24"/>
              </w:rPr>
            </w:pPr>
            <w:r w:rsidRPr="00886FD2">
              <w:rPr>
                <w:rFonts w:eastAsia="Times New Roman"/>
                <w:color w:val="000000"/>
                <w:sz w:val="24"/>
                <w:szCs w:val="24"/>
              </w:rPr>
              <w:t>1.098</w:t>
            </w:r>
          </w:p>
        </w:tc>
        <w:tc>
          <w:tcPr>
            <w:tcW w:w="397" w:type="pct"/>
            <w:tcBorders>
              <w:top w:val="nil"/>
              <w:left w:val="nil"/>
              <w:bottom w:val="single" w:sz="4" w:space="0" w:color="auto"/>
              <w:right w:val="single" w:sz="4" w:space="0" w:color="auto"/>
            </w:tcBorders>
            <w:vAlign w:val="center"/>
            <w:hideMark/>
          </w:tcPr>
          <w:p w14:paraId="0D48F8AB" w14:textId="77777777" w:rsidR="00EA21F4" w:rsidRPr="00886FD2" w:rsidRDefault="00EA21F4" w:rsidP="00EA21F4">
            <w:pPr>
              <w:spacing w:after="240" w:line="360" w:lineRule="auto"/>
              <w:jc w:val="right"/>
              <w:rPr>
                <w:rFonts w:eastAsia="Times New Roman"/>
                <w:color w:val="000000"/>
                <w:sz w:val="24"/>
                <w:szCs w:val="24"/>
              </w:rPr>
            </w:pPr>
            <w:r w:rsidRPr="00886FD2">
              <w:rPr>
                <w:rFonts w:eastAsia="Times New Roman"/>
                <w:color w:val="000000"/>
                <w:sz w:val="24"/>
                <w:szCs w:val="24"/>
              </w:rPr>
              <w:t>1.138</w:t>
            </w:r>
          </w:p>
        </w:tc>
        <w:tc>
          <w:tcPr>
            <w:tcW w:w="397" w:type="pct"/>
            <w:tcBorders>
              <w:top w:val="nil"/>
              <w:left w:val="nil"/>
              <w:bottom w:val="single" w:sz="4" w:space="0" w:color="auto"/>
              <w:right w:val="single" w:sz="4" w:space="0" w:color="auto"/>
            </w:tcBorders>
            <w:vAlign w:val="center"/>
            <w:hideMark/>
          </w:tcPr>
          <w:p w14:paraId="4378690D" w14:textId="77777777" w:rsidR="00EA21F4" w:rsidRPr="00886FD2" w:rsidRDefault="00EA21F4" w:rsidP="00EA21F4">
            <w:pPr>
              <w:spacing w:after="240" w:line="360" w:lineRule="auto"/>
              <w:jc w:val="right"/>
              <w:rPr>
                <w:rFonts w:eastAsia="Times New Roman"/>
                <w:color w:val="000000"/>
                <w:sz w:val="24"/>
                <w:szCs w:val="24"/>
              </w:rPr>
            </w:pPr>
            <w:r w:rsidRPr="00886FD2">
              <w:rPr>
                <w:rFonts w:eastAsia="Times New Roman"/>
                <w:color w:val="000000"/>
                <w:sz w:val="24"/>
                <w:szCs w:val="24"/>
              </w:rPr>
              <w:t>1.098</w:t>
            </w:r>
          </w:p>
        </w:tc>
        <w:tc>
          <w:tcPr>
            <w:tcW w:w="397" w:type="pct"/>
            <w:tcBorders>
              <w:top w:val="nil"/>
              <w:left w:val="nil"/>
              <w:bottom w:val="single" w:sz="4" w:space="0" w:color="auto"/>
              <w:right w:val="single" w:sz="4" w:space="0" w:color="auto"/>
            </w:tcBorders>
            <w:vAlign w:val="center"/>
            <w:hideMark/>
          </w:tcPr>
          <w:p w14:paraId="7D62E2A6" w14:textId="77777777" w:rsidR="00EA21F4" w:rsidRPr="00886FD2" w:rsidRDefault="00EA21F4" w:rsidP="00EA21F4">
            <w:pPr>
              <w:spacing w:after="240" w:line="360" w:lineRule="auto"/>
              <w:jc w:val="right"/>
              <w:rPr>
                <w:rFonts w:eastAsia="Times New Roman"/>
                <w:color w:val="000000"/>
                <w:sz w:val="24"/>
                <w:szCs w:val="24"/>
              </w:rPr>
            </w:pPr>
            <w:r w:rsidRPr="00886FD2">
              <w:rPr>
                <w:rFonts w:eastAsia="Times New Roman"/>
                <w:color w:val="000000"/>
                <w:sz w:val="24"/>
                <w:szCs w:val="24"/>
              </w:rPr>
              <w:t>1.098</w:t>
            </w:r>
          </w:p>
        </w:tc>
      </w:tr>
      <w:tr w:rsidR="00EA21F4" w:rsidRPr="00886FD2" w14:paraId="2F3F8262" w14:textId="77777777" w:rsidTr="00EA21F4">
        <w:trPr>
          <w:trHeight w:val="300"/>
        </w:trPr>
        <w:tc>
          <w:tcPr>
            <w:tcW w:w="1306" w:type="pct"/>
            <w:tcBorders>
              <w:top w:val="nil"/>
              <w:left w:val="single" w:sz="4" w:space="0" w:color="auto"/>
              <w:bottom w:val="single" w:sz="4" w:space="0" w:color="auto"/>
              <w:right w:val="single" w:sz="4" w:space="0" w:color="auto"/>
            </w:tcBorders>
            <w:noWrap/>
            <w:vAlign w:val="bottom"/>
            <w:hideMark/>
          </w:tcPr>
          <w:p w14:paraId="268F36C5" w14:textId="77777777" w:rsidR="00EA21F4" w:rsidRPr="00886FD2" w:rsidRDefault="00EA21F4" w:rsidP="00EA21F4">
            <w:pPr>
              <w:spacing w:after="240" w:line="360" w:lineRule="auto"/>
              <w:rPr>
                <w:rFonts w:eastAsia="Times New Roman"/>
                <w:b/>
                <w:bCs/>
                <w:color w:val="000000"/>
                <w:sz w:val="24"/>
                <w:szCs w:val="24"/>
              </w:rPr>
            </w:pPr>
            <w:r w:rsidRPr="00886FD2">
              <w:rPr>
                <w:rFonts w:eastAsia="Times New Roman"/>
                <w:b/>
                <w:bCs/>
                <w:color w:val="000000"/>
                <w:sz w:val="24"/>
                <w:szCs w:val="24"/>
              </w:rPr>
              <w:t>Cash Flow Ratios</w:t>
            </w:r>
          </w:p>
        </w:tc>
        <w:tc>
          <w:tcPr>
            <w:tcW w:w="1707" w:type="pct"/>
            <w:tcBorders>
              <w:top w:val="nil"/>
              <w:left w:val="nil"/>
              <w:bottom w:val="single" w:sz="4" w:space="0" w:color="auto"/>
              <w:right w:val="single" w:sz="4" w:space="0" w:color="auto"/>
            </w:tcBorders>
            <w:noWrap/>
            <w:vAlign w:val="bottom"/>
            <w:hideMark/>
          </w:tcPr>
          <w:p w14:paraId="5F34FAEE" w14:textId="77777777" w:rsidR="00EA21F4" w:rsidRPr="00886FD2" w:rsidRDefault="00EA21F4" w:rsidP="00EA21F4">
            <w:pPr>
              <w:spacing w:after="240" w:line="360" w:lineRule="auto"/>
              <w:rPr>
                <w:rFonts w:eastAsia="Times New Roman"/>
                <w:b/>
                <w:bCs/>
                <w:color w:val="000000"/>
                <w:sz w:val="24"/>
                <w:szCs w:val="24"/>
              </w:rPr>
            </w:pPr>
            <w:r w:rsidRPr="00886FD2">
              <w:rPr>
                <w:rFonts w:eastAsia="Times New Roman"/>
                <w:b/>
                <w:bCs/>
                <w:color w:val="000000"/>
                <w:sz w:val="24"/>
                <w:szCs w:val="24"/>
              </w:rPr>
              <w:t>Formula</w:t>
            </w:r>
          </w:p>
        </w:tc>
        <w:tc>
          <w:tcPr>
            <w:tcW w:w="397" w:type="pct"/>
            <w:tcBorders>
              <w:top w:val="nil"/>
              <w:left w:val="nil"/>
              <w:bottom w:val="single" w:sz="4" w:space="0" w:color="auto"/>
              <w:right w:val="single" w:sz="4" w:space="0" w:color="auto"/>
            </w:tcBorders>
            <w:noWrap/>
            <w:vAlign w:val="bottom"/>
            <w:hideMark/>
          </w:tcPr>
          <w:p w14:paraId="0E8B74B9" w14:textId="77777777" w:rsidR="00EA21F4" w:rsidRPr="00886FD2" w:rsidRDefault="00EA21F4" w:rsidP="00EA21F4">
            <w:pPr>
              <w:spacing w:after="240" w:line="360" w:lineRule="auto"/>
              <w:jc w:val="center"/>
              <w:rPr>
                <w:rFonts w:eastAsia="Times New Roman"/>
                <w:b/>
                <w:bCs/>
                <w:i/>
                <w:iCs/>
                <w:color w:val="000000"/>
                <w:sz w:val="24"/>
                <w:szCs w:val="24"/>
              </w:rPr>
            </w:pPr>
            <w:r w:rsidRPr="00886FD2">
              <w:rPr>
                <w:rFonts w:eastAsia="Times New Roman"/>
                <w:b/>
                <w:bCs/>
                <w:i/>
                <w:iCs/>
                <w:color w:val="000000"/>
                <w:sz w:val="24"/>
                <w:szCs w:val="24"/>
              </w:rPr>
              <w:t>2021</w:t>
            </w:r>
          </w:p>
        </w:tc>
        <w:tc>
          <w:tcPr>
            <w:tcW w:w="397" w:type="pct"/>
            <w:tcBorders>
              <w:top w:val="nil"/>
              <w:left w:val="nil"/>
              <w:bottom w:val="single" w:sz="4" w:space="0" w:color="auto"/>
              <w:right w:val="single" w:sz="4" w:space="0" w:color="auto"/>
            </w:tcBorders>
            <w:noWrap/>
            <w:vAlign w:val="bottom"/>
            <w:hideMark/>
          </w:tcPr>
          <w:p w14:paraId="1709A524" w14:textId="77777777" w:rsidR="00EA21F4" w:rsidRPr="00886FD2" w:rsidRDefault="00EA21F4" w:rsidP="00EA21F4">
            <w:pPr>
              <w:spacing w:after="240" w:line="360" w:lineRule="auto"/>
              <w:jc w:val="center"/>
              <w:rPr>
                <w:rFonts w:eastAsia="Times New Roman"/>
                <w:b/>
                <w:bCs/>
                <w:i/>
                <w:iCs/>
                <w:color w:val="000000"/>
                <w:sz w:val="24"/>
                <w:szCs w:val="24"/>
              </w:rPr>
            </w:pPr>
            <w:r w:rsidRPr="00886FD2">
              <w:rPr>
                <w:rFonts w:eastAsia="Times New Roman"/>
                <w:b/>
                <w:bCs/>
                <w:i/>
                <w:iCs/>
                <w:color w:val="000000"/>
                <w:sz w:val="24"/>
                <w:szCs w:val="24"/>
              </w:rPr>
              <w:t>2022</w:t>
            </w:r>
          </w:p>
        </w:tc>
        <w:tc>
          <w:tcPr>
            <w:tcW w:w="397" w:type="pct"/>
            <w:tcBorders>
              <w:top w:val="nil"/>
              <w:left w:val="nil"/>
              <w:bottom w:val="single" w:sz="4" w:space="0" w:color="auto"/>
              <w:right w:val="single" w:sz="4" w:space="0" w:color="auto"/>
            </w:tcBorders>
            <w:noWrap/>
            <w:vAlign w:val="bottom"/>
            <w:hideMark/>
          </w:tcPr>
          <w:p w14:paraId="681117F0" w14:textId="77777777" w:rsidR="00EA21F4" w:rsidRPr="00886FD2" w:rsidRDefault="00EA21F4" w:rsidP="00EA21F4">
            <w:pPr>
              <w:spacing w:after="240" w:line="360" w:lineRule="auto"/>
              <w:jc w:val="center"/>
              <w:rPr>
                <w:rFonts w:eastAsia="Times New Roman"/>
                <w:b/>
                <w:bCs/>
                <w:i/>
                <w:iCs/>
                <w:color w:val="000000"/>
                <w:sz w:val="24"/>
                <w:szCs w:val="24"/>
              </w:rPr>
            </w:pPr>
            <w:r w:rsidRPr="00886FD2">
              <w:rPr>
                <w:rFonts w:eastAsia="Times New Roman"/>
                <w:b/>
                <w:bCs/>
                <w:i/>
                <w:iCs/>
                <w:color w:val="000000"/>
                <w:sz w:val="24"/>
                <w:szCs w:val="24"/>
              </w:rPr>
              <w:t>2023</w:t>
            </w:r>
          </w:p>
        </w:tc>
        <w:tc>
          <w:tcPr>
            <w:tcW w:w="397" w:type="pct"/>
            <w:tcBorders>
              <w:top w:val="nil"/>
              <w:left w:val="nil"/>
              <w:bottom w:val="single" w:sz="4" w:space="0" w:color="auto"/>
              <w:right w:val="single" w:sz="4" w:space="0" w:color="auto"/>
            </w:tcBorders>
            <w:noWrap/>
            <w:vAlign w:val="bottom"/>
            <w:hideMark/>
          </w:tcPr>
          <w:p w14:paraId="72D0456D" w14:textId="77777777" w:rsidR="00EA21F4" w:rsidRPr="00886FD2" w:rsidRDefault="00EA21F4" w:rsidP="00EA21F4">
            <w:pPr>
              <w:spacing w:after="240" w:line="360" w:lineRule="auto"/>
              <w:jc w:val="center"/>
              <w:rPr>
                <w:rFonts w:eastAsia="Times New Roman"/>
                <w:b/>
                <w:bCs/>
                <w:i/>
                <w:iCs/>
                <w:color w:val="000000"/>
                <w:sz w:val="24"/>
                <w:szCs w:val="24"/>
              </w:rPr>
            </w:pPr>
            <w:r w:rsidRPr="00886FD2">
              <w:rPr>
                <w:rFonts w:eastAsia="Times New Roman"/>
                <w:b/>
                <w:bCs/>
                <w:i/>
                <w:iCs/>
                <w:color w:val="000000"/>
                <w:sz w:val="24"/>
                <w:szCs w:val="24"/>
              </w:rPr>
              <w:t>2024</w:t>
            </w:r>
          </w:p>
        </w:tc>
        <w:tc>
          <w:tcPr>
            <w:tcW w:w="397" w:type="pct"/>
            <w:tcBorders>
              <w:top w:val="nil"/>
              <w:left w:val="nil"/>
              <w:bottom w:val="single" w:sz="4" w:space="0" w:color="auto"/>
              <w:right w:val="single" w:sz="4" w:space="0" w:color="auto"/>
            </w:tcBorders>
            <w:noWrap/>
            <w:vAlign w:val="bottom"/>
            <w:hideMark/>
          </w:tcPr>
          <w:p w14:paraId="3B044E60" w14:textId="77777777" w:rsidR="00EA21F4" w:rsidRPr="00886FD2" w:rsidRDefault="00EA21F4" w:rsidP="00EA21F4">
            <w:pPr>
              <w:spacing w:after="240" w:line="360" w:lineRule="auto"/>
              <w:jc w:val="center"/>
              <w:rPr>
                <w:rFonts w:eastAsia="Times New Roman"/>
                <w:b/>
                <w:bCs/>
                <w:i/>
                <w:iCs/>
                <w:color w:val="000000"/>
                <w:sz w:val="24"/>
                <w:szCs w:val="24"/>
              </w:rPr>
            </w:pPr>
            <w:r w:rsidRPr="00886FD2">
              <w:rPr>
                <w:rFonts w:eastAsia="Times New Roman"/>
                <w:b/>
                <w:bCs/>
                <w:i/>
                <w:iCs/>
                <w:color w:val="000000"/>
                <w:sz w:val="24"/>
                <w:szCs w:val="24"/>
              </w:rPr>
              <w:t>2025</w:t>
            </w:r>
          </w:p>
        </w:tc>
      </w:tr>
      <w:tr w:rsidR="00EA21F4" w:rsidRPr="00886FD2" w14:paraId="1E22441C" w14:textId="77777777" w:rsidTr="00EA21F4">
        <w:trPr>
          <w:trHeight w:val="300"/>
        </w:trPr>
        <w:tc>
          <w:tcPr>
            <w:tcW w:w="1306" w:type="pct"/>
            <w:tcBorders>
              <w:top w:val="nil"/>
              <w:left w:val="single" w:sz="4" w:space="0" w:color="auto"/>
              <w:bottom w:val="single" w:sz="4" w:space="0" w:color="auto"/>
              <w:right w:val="single" w:sz="4" w:space="0" w:color="auto"/>
            </w:tcBorders>
            <w:noWrap/>
            <w:vAlign w:val="bottom"/>
            <w:hideMark/>
          </w:tcPr>
          <w:p w14:paraId="3279A459" w14:textId="77777777" w:rsidR="00EA21F4" w:rsidRPr="00886FD2" w:rsidRDefault="00EA21F4" w:rsidP="00EA21F4">
            <w:pPr>
              <w:spacing w:after="240" w:line="360" w:lineRule="auto"/>
              <w:rPr>
                <w:rFonts w:eastAsia="Times New Roman"/>
                <w:color w:val="000000"/>
                <w:sz w:val="24"/>
                <w:szCs w:val="24"/>
              </w:rPr>
            </w:pPr>
            <w:r w:rsidRPr="00886FD2">
              <w:rPr>
                <w:rFonts w:eastAsia="Times New Roman"/>
                <w:color w:val="000000"/>
                <w:sz w:val="24"/>
                <w:szCs w:val="24"/>
              </w:rPr>
              <w:t>Operating Cash Flow Ratio</w:t>
            </w:r>
          </w:p>
        </w:tc>
        <w:tc>
          <w:tcPr>
            <w:tcW w:w="1707" w:type="pct"/>
            <w:tcBorders>
              <w:top w:val="nil"/>
              <w:left w:val="nil"/>
              <w:bottom w:val="single" w:sz="4" w:space="0" w:color="auto"/>
              <w:right w:val="single" w:sz="4" w:space="0" w:color="auto"/>
            </w:tcBorders>
            <w:noWrap/>
            <w:vAlign w:val="bottom"/>
            <w:hideMark/>
          </w:tcPr>
          <w:p w14:paraId="7FA2AD64" w14:textId="22A752CA" w:rsidR="00EA21F4" w:rsidRPr="00886FD2" w:rsidRDefault="00EA21F4" w:rsidP="00EA21F4">
            <w:pPr>
              <w:spacing w:after="240" w:line="360" w:lineRule="auto"/>
              <w:rPr>
                <w:rFonts w:eastAsia="Times New Roman"/>
                <w:i/>
                <w:iCs/>
                <w:color w:val="000000"/>
                <w:sz w:val="24"/>
                <w:szCs w:val="24"/>
              </w:rPr>
            </w:pPr>
            <w:r w:rsidRPr="00886FD2">
              <w:rPr>
                <w:rFonts w:eastAsia="Times New Roman"/>
                <w:i/>
                <w:iCs/>
                <w:color w:val="000000"/>
                <w:sz w:val="24"/>
                <w:szCs w:val="24"/>
              </w:rPr>
              <w:t>Operating Cash Flow/Current Liabilities</w:t>
            </w:r>
          </w:p>
        </w:tc>
        <w:tc>
          <w:tcPr>
            <w:tcW w:w="397" w:type="pct"/>
            <w:tcBorders>
              <w:top w:val="nil"/>
              <w:left w:val="nil"/>
              <w:bottom w:val="single" w:sz="4" w:space="0" w:color="auto"/>
              <w:right w:val="single" w:sz="4" w:space="0" w:color="auto"/>
            </w:tcBorders>
            <w:noWrap/>
            <w:vAlign w:val="bottom"/>
            <w:hideMark/>
          </w:tcPr>
          <w:p w14:paraId="1EE2C4F9" w14:textId="77777777" w:rsidR="00EA21F4" w:rsidRPr="00886FD2" w:rsidRDefault="00EA21F4" w:rsidP="00EA21F4">
            <w:pPr>
              <w:spacing w:after="240" w:line="360" w:lineRule="auto"/>
              <w:jc w:val="right"/>
              <w:rPr>
                <w:rFonts w:eastAsia="Times New Roman"/>
                <w:color w:val="000000"/>
                <w:sz w:val="24"/>
                <w:szCs w:val="24"/>
              </w:rPr>
            </w:pPr>
            <w:r w:rsidRPr="00886FD2">
              <w:rPr>
                <w:rFonts w:eastAsia="Times New Roman"/>
                <w:color w:val="000000"/>
                <w:sz w:val="24"/>
                <w:szCs w:val="24"/>
              </w:rPr>
              <w:t>0.036</w:t>
            </w:r>
          </w:p>
        </w:tc>
        <w:tc>
          <w:tcPr>
            <w:tcW w:w="397" w:type="pct"/>
            <w:tcBorders>
              <w:top w:val="nil"/>
              <w:left w:val="nil"/>
              <w:bottom w:val="single" w:sz="4" w:space="0" w:color="auto"/>
              <w:right w:val="single" w:sz="4" w:space="0" w:color="auto"/>
            </w:tcBorders>
            <w:noWrap/>
            <w:vAlign w:val="bottom"/>
            <w:hideMark/>
          </w:tcPr>
          <w:p w14:paraId="7CAB50CE" w14:textId="77777777" w:rsidR="00EA21F4" w:rsidRPr="00886FD2" w:rsidRDefault="00EA21F4" w:rsidP="00EA21F4">
            <w:pPr>
              <w:spacing w:after="240" w:line="360" w:lineRule="auto"/>
              <w:jc w:val="right"/>
              <w:rPr>
                <w:rFonts w:eastAsia="Times New Roman"/>
                <w:color w:val="000000"/>
                <w:sz w:val="24"/>
                <w:szCs w:val="24"/>
              </w:rPr>
            </w:pPr>
            <w:r w:rsidRPr="00886FD2">
              <w:rPr>
                <w:rFonts w:eastAsia="Times New Roman"/>
                <w:color w:val="000000"/>
                <w:sz w:val="24"/>
                <w:szCs w:val="24"/>
              </w:rPr>
              <w:t>0.499</w:t>
            </w:r>
          </w:p>
        </w:tc>
        <w:tc>
          <w:tcPr>
            <w:tcW w:w="397" w:type="pct"/>
            <w:tcBorders>
              <w:top w:val="nil"/>
              <w:left w:val="nil"/>
              <w:bottom w:val="single" w:sz="4" w:space="0" w:color="auto"/>
              <w:right w:val="single" w:sz="4" w:space="0" w:color="auto"/>
            </w:tcBorders>
            <w:noWrap/>
            <w:vAlign w:val="bottom"/>
            <w:hideMark/>
          </w:tcPr>
          <w:p w14:paraId="5347F28F" w14:textId="77777777" w:rsidR="00EA21F4" w:rsidRPr="00886FD2" w:rsidRDefault="00EA21F4" w:rsidP="00EA21F4">
            <w:pPr>
              <w:spacing w:after="240" w:line="360" w:lineRule="auto"/>
              <w:jc w:val="right"/>
              <w:rPr>
                <w:rFonts w:eastAsia="Times New Roman"/>
                <w:color w:val="000000"/>
                <w:sz w:val="24"/>
                <w:szCs w:val="24"/>
              </w:rPr>
            </w:pPr>
            <w:r w:rsidRPr="00886FD2">
              <w:rPr>
                <w:rFonts w:eastAsia="Times New Roman"/>
                <w:color w:val="000000"/>
                <w:sz w:val="24"/>
                <w:szCs w:val="24"/>
              </w:rPr>
              <w:t>0.523</w:t>
            </w:r>
          </w:p>
        </w:tc>
        <w:tc>
          <w:tcPr>
            <w:tcW w:w="397" w:type="pct"/>
            <w:tcBorders>
              <w:top w:val="nil"/>
              <w:left w:val="nil"/>
              <w:bottom w:val="single" w:sz="4" w:space="0" w:color="auto"/>
              <w:right w:val="single" w:sz="4" w:space="0" w:color="auto"/>
            </w:tcBorders>
            <w:noWrap/>
            <w:vAlign w:val="bottom"/>
            <w:hideMark/>
          </w:tcPr>
          <w:p w14:paraId="0A313E61" w14:textId="77777777" w:rsidR="00EA21F4" w:rsidRPr="00886FD2" w:rsidRDefault="00EA21F4" w:rsidP="00EA21F4">
            <w:pPr>
              <w:spacing w:after="240" w:line="360" w:lineRule="auto"/>
              <w:jc w:val="right"/>
              <w:rPr>
                <w:rFonts w:eastAsia="Times New Roman"/>
                <w:color w:val="000000"/>
                <w:sz w:val="24"/>
                <w:szCs w:val="24"/>
              </w:rPr>
            </w:pPr>
            <w:r w:rsidRPr="00886FD2">
              <w:rPr>
                <w:rFonts w:eastAsia="Times New Roman"/>
                <w:color w:val="000000"/>
                <w:sz w:val="24"/>
                <w:szCs w:val="24"/>
              </w:rPr>
              <w:t>0.428</w:t>
            </w:r>
          </w:p>
        </w:tc>
        <w:tc>
          <w:tcPr>
            <w:tcW w:w="397" w:type="pct"/>
            <w:tcBorders>
              <w:top w:val="nil"/>
              <w:left w:val="nil"/>
              <w:bottom w:val="single" w:sz="4" w:space="0" w:color="auto"/>
              <w:right w:val="single" w:sz="4" w:space="0" w:color="auto"/>
            </w:tcBorders>
            <w:noWrap/>
            <w:vAlign w:val="bottom"/>
            <w:hideMark/>
          </w:tcPr>
          <w:p w14:paraId="1E32CE55" w14:textId="77777777" w:rsidR="00EA21F4" w:rsidRPr="00886FD2" w:rsidRDefault="00EA21F4" w:rsidP="00EA21F4">
            <w:pPr>
              <w:spacing w:after="240" w:line="360" w:lineRule="auto"/>
              <w:jc w:val="right"/>
              <w:rPr>
                <w:rFonts w:eastAsia="Times New Roman"/>
                <w:color w:val="000000"/>
                <w:sz w:val="24"/>
                <w:szCs w:val="24"/>
              </w:rPr>
            </w:pPr>
            <w:r w:rsidRPr="00886FD2">
              <w:rPr>
                <w:rFonts w:eastAsia="Times New Roman"/>
                <w:color w:val="000000"/>
                <w:sz w:val="24"/>
                <w:szCs w:val="24"/>
              </w:rPr>
              <w:t>0.472</w:t>
            </w:r>
          </w:p>
        </w:tc>
      </w:tr>
      <w:tr w:rsidR="00EA21F4" w:rsidRPr="00886FD2" w14:paraId="6CB5DDB8" w14:textId="77777777" w:rsidTr="00EA21F4">
        <w:trPr>
          <w:trHeight w:val="300"/>
        </w:trPr>
        <w:tc>
          <w:tcPr>
            <w:tcW w:w="1306" w:type="pct"/>
            <w:tcBorders>
              <w:top w:val="nil"/>
              <w:left w:val="single" w:sz="4" w:space="0" w:color="auto"/>
              <w:bottom w:val="single" w:sz="4" w:space="0" w:color="auto"/>
              <w:right w:val="single" w:sz="4" w:space="0" w:color="auto"/>
            </w:tcBorders>
            <w:noWrap/>
            <w:vAlign w:val="bottom"/>
            <w:hideMark/>
          </w:tcPr>
          <w:p w14:paraId="239BA69D" w14:textId="77777777" w:rsidR="00EA21F4" w:rsidRPr="00886FD2" w:rsidRDefault="00EA21F4" w:rsidP="00EA21F4">
            <w:pPr>
              <w:spacing w:after="240" w:line="360" w:lineRule="auto"/>
              <w:rPr>
                <w:rFonts w:eastAsia="Times New Roman"/>
                <w:color w:val="000000"/>
                <w:sz w:val="24"/>
                <w:szCs w:val="24"/>
              </w:rPr>
            </w:pPr>
            <w:r w:rsidRPr="00886FD2">
              <w:rPr>
                <w:rFonts w:eastAsia="Times New Roman"/>
                <w:color w:val="000000"/>
                <w:sz w:val="24"/>
                <w:szCs w:val="24"/>
              </w:rPr>
              <w:t>Operating Cash Flow Margin</w:t>
            </w:r>
          </w:p>
        </w:tc>
        <w:tc>
          <w:tcPr>
            <w:tcW w:w="1707" w:type="pct"/>
            <w:tcBorders>
              <w:top w:val="nil"/>
              <w:left w:val="nil"/>
              <w:bottom w:val="single" w:sz="4" w:space="0" w:color="auto"/>
              <w:right w:val="single" w:sz="4" w:space="0" w:color="auto"/>
            </w:tcBorders>
            <w:noWrap/>
            <w:vAlign w:val="bottom"/>
            <w:hideMark/>
          </w:tcPr>
          <w:p w14:paraId="2553909B" w14:textId="4A460CC2" w:rsidR="00EA21F4" w:rsidRPr="00886FD2" w:rsidRDefault="00EA21F4" w:rsidP="00EA21F4">
            <w:pPr>
              <w:spacing w:after="240" w:line="360" w:lineRule="auto"/>
              <w:rPr>
                <w:rFonts w:eastAsia="Times New Roman"/>
                <w:i/>
                <w:iCs/>
                <w:color w:val="000000"/>
                <w:sz w:val="24"/>
                <w:szCs w:val="24"/>
              </w:rPr>
            </w:pPr>
            <w:r w:rsidRPr="00886FD2">
              <w:rPr>
                <w:rFonts w:eastAsia="Times New Roman"/>
                <w:i/>
                <w:iCs/>
                <w:color w:val="000000"/>
                <w:sz w:val="24"/>
                <w:szCs w:val="24"/>
              </w:rPr>
              <w:t>Operating Cash Flow/Revenue</w:t>
            </w:r>
          </w:p>
        </w:tc>
        <w:tc>
          <w:tcPr>
            <w:tcW w:w="397" w:type="pct"/>
            <w:tcBorders>
              <w:top w:val="nil"/>
              <w:left w:val="nil"/>
              <w:bottom w:val="single" w:sz="4" w:space="0" w:color="auto"/>
              <w:right w:val="single" w:sz="4" w:space="0" w:color="auto"/>
            </w:tcBorders>
            <w:noWrap/>
            <w:vAlign w:val="bottom"/>
            <w:hideMark/>
          </w:tcPr>
          <w:p w14:paraId="11DF4D4C" w14:textId="77777777" w:rsidR="00EA21F4" w:rsidRPr="00886FD2" w:rsidRDefault="00EA21F4" w:rsidP="00EA21F4">
            <w:pPr>
              <w:spacing w:after="240" w:line="360" w:lineRule="auto"/>
              <w:jc w:val="right"/>
              <w:rPr>
                <w:rFonts w:eastAsia="Times New Roman"/>
                <w:color w:val="000000"/>
                <w:sz w:val="24"/>
                <w:szCs w:val="24"/>
              </w:rPr>
            </w:pPr>
            <w:r w:rsidRPr="00886FD2">
              <w:rPr>
                <w:rFonts w:eastAsia="Times New Roman"/>
                <w:color w:val="000000"/>
                <w:sz w:val="24"/>
                <w:szCs w:val="24"/>
              </w:rPr>
              <w:t>0.019</w:t>
            </w:r>
          </w:p>
        </w:tc>
        <w:tc>
          <w:tcPr>
            <w:tcW w:w="397" w:type="pct"/>
            <w:tcBorders>
              <w:top w:val="nil"/>
              <w:left w:val="nil"/>
              <w:bottom w:val="single" w:sz="4" w:space="0" w:color="auto"/>
              <w:right w:val="single" w:sz="4" w:space="0" w:color="auto"/>
            </w:tcBorders>
            <w:noWrap/>
            <w:vAlign w:val="bottom"/>
            <w:hideMark/>
          </w:tcPr>
          <w:p w14:paraId="3EA51EEC" w14:textId="77777777" w:rsidR="00EA21F4" w:rsidRPr="00886FD2" w:rsidRDefault="00EA21F4" w:rsidP="00EA21F4">
            <w:pPr>
              <w:spacing w:after="240" w:line="360" w:lineRule="auto"/>
              <w:jc w:val="right"/>
              <w:rPr>
                <w:rFonts w:eastAsia="Times New Roman"/>
                <w:color w:val="000000"/>
                <w:sz w:val="24"/>
                <w:szCs w:val="24"/>
              </w:rPr>
            </w:pPr>
            <w:r w:rsidRPr="00886FD2">
              <w:rPr>
                <w:rFonts w:eastAsia="Times New Roman"/>
                <w:color w:val="000000"/>
                <w:sz w:val="24"/>
                <w:szCs w:val="24"/>
              </w:rPr>
              <w:t>0.192</w:t>
            </w:r>
          </w:p>
        </w:tc>
        <w:tc>
          <w:tcPr>
            <w:tcW w:w="397" w:type="pct"/>
            <w:tcBorders>
              <w:top w:val="nil"/>
              <w:left w:val="nil"/>
              <w:bottom w:val="single" w:sz="4" w:space="0" w:color="auto"/>
              <w:right w:val="single" w:sz="4" w:space="0" w:color="auto"/>
            </w:tcBorders>
            <w:noWrap/>
            <w:vAlign w:val="bottom"/>
            <w:hideMark/>
          </w:tcPr>
          <w:p w14:paraId="5FA0140E" w14:textId="77777777" w:rsidR="00EA21F4" w:rsidRPr="00886FD2" w:rsidRDefault="00EA21F4" w:rsidP="00EA21F4">
            <w:pPr>
              <w:spacing w:after="240" w:line="360" w:lineRule="auto"/>
              <w:jc w:val="right"/>
              <w:rPr>
                <w:rFonts w:eastAsia="Times New Roman"/>
                <w:color w:val="000000"/>
                <w:sz w:val="24"/>
                <w:szCs w:val="24"/>
              </w:rPr>
            </w:pPr>
            <w:r w:rsidRPr="00886FD2">
              <w:rPr>
                <w:rFonts w:eastAsia="Times New Roman"/>
                <w:color w:val="000000"/>
                <w:sz w:val="24"/>
                <w:szCs w:val="24"/>
              </w:rPr>
              <w:t>0.190</w:t>
            </w:r>
          </w:p>
        </w:tc>
        <w:tc>
          <w:tcPr>
            <w:tcW w:w="397" w:type="pct"/>
            <w:tcBorders>
              <w:top w:val="nil"/>
              <w:left w:val="nil"/>
              <w:bottom w:val="single" w:sz="4" w:space="0" w:color="auto"/>
              <w:right w:val="single" w:sz="4" w:space="0" w:color="auto"/>
            </w:tcBorders>
            <w:noWrap/>
            <w:vAlign w:val="bottom"/>
            <w:hideMark/>
          </w:tcPr>
          <w:p w14:paraId="1B2E5280" w14:textId="77777777" w:rsidR="00EA21F4" w:rsidRPr="00886FD2" w:rsidRDefault="00EA21F4" w:rsidP="00EA21F4">
            <w:pPr>
              <w:spacing w:after="240" w:line="360" w:lineRule="auto"/>
              <w:jc w:val="right"/>
              <w:rPr>
                <w:rFonts w:eastAsia="Times New Roman"/>
                <w:color w:val="000000"/>
                <w:sz w:val="24"/>
                <w:szCs w:val="24"/>
              </w:rPr>
            </w:pPr>
            <w:r w:rsidRPr="00886FD2">
              <w:rPr>
                <w:rFonts w:eastAsia="Times New Roman"/>
                <w:color w:val="000000"/>
                <w:sz w:val="24"/>
                <w:szCs w:val="24"/>
              </w:rPr>
              <w:t>0.180</w:t>
            </w:r>
          </w:p>
        </w:tc>
        <w:tc>
          <w:tcPr>
            <w:tcW w:w="397" w:type="pct"/>
            <w:tcBorders>
              <w:top w:val="nil"/>
              <w:left w:val="nil"/>
              <w:bottom w:val="single" w:sz="4" w:space="0" w:color="auto"/>
              <w:right w:val="single" w:sz="4" w:space="0" w:color="auto"/>
            </w:tcBorders>
            <w:noWrap/>
            <w:vAlign w:val="bottom"/>
            <w:hideMark/>
          </w:tcPr>
          <w:p w14:paraId="5B1FC42D" w14:textId="77777777" w:rsidR="00EA21F4" w:rsidRPr="00886FD2" w:rsidRDefault="00EA21F4" w:rsidP="00EA21F4">
            <w:pPr>
              <w:spacing w:after="240" w:line="360" w:lineRule="auto"/>
              <w:jc w:val="right"/>
              <w:rPr>
                <w:rFonts w:eastAsia="Times New Roman"/>
                <w:color w:val="000000"/>
                <w:sz w:val="24"/>
                <w:szCs w:val="24"/>
              </w:rPr>
            </w:pPr>
            <w:r w:rsidRPr="00886FD2">
              <w:rPr>
                <w:rFonts w:eastAsia="Times New Roman"/>
                <w:color w:val="000000"/>
                <w:sz w:val="24"/>
                <w:szCs w:val="24"/>
              </w:rPr>
              <w:t>0.177</w:t>
            </w:r>
          </w:p>
        </w:tc>
      </w:tr>
      <w:tr w:rsidR="00EA21F4" w:rsidRPr="00886FD2" w14:paraId="4F846A0B" w14:textId="77777777" w:rsidTr="00EA21F4">
        <w:trPr>
          <w:trHeight w:val="300"/>
        </w:trPr>
        <w:tc>
          <w:tcPr>
            <w:tcW w:w="1306" w:type="pct"/>
            <w:tcBorders>
              <w:top w:val="nil"/>
              <w:left w:val="single" w:sz="4" w:space="0" w:color="auto"/>
              <w:bottom w:val="single" w:sz="4" w:space="0" w:color="auto"/>
              <w:right w:val="single" w:sz="4" w:space="0" w:color="auto"/>
            </w:tcBorders>
            <w:noWrap/>
            <w:vAlign w:val="bottom"/>
            <w:hideMark/>
          </w:tcPr>
          <w:p w14:paraId="1807C0DA" w14:textId="77777777" w:rsidR="00EA21F4" w:rsidRPr="00886FD2" w:rsidRDefault="00EA21F4" w:rsidP="00EA21F4">
            <w:pPr>
              <w:spacing w:after="240" w:line="360" w:lineRule="auto"/>
              <w:rPr>
                <w:rFonts w:eastAsia="Times New Roman"/>
                <w:color w:val="000000"/>
                <w:sz w:val="24"/>
                <w:szCs w:val="24"/>
              </w:rPr>
            </w:pPr>
            <w:r w:rsidRPr="00886FD2">
              <w:rPr>
                <w:rFonts w:eastAsia="Times New Roman"/>
                <w:color w:val="000000"/>
                <w:sz w:val="24"/>
                <w:szCs w:val="24"/>
              </w:rPr>
              <w:t>Cash Flow to Debt Ratio</w:t>
            </w:r>
          </w:p>
        </w:tc>
        <w:tc>
          <w:tcPr>
            <w:tcW w:w="1707" w:type="pct"/>
            <w:tcBorders>
              <w:top w:val="nil"/>
              <w:left w:val="nil"/>
              <w:bottom w:val="single" w:sz="4" w:space="0" w:color="auto"/>
              <w:right w:val="single" w:sz="4" w:space="0" w:color="auto"/>
            </w:tcBorders>
            <w:noWrap/>
            <w:vAlign w:val="bottom"/>
            <w:hideMark/>
          </w:tcPr>
          <w:p w14:paraId="7C7E18F9" w14:textId="6CC3BB01" w:rsidR="00EA21F4" w:rsidRPr="00886FD2" w:rsidRDefault="00EA21F4" w:rsidP="00EA21F4">
            <w:pPr>
              <w:spacing w:after="240" w:line="360" w:lineRule="auto"/>
              <w:rPr>
                <w:rFonts w:eastAsia="Times New Roman"/>
                <w:i/>
                <w:iCs/>
                <w:color w:val="000000"/>
                <w:sz w:val="24"/>
                <w:szCs w:val="24"/>
              </w:rPr>
            </w:pPr>
            <w:r w:rsidRPr="00886FD2">
              <w:rPr>
                <w:rFonts w:eastAsia="Times New Roman"/>
                <w:i/>
                <w:iCs/>
                <w:color w:val="000000"/>
                <w:sz w:val="24"/>
                <w:szCs w:val="24"/>
              </w:rPr>
              <w:t>Operating Cash Flow/Long Term Debt</w:t>
            </w:r>
          </w:p>
        </w:tc>
        <w:tc>
          <w:tcPr>
            <w:tcW w:w="397" w:type="pct"/>
            <w:tcBorders>
              <w:top w:val="nil"/>
              <w:left w:val="nil"/>
              <w:bottom w:val="single" w:sz="4" w:space="0" w:color="auto"/>
              <w:right w:val="single" w:sz="4" w:space="0" w:color="auto"/>
            </w:tcBorders>
            <w:noWrap/>
            <w:vAlign w:val="bottom"/>
            <w:hideMark/>
          </w:tcPr>
          <w:p w14:paraId="0C9107FD" w14:textId="77777777" w:rsidR="00EA21F4" w:rsidRPr="00886FD2" w:rsidRDefault="00EA21F4" w:rsidP="00EA21F4">
            <w:pPr>
              <w:spacing w:after="240" w:line="360" w:lineRule="auto"/>
              <w:jc w:val="right"/>
              <w:rPr>
                <w:rFonts w:eastAsia="Times New Roman"/>
                <w:color w:val="000000"/>
                <w:sz w:val="24"/>
                <w:szCs w:val="24"/>
              </w:rPr>
            </w:pPr>
            <w:r w:rsidRPr="00886FD2">
              <w:rPr>
                <w:rFonts w:eastAsia="Times New Roman"/>
                <w:color w:val="000000"/>
                <w:sz w:val="24"/>
                <w:szCs w:val="24"/>
              </w:rPr>
              <w:t>0.013</w:t>
            </w:r>
          </w:p>
        </w:tc>
        <w:tc>
          <w:tcPr>
            <w:tcW w:w="397" w:type="pct"/>
            <w:tcBorders>
              <w:top w:val="nil"/>
              <w:left w:val="nil"/>
              <w:bottom w:val="single" w:sz="4" w:space="0" w:color="auto"/>
              <w:right w:val="single" w:sz="4" w:space="0" w:color="auto"/>
            </w:tcBorders>
            <w:noWrap/>
            <w:vAlign w:val="bottom"/>
            <w:hideMark/>
          </w:tcPr>
          <w:p w14:paraId="32EC2E62" w14:textId="77777777" w:rsidR="00EA21F4" w:rsidRPr="00886FD2" w:rsidRDefault="00EA21F4" w:rsidP="00EA21F4">
            <w:pPr>
              <w:spacing w:after="240" w:line="360" w:lineRule="auto"/>
              <w:jc w:val="right"/>
              <w:rPr>
                <w:rFonts w:eastAsia="Times New Roman"/>
                <w:color w:val="000000"/>
                <w:sz w:val="24"/>
                <w:szCs w:val="24"/>
              </w:rPr>
            </w:pPr>
            <w:r w:rsidRPr="00886FD2">
              <w:rPr>
                <w:rFonts w:eastAsia="Times New Roman"/>
                <w:color w:val="000000"/>
                <w:sz w:val="24"/>
                <w:szCs w:val="24"/>
              </w:rPr>
              <w:t>0.193</w:t>
            </w:r>
          </w:p>
        </w:tc>
        <w:tc>
          <w:tcPr>
            <w:tcW w:w="397" w:type="pct"/>
            <w:tcBorders>
              <w:top w:val="nil"/>
              <w:left w:val="nil"/>
              <w:bottom w:val="single" w:sz="4" w:space="0" w:color="auto"/>
              <w:right w:val="single" w:sz="4" w:space="0" w:color="auto"/>
            </w:tcBorders>
            <w:noWrap/>
            <w:vAlign w:val="bottom"/>
            <w:hideMark/>
          </w:tcPr>
          <w:p w14:paraId="29BC254B" w14:textId="77777777" w:rsidR="00EA21F4" w:rsidRPr="00886FD2" w:rsidRDefault="00EA21F4" w:rsidP="00EA21F4">
            <w:pPr>
              <w:spacing w:after="240" w:line="360" w:lineRule="auto"/>
              <w:jc w:val="right"/>
              <w:rPr>
                <w:rFonts w:eastAsia="Times New Roman"/>
                <w:color w:val="000000"/>
                <w:sz w:val="24"/>
                <w:szCs w:val="24"/>
              </w:rPr>
            </w:pPr>
            <w:r w:rsidRPr="00886FD2">
              <w:rPr>
                <w:rFonts w:eastAsia="Times New Roman"/>
                <w:color w:val="000000"/>
                <w:sz w:val="24"/>
                <w:szCs w:val="24"/>
              </w:rPr>
              <w:t>0.213</w:t>
            </w:r>
          </w:p>
        </w:tc>
        <w:tc>
          <w:tcPr>
            <w:tcW w:w="397" w:type="pct"/>
            <w:tcBorders>
              <w:top w:val="nil"/>
              <w:left w:val="nil"/>
              <w:bottom w:val="single" w:sz="4" w:space="0" w:color="auto"/>
              <w:right w:val="single" w:sz="4" w:space="0" w:color="auto"/>
            </w:tcBorders>
            <w:noWrap/>
            <w:vAlign w:val="bottom"/>
            <w:hideMark/>
          </w:tcPr>
          <w:p w14:paraId="31EF70DC" w14:textId="77777777" w:rsidR="00EA21F4" w:rsidRPr="00886FD2" w:rsidRDefault="00EA21F4" w:rsidP="00EA21F4">
            <w:pPr>
              <w:spacing w:after="240" w:line="360" w:lineRule="auto"/>
              <w:jc w:val="right"/>
              <w:rPr>
                <w:rFonts w:eastAsia="Times New Roman"/>
                <w:color w:val="000000"/>
                <w:sz w:val="24"/>
                <w:szCs w:val="24"/>
              </w:rPr>
            </w:pPr>
            <w:r w:rsidRPr="00886FD2">
              <w:rPr>
                <w:rFonts w:eastAsia="Times New Roman"/>
                <w:color w:val="000000"/>
                <w:sz w:val="24"/>
                <w:szCs w:val="24"/>
              </w:rPr>
              <w:t>0.190</w:t>
            </w:r>
          </w:p>
        </w:tc>
        <w:tc>
          <w:tcPr>
            <w:tcW w:w="397" w:type="pct"/>
            <w:tcBorders>
              <w:top w:val="nil"/>
              <w:left w:val="nil"/>
              <w:bottom w:val="single" w:sz="4" w:space="0" w:color="auto"/>
              <w:right w:val="single" w:sz="4" w:space="0" w:color="auto"/>
            </w:tcBorders>
            <w:noWrap/>
            <w:vAlign w:val="bottom"/>
            <w:hideMark/>
          </w:tcPr>
          <w:p w14:paraId="49C96DC1" w14:textId="77777777" w:rsidR="00EA21F4" w:rsidRPr="00886FD2" w:rsidRDefault="00EA21F4" w:rsidP="00EA21F4">
            <w:pPr>
              <w:spacing w:after="240" w:line="360" w:lineRule="auto"/>
              <w:jc w:val="right"/>
              <w:rPr>
                <w:rFonts w:eastAsia="Times New Roman"/>
                <w:color w:val="000000"/>
                <w:sz w:val="24"/>
                <w:szCs w:val="24"/>
              </w:rPr>
            </w:pPr>
            <w:r w:rsidRPr="00886FD2">
              <w:rPr>
                <w:rFonts w:eastAsia="Times New Roman"/>
                <w:color w:val="000000"/>
                <w:sz w:val="24"/>
                <w:szCs w:val="24"/>
              </w:rPr>
              <w:t>0.173</w:t>
            </w:r>
          </w:p>
        </w:tc>
      </w:tr>
    </w:tbl>
    <w:p w14:paraId="75A6D8D0" w14:textId="77777777" w:rsidR="00EA21F4" w:rsidRPr="00886FD2" w:rsidRDefault="00EA21F4">
      <w:pPr>
        <w:spacing w:after="200" w:line="360" w:lineRule="auto"/>
        <w:jc w:val="both"/>
        <w:rPr>
          <w:rFonts w:eastAsia="Times New Roman"/>
          <w:sz w:val="24"/>
          <w:szCs w:val="24"/>
        </w:rPr>
      </w:pPr>
    </w:p>
    <w:p w14:paraId="4DA934AA" w14:textId="77777777" w:rsidR="00EA21F4" w:rsidRPr="00886FD2" w:rsidRDefault="00EA21F4">
      <w:pPr>
        <w:rPr>
          <w:rFonts w:eastAsia="Times New Roman"/>
          <w:sz w:val="24"/>
          <w:szCs w:val="24"/>
        </w:rPr>
      </w:pPr>
      <w:r w:rsidRPr="00886FD2">
        <w:rPr>
          <w:rFonts w:eastAsia="Times New Roman"/>
          <w:sz w:val="24"/>
          <w:szCs w:val="24"/>
        </w:rPr>
        <w:br w:type="page"/>
      </w:r>
    </w:p>
    <w:p w14:paraId="3EDB7ED8" w14:textId="2BEA115F" w:rsidR="00EA21F4" w:rsidRPr="00886FD2" w:rsidRDefault="00EA21F4" w:rsidP="00EA21F4">
      <w:pPr>
        <w:pStyle w:val="Heading2"/>
      </w:pPr>
      <w:bookmarkStart w:id="64" w:name="_Toc235207170"/>
      <w:bookmarkStart w:id="65" w:name="_Toc235207395"/>
      <w:r w:rsidRPr="00886FD2">
        <w:lastRenderedPageBreak/>
        <w:t>Appendix B: Investment appraisal calculations</w:t>
      </w:r>
      <w:bookmarkEnd w:id="64"/>
      <w:bookmarkEnd w:id="65"/>
    </w:p>
    <w:p w14:paraId="5AB0CDF7" w14:textId="0CB20710" w:rsidR="00EA21F4" w:rsidRPr="00886FD2" w:rsidRDefault="00EA21F4">
      <w:pPr>
        <w:spacing w:after="200" w:line="360" w:lineRule="auto"/>
        <w:jc w:val="both"/>
        <w:rPr>
          <w:rFonts w:eastAsia="Times New Roman"/>
          <w:b/>
          <w:bCs/>
          <w:i/>
          <w:iCs/>
          <w:sz w:val="24"/>
          <w:szCs w:val="24"/>
        </w:rPr>
      </w:pPr>
      <w:r w:rsidRPr="00886FD2">
        <w:rPr>
          <w:rFonts w:eastAsia="Times New Roman"/>
          <w:b/>
          <w:bCs/>
          <w:i/>
          <w:iCs/>
          <w:sz w:val="24"/>
          <w:szCs w:val="24"/>
        </w:rPr>
        <w:t xml:space="preserve">Project A: </w:t>
      </w:r>
    </w:p>
    <w:tbl>
      <w:tblPr>
        <w:tblW w:w="5000" w:type="pct"/>
        <w:tblLook w:val="04A0" w:firstRow="1" w:lastRow="0" w:firstColumn="1" w:lastColumn="0" w:noHBand="0" w:noVBand="1"/>
      </w:tblPr>
      <w:tblGrid>
        <w:gridCol w:w="1287"/>
        <w:gridCol w:w="1288"/>
        <w:gridCol w:w="1618"/>
        <w:gridCol w:w="1618"/>
        <w:gridCol w:w="1510"/>
        <w:gridCol w:w="1698"/>
      </w:tblGrid>
      <w:tr w:rsidR="00EA21F4" w:rsidRPr="00886FD2" w14:paraId="59B3D36A" w14:textId="77777777" w:rsidTr="00EA21F4">
        <w:trPr>
          <w:trHeight w:val="900"/>
        </w:trPr>
        <w:tc>
          <w:tcPr>
            <w:tcW w:w="833" w:type="pct"/>
            <w:tcBorders>
              <w:top w:val="single" w:sz="4" w:space="0" w:color="auto"/>
              <w:left w:val="single" w:sz="4" w:space="0" w:color="auto"/>
              <w:bottom w:val="single" w:sz="4" w:space="0" w:color="auto"/>
              <w:right w:val="single" w:sz="4" w:space="0" w:color="auto"/>
            </w:tcBorders>
            <w:vAlign w:val="center"/>
            <w:hideMark/>
          </w:tcPr>
          <w:p w14:paraId="5D941275" w14:textId="77777777" w:rsidR="00EA21F4" w:rsidRPr="00886FD2" w:rsidRDefault="00EA21F4" w:rsidP="00EA21F4">
            <w:pPr>
              <w:spacing w:after="240" w:line="360" w:lineRule="auto"/>
              <w:jc w:val="center"/>
              <w:rPr>
                <w:rFonts w:eastAsia="Times New Roman"/>
                <w:b/>
                <w:bCs/>
                <w:i/>
                <w:iCs/>
                <w:color w:val="000000"/>
                <w:sz w:val="24"/>
                <w:szCs w:val="24"/>
              </w:rPr>
            </w:pPr>
            <w:r w:rsidRPr="00886FD2">
              <w:rPr>
                <w:rFonts w:eastAsia="Times New Roman"/>
                <w:b/>
                <w:bCs/>
                <w:i/>
                <w:iCs/>
                <w:color w:val="000000"/>
                <w:sz w:val="24"/>
                <w:szCs w:val="24"/>
              </w:rPr>
              <w:t>Year</w:t>
            </w:r>
          </w:p>
        </w:tc>
        <w:tc>
          <w:tcPr>
            <w:tcW w:w="833" w:type="pct"/>
            <w:tcBorders>
              <w:top w:val="single" w:sz="4" w:space="0" w:color="auto"/>
              <w:left w:val="nil"/>
              <w:bottom w:val="single" w:sz="4" w:space="0" w:color="auto"/>
              <w:right w:val="single" w:sz="4" w:space="0" w:color="auto"/>
            </w:tcBorders>
            <w:vAlign w:val="center"/>
            <w:hideMark/>
          </w:tcPr>
          <w:p w14:paraId="1494FACF" w14:textId="77777777" w:rsidR="00EA21F4" w:rsidRPr="00886FD2" w:rsidRDefault="00EA21F4" w:rsidP="00EA21F4">
            <w:pPr>
              <w:spacing w:after="240" w:line="360" w:lineRule="auto"/>
              <w:jc w:val="center"/>
              <w:rPr>
                <w:rFonts w:eastAsia="Times New Roman"/>
                <w:b/>
                <w:bCs/>
                <w:i/>
                <w:iCs/>
                <w:color w:val="000000"/>
                <w:sz w:val="24"/>
                <w:szCs w:val="24"/>
              </w:rPr>
            </w:pPr>
            <w:r w:rsidRPr="00886FD2">
              <w:rPr>
                <w:rFonts w:eastAsia="Times New Roman"/>
                <w:b/>
                <w:bCs/>
                <w:i/>
                <w:iCs/>
                <w:color w:val="000000"/>
                <w:sz w:val="24"/>
                <w:szCs w:val="24"/>
              </w:rPr>
              <w:t>Net Cash Flow (£m)</w:t>
            </w:r>
          </w:p>
        </w:tc>
        <w:tc>
          <w:tcPr>
            <w:tcW w:w="833" w:type="pct"/>
            <w:tcBorders>
              <w:top w:val="single" w:sz="4" w:space="0" w:color="auto"/>
              <w:left w:val="nil"/>
              <w:bottom w:val="single" w:sz="4" w:space="0" w:color="auto"/>
              <w:right w:val="single" w:sz="4" w:space="0" w:color="auto"/>
            </w:tcBorders>
            <w:vAlign w:val="center"/>
            <w:hideMark/>
          </w:tcPr>
          <w:p w14:paraId="326684AF" w14:textId="77777777" w:rsidR="00EA21F4" w:rsidRPr="00886FD2" w:rsidRDefault="00EA21F4" w:rsidP="00EA21F4">
            <w:pPr>
              <w:spacing w:after="240" w:line="360" w:lineRule="auto"/>
              <w:jc w:val="center"/>
              <w:rPr>
                <w:rFonts w:eastAsia="Times New Roman"/>
                <w:b/>
                <w:bCs/>
                <w:i/>
                <w:iCs/>
                <w:color w:val="000000"/>
                <w:sz w:val="24"/>
                <w:szCs w:val="24"/>
              </w:rPr>
            </w:pPr>
            <w:r w:rsidRPr="00886FD2">
              <w:rPr>
                <w:rFonts w:eastAsia="Times New Roman"/>
                <w:b/>
                <w:bCs/>
                <w:i/>
                <w:iCs/>
                <w:color w:val="000000"/>
                <w:sz w:val="24"/>
                <w:szCs w:val="24"/>
              </w:rPr>
              <w:t>Discount Factor (8%)</w:t>
            </w:r>
          </w:p>
        </w:tc>
        <w:tc>
          <w:tcPr>
            <w:tcW w:w="833" w:type="pct"/>
            <w:tcBorders>
              <w:top w:val="single" w:sz="4" w:space="0" w:color="auto"/>
              <w:left w:val="nil"/>
              <w:bottom w:val="single" w:sz="4" w:space="0" w:color="auto"/>
              <w:right w:val="single" w:sz="4" w:space="0" w:color="auto"/>
            </w:tcBorders>
            <w:vAlign w:val="center"/>
            <w:hideMark/>
          </w:tcPr>
          <w:p w14:paraId="21FCEADE" w14:textId="77777777" w:rsidR="00EA21F4" w:rsidRPr="00886FD2" w:rsidRDefault="00EA21F4" w:rsidP="00EA21F4">
            <w:pPr>
              <w:spacing w:after="240" w:line="360" w:lineRule="auto"/>
              <w:jc w:val="center"/>
              <w:rPr>
                <w:rFonts w:eastAsia="Times New Roman"/>
                <w:b/>
                <w:bCs/>
                <w:i/>
                <w:iCs/>
                <w:color w:val="000000"/>
                <w:sz w:val="24"/>
                <w:szCs w:val="24"/>
              </w:rPr>
            </w:pPr>
            <w:r w:rsidRPr="00886FD2">
              <w:rPr>
                <w:rFonts w:eastAsia="Times New Roman"/>
                <w:b/>
                <w:bCs/>
                <w:i/>
                <w:iCs/>
                <w:color w:val="000000"/>
                <w:sz w:val="24"/>
                <w:szCs w:val="24"/>
              </w:rPr>
              <w:t>Present Value (£m)</w:t>
            </w:r>
          </w:p>
        </w:tc>
        <w:tc>
          <w:tcPr>
            <w:tcW w:w="833" w:type="pct"/>
            <w:tcBorders>
              <w:top w:val="single" w:sz="4" w:space="0" w:color="auto"/>
              <w:left w:val="nil"/>
              <w:bottom w:val="single" w:sz="4" w:space="0" w:color="auto"/>
              <w:right w:val="single" w:sz="4" w:space="0" w:color="auto"/>
            </w:tcBorders>
            <w:vAlign w:val="center"/>
            <w:hideMark/>
          </w:tcPr>
          <w:p w14:paraId="7ECB1073" w14:textId="77777777" w:rsidR="00EA21F4" w:rsidRPr="00886FD2" w:rsidRDefault="00EA21F4" w:rsidP="00EA21F4">
            <w:pPr>
              <w:spacing w:after="240" w:line="360" w:lineRule="auto"/>
              <w:jc w:val="center"/>
              <w:rPr>
                <w:rFonts w:eastAsia="Times New Roman"/>
                <w:b/>
                <w:bCs/>
                <w:i/>
                <w:iCs/>
                <w:color w:val="000000"/>
                <w:sz w:val="24"/>
                <w:szCs w:val="24"/>
              </w:rPr>
            </w:pPr>
            <w:r w:rsidRPr="00886FD2">
              <w:rPr>
                <w:rFonts w:eastAsia="Times New Roman"/>
                <w:b/>
                <w:bCs/>
                <w:i/>
                <w:iCs/>
                <w:color w:val="000000"/>
                <w:sz w:val="24"/>
                <w:szCs w:val="24"/>
              </w:rPr>
              <w:t>Cumulative Cash Flow (£m)</w:t>
            </w:r>
          </w:p>
        </w:tc>
        <w:tc>
          <w:tcPr>
            <w:tcW w:w="833" w:type="pct"/>
            <w:tcBorders>
              <w:top w:val="single" w:sz="4" w:space="0" w:color="auto"/>
              <w:left w:val="nil"/>
              <w:bottom w:val="single" w:sz="4" w:space="0" w:color="auto"/>
              <w:right w:val="single" w:sz="4" w:space="0" w:color="auto"/>
            </w:tcBorders>
            <w:vAlign w:val="center"/>
            <w:hideMark/>
          </w:tcPr>
          <w:p w14:paraId="4F4308C2" w14:textId="77777777" w:rsidR="00EA21F4" w:rsidRPr="00886FD2" w:rsidRDefault="00EA21F4" w:rsidP="00EA21F4">
            <w:pPr>
              <w:spacing w:after="240" w:line="360" w:lineRule="auto"/>
              <w:jc w:val="center"/>
              <w:rPr>
                <w:rFonts w:eastAsia="Times New Roman"/>
                <w:b/>
                <w:bCs/>
                <w:i/>
                <w:iCs/>
                <w:color w:val="000000"/>
                <w:sz w:val="24"/>
                <w:szCs w:val="24"/>
              </w:rPr>
            </w:pPr>
            <w:r w:rsidRPr="00886FD2">
              <w:rPr>
                <w:rFonts w:eastAsia="Times New Roman"/>
                <w:b/>
                <w:bCs/>
                <w:i/>
                <w:iCs/>
                <w:color w:val="000000"/>
                <w:sz w:val="24"/>
                <w:szCs w:val="24"/>
              </w:rPr>
              <w:t>Cumulative PV (£m)</w:t>
            </w:r>
          </w:p>
        </w:tc>
      </w:tr>
      <w:tr w:rsidR="00EA21F4" w:rsidRPr="00886FD2" w14:paraId="50F97C0C" w14:textId="77777777" w:rsidTr="00EA21F4">
        <w:trPr>
          <w:trHeight w:val="300"/>
        </w:trPr>
        <w:tc>
          <w:tcPr>
            <w:tcW w:w="833" w:type="pct"/>
            <w:tcBorders>
              <w:top w:val="nil"/>
              <w:left w:val="single" w:sz="4" w:space="0" w:color="auto"/>
              <w:bottom w:val="single" w:sz="4" w:space="0" w:color="auto"/>
              <w:right w:val="single" w:sz="4" w:space="0" w:color="auto"/>
            </w:tcBorders>
            <w:noWrap/>
            <w:vAlign w:val="bottom"/>
            <w:hideMark/>
          </w:tcPr>
          <w:p w14:paraId="62C27AA6" w14:textId="77777777" w:rsidR="00EA21F4" w:rsidRPr="00886FD2" w:rsidRDefault="00EA21F4" w:rsidP="00EA21F4">
            <w:pPr>
              <w:spacing w:after="240" w:line="360" w:lineRule="auto"/>
              <w:jc w:val="right"/>
              <w:rPr>
                <w:rFonts w:eastAsia="Times New Roman"/>
                <w:color w:val="000000"/>
                <w:sz w:val="24"/>
                <w:szCs w:val="24"/>
              </w:rPr>
            </w:pPr>
            <w:r w:rsidRPr="00886FD2">
              <w:rPr>
                <w:rFonts w:eastAsia="Times New Roman"/>
                <w:color w:val="000000"/>
                <w:sz w:val="24"/>
                <w:szCs w:val="24"/>
              </w:rPr>
              <w:t>0</w:t>
            </w:r>
          </w:p>
        </w:tc>
        <w:tc>
          <w:tcPr>
            <w:tcW w:w="833" w:type="pct"/>
            <w:tcBorders>
              <w:top w:val="nil"/>
              <w:left w:val="nil"/>
              <w:bottom w:val="single" w:sz="4" w:space="0" w:color="auto"/>
              <w:right w:val="single" w:sz="4" w:space="0" w:color="auto"/>
            </w:tcBorders>
            <w:noWrap/>
            <w:vAlign w:val="bottom"/>
            <w:hideMark/>
          </w:tcPr>
          <w:p w14:paraId="59E816C8" w14:textId="77777777" w:rsidR="00EA21F4" w:rsidRPr="00886FD2" w:rsidRDefault="00EA21F4" w:rsidP="00EA21F4">
            <w:pPr>
              <w:spacing w:after="240" w:line="360" w:lineRule="auto"/>
              <w:jc w:val="right"/>
              <w:rPr>
                <w:rFonts w:eastAsia="Times New Roman"/>
                <w:color w:val="000000"/>
                <w:sz w:val="24"/>
                <w:szCs w:val="24"/>
              </w:rPr>
            </w:pPr>
            <w:r w:rsidRPr="00886FD2">
              <w:rPr>
                <w:rFonts w:eastAsia="Times New Roman"/>
                <w:color w:val="000000"/>
                <w:sz w:val="24"/>
                <w:szCs w:val="24"/>
              </w:rPr>
              <w:t>-50</w:t>
            </w:r>
          </w:p>
        </w:tc>
        <w:tc>
          <w:tcPr>
            <w:tcW w:w="833" w:type="pct"/>
            <w:tcBorders>
              <w:top w:val="nil"/>
              <w:left w:val="nil"/>
              <w:bottom w:val="single" w:sz="4" w:space="0" w:color="auto"/>
              <w:right w:val="single" w:sz="4" w:space="0" w:color="auto"/>
            </w:tcBorders>
            <w:noWrap/>
            <w:vAlign w:val="bottom"/>
            <w:hideMark/>
          </w:tcPr>
          <w:p w14:paraId="37BEE6C0" w14:textId="77777777" w:rsidR="00EA21F4" w:rsidRPr="00886FD2" w:rsidRDefault="00EA21F4" w:rsidP="00EA21F4">
            <w:pPr>
              <w:spacing w:after="240" w:line="360" w:lineRule="auto"/>
              <w:jc w:val="right"/>
              <w:rPr>
                <w:rFonts w:eastAsia="Times New Roman"/>
                <w:color w:val="000000"/>
                <w:sz w:val="24"/>
                <w:szCs w:val="24"/>
              </w:rPr>
            </w:pPr>
            <w:r w:rsidRPr="00886FD2">
              <w:rPr>
                <w:rFonts w:eastAsia="Times New Roman"/>
                <w:color w:val="000000"/>
                <w:sz w:val="24"/>
                <w:szCs w:val="24"/>
              </w:rPr>
              <w:t>1</w:t>
            </w:r>
          </w:p>
        </w:tc>
        <w:tc>
          <w:tcPr>
            <w:tcW w:w="833" w:type="pct"/>
            <w:tcBorders>
              <w:top w:val="nil"/>
              <w:left w:val="nil"/>
              <w:bottom w:val="single" w:sz="4" w:space="0" w:color="auto"/>
              <w:right w:val="single" w:sz="4" w:space="0" w:color="auto"/>
            </w:tcBorders>
            <w:noWrap/>
            <w:vAlign w:val="bottom"/>
            <w:hideMark/>
          </w:tcPr>
          <w:p w14:paraId="31A72366" w14:textId="77777777" w:rsidR="00EA21F4" w:rsidRPr="00886FD2" w:rsidRDefault="00EA21F4" w:rsidP="00EA21F4">
            <w:pPr>
              <w:spacing w:after="240" w:line="360" w:lineRule="auto"/>
              <w:jc w:val="right"/>
              <w:rPr>
                <w:rFonts w:eastAsia="Times New Roman"/>
                <w:color w:val="000000"/>
                <w:sz w:val="24"/>
                <w:szCs w:val="24"/>
              </w:rPr>
            </w:pPr>
            <w:r w:rsidRPr="00886FD2">
              <w:rPr>
                <w:rFonts w:eastAsia="Times New Roman"/>
                <w:color w:val="000000"/>
                <w:sz w:val="24"/>
                <w:szCs w:val="24"/>
              </w:rPr>
              <w:t>-50</w:t>
            </w:r>
          </w:p>
        </w:tc>
        <w:tc>
          <w:tcPr>
            <w:tcW w:w="833" w:type="pct"/>
            <w:tcBorders>
              <w:top w:val="nil"/>
              <w:left w:val="nil"/>
              <w:bottom w:val="single" w:sz="4" w:space="0" w:color="auto"/>
              <w:right w:val="single" w:sz="4" w:space="0" w:color="auto"/>
            </w:tcBorders>
            <w:noWrap/>
            <w:vAlign w:val="bottom"/>
            <w:hideMark/>
          </w:tcPr>
          <w:p w14:paraId="7405DD1D" w14:textId="77777777" w:rsidR="00EA21F4" w:rsidRPr="00886FD2" w:rsidRDefault="00EA21F4" w:rsidP="00EA21F4">
            <w:pPr>
              <w:spacing w:after="240" w:line="360" w:lineRule="auto"/>
              <w:jc w:val="right"/>
              <w:rPr>
                <w:rFonts w:eastAsia="Times New Roman"/>
                <w:color w:val="000000"/>
                <w:sz w:val="24"/>
                <w:szCs w:val="24"/>
              </w:rPr>
            </w:pPr>
            <w:r w:rsidRPr="00886FD2">
              <w:rPr>
                <w:rFonts w:eastAsia="Times New Roman"/>
                <w:color w:val="000000"/>
                <w:sz w:val="24"/>
                <w:szCs w:val="24"/>
              </w:rPr>
              <w:t>-50</w:t>
            </w:r>
          </w:p>
        </w:tc>
        <w:tc>
          <w:tcPr>
            <w:tcW w:w="833" w:type="pct"/>
            <w:tcBorders>
              <w:top w:val="nil"/>
              <w:left w:val="nil"/>
              <w:bottom w:val="single" w:sz="4" w:space="0" w:color="auto"/>
              <w:right w:val="single" w:sz="4" w:space="0" w:color="auto"/>
            </w:tcBorders>
            <w:noWrap/>
            <w:vAlign w:val="bottom"/>
            <w:hideMark/>
          </w:tcPr>
          <w:p w14:paraId="2000924E" w14:textId="77777777" w:rsidR="00EA21F4" w:rsidRPr="00886FD2" w:rsidRDefault="00EA21F4" w:rsidP="00EA21F4">
            <w:pPr>
              <w:spacing w:after="240" w:line="360" w:lineRule="auto"/>
              <w:jc w:val="right"/>
              <w:rPr>
                <w:rFonts w:eastAsia="Times New Roman"/>
                <w:color w:val="000000"/>
                <w:sz w:val="24"/>
                <w:szCs w:val="24"/>
              </w:rPr>
            </w:pPr>
            <w:r w:rsidRPr="00886FD2">
              <w:rPr>
                <w:rFonts w:eastAsia="Times New Roman"/>
                <w:color w:val="000000"/>
                <w:sz w:val="24"/>
                <w:szCs w:val="24"/>
              </w:rPr>
              <w:t>-50</w:t>
            </w:r>
          </w:p>
        </w:tc>
      </w:tr>
      <w:tr w:rsidR="00EA21F4" w:rsidRPr="00886FD2" w14:paraId="533220BF" w14:textId="77777777" w:rsidTr="00EA21F4">
        <w:trPr>
          <w:trHeight w:val="300"/>
        </w:trPr>
        <w:tc>
          <w:tcPr>
            <w:tcW w:w="833" w:type="pct"/>
            <w:tcBorders>
              <w:top w:val="nil"/>
              <w:left w:val="single" w:sz="4" w:space="0" w:color="auto"/>
              <w:bottom w:val="single" w:sz="4" w:space="0" w:color="auto"/>
              <w:right w:val="single" w:sz="4" w:space="0" w:color="auto"/>
            </w:tcBorders>
            <w:noWrap/>
            <w:vAlign w:val="bottom"/>
            <w:hideMark/>
          </w:tcPr>
          <w:p w14:paraId="0E18BDAA" w14:textId="77777777" w:rsidR="00EA21F4" w:rsidRPr="00886FD2" w:rsidRDefault="00EA21F4" w:rsidP="00EA21F4">
            <w:pPr>
              <w:spacing w:after="240" w:line="360" w:lineRule="auto"/>
              <w:jc w:val="right"/>
              <w:rPr>
                <w:rFonts w:eastAsia="Times New Roman"/>
                <w:color w:val="000000"/>
                <w:sz w:val="24"/>
                <w:szCs w:val="24"/>
              </w:rPr>
            </w:pPr>
            <w:r w:rsidRPr="00886FD2">
              <w:rPr>
                <w:rFonts w:eastAsia="Times New Roman"/>
                <w:color w:val="000000"/>
                <w:sz w:val="24"/>
                <w:szCs w:val="24"/>
              </w:rPr>
              <w:t>1</w:t>
            </w:r>
          </w:p>
        </w:tc>
        <w:tc>
          <w:tcPr>
            <w:tcW w:w="833" w:type="pct"/>
            <w:tcBorders>
              <w:top w:val="nil"/>
              <w:left w:val="nil"/>
              <w:bottom w:val="single" w:sz="4" w:space="0" w:color="auto"/>
              <w:right w:val="single" w:sz="4" w:space="0" w:color="auto"/>
            </w:tcBorders>
            <w:noWrap/>
            <w:vAlign w:val="bottom"/>
            <w:hideMark/>
          </w:tcPr>
          <w:p w14:paraId="6630EC69" w14:textId="77777777" w:rsidR="00EA21F4" w:rsidRPr="00886FD2" w:rsidRDefault="00EA21F4" w:rsidP="00EA21F4">
            <w:pPr>
              <w:spacing w:after="240" w:line="360" w:lineRule="auto"/>
              <w:jc w:val="right"/>
              <w:rPr>
                <w:rFonts w:eastAsia="Times New Roman"/>
                <w:color w:val="000000"/>
                <w:sz w:val="24"/>
                <w:szCs w:val="24"/>
              </w:rPr>
            </w:pPr>
            <w:r w:rsidRPr="00886FD2">
              <w:rPr>
                <w:rFonts w:eastAsia="Times New Roman"/>
                <w:color w:val="000000"/>
                <w:sz w:val="24"/>
                <w:szCs w:val="24"/>
              </w:rPr>
              <w:t>10</w:t>
            </w:r>
          </w:p>
        </w:tc>
        <w:tc>
          <w:tcPr>
            <w:tcW w:w="833" w:type="pct"/>
            <w:tcBorders>
              <w:top w:val="nil"/>
              <w:left w:val="nil"/>
              <w:bottom w:val="single" w:sz="4" w:space="0" w:color="auto"/>
              <w:right w:val="single" w:sz="4" w:space="0" w:color="auto"/>
            </w:tcBorders>
            <w:noWrap/>
            <w:vAlign w:val="bottom"/>
            <w:hideMark/>
          </w:tcPr>
          <w:p w14:paraId="7DEA672F" w14:textId="77777777" w:rsidR="00EA21F4" w:rsidRPr="00886FD2" w:rsidRDefault="00EA21F4" w:rsidP="00EA21F4">
            <w:pPr>
              <w:spacing w:after="240" w:line="360" w:lineRule="auto"/>
              <w:jc w:val="right"/>
              <w:rPr>
                <w:rFonts w:eastAsia="Times New Roman"/>
                <w:color w:val="000000"/>
                <w:sz w:val="24"/>
                <w:szCs w:val="24"/>
              </w:rPr>
            </w:pPr>
            <w:r w:rsidRPr="00886FD2">
              <w:rPr>
                <w:rFonts w:eastAsia="Times New Roman"/>
                <w:color w:val="000000"/>
                <w:sz w:val="24"/>
                <w:szCs w:val="24"/>
              </w:rPr>
              <w:t>0.925925926</w:t>
            </w:r>
          </w:p>
        </w:tc>
        <w:tc>
          <w:tcPr>
            <w:tcW w:w="833" w:type="pct"/>
            <w:tcBorders>
              <w:top w:val="nil"/>
              <w:left w:val="nil"/>
              <w:bottom w:val="single" w:sz="4" w:space="0" w:color="auto"/>
              <w:right w:val="single" w:sz="4" w:space="0" w:color="auto"/>
            </w:tcBorders>
            <w:noWrap/>
            <w:vAlign w:val="bottom"/>
            <w:hideMark/>
          </w:tcPr>
          <w:p w14:paraId="24857D9F" w14:textId="77777777" w:rsidR="00EA21F4" w:rsidRPr="00886FD2" w:rsidRDefault="00EA21F4" w:rsidP="00EA21F4">
            <w:pPr>
              <w:spacing w:after="240" w:line="360" w:lineRule="auto"/>
              <w:jc w:val="right"/>
              <w:rPr>
                <w:rFonts w:eastAsia="Times New Roman"/>
                <w:color w:val="000000"/>
                <w:sz w:val="24"/>
                <w:szCs w:val="24"/>
              </w:rPr>
            </w:pPr>
            <w:r w:rsidRPr="00886FD2">
              <w:rPr>
                <w:rFonts w:eastAsia="Times New Roman"/>
                <w:color w:val="000000"/>
                <w:sz w:val="24"/>
                <w:szCs w:val="24"/>
              </w:rPr>
              <w:t>9.259259259</w:t>
            </w:r>
          </w:p>
        </w:tc>
        <w:tc>
          <w:tcPr>
            <w:tcW w:w="833" w:type="pct"/>
            <w:tcBorders>
              <w:top w:val="nil"/>
              <w:left w:val="nil"/>
              <w:bottom w:val="single" w:sz="4" w:space="0" w:color="auto"/>
              <w:right w:val="single" w:sz="4" w:space="0" w:color="auto"/>
            </w:tcBorders>
            <w:noWrap/>
            <w:vAlign w:val="bottom"/>
            <w:hideMark/>
          </w:tcPr>
          <w:p w14:paraId="303106DE" w14:textId="77777777" w:rsidR="00EA21F4" w:rsidRPr="00886FD2" w:rsidRDefault="00EA21F4" w:rsidP="00EA21F4">
            <w:pPr>
              <w:spacing w:after="240" w:line="360" w:lineRule="auto"/>
              <w:jc w:val="right"/>
              <w:rPr>
                <w:rFonts w:eastAsia="Times New Roman"/>
                <w:color w:val="000000"/>
                <w:sz w:val="24"/>
                <w:szCs w:val="24"/>
              </w:rPr>
            </w:pPr>
            <w:r w:rsidRPr="00886FD2">
              <w:rPr>
                <w:rFonts w:eastAsia="Times New Roman"/>
                <w:color w:val="000000"/>
                <w:sz w:val="24"/>
                <w:szCs w:val="24"/>
              </w:rPr>
              <w:t>-40</w:t>
            </w:r>
          </w:p>
        </w:tc>
        <w:tc>
          <w:tcPr>
            <w:tcW w:w="833" w:type="pct"/>
            <w:tcBorders>
              <w:top w:val="nil"/>
              <w:left w:val="nil"/>
              <w:bottom w:val="single" w:sz="4" w:space="0" w:color="auto"/>
              <w:right w:val="single" w:sz="4" w:space="0" w:color="auto"/>
            </w:tcBorders>
            <w:noWrap/>
            <w:vAlign w:val="bottom"/>
            <w:hideMark/>
          </w:tcPr>
          <w:p w14:paraId="63E13EC6" w14:textId="77777777" w:rsidR="00EA21F4" w:rsidRPr="00886FD2" w:rsidRDefault="00EA21F4" w:rsidP="00EA21F4">
            <w:pPr>
              <w:spacing w:after="240" w:line="360" w:lineRule="auto"/>
              <w:jc w:val="right"/>
              <w:rPr>
                <w:rFonts w:eastAsia="Times New Roman"/>
                <w:color w:val="000000"/>
                <w:sz w:val="24"/>
                <w:szCs w:val="24"/>
              </w:rPr>
            </w:pPr>
            <w:r w:rsidRPr="00886FD2">
              <w:rPr>
                <w:rFonts w:eastAsia="Times New Roman"/>
                <w:color w:val="000000"/>
                <w:sz w:val="24"/>
                <w:szCs w:val="24"/>
              </w:rPr>
              <w:t>-39.07407407</w:t>
            </w:r>
          </w:p>
        </w:tc>
      </w:tr>
      <w:tr w:rsidR="00EA21F4" w:rsidRPr="00886FD2" w14:paraId="27521209" w14:textId="77777777" w:rsidTr="00EA21F4">
        <w:trPr>
          <w:trHeight w:val="300"/>
        </w:trPr>
        <w:tc>
          <w:tcPr>
            <w:tcW w:w="833" w:type="pct"/>
            <w:tcBorders>
              <w:top w:val="nil"/>
              <w:left w:val="single" w:sz="4" w:space="0" w:color="auto"/>
              <w:bottom w:val="single" w:sz="4" w:space="0" w:color="auto"/>
              <w:right w:val="single" w:sz="4" w:space="0" w:color="auto"/>
            </w:tcBorders>
            <w:noWrap/>
            <w:vAlign w:val="bottom"/>
            <w:hideMark/>
          </w:tcPr>
          <w:p w14:paraId="451F3207" w14:textId="77777777" w:rsidR="00EA21F4" w:rsidRPr="00886FD2" w:rsidRDefault="00EA21F4" w:rsidP="00EA21F4">
            <w:pPr>
              <w:spacing w:after="240" w:line="360" w:lineRule="auto"/>
              <w:jc w:val="right"/>
              <w:rPr>
                <w:rFonts w:eastAsia="Times New Roman"/>
                <w:color w:val="000000"/>
                <w:sz w:val="24"/>
                <w:szCs w:val="24"/>
              </w:rPr>
            </w:pPr>
            <w:r w:rsidRPr="00886FD2">
              <w:rPr>
                <w:rFonts w:eastAsia="Times New Roman"/>
                <w:color w:val="000000"/>
                <w:sz w:val="24"/>
                <w:szCs w:val="24"/>
              </w:rPr>
              <w:t>2</w:t>
            </w:r>
          </w:p>
        </w:tc>
        <w:tc>
          <w:tcPr>
            <w:tcW w:w="833" w:type="pct"/>
            <w:tcBorders>
              <w:top w:val="nil"/>
              <w:left w:val="nil"/>
              <w:bottom w:val="single" w:sz="4" w:space="0" w:color="auto"/>
              <w:right w:val="single" w:sz="4" w:space="0" w:color="auto"/>
            </w:tcBorders>
            <w:noWrap/>
            <w:vAlign w:val="bottom"/>
            <w:hideMark/>
          </w:tcPr>
          <w:p w14:paraId="58CF0CEF" w14:textId="77777777" w:rsidR="00EA21F4" w:rsidRPr="00886FD2" w:rsidRDefault="00EA21F4" w:rsidP="00EA21F4">
            <w:pPr>
              <w:spacing w:after="240" w:line="360" w:lineRule="auto"/>
              <w:jc w:val="right"/>
              <w:rPr>
                <w:rFonts w:eastAsia="Times New Roman"/>
                <w:color w:val="000000"/>
                <w:sz w:val="24"/>
                <w:szCs w:val="24"/>
              </w:rPr>
            </w:pPr>
            <w:r w:rsidRPr="00886FD2">
              <w:rPr>
                <w:rFonts w:eastAsia="Times New Roman"/>
                <w:color w:val="000000"/>
                <w:sz w:val="24"/>
                <w:szCs w:val="24"/>
              </w:rPr>
              <w:t>12</w:t>
            </w:r>
          </w:p>
        </w:tc>
        <w:tc>
          <w:tcPr>
            <w:tcW w:w="833" w:type="pct"/>
            <w:tcBorders>
              <w:top w:val="nil"/>
              <w:left w:val="nil"/>
              <w:bottom w:val="single" w:sz="4" w:space="0" w:color="auto"/>
              <w:right w:val="single" w:sz="4" w:space="0" w:color="auto"/>
            </w:tcBorders>
            <w:noWrap/>
            <w:vAlign w:val="bottom"/>
            <w:hideMark/>
          </w:tcPr>
          <w:p w14:paraId="1A30173A" w14:textId="77777777" w:rsidR="00EA21F4" w:rsidRPr="00886FD2" w:rsidRDefault="00EA21F4" w:rsidP="00EA21F4">
            <w:pPr>
              <w:spacing w:after="240" w:line="360" w:lineRule="auto"/>
              <w:jc w:val="right"/>
              <w:rPr>
                <w:rFonts w:eastAsia="Times New Roman"/>
                <w:color w:val="000000"/>
                <w:sz w:val="24"/>
                <w:szCs w:val="24"/>
              </w:rPr>
            </w:pPr>
            <w:r w:rsidRPr="00886FD2">
              <w:rPr>
                <w:rFonts w:eastAsia="Times New Roman"/>
                <w:color w:val="000000"/>
                <w:sz w:val="24"/>
                <w:szCs w:val="24"/>
              </w:rPr>
              <w:t>0.85733882</w:t>
            </w:r>
          </w:p>
        </w:tc>
        <w:tc>
          <w:tcPr>
            <w:tcW w:w="833" w:type="pct"/>
            <w:tcBorders>
              <w:top w:val="nil"/>
              <w:left w:val="nil"/>
              <w:bottom w:val="single" w:sz="4" w:space="0" w:color="auto"/>
              <w:right w:val="single" w:sz="4" w:space="0" w:color="auto"/>
            </w:tcBorders>
            <w:noWrap/>
            <w:vAlign w:val="bottom"/>
            <w:hideMark/>
          </w:tcPr>
          <w:p w14:paraId="41F7BCD9" w14:textId="77777777" w:rsidR="00EA21F4" w:rsidRPr="00886FD2" w:rsidRDefault="00EA21F4" w:rsidP="00EA21F4">
            <w:pPr>
              <w:spacing w:after="240" w:line="360" w:lineRule="auto"/>
              <w:jc w:val="right"/>
              <w:rPr>
                <w:rFonts w:eastAsia="Times New Roman"/>
                <w:color w:val="000000"/>
                <w:sz w:val="24"/>
                <w:szCs w:val="24"/>
              </w:rPr>
            </w:pPr>
            <w:r w:rsidRPr="00886FD2">
              <w:rPr>
                <w:rFonts w:eastAsia="Times New Roman"/>
                <w:color w:val="000000"/>
                <w:sz w:val="24"/>
                <w:szCs w:val="24"/>
              </w:rPr>
              <w:t>10.28806584</w:t>
            </w:r>
          </w:p>
        </w:tc>
        <w:tc>
          <w:tcPr>
            <w:tcW w:w="833" w:type="pct"/>
            <w:tcBorders>
              <w:top w:val="nil"/>
              <w:left w:val="nil"/>
              <w:bottom w:val="single" w:sz="4" w:space="0" w:color="auto"/>
              <w:right w:val="single" w:sz="4" w:space="0" w:color="auto"/>
            </w:tcBorders>
            <w:noWrap/>
            <w:vAlign w:val="bottom"/>
            <w:hideMark/>
          </w:tcPr>
          <w:p w14:paraId="5814B430" w14:textId="77777777" w:rsidR="00EA21F4" w:rsidRPr="00886FD2" w:rsidRDefault="00EA21F4" w:rsidP="00EA21F4">
            <w:pPr>
              <w:spacing w:after="240" w:line="360" w:lineRule="auto"/>
              <w:jc w:val="right"/>
              <w:rPr>
                <w:rFonts w:eastAsia="Times New Roman"/>
                <w:color w:val="000000"/>
                <w:sz w:val="24"/>
                <w:szCs w:val="24"/>
              </w:rPr>
            </w:pPr>
            <w:r w:rsidRPr="00886FD2">
              <w:rPr>
                <w:rFonts w:eastAsia="Times New Roman"/>
                <w:color w:val="000000"/>
                <w:sz w:val="24"/>
                <w:szCs w:val="24"/>
              </w:rPr>
              <w:t>-28</w:t>
            </w:r>
          </w:p>
        </w:tc>
        <w:tc>
          <w:tcPr>
            <w:tcW w:w="833" w:type="pct"/>
            <w:tcBorders>
              <w:top w:val="nil"/>
              <w:left w:val="nil"/>
              <w:bottom w:val="single" w:sz="4" w:space="0" w:color="auto"/>
              <w:right w:val="single" w:sz="4" w:space="0" w:color="auto"/>
            </w:tcBorders>
            <w:noWrap/>
            <w:vAlign w:val="bottom"/>
            <w:hideMark/>
          </w:tcPr>
          <w:p w14:paraId="2D5169BC" w14:textId="77777777" w:rsidR="00EA21F4" w:rsidRPr="00886FD2" w:rsidRDefault="00EA21F4" w:rsidP="00EA21F4">
            <w:pPr>
              <w:spacing w:after="240" w:line="360" w:lineRule="auto"/>
              <w:jc w:val="right"/>
              <w:rPr>
                <w:rFonts w:eastAsia="Times New Roman"/>
                <w:color w:val="000000"/>
                <w:sz w:val="24"/>
                <w:szCs w:val="24"/>
              </w:rPr>
            </w:pPr>
            <w:r w:rsidRPr="00886FD2">
              <w:rPr>
                <w:rFonts w:eastAsia="Times New Roman"/>
                <w:color w:val="000000"/>
                <w:sz w:val="24"/>
                <w:szCs w:val="24"/>
              </w:rPr>
              <w:t>-27.14266118</w:t>
            </w:r>
          </w:p>
        </w:tc>
      </w:tr>
      <w:tr w:rsidR="00EA21F4" w:rsidRPr="00886FD2" w14:paraId="65468B3D" w14:textId="77777777" w:rsidTr="00EA21F4">
        <w:trPr>
          <w:trHeight w:val="300"/>
        </w:trPr>
        <w:tc>
          <w:tcPr>
            <w:tcW w:w="833" w:type="pct"/>
            <w:tcBorders>
              <w:top w:val="nil"/>
              <w:left w:val="single" w:sz="4" w:space="0" w:color="auto"/>
              <w:bottom w:val="single" w:sz="4" w:space="0" w:color="auto"/>
              <w:right w:val="single" w:sz="4" w:space="0" w:color="auto"/>
            </w:tcBorders>
            <w:noWrap/>
            <w:vAlign w:val="bottom"/>
            <w:hideMark/>
          </w:tcPr>
          <w:p w14:paraId="128ABAB7" w14:textId="77777777" w:rsidR="00EA21F4" w:rsidRPr="00886FD2" w:rsidRDefault="00EA21F4" w:rsidP="00EA21F4">
            <w:pPr>
              <w:spacing w:after="240" w:line="360" w:lineRule="auto"/>
              <w:jc w:val="right"/>
              <w:rPr>
                <w:rFonts w:eastAsia="Times New Roman"/>
                <w:color w:val="000000"/>
                <w:sz w:val="24"/>
                <w:szCs w:val="24"/>
              </w:rPr>
            </w:pPr>
            <w:r w:rsidRPr="00886FD2">
              <w:rPr>
                <w:rFonts w:eastAsia="Times New Roman"/>
                <w:color w:val="000000"/>
                <w:sz w:val="24"/>
                <w:szCs w:val="24"/>
              </w:rPr>
              <w:t>3</w:t>
            </w:r>
          </w:p>
        </w:tc>
        <w:tc>
          <w:tcPr>
            <w:tcW w:w="833" w:type="pct"/>
            <w:tcBorders>
              <w:top w:val="nil"/>
              <w:left w:val="nil"/>
              <w:bottom w:val="single" w:sz="4" w:space="0" w:color="auto"/>
              <w:right w:val="single" w:sz="4" w:space="0" w:color="auto"/>
            </w:tcBorders>
            <w:noWrap/>
            <w:vAlign w:val="bottom"/>
            <w:hideMark/>
          </w:tcPr>
          <w:p w14:paraId="6F29B0FB" w14:textId="77777777" w:rsidR="00EA21F4" w:rsidRPr="00886FD2" w:rsidRDefault="00EA21F4" w:rsidP="00EA21F4">
            <w:pPr>
              <w:spacing w:after="240" w:line="360" w:lineRule="auto"/>
              <w:jc w:val="right"/>
              <w:rPr>
                <w:rFonts w:eastAsia="Times New Roman"/>
                <w:color w:val="000000"/>
                <w:sz w:val="24"/>
                <w:szCs w:val="24"/>
              </w:rPr>
            </w:pPr>
            <w:r w:rsidRPr="00886FD2">
              <w:rPr>
                <w:rFonts w:eastAsia="Times New Roman"/>
                <w:color w:val="000000"/>
                <w:sz w:val="24"/>
                <w:szCs w:val="24"/>
              </w:rPr>
              <w:t>14</w:t>
            </w:r>
          </w:p>
        </w:tc>
        <w:tc>
          <w:tcPr>
            <w:tcW w:w="833" w:type="pct"/>
            <w:tcBorders>
              <w:top w:val="nil"/>
              <w:left w:val="nil"/>
              <w:bottom w:val="single" w:sz="4" w:space="0" w:color="auto"/>
              <w:right w:val="single" w:sz="4" w:space="0" w:color="auto"/>
            </w:tcBorders>
            <w:noWrap/>
            <w:vAlign w:val="bottom"/>
            <w:hideMark/>
          </w:tcPr>
          <w:p w14:paraId="2D77775C" w14:textId="77777777" w:rsidR="00EA21F4" w:rsidRPr="00886FD2" w:rsidRDefault="00EA21F4" w:rsidP="00EA21F4">
            <w:pPr>
              <w:spacing w:after="240" w:line="360" w:lineRule="auto"/>
              <w:jc w:val="right"/>
              <w:rPr>
                <w:rFonts w:eastAsia="Times New Roman"/>
                <w:color w:val="000000"/>
                <w:sz w:val="24"/>
                <w:szCs w:val="24"/>
              </w:rPr>
            </w:pPr>
            <w:r w:rsidRPr="00886FD2">
              <w:rPr>
                <w:rFonts w:eastAsia="Times New Roman"/>
                <w:color w:val="000000"/>
                <w:sz w:val="24"/>
                <w:szCs w:val="24"/>
              </w:rPr>
              <w:t>0.793832241</w:t>
            </w:r>
          </w:p>
        </w:tc>
        <w:tc>
          <w:tcPr>
            <w:tcW w:w="833" w:type="pct"/>
            <w:tcBorders>
              <w:top w:val="nil"/>
              <w:left w:val="nil"/>
              <w:bottom w:val="single" w:sz="4" w:space="0" w:color="auto"/>
              <w:right w:val="single" w:sz="4" w:space="0" w:color="auto"/>
            </w:tcBorders>
            <w:noWrap/>
            <w:vAlign w:val="bottom"/>
            <w:hideMark/>
          </w:tcPr>
          <w:p w14:paraId="5B2AC6BB" w14:textId="77777777" w:rsidR="00EA21F4" w:rsidRPr="00886FD2" w:rsidRDefault="00EA21F4" w:rsidP="00EA21F4">
            <w:pPr>
              <w:spacing w:after="240" w:line="360" w:lineRule="auto"/>
              <w:jc w:val="right"/>
              <w:rPr>
                <w:rFonts w:eastAsia="Times New Roman"/>
                <w:color w:val="000000"/>
                <w:sz w:val="24"/>
                <w:szCs w:val="24"/>
              </w:rPr>
            </w:pPr>
            <w:r w:rsidRPr="00886FD2">
              <w:rPr>
                <w:rFonts w:eastAsia="Times New Roman"/>
                <w:color w:val="000000"/>
                <w:sz w:val="24"/>
                <w:szCs w:val="24"/>
              </w:rPr>
              <w:t>11.11365137</w:t>
            </w:r>
          </w:p>
        </w:tc>
        <w:tc>
          <w:tcPr>
            <w:tcW w:w="833" w:type="pct"/>
            <w:tcBorders>
              <w:top w:val="nil"/>
              <w:left w:val="nil"/>
              <w:bottom w:val="single" w:sz="4" w:space="0" w:color="auto"/>
              <w:right w:val="single" w:sz="4" w:space="0" w:color="auto"/>
            </w:tcBorders>
            <w:noWrap/>
            <w:vAlign w:val="bottom"/>
            <w:hideMark/>
          </w:tcPr>
          <w:p w14:paraId="1316EAA0" w14:textId="77777777" w:rsidR="00EA21F4" w:rsidRPr="00886FD2" w:rsidRDefault="00EA21F4" w:rsidP="00EA21F4">
            <w:pPr>
              <w:spacing w:after="240" w:line="360" w:lineRule="auto"/>
              <w:jc w:val="right"/>
              <w:rPr>
                <w:rFonts w:eastAsia="Times New Roman"/>
                <w:color w:val="000000"/>
                <w:sz w:val="24"/>
                <w:szCs w:val="24"/>
              </w:rPr>
            </w:pPr>
            <w:r w:rsidRPr="00886FD2">
              <w:rPr>
                <w:rFonts w:eastAsia="Times New Roman"/>
                <w:color w:val="000000"/>
                <w:sz w:val="24"/>
                <w:szCs w:val="24"/>
              </w:rPr>
              <w:t>-14</w:t>
            </w:r>
          </w:p>
        </w:tc>
        <w:tc>
          <w:tcPr>
            <w:tcW w:w="833" w:type="pct"/>
            <w:tcBorders>
              <w:top w:val="nil"/>
              <w:left w:val="nil"/>
              <w:bottom w:val="single" w:sz="4" w:space="0" w:color="auto"/>
              <w:right w:val="single" w:sz="4" w:space="0" w:color="auto"/>
            </w:tcBorders>
            <w:noWrap/>
            <w:vAlign w:val="bottom"/>
            <w:hideMark/>
          </w:tcPr>
          <w:p w14:paraId="7133A4CF" w14:textId="77777777" w:rsidR="00EA21F4" w:rsidRPr="00886FD2" w:rsidRDefault="00EA21F4" w:rsidP="00EA21F4">
            <w:pPr>
              <w:spacing w:after="240" w:line="360" w:lineRule="auto"/>
              <w:jc w:val="right"/>
              <w:rPr>
                <w:rFonts w:eastAsia="Times New Roman"/>
                <w:color w:val="000000"/>
                <w:sz w:val="24"/>
                <w:szCs w:val="24"/>
              </w:rPr>
            </w:pPr>
            <w:r w:rsidRPr="00886FD2">
              <w:rPr>
                <w:rFonts w:eastAsia="Times New Roman"/>
                <w:color w:val="000000"/>
                <w:sz w:val="24"/>
                <w:szCs w:val="24"/>
              </w:rPr>
              <w:t>-13.20616776</w:t>
            </w:r>
          </w:p>
        </w:tc>
      </w:tr>
      <w:tr w:rsidR="00EA21F4" w:rsidRPr="00886FD2" w14:paraId="302861D9" w14:textId="77777777" w:rsidTr="00EA21F4">
        <w:trPr>
          <w:trHeight w:val="300"/>
        </w:trPr>
        <w:tc>
          <w:tcPr>
            <w:tcW w:w="833" w:type="pct"/>
            <w:tcBorders>
              <w:top w:val="nil"/>
              <w:left w:val="single" w:sz="4" w:space="0" w:color="auto"/>
              <w:bottom w:val="single" w:sz="4" w:space="0" w:color="auto"/>
              <w:right w:val="single" w:sz="4" w:space="0" w:color="auto"/>
            </w:tcBorders>
            <w:noWrap/>
            <w:vAlign w:val="bottom"/>
            <w:hideMark/>
          </w:tcPr>
          <w:p w14:paraId="5E588EAE" w14:textId="77777777" w:rsidR="00EA21F4" w:rsidRPr="00886FD2" w:rsidRDefault="00EA21F4" w:rsidP="00EA21F4">
            <w:pPr>
              <w:spacing w:after="240" w:line="360" w:lineRule="auto"/>
              <w:jc w:val="right"/>
              <w:rPr>
                <w:rFonts w:eastAsia="Times New Roman"/>
                <w:color w:val="000000"/>
                <w:sz w:val="24"/>
                <w:szCs w:val="24"/>
              </w:rPr>
            </w:pPr>
            <w:r w:rsidRPr="00886FD2">
              <w:rPr>
                <w:rFonts w:eastAsia="Times New Roman"/>
                <w:color w:val="000000"/>
                <w:sz w:val="24"/>
                <w:szCs w:val="24"/>
              </w:rPr>
              <w:t>4</w:t>
            </w:r>
          </w:p>
        </w:tc>
        <w:tc>
          <w:tcPr>
            <w:tcW w:w="833" w:type="pct"/>
            <w:tcBorders>
              <w:top w:val="nil"/>
              <w:left w:val="nil"/>
              <w:bottom w:val="single" w:sz="4" w:space="0" w:color="auto"/>
              <w:right w:val="single" w:sz="4" w:space="0" w:color="auto"/>
            </w:tcBorders>
            <w:noWrap/>
            <w:vAlign w:val="bottom"/>
            <w:hideMark/>
          </w:tcPr>
          <w:p w14:paraId="06669C28" w14:textId="77777777" w:rsidR="00EA21F4" w:rsidRPr="00886FD2" w:rsidRDefault="00EA21F4" w:rsidP="00EA21F4">
            <w:pPr>
              <w:spacing w:after="240" w:line="360" w:lineRule="auto"/>
              <w:jc w:val="right"/>
              <w:rPr>
                <w:rFonts w:eastAsia="Times New Roman"/>
                <w:color w:val="000000"/>
                <w:sz w:val="24"/>
                <w:szCs w:val="24"/>
              </w:rPr>
            </w:pPr>
            <w:r w:rsidRPr="00886FD2">
              <w:rPr>
                <w:rFonts w:eastAsia="Times New Roman"/>
                <w:color w:val="000000"/>
                <w:sz w:val="24"/>
                <w:szCs w:val="24"/>
              </w:rPr>
              <w:t>10</w:t>
            </w:r>
          </w:p>
        </w:tc>
        <w:tc>
          <w:tcPr>
            <w:tcW w:w="833" w:type="pct"/>
            <w:tcBorders>
              <w:top w:val="nil"/>
              <w:left w:val="nil"/>
              <w:bottom w:val="single" w:sz="4" w:space="0" w:color="auto"/>
              <w:right w:val="single" w:sz="4" w:space="0" w:color="auto"/>
            </w:tcBorders>
            <w:noWrap/>
            <w:vAlign w:val="bottom"/>
            <w:hideMark/>
          </w:tcPr>
          <w:p w14:paraId="29815012" w14:textId="77777777" w:rsidR="00EA21F4" w:rsidRPr="00886FD2" w:rsidRDefault="00EA21F4" w:rsidP="00EA21F4">
            <w:pPr>
              <w:spacing w:after="240" w:line="360" w:lineRule="auto"/>
              <w:jc w:val="right"/>
              <w:rPr>
                <w:rFonts w:eastAsia="Times New Roman"/>
                <w:color w:val="000000"/>
                <w:sz w:val="24"/>
                <w:szCs w:val="24"/>
              </w:rPr>
            </w:pPr>
            <w:r w:rsidRPr="00886FD2">
              <w:rPr>
                <w:rFonts w:eastAsia="Times New Roman"/>
                <w:color w:val="000000"/>
                <w:sz w:val="24"/>
                <w:szCs w:val="24"/>
              </w:rPr>
              <w:t>0.735029853</w:t>
            </w:r>
          </w:p>
        </w:tc>
        <w:tc>
          <w:tcPr>
            <w:tcW w:w="833" w:type="pct"/>
            <w:tcBorders>
              <w:top w:val="nil"/>
              <w:left w:val="nil"/>
              <w:bottom w:val="single" w:sz="4" w:space="0" w:color="auto"/>
              <w:right w:val="single" w:sz="4" w:space="0" w:color="auto"/>
            </w:tcBorders>
            <w:noWrap/>
            <w:vAlign w:val="bottom"/>
            <w:hideMark/>
          </w:tcPr>
          <w:p w14:paraId="60E99C74" w14:textId="77777777" w:rsidR="00EA21F4" w:rsidRPr="00886FD2" w:rsidRDefault="00EA21F4" w:rsidP="00EA21F4">
            <w:pPr>
              <w:spacing w:after="240" w:line="360" w:lineRule="auto"/>
              <w:jc w:val="right"/>
              <w:rPr>
                <w:rFonts w:eastAsia="Times New Roman"/>
                <w:color w:val="000000"/>
                <w:sz w:val="24"/>
                <w:szCs w:val="24"/>
              </w:rPr>
            </w:pPr>
            <w:r w:rsidRPr="00886FD2">
              <w:rPr>
                <w:rFonts w:eastAsia="Times New Roman"/>
                <w:color w:val="000000"/>
                <w:sz w:val="24"/>
                <w:szCs w:val="24"/>
              </w:rPr>
              <w:t>7.350298528</w:t>
            </w:r>
          </w:p>
        </w:tc>
        <w:tc>
          <w:tcPr>
            <w:tcW w:w="833" w:type="pct"/>
            <w:tcBorders>
              <w:top w:val="nil"/>
              <w:left w:val="nil"/>
              <w:bottom w:val="single" w:sz="4" w:space="0" w:color="auto"/>
              <w:right w:val="single" w:sz="4" w:space="0" w:color="auto"/>
            </w:tcBorders>
            <w:noWrap/>
            <w:vAlign w:val="bottom"/>
            <w:hideMark/>
          </w:tcPr>
          <w:p w14:paraId="7D23E6C7" w14:textId="77777777" w:rsidR="00EA21F4" w:rsidRPr="00886FD2" w:rsidRDefault="00EA21F4" w:rsidP="00EA21F4">
            <w:pPr>
              <w:spacing w:after="240" w:line="360" w:lineRule="auto"/>
              <w:jc w:val="right"/>
              <w:rPr>
                <w:rFonts w:eastAsia="Times New Roman"/>
                <w:color w:val="000000"/>
                <w:sz w:val="24"/>
                <w:szCs w:val="24"/>
              </w:rPr>
            </w:pPr>
            <w:r w:rsidRPr="00886FD2">
              <w:rPr>
                <w:rFonts w:eastAsia="Times New Roman"/>
                <w:color w:val="000000"/>
                <w:sz w:val="24"/>
                <w:szCs w:val="24"/>
              </w:rPr>
              <w:t>-4</w:t>
            </w:r>
          </w:p>
        </w:tc>
        <w:tc>
          <w:tcPr>
            <w:tcW w:w="833" w:type="pct"/>
            <w:tcBorders>
              <w:top w:val="nil"/>
              <w:left w:val="nil"/>
              <w:bottom w:val="single" w:sz="4" w:space="0" w:color="auto"/>
              <w:right w:val="single" w:sz="4" w:space="0" w:color="auto"/>
            </w:tcBorders>
            <w:noWrap/>
            <w:vAlign w:val="bottom"/>
            <w:hideMark/>
          </w:tcPr>
          <w:p w14:paraId="65595BEC" w14:textId="77777777" w:rsidR="00EA21F4" w:rsidRPr="00886FD2" w:rsidRDefault="00EA21F4" w:rsidP="00EA21F4">
            <w:pPr>
              <w:spacing w:after="240" w:line="360" w:lineRule="auto"/>
              <w:jc w:val="right"/>
              <w:rPr>
                <w:rFonts w:eastAsia="Times New Roman"/>
                <w:color w:val="000000"/>
                <w:sz w:val="24"/>
                <w:szCs w:val="24"/>
              </w:rPr>
            </w:pPr>
            <w:r w:rsidRPr="00886FD2">
              <w:rPr>
                <w:rFonts w:eastAsia="Times New Roman"/>
                <w:color w:val="000000"/>
                <w:sz w:val="24"/>
                <w:szCs w:val="24"/>
              </w:rPr>
              <w:t>-3.264970147</w:t>
            </w:r>
          </w:p>
        </w:tc>
      </w:tr>
      <w:tr w:rsidR="00EA21F4" w:rsidRPr="00886FD2" w14:paraId="38187E3C" w14:textId="77777777" w:rsidTr="00EA21F4">
        <w:trPr>
          <w:trHeight w:val="300"/>
        </w:trPr>
        <w:tc>
          <w:tcPr>
            <w:tcW w:w="833" w:type="pct"/>
            <w:tcBorders>
              <w:top w:val="nil"/>
              <w:left w:val="single" w:sz="4" w:space="0" w:color="auto"/>
              <w:bottom w:val="single" w:sz="4" w:space="0" w:color="auto"/>
              <w:right w:val="single" w:sz="4" w:space="0" w:color="auto"/>
            </w:tcBorders>
            <w:noWrap/>
            <w:vAlign w:val="bottom"/>
            <w:hideMark/>
          </w:tcPr>
          <w:p w14:paraId="183E9801" w14:textId="77777777" w:rsidR="00EA21F4" w:rsidRPr="00886FD2" w:rsidRDefault="00EA21F4" w:rsidP="00EA21F4">
            <w:pPr>
              <w:spacing w:after="240" w:line="360" w:lineRule="auto"/>
              <w:jc w:val="right"/>
              <w:rPr>
                <w:rFonts w:eastAsia="Times New Roman"/>
                <w:color w:val="000000"/>
                <w:sz w:val="24"/>
                <w:szCs w:val="24"/>
              </w:rPr>
            </w:pPr>
            <w:r w:rsidRPr="00886FD2">
              <w:rPr>
                <w:rFonts w:eastAsia="Times New Roman"/>
                <w:color w:val="000000"/>
                <w:sz w:val="24"/>
                <w:szCs w:val="24"/>
              </w:rPr>
              <w:t>5</w:t>
            </w:r>
          </w:p>
        </w:tc>
        <w:tc>
          <w:tcPr>
            <w:tcW w:w="833" w:type="pct"/>
            <w:tcBorders>
              <w:top w:val="nil"/>
              <w:left w:val="nil"/>
              <w:bottom w:val="single" w:sz="4" w:space="0" w:color="auto"/>
              <w:right w:val="single" w:sz="4" w:space="0" w:color="auto"/>
            </w:tcBorders>
            <w:noWrap/>
            <w:vAlign w:val="bottom"/>
            <w:hideMark/>
          </w:tcPr>
          <w:p w14:paraId="345A0D7F" w14:textId="77777777" w:rsidR="00EA21F4" w:rsidRPr="00886FD2" w:rsidRDefault="00EA21F4" w:rsidP="00EA21F4">
            <w:pPr>
              <w:spacing w:after="240" w:line="360" w:lineRule="auto"/>
              <w:jc w:val="right"/>
              <w:rPr>
                <w:rFonts w:eastAsia="Times New Roman"/>
                <w:color w:val="000000"/>
                <w:sz w:val="24"/>
                <w:szCs w:val="24"/>
              </w:rPr>
            </w:pPr>
            <w:r w:rsidRPr="00886FD2">
              <w:rPr>
                <w:rFonts w:eastAsia="Times New Roman"/>
                <w:color w:val="000000"/>
                <w:sz w:val="24"/>
                <w:szCs w:val="24"/>
              </w:rPr>
              <w:t>8</w:t>
            </w:r>
          </w:p>
        </w:tc>
        <w:tc>
          <w:tcPr>
            <w:tcW w:w="833" w:type="pct"/>
            <w:tcBorders>
              <w:top w:val="nil"/>
              <w:left w:val="nil"/>
              <w:bottom w:val="single" w:sz="4" w:space="0" w:color="auto"/>
              <w:right w:val="single" w:sz="4" w:space="0" w:color="auto"/>
            </w:tcBorders>
            <w:noWrap/>
            <w:vAlign w:val="bottom"/>
            <w:hideMark/>
          </w:tcPr>
          <w:p w14:paraId="7DC47E46" w14:textId="77777777" w:rsidR="00EA21F4" w:rsidRPr="00886FD2" w:rsidRDefault="00EA21F4" w:rsidP="00EA21F4">
            <w:pPr>
              <w:spacing w:after="240" w:line="360" w:lineRule="auto"/>
              <w:jc w:val="right"/>
              <w:rPr>
                <w:rFonts w:eastAsia="Times New Roman"/>
                <w:color w:val="000000"/>
                <w:sz w:val="24"/>
                <w:szCs w:val="24"/>
              </w:rPr>
            </w:pPr>
            <w:r w:rsidRPr="00886FD2">
              <w:rPr>
                <w:rFonts w:eastAsia="Times New Roman"/>
                <w:color w:val="000000"/>
                <w:sz w:val="24"/>
                <w:szCs w:val="24"/>
              </w:rPr>
              <w:t>0.680583197</w:t>
            </w:r>
          </w:p>
        </w:tc>
        <w:tc>
          <w:tcPr>
            <w:tcW w:w="833" w:type="pct"/>
            <w:tcBorders>
              <w:top w:val="nil"/>
              <w:left w:val="nil"/>
              <w:bottom w:val="single" w:sz="4" w:space="0" w:color="auto"/>
              <w:right w:val="single" w:sz="4" w:space="0" w:color="auto"/>
            </w:tcBorders>
            <w:noWrap/>
            <w:vAlign w:val="bottom"/>
            <w:hideMark/>
          </w:tcPr>
          <w:p w14:paraId="762D4C05" w14:textId="77777777" w:rsidR="00EA21F4" w:rsidRPr="00886FD2" w:rsidRDefault="00EA21F4" w:rsidP="00EA21F4">
            <w:pPr>
              <w:spacing w:after="240" w:line="360" w:lineRule="auto"/>
              <w:jc w:val="right"/>
              <w:rPr>
                <w:rFonts w:eastAsia="Times New Roman"/>
                <w:color w:val="000000"/>
                <w:sz w:val="24"/>
                <w:szCs w:val="24"/>
              </w:rPr>
            </w:pPr>
            <w:r w:rsidRPr="00886FD2">
              <w:rPr>
                <w:rFonts w:eastAsia="Times New Roman"/>
                <w:color w:val="000000"/>
                <w:sz w:val="24"/>
                <w:szCs w:val="24"/>
              </w:rPr>
              <w:t>5.444665576</w:t>
            </w:r>
          </w:p>
        </w:tc>
        <w:tc>
          <w:tcPr>
            <w:tcW w:w="833" w:type="pct"/>
            <w:tcBorders>
              <w:top w:val="nil"/>
              <w:left w:val="nil"/>
              <w:bottom w:val="single" w:sz="4" w:space="0" w:color="auto"/>
              <w:right w:val="single" w:sz="4" w:space="0" w:color="auto"/>
            </w:tcBorders>
            <w:noWrap/>
            <w:vAlign w:val="bottom"/>
            <w:hideMark/>
          </w:tcPr>
          <w:p w14:paraId="42CA611D" w14:textId="77777777" w:rsidR="00EA21F4" w:rsidRPr="00886FD2" w:rsidRDefault="00EA21F4" w:rsidP="00EA21F4">
            <w:pPr>
              <w:spacing w:after="240" w:line="360" w:lineRule="auto"/>
              <w:jc w:val="right"/>
              <w:rPr>
                <w:rFonts w:eastAsia="Times New Roman"/>
                <w:color w:val="000000"/>
                <w:sz w:val="24"/>
                <w:szCs w:val="24"/>
              </w:rPr>
            </w:pPr>
            <w:r w:rsidRPr="00886FD2">
              <w:rPr>
                <w:rFonts w:eastAsia="Times New Roman"/>
                <w:color w:val="000000"/>
                <w:sz w:val="24"/>
                <w:szCs w:val="24"/>
              </w:rPr>
              <w:t>4</w:t>
            </w:r>
          </w:p>
        </w:tc>
        <w:tc>
          <w:tcPr>
            <w:tcW w:w="833" w:type="pct"/>
            <w:tcBorders>
              <w:top w:val="nil"/>
              <w:left w:val="nil"/>
              <w:bottom w:val="single" w:sz="4" w:space="0" w:color="auto"/>
              <w:right w:val="single" w:sz="4" w:space="0" w:color="auto"/>
            </w:tcBorders>
            <w:noWrap/>
            <w:vAlign w:val="bottom"/>
            <w:hideMark/>
          </w:tcPr>
          <w:p w14:paraId="68FC74C4" w14:textId="77777777" w:rsidR="00EA21F4" w:rsidRPr="00886FD2" w:rsidRDefault="00EA21F4" w:rsidP="00EA21F4">
            <w:pPr>
              <w:spacing w:after="240" w:line="360" w:lineRule="auto"/>
              <w:jc w:val="right"/>
              <w:rPr>
                <w:rFonts w:eastAsia="Times New Roman"/>
                <w:color w:val="000000"/>
                <w:sz w:val="24"/>
                <w:szCs w:val="24"/>
              </w:rPr>
            </w:pPr>
            <w:r w:rsidRPr="00886FD2">
              <w:rPr>
                <w:rFonts w:eastAsia="Times New Roman"/>
                <w:color w:val="000000"/>
                <w:sz w:val="24"/>
                <w:szCs w:val="24"/>
              </w:rPr>
              <w:t>4.680583197</w:t>
            </w:r>
          </w:p>
        </w:tc>
      </w:tr>
      <w:tr w:rsidR="00EA21F4" w:rsidRPr="00886FD2" w14:paraId="60776EA4" w14:textId="77777777" w:rsidTr="00EA21F4">
        <w:trPr>
          <w:trHeight w:val="300"/>
        </w:trPr>
        <w:tc>
          <w:tcPr>
            <w:tcW w:w="4167" w:type="pct"/>
            <w:gridSpan w:val="5"/>
            <w:tcBorders>
              <w:top w:val="single" w:sz="4" w:space="0" w:color="auto"/>
              <w:left w:val="single" w:sz="4" w:space="0" w:color="auto"/>
              <w:bottom w:val="single" w:sz="4" w:space="0" w:color="auto"/>
              <w:right w:val="single" w:sz="4" w:space="0" w:color="auto"/>
            </w:tcBorders>
            <w:noWrap/>
            <w:vAlign w:val="bottom"/>
            <w:hideMark/>
          </w:tcPr>
          <w:p w14:paraId="1EAFA761" w14:textId="77777777" w:rsidR="00EA21F4" w:rsidRPr="00886FD2" w:rsidRDefault="00EA21F4" w:rsidP="00EA21F4">
            <w:pPr>
              <w:spacing w:after="240" w:line="360" w:lineRule="auto"/>
              <w:rPr>
                <w:rFonts w:eastAsia="Times New Roman"/>
                <w:b/>
                <w:bCs/>
                <w:color w:val="000000"/>
                <w:sz w:val="24"/>
                <w:szCs w:val="24"/>
              </w:rPr>
            </w:pPr>
            <w:r w:rsidRPr="00886FD2">
              <w:rPr>
                <w:rFonts w:eastAsia="Times New Roman"/>
                <w:b/>
                <w:bCs/>
                <w:color w:val="000000"/>
                <w:sz w:val="24"/>
                <w:szCs w:val="24"/>
              </w:rPr>
              <w:t>PBP</w:t>
            </w:r>
          </w:p>
        </w:tc>
        <w:tc>
          <w:tcPr>
            <w:tcW w:w="833" w:type="pct"/>
            <w:tcBorders>
              <w:top w:val="nil"/>
              <w:left w:val="nil"/>
              <w:bottom w:val="single" w:sz="4" w:space="0" w:color="auto"/>
              <w:right w:val="single" w:sz="4" w:space="0" w:color="auto"/>
            </w:tcBorders>
            <w:noWrap/>
            <w:vAlign w:val="bottom"/>
            <w:hideMark/>
          </w:tcPr>
          <w:p w14:paraId="53B4F713" w14:textId="77777777" w:rsidR="00EA21F4" w:rsidRPr="00886FD2" w:rsidRDefault="00EA21F4" w:rsidP="00EA21F4">
            <w:pPr>
              <w:spacing w:after="240" w:line="360" w:lineRule="auto"/>
              <w:jc w:val="right"/>
              <w:rPr>
                <w:rFonts w:eastAsia="Times New Roman"/>
                <w:color w:val="000000"/>
                <w:sz w:val="24"/>
                <w:szCs w:val="24"/>
              </w:rPr>
            </w:pPr>
            <w:r w:rsidRPr="00886FD2">
              <w:rPr>
                <w:rFonts w:eastAsia="Times New Roman"/>
                <w:color w:val="000000"/>
                <w:sz w:val="24"/>
                <w:szCs w:val="24"/>
              </w:rPr>
              <w:t>4.918787316</w:t>
            </w:r>
          </w:p>
        </w:tc>
      </w:tr>
      <w:tr w:rsidR="00EA21F4" w:rsidRPr="00886FD2" w14:paraId="096C92BF" w14:textId="77777777" w:rsidTr="00EA21F4">
        <w:trPr>
          <w:trHeight w:val="300"/>
        </w:trPr>
        <w:tc>
          <w:tcPr>
            <w:tcW w:w="4167" w:type="pct"/>
            <w:gridSpan w:val="5"/>
            <w:tcBorders>
              <w:top w:val="single" w:sz="4" w:space="0" w:color="auto"/>
              <w:left w:val="single" w:sz="4" w:space="0" w:color="auto"/>
              <w:bottom w:val="single" w:sz="4" w:space="0" w:color="auto"/>
              <w:right w:val="single" w:sz="4" w:space="0" w:color="auto"/>
            </w:tcBorders>
            <w:noWrap/>
            <w:vAlign w:val="bottom"/>
            <w:hideMark/>
          </w:tcPr>
          <w:p w14:paraId="60DC6224" w14:textId="77777777" w:rsidR="00EA21F4" w:rsidRPr="00886FD2" w:rsidRDefault="00EA21F4" w:rsidP="00EA21F4">
            <w:pPr>
              <w:spacing w:after="240" w:line="360" w:lineRule="auto"/>
              <w:rPr>
                <w:rFonts w:eastAsia="Times New Roman"/>
                <w:b/>
                <w:bCs/>
                <w:color w:val="000000"/>
                <w:sz w:val="24"/>
                <w:szCs w:val="24"/>
              </w:rPr>
            </w:pPr>
            <w:r w:rsidRPr="00886FD2">
              <w:rPr>
                <w:rFonts w:eastAsia="Times New Roman"/>
                <w:b/>
                <w:bCs/>
                <w:color w:val="000000"/>
                <w:sz w:val="24"/>
                <w:szCs w:val="24"/>
              </w:rPr>
              <w:t>ARR</w:t>
            </w:r>
          </w:p>
        </w:tc>
        <w:tc>
          <w:tcPr>
            <w:tcW w:w="833" w:type="pct"/>
            <w:tcBorders>
              <w:top w:val="nil"/>
              <w:left w:val="nil"/>
              <w:bottom w:val="single" w:sz="4" w:space="0" w:color="auto"/>
              <w:right w:val="single" w:sz="4" w:space="0" w:color="auto"/>
            </w:tcBorders>
            <w:noWrap/>
            <w:vAlign w:val="bottom"/>
            <w:hideMark/>
          </w:tcPr>
          <w:p w14:paraId="01ADF3BF" w14:textId="77777777" w:rsidR="00EA21F4" w:rsidRPr="00886FD2" w:rsidRDefault="00EA21F4" w:rsidP="00EA21F4">
            <w:pPr>
              <w:spacing w:after="240" w:line="360" w:lineRule="auto"/>
              <w:jc w:val="right"/>
              <w:rPr>
                <w:rFonts w:eastAsia="Times New Roman"/>
                <w:color w:val="000000"/>
                <w:sz w:val="24"/>
                <w:szCs w:val="24"/>
              </w:rPr>
            </w:pPr>
            <w:r w:rsidRPr="00886FD2">
              <w:rPr>
                <w:rFonts w:eastAsia="Times New Roman"/>
                <w:color w:val="000000"/>
                <w:sz w:val="24"/>
                <w:szCs w:val="24"/>
              </w:rPr>
              <w:t>43%</w:t>
            </w:r>
          </w:p>
        </w:tc>
      </w:tr>
      <w:tr w:rsidR="00EA21F4" w:rsidRPr="00886FD2" w14:paraId="54C83DFA" w14:textId="77777777" w:rsidTr="00EA21F4">
        <w:trPr>
          <w:trHeight w:val="300"/>
        </w:trPr>
        <w:tc>
          <w:tcPr>
            <w:tcW w:w="4167" w:type="pct"/>
            <w:gridSpan w:val="5"/>
            <w:tcBorders>
              <w:top w:val="single" w:sz="4" w:space="0" w:color="auto"/>
              <w:left w:val="single" w:sz="4" w:space="0" w:color="auto"/>
              <w:bottom w:val="single" w:sz="4" w:space="0" w:color="auto"/>
              <w:right w:val="single" w:sz="4" w:space="0" w:color="auto"/>
            </w:tcBorders>
            <w:noWrap/>
            <w:vAlign w:val="bottom"/>
            <w:hideMark/>
          </w:tcPr>
          <w:p w14:paraId="2546713F" w14:textId="77777777" w:rsidR="00EA21F4" w:rsidRPr="00886FD2" w:rsidRDefault="00EA21F4" w:rsidP="00EA21F4">
            <w:pPr>
              <w:spacing w:after="240" w:line="360" w:lineRule="auto"/>
              <w:rPr>
                <w:rFonts w:eastAsia="Times New Roman"/>
                <w:b/>
                <w:bCs/>
                <w:color w:val="000000"/>
                <w:sz w:val="24"/>
                <w:szCs w:val="24"/>
              </w:rPr>
            </w:pPr>
            <w:r w:rsidRPr="00886FD2">
              <w:rPr>
                <w:rFonts w:eastAsia="Times New Roman"/>
                <w:b/>
                <w:bCs/>
                <w:color w:val="000000"/>
                <w:sz w:val="24"/>
                <w:szCs w:val="24"/>
              </w:rPr>
              <w:t>NPV</w:t>
            </w:r>
          </w:p>
        </w:tc>
        <w:tc>
          <w:tcPr>
            <w:tcW w:w="833" w:type="pct"/>
            <w:tcBorders>
              <w:top w:val="nil"/>
              <w:left w:val="nil"/>
              <w:bottom w:val="single" w:sz="4" w:space="0" w:color="auto"/>
              <w:right w:val="single" w:sz="4" w:space="0" w:color="auto"/>
            </w:tcBorders>
            <w:noWrap/>
            <w:vAlign w:val="bottom"/>
            <w:hideMark/>
          </w:tcPr>
          <w:p w14:paraId="1A734FC7" w14:textId="77777777" w:rsidR="00EA21F4" w:rsidRPr="00886FD2" w:rsidRDefault="00EA21F4" w:rsidP="00EA21F4">
            <w:pPr>
              <w:spacing w:after="240" w:line="360" w:lineRule="auto"/>
              <w:jc w:val="right"/>
              <w:rPr>
                <w:rFonts w:eastAsia="Times New Roman"/>
                <w:color w:val="000000"/>
                <w:sz w:val="24"/>
                <w:szCs w:val="24"/>
              </w:rPr>
            </w:pPr>
            <w:r w:rsidRPr="00886FD2">
              <w:rPr>
                <w:rFonts w:eastAsia="Times New Roman"/>
                <w:color w:val="FF0000"/>
                <w:sz w:val="24"/>
                <w:szCs w:val="24"/>
              </w:rPr>
              <w:t>($6.54)</w:t>
            </w:r>
          </w:p>
        </w:tc>
      </w:tr>
      <w:tr w:rsidR="00EA21F4" w:rsidRPr="00886FD2" w14:paraId="1605959C" w14:textId="77777777" w:rsidTr="00EA21F4">
        <w:trPr>
          <w:trHeight w:val="300"/>
        </w:trPr>
        <w:tc>
          <w:tcPr>
            <w:tcW w:w="4167" w:type="pct"/>
            <w:gridSpan w:val="5"/>
            <w:tcBorders>
              <w:top w:val="single" w:sz="4" w:space="0" w:color="auto"/>
              <w:left w:val="single" w:sz="4" w:space="0" w:color="auto"/>
              <w:bottom w:val="single" w:sz="4" w:space="0" w:color="auto"/>
              <w:right w:val="single" w:sz="4" w:space="0" w:color="auto"/>
            </w:tcBorders>
            <w:noWrap/>
            <w:vAlign w:val="bottom"/>
            <w:hideMark/>
          </w:tcPr>
          <w:p w14:paraId="20FE7641" w14:textId="77777777" w:rsidR="00EA21F4" w:rsidRPr="00886FD2" w:rsidRDefault="00EA21F4" w:rsidP="00EA21F4">
            <w:pPr>
              <w:spacing w:after="240" w:line="360" w:lineRule="auto"/>
              <w:rPr>
                <w:rFonts w:eastAsia="Times New Roman"/>
                <w:b/>
                <w:bCs/>
                <w:color w:val="000000"/>
                <w:sz w:val="24"/>
                <w:szCs w:val="24"/>
              </w:rPr>
            </w:pPr>
            <w:r w:rsidRPr="00886FD2">
              <w:rPr>
                <w:rFonts w:eastAsia="Times New Roman"/>
                <w:b/>
                <w:bCs/>
                <w:color w:val="000000"/>
                <w:sz w:val="24"/>
                <w:szCs w:val="24"/>
              </w:rPr>
              <w:t>PI</w:t>
            </w:r>
          </w:p>
        </w:tc>
        <w:tc>
          <w:tcPr>
            <w:tcW w:w="833" w:type="pct"/>
            <w:tcBorders>
              <w:top w:val="nil"/>
              <w:left w:val="nil"/>
              <w:bottom w:val="single" w:sz="4" w:space="0" w:color="auto"/>
              <w:right w:val="single" w:sz="4" w:space="0" w:color="auto"/>
            </w:tcBorders>
            <w:noWrap/>
            <w:vAlign w:val="bottom"/>
            <w:hideMark/>
          </w:tcPr>
          <w:p w14:paraId="5D0B4FE9" w14:textId="77777777" w:rsidR="00EA21F4" w:rsidRPr="00886FD2" w:rsidRDefault="00EA21F4" w:rsidP="00EA21F4">
            <w:pPr>
              <w:spacing w:after="240" w:line="360" w:lineRule="auto"/>
              <w:jc w:val="right"/>
              <w:rPr>
                <w:rFonts w:eastAsia="Times New Roman"/>
                <w:color w:val="000000"/>
                <w:sz w:val="24"/>
                <w:szCs w:val="24"/>
              </w:rPr>
            </w:pPr>
            <w:r w:rsidRPr="00886FD2">
              <w:rPr>
                <w:rFonts w:eastAsia="Times New Roman"/>
                <w:color w:val="000000"/>
                <w:sz w:val="24"/>
                <w:szCs w:val="24"/>
              </w:rPr>
              <w:t>1.08</w:t>
            </w:r>
          </w:p>
        </w:tc>
      </w:tr>
      <w:tr w:rsidR="00EA21F4" w:rsidRPr="00886FD2" w14:paraId="02AB629D" w14:textId="77777777" w:rsidTr="00EA21F4">
        <w:trPr>
          <w:trHeight w:val="300"/>
        </w:trPr>
        <w:tc>
          <w:tcPr>
            <w:tcW w:w="4167" w:type="pct"/>
            <w:gridSpan w:val="5"/>
            <w:tcBorders>
              <w:top w:val="single" w:sz="4" w:space="0" w:color="auto"/>
              <w:left w:val="single" w:sz="4" w:space="0" w:color="auto"/>
              <w:bottom w:val="single" w:sz="4" w:space="0" w:color="auto"/>
              <w:right w:val="single" w:sz="4" w:space="0" w:color="auto"/>
            </w:tcBorders>
            <w:noWrap/>
            <w:vAlign w:val="bottom"/>
            <w:hideMark/>
          </w:tcPr>
          <w:p w14:paraId="6F492DBA" w14:textId="77777777" w:rsidR="00EA21F4" w:rsidRPr="00886FD2" w:rsidRDefault="00EA21F4" w:rsidP="00EA21F4">
            <w:pPr>
              <w:spacing w:after="240" w:line="360" w:lineRule="auto"/>
              <w:rPr>
                <w:rFonts w:eastAsia="Times New Roman"/>
                <w:b/>
                <w:bCs/>
                <w:color w:val="000000"/>
                <w:sz w:val="24"/>
                <w:szCs w:val="24"/>
              </w:rPr>
            </w:pPr>
            <w:r w:rsidRPr="00886FD2">
              <w:rPr>
                <w:rFonts w:eastAsia="Times New Roman"/>
                <w:b/>
                <w:bCs/>
                <w:color w:val="000000"/>
                <w:sz w:val="24"/>
                <w:szCs w:val="24"/>
              </w:rPr>
              <w:t>IRR</w:t>
            </w:r>
          </w:p>
        </w:tc>
        <w:tc>
          <w:tcPr>
            <w:tcW w:w="833" w:type="pct"/>
            <w:tcBorders>
              <w:top w:val="nil"/>
              <w:left w:val="nil"/>
              <w:bottom w:val="single" w:sz="4" w:space="0" w:color="auto"/>
              <w:right w:val="single" w:sz="4" w:space="0" w:color="auto"/>
            </w:tcBorders>
            <w:noWrap/>
            <w:vAlign w:val="bottom"/>
            <w:hideMark/>
          </w:tcPr>
          <w:p w14:paraId="656C3147" w14:textId="77777777" w:rsidR="00EA21F4" w:rsidRPr="00886FD2" w:rsidRDefault="00EA21F4" w:rsidP="00EA21F4">
            <w:pPr>
              <w:spacing w:after="240" w:line="360" w:lineRule="auto"/>
              <w:jc w:val="right"/>
              <w:rPr>
                <w:rFonts w:eastAsia="Times New Roman"/>
                <w:color w:val="000000"/>
                <w:sz w:val="24"/>
                <w:szCs w:val="24"/>
              </w:rPr>
            </w:pPr>
            <w:r w:rsidRPr="00886FD2">
              <w:rPr>
                <w:rFonts w:eastAsia="Times New Roman"/>
                <w:color w:val="000000"/>
                <w:sz w:val="24"/>
                <w:szCs w:val="24"/>
              </w:rPr>
              <w:t>3%</w:t>
            </w:r>
          </w:p>
        </w:tc>
      </w:tr>
    </w:tbl>
    <w:p w14:paraId="4DC67659" w14:textId="77777777" w:rsidR="00EA21F4" w:rsidRPr="00886FD2" w:rsidRDefault="00EA21F4">
      <w:pPr>
        <w:spacing w:after="200" w:line="360" w:lineRule="auto"/>
        <w:jc w:val="both"/>
        <w:rPr>
          <w:rFonts w:eastAsia="Times New Roman"/>
          <w:sz w:val="24"/>
          <w:szCs w:val="24"/>
        </w:rPr>
      </w:pPr>
    </w:p>
    <w:p w14:paraId="0532E4C3" w14:textId="6F608C79" w:rsidR="00EA21F4" w:rsidRPr="00886FD2" w:rsidRDefault="00EA21F4">
      <w:pPr>
        <w:spacing w:after="200" w:line="360" w:lineRule="auto"/>
        <w:jc w:val="both"/>
        <w:rPr>
          <w:rFonts w:eastAsia="Times New Roman"/>
          <w:b/>
          <w:bCs/>
          <w:i/>
          <w:iCs/>
          <w:sz w:val="24"/>
          <w:szCs w:val="24"/>
        </w:rPr>
      </w:pPr>
      <w:r w:rsidRPr="00886FD2">
        <w:rPr>
          <w:rFonts w:eastAsia="Times New Roman"/>
          <w:b/>
          <w:bCs/>
          <w:i/>
          <w:iCs/>
          <w:sz w:val="24"/>
          <w:szCs w:val="24"/>
        </w:rPr>
        <w:t xml:space="preserve">Project B: </w:t>
      </w:r>
    </w:p>
    <w:tbl>
      <w:tblPr>
        <w:tblW w:w="5000" w:type="pct"/>
        <w:tblLook w:val="04A0" w:firstRow="1" w:lastRow="0" w:firstColumn="1" w:lastColumn="0" w:noHBand="0" w:noVBand="1"/>
      </w:tblPr>
      <w:tblGrid>
        <w:gridCol w:w="1287"/>
        <w:gridCol w:w="1288"/>
        <w:gridCol w:w="1618"/>
        <w:gridCol w:w="1618"/>
        <w:gridCol w:w="1510"/>
        <w:gridCol w:w="1698"/>
      </w:tblGrid>
      <w:tr w:rsidR="00EA21F4" w:rsidRPr="00886FD2" w14:paraId="1218A295" w14:textId="77777777" w:rsidTr="00EA21F4">
        <w:trPr>
          <w:trHeight w:val="900"/>
        </w:trPr>
        <w:tc>
          <w:tcPr>
            <w:tcW w:w="833" w:type="pct"/>
            <w:tcBorders>
              <w:top w:val="single" w:sz="4" w:space="0" w:color="auto"/>
              <w:left w:val="single" w:sz="4" w:space="0" w:color="auto"/>
              <w:bottom w:val="single" w:sz="4" w:space="0" w:color="auto"/>
              <w:right w:val="single" w:sz="4" w:space="0" w:color="auto"/>
            </w:tcBorders>
            <w:vAlign w:val="center"/>
            <w:hideMark/>
          </w:tcPr>
          <w:p w14:paraId="0238490A" w14:textId="77777777" w:rsidR="00EA21F4" w:rsidRPr="00886FD2" w:rsidRDefault="00EA21F4" w:rsidP="00EA21F4">
            <w:pPr>
              <w:spacing w:after="240" w:line="360" w:lineRule="auto"/>
              <w:jc w:val="center"/>
              <w:rPr>
                <w:rFonts w:eastAsia="Times New Roman"/>
                <w:b/>
                <w:bCs/>
                <w:i/>
                <w:iCs/>
                <w:color w:val="000000"/>
                <w:sz w:val="24"/>
                <w:szCs w:val="24"/>
              </w:rPr>
            </w:pPr>
            <w:r w:rsidRPr="00886FD2">
              <w:rPr>
                <w:rFonts w:eastAsia="Times New Roman"/>
                <w:b/>
                <w:bCs/>
                <w:i/>
                <w:iCs/>
                <w:color w:val="000000"/>
                <w:sz w:val="24"/>
                <w:szCs w:val="24"/>
              </w:rPr>
              <w:t>Year</w:t>
            </w:r>
          </w:p>
        </w:tc>
        <w:tc>
          <w:tcPr>
            <w:tcW w:w="833" w:type="pct"/>
            <w:tcBorders>
              <w:top w:val="single" w:sz="4" w:space="0" w:color="auto"/>
              <w:left w:val="nil"/>
              <w:bottom w:val="single" w:sz="4" w:space="0" w:color="auto"/>
              <w:right w:val="single" w:sz="4" w:space="0" w:color="auto"/>
            </w:tcBorders>
            <w:vAlign w:val="center"/>
            <w:hideMark/>
          </w:tcPr>
          <w:p w14:paraId="4456ABAC" w14:textId="77777777" w:rsidR="00EA21F4" w:rsidRPr="00886FD2" w:rsidRDefault="00EA21F4" w:rsidP="00EA21F4">
            <w:pPr>
              <w:spacing w:after="240" w:line="360" w:lineRule="auto"/>
              <w:jc w:val="center"/>
              <w:rPr>
                <w:rFonts w:eastAsia="Times New Roman"/>
                <w:b/>
                <w:bCs/>
                <w:i/>
                <w:iCs/>
                <w:color w:val="000000"/>
                <w:sz w:val="24"/>
                <w:szCs w:val="24"/>
              </w:rPr>
            </w:pPr>
            <w:r w:rsidRPr="00886FD2">
              <w:rPr>
                <w:rFonts w:eastAsia="Times New Roman"/>
                <w:b/>
                <w:bCs/>
                <w:i/>
                <w:iCs/>
                <w:color w:val="000000"/>
                <w:sz w:val="24"/>
                <w:szCs w:val="24"/>
              </w:rPr>
              <w:t>Net Cash Flow (£m)</w:t>
            </w:r>
          </w:p>
        </w:tc>
        <w:tc>
          <w:tcPr>
            <w:tcW w:w="833" w:type="pct"/>
            <w:tcBorders>
              <w:top w:val="single" w:sz="4" w:space="0" w:color="auto"/>
              <w:left w:val="nil"/>
              <w:bottom w:val="single" w:sz="4" w:space="0" w:color="auto"/>
              <w:right w:val="single" w:sz="4" w:space="0" w:color="auto"/>
            </w:tcBorders>
            <w:vAlign w:val="center"/>
            <w:hideMark/>
          </w:tcPr>
          <w:p w14:paraId="4C04B150" w14:textId="77777777" w:rsidR="00EA21F4" w:rsidRPr="00886FD2" w:rsidRDefault="00EA21F4" w:rsidP="00EA21F4">
            <w:pPr>
              <w:spacing w:after="240" w:line="360" w:lineRule="auto"/>
              <w:jc w:val="center"/>
              <w:rPr>
                <w:rFonts w:eastAsia="Times New Roman"/>
                <w:b/>
                <w:bCs/>
                <w:i/>
                <w:iCs/>
                <w:color w:val="000000"/>
                <w:sz w:val="24"/>
                <w:szCs w:val="24"/>
              </w:rPr>
            </w:pPr>
            <w:r w:rsidRPr="00886FD2">
              <w:rPr>
                <w:rFonts w:eastAsia="Times New Roman"/>
                <w:b/>
                <w:bCs/>
                <w:i/>
                <w:iCs/>
                <w:color w:val="000000"/>
                <w:sz w:val="24"/>
                <w:szCs w:val="24"/>
              </w:rPr>
              <w:t>Discount Factor (8%)</w:t>
            </w:r>
          </w:p>
        </w:tc>
        <w:tc>
          <w:tcPr>
            <w:tcW w:w="833" w:type="pct"/>
            <w:tcBorders>
              <w:top w:val="single" w:sz="4" w:space="0" w:color="auto"/>
              <w:left w:val="nil"/>
              <w:bottom w:val="single" w:sz="4" w:space="0" w:color="auto"/>
              <w:right w:val="single" w:sz="4" w:space="0" w:color="auto"/>
            </w:tcBorders>
            <w:vAlign w:val="center"/>
            <w:hideMark/>
          </w:tcPr>
          <w:p w14:paraId="6B133402" w14:textId="77777777" w:rsidR="00EA21F4" w:rsidRPr="00886FD2" w:rsidRDefault="00EA21F4" w:rsidP="00EA21F4">
            <w:pPr>
              <w:spacing w:after="240" w:line="360" w:lineRule="auto"/>
              <w:jc w:val="center"/>
              <w:rPr>
                <w:rFonts w:eastAsia="Times New Roman"/>
                <w:b/>
                <w:bCs/>
                <w:i/>
                <w:iCs/>
                <w:color w:val="000000"/>
                <w:sz w:val="24"/>
                <w:szCs w:val="24"/>
              </w:rPr>
            </w:pPr>
            <w:r w:rsidRPr="00886FD2">
              <w:rPr>
                <w:rFonts w:eastAsia="Times New Roman"/>
                <w:b/>
                <w:bCs/>
                <w:i/>
                <w:iCs/>
                <w:color w:val="000000"/>
                <w:sz w:val="24"/>
                <w:szCs w:val="24"/>
              </w:rPr>
              <w:t>Present Value (£m)</w:t>
            </w:r>
          </w:p>
        </w:tc>
        <w:tc>
          <w:tcPr>
            <w:tcW w:w="833" w:type="pct"/>
            <w:tcBorders>
              <w:top w:val="single" w:sz="4" w:space="0" w:color="auto"/>
              <w:left w:val="nil"/>
              <w:bottom w:val="single" w:sz="4" w:space="0" w:color="auto"/>
              <w:right w:val="single" w:sz="4" w:space="0" w:color="auto"/>
            </w:tcBorders>
            <w:vAlign w:val="center"/>
            <w:hideMark/>
          </w:tcPr>
          <w:p w14:paraId="5ABF2AC9" w14:textId="77777777" w:rsidR="00EA21F4" w:rsidRPr="00886FD2" w:rsidRDefault="00EA21F4" w:rsidP="00EA21F4">
            <w:pPr>
              <w:spacing w:after="240" w:line="360" w:lineRule="auto"/>
              <w:jc w:val="center"/>
              <w:rPr>
                <w:rFonts w:eastAsia="Times New Roman"/>
                <w:b/>
                <w:bCs/>
                <w:i/>
                <w:iCs/>
                <w:color w:val="000000"/>
                <w:sz w:val="24"/>
                <w:szCs w:val="24"/>
              </w:rPr>
            </w:pPr>
            <w:r w:rsidRPr="00886FD2">
              <w:rPr>
                <w:rFonts w:eastAsia="Times New Roman"/>
                <w:b/>
                <w:bCs/>
                <w:i/>
                <w:iCs/>
                <w:color w:val="000000"/>
                <w:sz w:val="24"/>
                <w:szCs w:val="24"/>
              </w:rPr>
              <w:t>Cumulative Cash Flow (£m)</w:t>
            </w:r>
          </w:p>
        </w:tc>
        <w:tc>
          <w:tcPr>
            <w:tcW w:w="833" w:type="pct"/>
            <w:tcBorders>
              <w:top w:val="single" w:sz="4" w:space="0" w:color="auto"/>
              <w:left w:val="nil"/>
              <w:bottom w:val="single" w:sz="4" w:space="0" w:color="auto"/>
              <w:right w:val="single" w:sz="4" w:space="0" w:color="auto"/>
            </w:tcBorders>
            <w:vAlign w:val="center"/>
            <w:hideMark/>
          </w:tcPr>
          <w:p w14:paraId="72D936CF" w14:textId="77777777" w:rsidR="00EA21F4" w:rsidRPr="00886FD2" w:rsidRDefault="00EA21F4" w:rsidP="00EA21F4">
            <w:pPr>
              <w:spacing w:after="240" w:line="360" w:lineRule="auto"/>
              <w:jc w:val="center"/>
              <w:rPr>
                <w:rFonts w:eastAsia="Times New Roman"/>
                <w:b/>
                <w:bCs/>
                <w:i/>
                <w:iCs/>
                <w:color w:val="000000"/>
                <w:sz w:val="24"/>
                <w:szCs w:val="24"/>
              </w:rPr>
            </w:pPr>
            <w:r w:rsidRPr="00886FD2">
              <w:rPr>
                <w:rFonts w:eastAsia="Times New Roman"/>
                <w:b/>
                <w:bCs/>
                <w:i/>
                <w:iCs/>
                <w:color w:val="000000"/>
                <w:sz w:val="24"/>
                <w:szCs w:val="24"/>
              </w:rPr>
              <w:t>Cumulative PV (£m)</w:t>
            </w:r>
          </w:p>
        </w:tc>
      </w:tr>
      <w:tr w:rsidR="00EA21F4" w:rsidRPr="00886FD2" w14:paraId="6C823FE7" w14:textId="77777777" w:rsidTr="00EA21F4">
        <w:trPr>
          <w:trHeight w:val="300"/>
        </w:trPr>
        <w:tc>
          <w:tcPr>
            <w:tcW w:w="833" w:type="pct"/>
            <w:tcBorders>
              <w:top w:val="nil"/>
              <w:left w:val="single" w:sz="4" w:space="0" w:color="auto"/>
              <w:bottom w:val="single" w:sz="4" w:space="0" w:color="auto"/>
              <w:right w:val="single" w:sz="4" w:space="0" w:color="auto"/>
            </w:tcBorders>
            <w:noWrap/>
            <w:vAlign w:val="bottom"/>
            <w:hideMark/>
          </w:tcPr>
          <w:p w14:paraId="5621D983" w14:textId="77777777" w:rsidR="00EA21F4" w:rsidRPr="00886FD2" w:rsidRDefault="00EA21F4" w:rsidP="00EA21F4">
            <w:pPr>
              <w:spacing w:after="240" w:line="360" w:lineRule="auto"/>
              <w:jc w:val="right"/>
              <w:rPr>
                <w:rFonts w:eastAsia="Times New Roman"/>
                <w:color w:val="000000"/>
                <w:sz w:val="24"/>
                <w:szCs w:val="24"/>
              </w:rPr>
            </w:pPr>
            <w:r w:rsidRPr="00886FD2">
              <w:rPr>
                <w:rFonts w:eastAsia="Times New Roman"/>
                <w:color w:val="000000"/>
                <w:sz w:val="24"/>
                <w:szCs w:val="24"/>
              </w:rPr>
              <w:t>0</w:t>
            </w:r>
          </w:p>
        </w:tc>
        <w:tc>
          <w:tcPr>
            <w:tcW w:w="833" w:type="pct"/>
            <w:tcBorders>
              <w:top w:val="nil"/>
              <w:left w:val="nil"/>
              <w:bottom w:val="single" w:sz="4" w:space="0" w:color="auto"/>
              <w:right w:val="single" w:sz="4" w:space="0" w:color="auto"/>
            </w:tcBorders>
            <w:noWrap/>
            <w:vAlign w:val="bottom"/>
            <w:hideMark/>
          </w:tcPr>
          <w:p w14:paraId="6BA256F2" w14:textId="77777777" w:rsidR="00EA21F4" w:rsidRPr="00886FD2" w:rsidRDefault="00EA21F4" w:rsidP="00EA21F4">
            <w:pPr>
              <w:spacing w:after="240" w:line="360" w:lineRule="auto"/>
              <w:jc w:val="right"/>
              <w:rPr>
                <w:rFonts w:eastAsia="Times New Roman"/>
                <w:color w:val="000000"/>
                <w:sz w:val="24"/>
                <w:szCs w:val="24"/>
              </w:rPr>
            </w:pPr>
            <w:r w:rsidRPr="00886FD2">
              <w:rPr>
                <w:rFonts w:eastAsia="Times New Roman"/>
                <w:color w:val="000000"/>
                <w:sz w:val="24"/>
                <w:szCs w:val="24"/>
              </w:rPr>
              <w:t>-50</w:t>
            </w:r>
          </w:p>
        </w:tc>
        <w:tc>
          <w:tcPr>
            <w:tcW w:w="833" w:type="pct"/>
            <w:tcBorders>
              <w:top w:val="nil"/>
              <w:left w:val="nil"/>
              <w:bottom w:val="single" w:sz="4" w:space="0" w:color="auto"/>
              <w:right w:val="single" w:sz="4" w:space="0" w:color="auto"/>
            </w:tcBorders>
            <w:noWrap/>
            <w:vAlign w:val="bottom"/>
            <w:hideMark/>
          </w:tcPr>
          <w:p w14:paraId="4DEE7262" w14:textId="77777777" w:rsidR="00EA21F4" w:rsidRPr="00886FD2" w:rsidRDefault="00EA21F4" w:rsidP="00EA21F4">
            <w:pPr>
              <w:spacing w:after="240" w:line="360" w:lineRule="auto"/>
              <w:jc w:val="right"/>
              <w:rPr>
                <w:rFonts w:eastAsia="Times New Roman"/>
                <w:color w:val="000000"/>
                <w:sz w:val="24"/>
                <w:szCs w:val="24"/>
              </w:rPr>
            </w:pPr>
            <w:r w:rsidRPr="00886FD2">
              <w:rPr>
                <w:rFonts w:eastAsia="Times New Roman"/>
                <w:color w:val="000000"/>
                <w:sz w:val="24"/>
                <w:szCs w:val="24"/>
              </w:rPr>
              <w:t>1</w:t>
            </w:r>
          </w:p>
        </w:tc>
        <w:tc>
          <w:tcPr>
            <w:tcW w:w="833" w:type="pct"/>
            <w:tcBorders>
              <w:top w:val="nil"/>
              <w:left w:val="nil"/>
              <w:bottom w:val="single" w:sz="4" w:space="0" w:color="auto"/>
              <w:right w:val="single" w:sz="4" w:space="0" w:color="auto"/>
            </w:tcBorders>
            <w:noWrap/>
            <w:vAlign w:val="bottom"/>
            <w:hideMark/>
          </w:tcPr>
          <w:p w14:paraId="4FA6E5CE" w14:textId="77777777" w:rsidR="00EA21F4" w:rsidRPr="00886FD2" w:rsidRDefault="00EA21F4" w:rsidP="00EA21F4">
            <w:pPr>
              <w:spacing w:after="240" w:line="360" w:lineRule="auto"/>
              <w:jc w:val="right"/>
              <w:rPr>
                <w:rFonts w:eastAsia="Times New Roman"/>
                <w:color w:val="000000"/>
                <w:sz w:val="24"/>
                <w:szCs w:val="24"/>
              </w:rPr>
            </w:pPr>
            <w:r w:rsidRPr="00886FD2">
              <w:rPr>
                <w:rFonts w:eastAsia="Times New Roman"/>
                <w:color w:val="000000"/>
                <w:sz w:val="24"/>
                <w:szCs w:val="24"/>
              </w:rPr>
              <w:t>-50</w:t>
            </w:r>
          </w:p>
        </w:tc>
        <w:tc>
          <w:tcPr>
            <w:tcW w:w="833" w:type="pct"/>
            <w:tcBorders>
              <w:top w:val="nil"/>
              <w:left w:val="nil"/>
              <w:bottom w:val="single" w:sz="4" w:space="0" w:color="auto"/>
              <w:right w:val="single" w:sz="4" w:space="0" w:color="auto"/>
            </w:tcBorders>
            <w:noWrap/>
            <w:vAlign w:val="bottom"/>
            <w:hideMark/>
          </w:tcPr>
          <w:p w14:paraId="50CADF42" w14:textId="77777777" w:rsidR="00EA21F4" w:rsidRPr="00886FD2" w:rsidRDefault="00EA21F4" w:rsidP="00EA21F4">
            <w:pPr>
              <w:spacing w:after="240" w:line="360" w:lineRule="auto"/>
              <w:jc w:val="right"/>
              <w:rPr>
                <w:rFonts w:eastAsia="Times New Roman"/>
                <w:color w:val="000000"/>
                <w:sz w:val="24"/>
                <w:szCs w:val="24"/>
              </w:rPr>
            </w:pPr>
            <w:r w:rsidRPr="00886FD2">
              <w:rPr>
                <w:rFonts w:eastAsia="Times New Roman"/>
                <w:color w:val="000000"/>
                <w:sz w:val="24"/>
                <w:szCs w:val="24"/>
              </w:rPr>
              <w:t>-50</w:t>
            </w:r>
          </w:p>
        </w:tc>
        <w:tc>
          <w:tcPr>
            <w:tcW w:w="833" w:type="pct"/>
            <w:tcBorders>
              <w:top w:val="nil"/>
              <w:left w:val="nil"/>
              <w:bottom w:val="single" w:sz="4" w:space="0" w:color="auto"/>
              <w:right w:val="single" w:sz="4" w:space="0" w:color="auto"/>
            </w:tcBorders>
            <w:noWrap/>
            <w:vAlign w:val="bottom"/>
            <w:hideMark/>
          </w:tcPr>
          <w:p w14:paraId="11E3D580" w14:textId="77777777" w:rsidR="00EA21F4" w:rsidRPr="00886FD2" w:rsidRDefault="00EA21F4" w:rsidP="00EA21F4">
            <w:pPr>
              <w:spacing w:after="240" w:line="360" w:lineRule="auto"/>
              <w:jc w:val="right"/>
              <w:rPr>
                <w:rFonts w:eastAsia="Times New Roman"/>
                <w:color w:val="000000"/>
                <w:sz w:val="24"/>
                <w:szCs w:val="24"/>
              </w:rPr>
            </w:pPr>
            <w:r w:rsidRPr="00886FD2">
              <w:rPr>
                <w:rFonts w:eastAsia="Times New Roman"/>
                <w:color w:val="000000"/>
                <w:sz w:val="24"/>
                <w:szCs w:val="24"/>
              </w:rPr>
              <w:t>-50</w:t>
            </w:r>
          </w:p>
        </w:tc>
      </w:tr>
      <w:tr w:rsidR="00EA21F4" w:rsidRPr="00886FD2" w14:paraId="3D2E62F9" w14:textId="77777777" w:rsidTr="00EA21F4">
        <w:trPr>
          <w:trHeight w:val="300"/>
        </w:trPr>
        <w:tc>
          <w:tcPr>
            <w:tcW w:w="833" w:type="pct"/>
            <w:tcBorders>
              <w:top w:val="nil"/>
              <w:left w:val="single" w:sz="4" w:space="0" w:color="auto"/>
              <w:bottom w:val="single" w:sz="4" w:space="0" w:color="auto"/>
              <w:right w:val="single" w:sz="4" w:space="0" w:color="auto"/>
            </w:tcBorders>
            <w:noWrap/>
            <w:vAlign w:val="bottom"/>
            <w:hideMark/>
          </w:tcPr>
          <w:p w14:paraId="5BDA67CB" w14:textId="77777777" w:rsidR="00EA21F4" w:rsidRPr="00886FD2" w:rsidRDefault="00EA21F4" w:rsidP="00EA21F4">
            <w:pPr>
              <w:spacing w:after="240" w:line="360" w:lineRule="auto"/>
              <w:jc w:val="right"/>
              <w:rPr>
                <w:rFonts w:eastAsia="Times New Roman"/>
                <w:color w:val="000000"/>
                <w:sz w:val="24"/>
                <w:szCs w:val="24"/>
              </w:rPr>
            </w:pPr>
            <w:r w:rsidRPr="00886FD2">
              <w:rPr>
                <w:rFonts w:eastAsia="Times New Roman"/>
                <w:color w:val="000000"/>
                <w:sz w:val="24"/>
                <w:szCs w:val="24"/>
              </w:rPr>
              <w:lastRenderedPageBreak/>
              <w:t>1</w:t>
            </w:r>
          </w:p>
        </w:tc>
        <w:tc>
          <w:tcPr>
            <w:tcW w:w="833" w:type="pct"/>
            <w:tcBorders>
              <w:top w:val="nil"/>
              <w:left w:val="nil"/>
              <w:bottom w:val="single" w:sz="4" w:space="0" w:color="auto"/>
              <w:right w:val="single" w:sz="4" w:space="0" w:color="auto"/>
            </w:tcBorders>
            <w:noWrap/>
            <w:vAlign w:val="bottom"/>
            <w:hideMark/>
          </w:tcPr>
          <w:p w14:paraId="64CCBFB8" w14:textId="77777777" w:rsidR="00EA21F4" w:rsidRPr="00886FD2" w:rsidRDefault="00EA21F4" w:rsidP="00EA21F4">
            <w:pPr>
              <w:spacing w:after="240" w:line="360" w:lineRule="auto"/>
              <w:jc w:val="right"/>
              <w:rPr>
                <w:rFonts w:eastAsia="Times New Roman"/>
                <w:color w:val="000000"/>
                <w:sz w:val="24"/>
                <w:szCs w:val="24"/>
              </w:rPr>
            </w:pPr>
            <w:r w:rsidRPr="00886FD2">
              <w:rPr>
                <w:rFonts w:eastAsia="Times New Roman"/>
                <w:color w:val="000000"/>
                <w:sz w:val="24"/>
                <w:szCs w:val="24"/>
              </w:rPr>
              <w:t>11</w:t>
            </w:r>
          </w:p>
        </w:tc>
        <w:tc>
          <w:tcPr>
            <w:tcW w:w="833" w:type="pct"/>
            <w:tcBorders>
              <w:top w:val="nil"/>
              <w:left w:val="nil"/>
              <w:bottom w:val="single" w:sz="4" w:space="0" w:color="auto"/>
              <w:right w:val="single" w:sz="4" w:space="0" w:color="auto"/>
            </w:tcBorders>
            <w:noWrap/>
            <w:vAlign w:val="bottom"/>
            <w:hideMark/>
          </w:tcPr>
          <w:p w14:paraId="1DE3E20B" w14:textId="77777777" w:rsidR="00EA21F4" w:rsidRPr="00886FD2" w:rsidRDefault="00EA21F4" w:rsidP="00EA21F4">
            <w:pPr>
              <w:spacing w:after="240" w:line="360" w:lineRule="auto"/>
              <w:jc w:val="right"/>
              <w:rPr>
                <w:rFonts w:eastAsia="Times New Roman"/>
                <w:color w:val="000000"/>
                <w:sz w:val="24"/>
                <w:szCs w:val="24"/>
              </w:rPr>
            </w:pPr>
            <w:r w:rsidRPr="00886FD2">
              <w:rPr>
                <w:rFonts w:eastAsia="Times New Roman"/>
                <w:color w:val="000000"/>
                <w:sz w:val="24"/>
                <w:szCs w:val="24"/>
              </w:rPr>
              <w:t>0.925925926</w:t>
            </w:r>
          </w:p>
        </w:tc>
        <w:tc>
          <w:tcPr>
            <w:tcW w:w="833" w:type="pct"/>
            <w:tcBorders>
              <w:top w:val="nil"/>
              <w:left w:val="nil"/>
              <w:bottom w:val="single" w:sz="4" w:space="0" w:color="auto"/>
              <w:right w:val="single" w:sz="4" w:space="0" w:color="auto"/>
            </w:tcBorders>
            <w:noWrap/>
            <w:vAlign w:val="bottom"/>
            <w:hideMark/>
          </w:tcPr>
          <w:p w14:paraId="4A637E90" w14:textId="77777777" w:rsidR="00EA21F4" w:rsidRPr="00886FD2" w:rsidRDefault="00EA21F4" w:rsidP="00EA21F4">
            <w:pPr>
              <w:spacing w:after="240" w:line="360" w:lineRule="auto"/>
              <w:jc w:val="right"/>
              <w:rPr>
                <w:rFonts w:eastAsia="Times New Roman"/>
                <w:color w:val="000000"/>
                <w:sz w:val="24"/>
                <w:szCs w:val="24"/>
              </w:rPr>
            </w:pPr>
            <w:r w:rsidRPr="00886FD2">
              <w:rPr>
                <w:rFonts w:eastAsia="Times New Roman"/>
                <w:color w:val="000000"/>
                <w:sz w:val="24"/>
                <w:szCs w:val="24"/>
              </w:rPr>
              <w:t>10.18518519</w:t>
            </w:r>
          </w:p>
        </w:tc>
        <w:tc>
          <w:tcPr>
            <w:tcW w:w="833" w:type="pct"/>
            <w:tcBorders>
              <w:top w:val="nil"/>
              <w:left w:val="nil"/>
              <w:bottom w:val="single" w:sz="4" w:space="0" w:color="auto"/>
              <w:right w:val="single" w:sz="4" w:space="0" w:color="auto"/>
            </w:tcBorders>
            <w:noWrap/>
            <w:vAlign w:val="bottom"/>
            <w:hideMark/>
          </w:tcPr>
          <w:p w14:paraId="65FB277D" w14:textId="77777777" w:rsidR="00EA21F4" w:rsidRPr="00886FD2" w:rsidRDefault="00EA21F4" w:rsidP="00EA21F4">
            <w:pPr>
              <w:spacing w:after="240" w:line="360" w:lineRule="auto"/>
              <w:jc w:val="right"/>
              <w:rPr>
                <w:rFonts w:eastAsia="Times New Roman"/>
                <w:color w:val="000000"/>
                <w:sz w:val="24"/>
                <w:szCs w:val="24"/>
              </w:rPr>
            </w:pPr>
            <w:r w:rsidRPr="00886FD2">
              <w:rPr>
                <w:rFonts w:eastAsia="Times New Roman"/>
                <w:color w:val="000000"/>
                <w:sz w:val="24"/>
                <w:szCs w:val="24"/>
              </w:rPr>
              <w:t>-39</w:t>
            </w:r>
          </w:p>
        </w:tc>
        <w:tc>
          <w:tcPr>
            <w:tcW w:w="833" w:type="pct"/>
            <w:tcBorders>
              <w:top w:val="nil"/>
              <w:left w:val="nil"/>
              <w:bottom w:val="single" w:sz="4" w:space="0" w:color="auto"/>
              <w:right w:val="single" w:sz="4" w:space="0" w:color="auto"/>
            </w:tcBorders>
            <w:noWrap/>
            <w:vAlign w:val="bottom"/>
            <w:hideMark/>
          </w:tcPr>
          <w:p w14:paraId="6F26C3B1" w14:textId="77777777" w:rsidR="00EA21F4" w:rsidRPr="00886FD2" w:rsidRDefault="00EA21F4" w:rsidP="00EA21F4">
            <w:pPr>
              <w:spacing w:after="240" w:line="360" w:lineRule="auto"/>
              <w:jc w:val="right"/>
              <w:rPr>
                <w:rFonts w:eastAsia="Times New Roman"/>
                <w:color w:val="000000"/>
                <w:sz w:val="24"/>
                <w:szCs w:val="24"/>
              </w:rPr>
            </w:pPr>
            <w:r w:rsidRPr="00886FD2">
              <w:rPr>
                <w:rFonts w:eastAsia="Times New Roman"/>
                <w:color w:val="000000"/>
                <w:sz w:val="24"/>
                <w:szCs w:val="24"/>
              </w:rPr>
              <w:t>-38.07407407</w:t>
            </w:r>
          </w:p>
        </w:tc>
      </w:tr>
      <w:tr w:rsidR="00EA21F4" w:rsidRPr="00886FD2" w14:paraId="7E90F760" w14:textId="77777777" w:rsidTr="00EA21F4">
        <w:trPr>
          <w:trHeight w:val="300"/>
        </w:trPr>
        <w:tc>
          <w:tcPr>
            <w:tcW w:w="833" w:type="pct"/>
            <w:tcBorders>
              <w:top w:val="nil"/>
              <w:left w:val="single" w:sz="4" w:space="0" w:color="auto"/>
              <w:bottom w:val="single" w:sz="4" w:space="0" w:color="auto"/>
              <w:right w:val="single" w:sz="4" w:space="0" w:color="auto"/>
            </w:tcBorders>
            <w:noWrap/>
            <w:vAlign w:val="bottom"/>
            <w:hideMark/>
          </w:tcPr>
          <w:p w14:paraId="3797C618" w14:textId="77777777" w:rsidR="00EA21F4" w:rsidRPr="00886FD2" w:rsidRDefault="00EA21F4" w:rsidP="00EA21F4">
            <w:pPr>
              <w:spacing w:after="240" w:line="360" w:lineRule="auto"/>
              <w:jc w:val="right"/>
              <w:rPr>
                <w:rFonts w:eastAsia="Times New Roman"/>
                <w:color w:val="000000"/>
                <w:sz w:val="24"/>
                <w:szCs w:val="24"/>
              </w:rPr>
            </w:pPr>
            <w:r w:rsidRPr="00886FD2">
              <w:rPr>
                <w:rFonts w:eastAsia="Times New Roman"/>
                <w:color w:val="000000"/>
                <w:sz w:val="24"/>
                <w:szCs w:val="24"/>
              </w:rPr>
              <w:t>2</w:t>
            </w:r>
          </w:p>
        </w:tc>
        <w:tc>
          <w:tcPr>
            <w:tcW w:w="833" w:type="pct"/>
            <w:tcBorders>
              <w:top w:val="nil"/>
              <w:left w:val="nil"/>
              <w:bottom w:val="single" w:sz="4" w:space="0" w:color="auto"/>
              <w:right w:val="single" w:sz="4" w:space="0" w:color="auto"/>
            </w:tcBorders>
            <w:noWrap/>
            <w:vAlign w:val="bottom"/>
            <w:hideMark/>
          </w:tcPr>
          <w:p w14:paraId="5497662D" w14:textId="77777777" w:rsidR="00EA21F4" w:rsidRPr="00886FD2" w:rsidRDefault="00EA21F4" w:rsidP="00EA21F4">
            <w:pPr>
              <w:spacing w:after="240" w:line="360" w:lineRule="auto"/>
              <w:jc w:val="right"/>
              <w:rPr>
                <w:rFonts w:eastAsia="Times New Roman"/>
                <w:color w:val="000000"/>
                <w:sz w:val="24"/>
                <w:szCs w:val="24"/>
              </w:rPr>
            </w:pPr>
            <w:r w:rsidRPr="00886FD2">
              <w:rPr>
                <w:rFonts w:eastAsia="Times New Roman"/>
                <w:color w:val="000000"/>
                <w:sz w:val="24"/>
                <w:szCs w:val="24"/>
              </w:rPr>
              <w:t>11</w:t>
            </w:r>
          </w:p>
        </w:tc>
        <w:tc>
          <w:tcPr>
            <w:tcW w:w="833" w:type="pct"/>
            <w:tcBorders>
              <w:top w:val="nil"/>
              <w:left w:val="nil"/>
              <w:bottom w:val="single" w:sz="4" w:space="0" w:color="auto"/>
              <w:right w:val="single" w:sz="4" w:space="0" w:color="auto"/>
            </w:tcBorders>
            <w:noWrap/>
            <w:vAlign w:val="bottom"/>
            <w:hideMark/>
          </w:tcPr>
          <w:p w14:paraId="4F37B5EC" w14:textId="77777777" w:rsidR="00EA21F4" w:rsidRPr="00886FD2" w:rsidRDefault="00EA21F4" w:rsidP="00EA21F4">
            <w:pPr>
              <w:spacing w:after="240" w:line="360" w:lineRule="auto"/>
              <w:jc w:val="right"/>
              <w:rPr>
                <w:rFonts w:eastAsia="Times New Roman"/>
                <w:color w:val="000000"/>
                <w:sz w:val="24"/>
                <w:szCs w:val="24"/>
              </w:rPr>
            </w:pPr>
            <w:r w:rsidRPr="00886FD2">
              <w:rPr>
                <w:rFonts w:eastAsia="Times New Roman"/>
                <w:color w:val="000000"/>
                <w:sz w:val="24"/>
                <w:szCs w:val="24"/>
              </w:rPr>
              <w:t>0.85733882</w:t>
            </w:r>
          </w:p>
        </w:tc>
        <w:tc>
          <w:tcPr>
            <w:tcW w:w="833" w:type="pct"/>
            <w:tcBorders>
              <w:top w:val="nil"/>
              <w:left w:val="nil"/>
              <w:bottom w:val="single" w:sz="4" w:space="0" w:color="auto"/>
              <w:right w:val="single" w:sz="4" w:space="0" w:color="auto"/>
            </w:tcBorders>
            <w:noWrap/>
            <w:vAlign w:val="bottom"/>
            <w:hideMark/>
          </w:tcPr>
          <w:p w14:paraId="274AF5F4" w14:textId="77777777" w:rsidR="00EA21F4" w:rsidRPr="00886FD2" w:rsidRDefault="00EA21F4" w:rsidP="00EA21F4">
            <w:pPr>
              <w:spacing w:after="240" w:line="360" w:lineRule="auto"/>
              <w:jc w:val="right"/>
              <w:rPr>
                <w:rFonts w:eastAsia="Times New Roman"/>
                <w:color w:val="000000"/>
                <w:sz w:val="24"/>
                <w:szCs w:val="24"/>
              </w:rPr>
            </w:pPr>
            <w:r w:rsidRPr="00886FD2">
              <w:rPr>
                <w:rFonts w:eastAsia="Times New Roman"/>
                <w:color w:val="000000"/>
                <w:sz w:val="24"/>
                <w:szCs w:val="24"/>
              </w:rPr>
              <w:t>9.430727023</w:t>
            </w:r>
          </w:p>
        </w:tc>
        <w:tc>
          <w:tcPr>
            <w:tcW w:w="833" w:type="pct"/>
            <w:tcBorders>
              <w:top w:val="nil"/>
              <w:left w:val="nil"/>
              <w:bottom w:val="single" w:sz="4" w:space="0" w:color="auto"/>
              <w:right w:val="single" w:sz="4" w:space="0" w:color="auto"/>
            </w:tcBorders>
            <w:noWrap/>
            <w:vAlign w:val="bottom"/>
            <w:hideMark/>
          </w:tcPr>
          <w:p w14:paraId="01CA559B" w14:textId="77777777" w:rsidR="00EA21F4" w:rsidRPr="00886FD2" w:rsidRDefault="00EA21F4" w:rsidP="00EA21F4">
            <w:pPr>
              <w:spacing w:after="240" w:line="360" w:lineRule="auto"/>
              <w:jc w:val="right"/>
              <w:rPr>
                <w:rFonts w:eastAsia="Times New Roman"/>
                <w:color w:val="000000"/>
                <w:sz w:val="24"/>
                <w:szCs w:val="24"/>
              </w:rPr>
            </w:pPr>
            <w:r w:rsidRPr="00886FD2">
              <w:rPr>
                <w:rFonts w:eastAsia="Times New Roman"/>
                <w:color w:val="000000"/>
                <w:sz w:val="24"/>
                <w:szCs w:val="24"/>
              </w:rPr>
              <w:t>-28</w:t>
            </w:r>
          </w:p>
        </w:tc>
        <w:tc>
          <w:tcPr>
            <w:tcW w:w="833" w:type="pct"/>
            <w:tcBorders>
              <w:top w:val="nil"/>
              <w:left w:val="nil"/>
              <w:bottom w:val="single" w:sz="4" w:space="0" w:color="auto"/>
              <w:right w:val="single" w:sz="4" w:space="0" w:color="auto"/>
            </w:tcBorders>
            <w:noWrap/>
            <w:vAlign w:val="bottom"/>
            <w:hideMark/>
          </w:tcPr>
          <w:p w14:paraId="4A42C51E" w14:textId="77777777" w:rsidR="00EA21F4" w:rsidRPr="00886FD2" w:rsidRDefault="00EA21F4" w:rsidP="00EA21F4">
            <w:pPr>
              <w:spacing w:after="240" w:line="360" w:lineRule="auto"/>
              <w:jc w:val="right"/>
              <w:rPr>
                <w:rFonts w:eastAsia="Times New Roman"/>
                <w:color w:val="000000"/>
                <w:sz w:val="24"/>
                <w:szCs w:val="24"/>
              </w:rPr>
            </w:pPr>
            <w:r w:rsidRPr="00886FD2">
              <w:rPr>
                <w:rFonts w:eastAsia="Times New Roman"/>
                <w:color w:val="000000"/>
                <w:sz w:val="24"/>
                <w:szCs w:val="24"/>
              </w:rPr>
              <w:t>-27.14266118</w:t>
            </w:r>
          </w:p>
        </w:tc>
      </w:tr>
      <w:tr w:rsidR="00EA21F4" w:rsidRPr="00886FD2" w14:paraId="56E24F3D" w14:textId="77777777" w:rsidTr="00EA21F4">
        <w:trPr>
          <w:trHeight w:val="300"/>
        </w:trPr>
        <w:tc>
          <w:tcPr>
            <w:tcW w:w="833" w:type="pct"/>
            <w:tcBorders>
              <w:top w:val="nil"/>
              <w:left w:val="single" w:sz="4" w:space="0" w:color="auto"/>
              <w:bottom w:val="single" w:sz="4" w:space="0" w:color="auto"/>
              <w:right w:val="single" w:sz="4" w:space="0" w:color="auto"/>
            </w:tcBorders>
            <w:noWrap/>
            <w:vAlign w:val="bottom"/>
            <w:hideMark/>
          </w:tcPr>
          <w:p w14:paraId="1A6F08CD" w14:textId="77777777" w:rsidR="00EA21F4" w:rsidRPr="00886FD2" w:rsidRDefault="00EA21F4" w:rsidP="00EA21F4">
            <w:pPr>
              <w:spacing w:after="240" w:line="360" w:lineRule="auto"/>
              <w:jc w:val="right"/>
              <w:rPr>
                <w:rFonts w:eastAsia="Times New Roman"/>
                <w:color w:val="000000"/>
                <w:sz w:val="24"/>
                <w:szCs w:val="24"/>
              </w:rPr>
            </w:pPr>
            <w:r w:rsidRPr="00886FD2">
              <w:rPr>
                <w:rFonts w:eastAsia="Times New Roman"/>
                <w:color w:val="000000"/>
                <w:sz w:val="24"/>
                <w:szCs w:val="24"/>
              </w:rPr>
              <w:t>3</w:t>
            </w:r>
          </w:p>
        </w:tc>
        <w:tc>
          <w:tcPr>
            <w:tcW w:w="833" w:type="pct"/>
            <w:tcBorders>
              <w:top w:val="nil"/>
              <w:left w:val="nil"/>
              <w:bottom w:val="single" w:sz="4" w:space="0" w:color="auto"/>
              <w:right w:val="single" w:sz="4" w:space="0" w:color="auto"/>
            </w:tcBorders>
            <w:noWrap/>
            <w:vAlign w:val="bottom"/>
            <w:hideMark/>
          </w:tcPr>
          <w:p w14:paraId="30B15BBE" w14:textId="77777777" w:rsidR="00EA21F4" w:rsidRPr="00886FD2" w:rsidRDefault="00EA21F4" w:rsidP="00EA21F4">
            <w:pPr>
              <w:spacing w:after="240" w:line="360" w:lineRule="auto"/>
              <w:jc w:val="right"/>
              <w:rPr>
                <w:rFonts w:eastAsia="Times New Roman"/>
                <w:color w:val="000000"/>
                <w:sz w:val="24"/>
                <w:szCs w:val="24"/>
              </w:rPr>
            </w:pPr>
            <w:r w:rsidRPr="00886FD2">
              <w:rPr>
                <w:rFonts w:eastAsia="Times New Roman"/>
                <w:color w:val="000000"/>
                <w:sz w:val="24"/>
                <w:szCs w:val="24"/>
              </w:rPr>
              <w:t>11</w:t>
            </w:r>
          </w:p>
        </w:tc>
        <w:tc>
          <w:tcPr>
            <w:tcW w:w="833" w:type="pct"/>
            <w:tcBorders>
              <w:top w:val="nil"/>
              <w:left w:val="nil"/>
              <w:bottom w:val="single" w:sz="4" w:space="0" w:color="auto"/>
              <w:right w:val="single" w:sz="4" w:space="0" w:color="auto"/>
            </w:tcBorders>
            <w:noWrap/>
            <w:vAlign w:val="bottom"/>
            <w:hideMark/>
          </w:tcPr>
          <w:p w14:paraId="1F195580" w14:textId="77777777" w:rsidR="00EA21F4" w:rsidRPr="00886FD2" w:rsidRDefault="00EA21F4" w:rsidP="00EA21F4">
            <w:pPr>
              <w:spacing w:after="240" w:line="360" w:lineRule="auto"/>
              <w:jc w:val="right"/>
              <w:rPr>
                <w:rFonts w:eastAsia="Times New Roman"/>
                <w:color w:val="000000"/>
                <w:sz w:val="24"/>
                <w:szCs w:val="24"/>
              </w:rPr>
            </w:pPr>
            <w:r w:rsidRPr="00886FD2">
              <w:rPr>
                <w:rFonts w:eastAsia="Times New Roman"/>
                <w:color w:val="000000"/>
                <w:sz w:val="24"/>
                <w:szCs w:val="24"/>
              </w:rPr>
              <w:t>0.793832241</w:t>
            </w:r>
          </w:p>
        </w:tc>
        <w:tc>
          <w:tcPr>
            <w:tcW w:w="833" w:type="pct"/>
            <w:tcBorders>
              <w:top w:val="nil"/>
              <w:left w:val="nil"/>
              <w:bottom w:val="single" w:sz="4" w:space="0" w:color="auto"/>
              <w:right w:val="single" w:sz="4" w:space="0" w:color="auto"/>
            </w:tcBorders>
            <w:noWrap/>
            <w:vAlign w:val="bottom"/>
            <w:hideMark/>
          </w:tcPr>
          <w:p w14:paraId="29F1E24C" w14:textId="77777777" w:rsidR="00EA21F4" w:rsidRPr="00886FD2" w:rsidRDefault="00EA21F4" w:rsidP="00EA21F4">
            <w:pPr>
              <w:spacing w:after="240" w:line="360" w:lineRule="auto"/>
              <w:jc w:val="right"/>
              <w:rPr>
                <w:rFonts w:eastAsia="Times New Roman"/>
                <w:color w:val="000000"/>
                <w:sz w:val="24"/>
                <w:szCs w:val="24"/>
              </w:rPr>
            </w:pPr>
            <w:r w:rsidRPr="00886FD2">
              <w:rPr>
                <w:rFonts w:eastAsia="Times New Roman"/>
                <w:color w:val="000000"/>
                <w:sz w:val="24"/>
                <w:szCs w:val="24"/>
              </w:rPr>
              <w:t>8.732154651</w:t>
            </w:r>
          </w:p>
        </w:tc>
        <w:tc>
          <w:tcPr>
            <w:tcW w:w="833" w:type="pct"/>
            <w:tcBorders>
              <w:top w:val="nil"/>
              <w:left w:val="nil"/>
              <w:bottom w:val="single" w:sz="4" w:space="0" w:color="auto"/>
              <w:right w:val="single" w:sz="4" w:space="0" w:color="auto"/>
            </w:tcBorders>
            <w:noWrap/>
            <w:vAlign w:val="bottom"/>
            <w:hideMark/>
          </w:tcPr>
          <w:p w14:paraId="3F834C6F" w14:textId="77777777" w:rsidR="00EA21F4" w:rsidRPr="00886FD2" w:rsidRDefault="00EA21F4" w:rsidP="00EA21F4">
            <w:pPr>
              <w:spacing w:after="240" w:line="360" w:lineRule="auto"/>
              <w:jc w:val="right"/>
              <w:rPr>
                <w:rFonts w:eastAsia="Times New Roman"/>
                <w:color w:val="000000"/>
                <w:sz w:val="24"/>
                <w:szCs w:val="24"/>
              </w:rPr>
            </w:pPr>
            <w:r w:rsidRPr="00886FD2">
              <w:rPr>
                <w:rFonts w:eastAsia="Times New Roman"/>
                <w:color w:val="000000"/>
                <w:sz w:val="24"/>
                <w:szCs w:val="24"/>
              </w:rPr>
              <w:t>-17</w:t>
            </w:r>
          </w:p>
        </w:tc>
        <w:tc>
          <w:tcPr>
            <w:tcW w:w="833" w:type="pct"/>
            <w:tcBorders>
              <w:top w:val="nil"/>
              <w:left w:val="nil"/>
              <w:bottom w:val="single" w:sz="4" w:space="0" w:color="auto"/>
              <w:right w:val="single" w:sz="4" w:space="0" w:color="auto"/>
            </w:tcBorders>
            <w:noWrap/>
            <w:vAlign w:val="bottom"/>
            <w:hideMark/>
          </w:tcPr>
          <w:p w14:paraId="2B181B76" w14:textId="77777777" w:rsidR="00EA21F4" w:rsidRPr="00886FD2" w:rsidRDefault="00EA21F4" w:rsidP="00EA21F4">
            <w:pPr>
              <w:spacing w:after="240" w:line="360" w:lineRule="auto"/>
              <w:jc w:val="right"/>
              <w:rPr>
                <w:rFonts w:eastAsia="Times New Roman"/>
                <w:color w:val="000000"/>
                <w:sz w:val="24"/>
                <w:szCs w:val="24"/>
              </w:rPr>
            </w:pPr>
            <w:r w:rsidRPr="00886FD2">
              <w:rPr>
                <w:rFonts w:eastAsia="Times New Roman"/>
                <w:color w:val="000000"/>
                <w:sz w:val="24"/>
                <w:szCs w:val="24"/>
              </w:rPr>
              <w:t>-16.20616776</w:t>
            </w:r>
          </w:p>
        </w:tc>
      </w:tr>
      <w:tr w:rsidR="00EA21F4" w:rsidRPr="00886FD2" w14:paraId="0C78F5E4" w14:textId="77777777" w:rsidTr="00EA21F4">
        <w:trPr>
          <w:trHeight w:val="300"/>
        </w:trPr>
        <w:tc>
          <w:tcPr>
            <w:tcW w:w="833" w:type="pct"/>
            <w:tcBorders>
              <w:top w:val="nil"/>
              <w:left w:val="single" w:sz="4" w:space="0" w:color="auto"/>
              <w:bottom w:val="single" w:sz="4" w:space="0" w:color="auto"/>
              <w:right w:val="single" w:sz="4" w:space="0" w:color="auto"/>
            </w:tcBorders>
            <w:noWrap/>
            <w:vAlign w:val="bottom"/>
            <w:hideMark/>
          </w:tcPr>
          <w:p w14:paraId="4306BB0A" w14:textId="77777777" w:rsidR="00EA21F4" w:rsidRPr="00886FD2" w:rsidRDefault="00EA21F4" w:rsidP="00EA21F4">
            <w:pPr>
              <w:spacing w:after="240" w:line="360" w:lineRule="auto"/>
              <w:jc w:val="right"/>
              <w:rPr>
                <w:rFonts w:eastAsia="Times New Roman"/>
                <w:color w:val="000000"/>
                <w:sz w:val="24"/>
                <w:szCs w:val="24"/>
              </w:rPr>
            </w:pPr>
            <w:r w:rsidRPr="00886FD2">
              <w:rPr>
                <w:rFonts w:eastAsia="Times New Roman"/>
                <w:color w:val="000000"/>
                <w:sz w:val="24"/>
                <w:szCs w:val="24"/>
              </w:rPr>
              <w:t>4</w:t>
            </w:r>
          </w:p>
        </w:tc>
        <w:tc>
          <w:tcPr>
            <w:tcW w:w="833" w:type="pct"/>
            <w:tcBorders>
              <w:top w:val="nil"/>
              <w:left w:val="nil"/>
              <w:bottom w:val="single" w:sz="4" w:space="0" w:color="auto"/>
              <w:right w:val="single" w:sz="4" w:space="0" w:color="auto"/>
            </w:tcBorders>
            <w:noWrap/>
            <w:vAlign w:val="bottom"/>
            <w:hideMark/>
          </w:tcPr>
          <w:p w14:paraId="74424D57" w14:textId="77777777" w:rsidR="00EA21F4" w:rsidRPr="00886FD2" w:rsidRDefault="00EA21F4" w:rsidP="00EA21F4">
            <w:pPr>
              <w:spacing w:after="240" w:line="360" w:lineRule="auto"/>
              <w:jc w:val="right"/>
              <w:rPr>
                <w:rFonts w:eastAsia="Times New Roman"/>
                <w:color w:val="000000"/>
                <w:sz w:val="24"/>
                <w:szCs w:val="24"/>
              </w:rPr>
            </w:pPr>
            <w:r w:rsidRPr="00886FD2">
              <w:rPr>
                <w:rFonts w:eastAsia="Times New Roman"/>
                <w:color w:val="000000"/>
                <w:sz w:val="24"/>
                <w:szCs w:val="24"/>
              </w:rPr>
              <w:t>11</w:t>
            </w:r>
          </w:p>
        </w:tc>
        <w:tc>
          <w:tcPr>
            <w:tcW w:w="833" w:type="pct"/>
            <w:tcBorders>
              <w:top w:val="nil"/>
              <w:left w:val="nil"/>
              <w:bottom w:val="single" w:sz="4" w:space="0" w:color="auto"/>
              <w:right w:val="single" w:sz="4" w:space="0" w:color="auto"/>
            </w:tcBorders>
            <w:noWrap/>
            <w:vAlign w:val="bottom"/>
            <w:hideMark/>
          </w:tcPr>
          <w:p w14:paraId="2E9DF339" w14:textId="77777777" w:rsidR="00EA21F4" w:rsidRPr="00886FD2" w:rsidRDefault="00EA21F4" w:rsidP="00EA21F4">
            <w:pPr>
              <w:spacing w:after="240" w:line="360" w:lineRule="auto"/>
              <w:jc w:val="right"/>
              <w:rPr>
                <w:rFonts w:eastAsia="Times New Roman"/>
                <w:color w:val="000000"/>
                <w:sz w:val="24"/>
                <w:szCs w:val="24"/>
              </w:rPr>
            </w:pPr>
            <w:r w:rsidRPr="00886FD2">
              <w:rPr>
                <w:rFonts w:eastAsia="Times New Roman"/>
                <w:color w:val="000000"/>
                <w:sz w:val="24"/>
                <w:szCs w:val="24"/>
              </w:rPr>
              <w:t>0.735029853</w:t>
            </w:r>
          </w:p>
        </w:tc>
        <w:tc>
          <w:tcPr>
            <w:tcW w:w="833" w:type="pct"/>
            <w:tcBorders>
              <w:top w:val="nil"/>
              <w:left w:val="nil"/>
              <w:bottom w:val="single" w:sz="4" w:space="0" w:color="auto"/>
              <w:right w:val="single" w:sz="4" w:space="0" w:color="auto"/>
            </w:tcBorders>
            <w:noWrap/>
            <w:vAlign w:val="bottom"/>
            <w:hideMark/>
          </w:tcPr>
          <w:p w14:paraId="7C88ABD8" w14:textId="77777777" w:rsidR="00EA21F4" w:rsidRPr="00886FD2" w:rsidRDefault="00EA21F4" w:rsidP="00EA21F4">
            <w:pPr>
              <w:spacing w:after="240" w:line="360" w:lineRule="auto"/>
              <w:jc w:val="right"/>
              <w:rPr>
                <w:rFonts w:eastAsia="Times New Roman"/>
                <w:color w:val="000000"/>
                <w:sz w:val="24"/>
                <w:szCs w:val="24"/>
              </w:rPr>
            </w:pPr>
            <w:r w:rsidRPr="00886FD2">
              <w:rPr>
                <w:rFonts w:eastAsia="Times New Roman"/>
                <w:color w:val="000000"/>
                <w:sz w:val="24"/>
                <w:szCs w:val="24"/>
              </w:rPr>
              <w:t>8.085328381</w:t>
            </w:r>
          </w:p>
        </w:tc>
        <w:tc>
          <w:tcPr>
            <w:tcW w:w="833" w:type="pct"/>
            <w:tcBorders>
              <w:top w:val="nil"/>
              <w:left w:val="nil"/>
              <w:bottom w:val="single" w:sz="4" w:space="0" w:color="auto"/>
              <w:right w:val="single" w:sz="4" w:space="0" w:color="auto"/>
            </w:tcBorders>
            <w:noWrap/>
            <w:vAlign w:val="bottom"/>
            <w:hideMark/>
          </w:tcPr>
          <w:p w14:paraId="22356B04" w14:textId="77777777" w:rsidR="00EA21F4" w:rsidRPr="00886FD2" w:rsidRDefault="00EA21F4" w:rsidP="00EA21F4">
            <w:pPr>
              <w:spacing w:after="240" w:line="360" w:lineRule="auto"/>
              <w:jc w:val="right"/>
              <w:rPr>
                <w:rFonts w:eastAsia="Times New Roman"/>
                <w:color w:val="000000"/>
                <w:sz w:val="24"/>
                <w:szCs w:val="24"/>
              </w:rPr>
            </w:pPr>
            <w:r w:rsidRPr="00886FD2">
              <w:rPr>
                <w:rFonts w:eastAsia="Times New Roman"/>
                <w:color w:val="000000"/>
                <w:sz w:val="24"/>
                <w:szCs w:val="24"/>
              </w:rPr>
              <w:t>-6</w:t>
            </w:r>
          </w:p>
        </w:tc>
        <w:tc>
          <w:tcPr>
            <w:tcW w:w="833" w:type="pct"/>
            <w:tcBorders>
              <w:top w:val="nil"/>
              <w:left w:val="nil"/>
              <w:bottom w:val="single" w:sz="4" w:space="0" w:color="auto"/>
              <w:right w:val="single" w:sz="4" w:space="0" w:color="auto"/>
            </w:tcBorders>
            <w:noWrap/>
            <w:vAlign w:val="bottom"/>
            <w:hideMark/>
          </w:tcPr>
          <w:p w14:paraId="76574181" w14:textId="77777777" w:rsidR="00EA21F4" w:rsidRPr="00886FD2" w:rsidRDefault="00EA21F4" w:rsidP="00EA21F4">
            <w:pPr>
              <w:spacing w:after="240" w:line="360" w:lineRule="auto"/>
              <w:jc w:val="right"/>
              <w:rPr>
                <w:rFonts w:eastAsia="Times New Roman"/>
                <w:color w:val="000000"/>
                <w:sz w:val="24"/>
                <w:szCs w:val="24"/>
              </w:rPr>
            </w:pPr>
            <w:r w:rsidRPr="00886FD2">
              <w:rPr>
                <w:rFonts w:eastAsia="Times New Roman"/>
                <w:color w:val="000000"/>
                <w:sz w:val="24"/>
                <w:szCs w:val="24"/>
              </w:rPr>
              <w:t>-5.264970147</w:t>
            </w:r>
          </w:p>
        </w:tc>
      </w:tr>
      <w:tr w:rsidR="00EA21F4" w:rsidRPr="00886FD2" w14:paraId="5E583B30" w14:textId="77777777" w:rsidTr="00EA21F4">
        <w:trPr>
          <w:trHeight w:val="300"/>
        </w:trPr>
        <w:tc>
          <w:tcPr>
            <w:tcW w:w="833" w:type="pct"/>
            <w:tcBorders>
              <w:top w:val="nil"/>
              <w:left w:val="single" w:sz="4" w:space="0" w:color="auto"/>
              <w:bottom w:val="single" w:sz="4" w:space="0" w:color="auto"/>
              <w:right w:val="single" w:sz="4" w:space="0" w:color="auto"/>
            </w:tcBorders>
            <w:noWrap/>
            <w:vAlign w:val="bottom"/>
            <w:hideMark/>
          </w:tcPr>
          <w:p w14:paraId="177DE168" w14:textId="77777777" w:rsidR="00EA21F4" w:rsidRPr="00886FD2" w:rsidRDefault="00EA21F4" w:rsidP="00EA21F4">
            <w:pPr>
              <w:spacing w:after="240" w:line="360" w:lineRule="auto"/>
              <w:jc w:val="right"/>
              <w:rPr>
                <w:rFonts w:eastAsia="Times New Roman"/>
                <w:color w:val="000000"/>
                <w:sz w:val="24"/>
                <w:szCs w:val="24"/>
              </w:rPr>
            </w:pPr>
            <w:r w:rsidRPr="00886FD2">
              <w:rPr>
                <w:rFonts w:eastAsia="Times New Roman"/>
                <w:color w:val="000000"/>
                <w:sz w:val="24"/>
                <w:szCs w:val="24"/>
              </w:rPr>
              <w:t>5</w:t>
            </w:r>
          </w:p>
        </w:tc>
        <w:tc>
          <w:tcPr>
            <w:tcW w:w="833" w:type="pct"/>
            <w:tcBorders>
              <w:top w:val="nil"/>
              <w:left w:val="nil"/>
              <w:bottom w:val="single" w:sz="4" w:space="0" w:color="auto"/>
              <w:right w:val="single" w:sz="4" w:space="0" w:color="auto"/>
            </w:tcBorders>
            <w:noWrap/>
            <w:vAlign w:val="bottom"/>
            <w:hideMark/>
          </w:tcPr>
          <w:p w14:paraId="533D0163" w14:textId="77777777" w:rsidR="00EA21F4" w:rsidRPr="00886FD2" w:rsidRDefault="00EA21F4" w:rsidP="00EA21F4">
            <w:pPr>
              <w:spacing w:after="240" w:line="360" w:lineRule="auto"/>
              <w:jc w:val="right"/>
              <w:rPr>
                <w:rFonts w:eastAsia="Times New Roman"/>
                <w:color w:val="000000"/>
                <w:sz w:val="24"/>
                <w:szCs w:val="24"/>
              </w:rPr>
            </w:pPr>
            <w:r w:rsidRPr="00886FD2">
              <w:rPr>
                <w:rFonts w:eastAsia="Times New Roman"/>
                <w:color w:val="000000"/>
                <w:sz w:val="24"/>
                <w:szCs w:val="24"/>
              </w:rPr>
              <w:t>11</w:t>
            </w:r>
          </w:p>
        </w:tc>
        <w:tc>
          <w:tcPr>
            <w:tcW w:w="833" w:type="pct"/>
            <w:tcBorders>
              <w:top w:val="nil"/>
              <w:left w:val="nil"/>
              <w:bottom w:val="single" w:sz="4" w:space="0" w:color="auto"/>
              <w:right w:val="single" w:sz="4" w:space="0" w:color="auto"/>
            </w:tcBorders>
            <w:noWrap/>
            <w:vAlign w:val="bottom"/>
            <w:hideMark/>
          </w:tcPr>
          <w:p w14:paraId="666B0C0D" w14:textId="77777777" w:rsidR="00EA21F4" w:rsidRPr="00886FD2" w:rsidRDefault="00EA21F4" w:rsidP="00EA21F4">
            <w:pPr>
              <w:spacing w:after="240" w:line="360" w:lineRule="auto"/>
              <w:jc w:val="right"/>
              <w:rPr>
                <w:rFonts w:eastAsia="Times New Roman"/>
                <w:color w:val="000000"/>
                <w:sz w:val="24"/>
                <w:szCs w:val="24"/>
              </w:rPr>
            </w:pPr>
            <w:r w:rsidRPr="00886FD2">
              <w:rPr>
                <w:rFonts w:eastAsia="Times New Roman"/>
                <w:color w:val="000000"/>
                <w:sz w:val="24"/>
                <w:szCs w:val="24"/>
              </w:rPr>
              <w:t>0.680583197</w:t>
            </w:r>
          </w:p>
        </w:tc>
        <w:tc>
          <w:tcPr>
            <w:tcW w:w="833" w:type="pct"/>
            <w:tcBorders>
              <w:top w:val="nil"/>
              <w:left w:val="nil"/>
              <w:bottom w:val="single" w:sz="4" w:space="0" w:color="auto"/>
              <w:right w:val="single" w:sz="4" w:space="0" w:color="auto"/>
            </w:tcBorders>
            <w:noWrap/>
            <w:vAlign w:val="bottom"/>
            <w:hideMark/>
          </w:tcPr>
          <w:p w14:paraId="33BA4DCD" w14:textId="77777777" w:rsidR="00EA21F4" w:rsidRPr="00886FD2" w:rsidRDefault="00EA21F4" w:rsidP="00EA21F4">
            <w:pPr>
              <w:spacing w:after="240" w:line="360" w:lineRule="auto"/>
              <w:jc w:val="right"/>
              <w:rPr>
                <w:rFonts w:eastAsia="Times New Roman"/>
                <w:color w:val="000000"/>
                <w:sz w:val="24"/>
                <w:szCs w:val="24"/>
              </w:rPr>
            </w:pPr>
            <w:r w:rsidRPr="00886FD2">
              <w:rPr>
                <w:rFonts w:eastAsia="Times New Roman"/>
                <w:color w:val="000000"/>
                <w:sz w:val="24"/>
                <w:szCs w:val="24"/>
              </w:rPr>
              <w:t>7.486415167</w:t>
            </w:r>
          </w:p>
        </w:tc>
        <w:tc>
          <w:tcPr>
            <w:tcW w:w="833" w:type="pct"/>
            <w:tcBorders>
              <w:top w:val="nil"/>
              <w:left w:val="nil"/>
              <w:bottom w:val="single" w:sz="4" w:space="0" w:color="auto"/>
              <w:right w:val="single" w:sz="4" w:space="0" w:color="auto"/>
            </w:tcBorders>
            <w:noWrap/>
            <w:vAlign w:val="bottom"/>
            <w:hideMark/>
          </w:tcPr>
          <w:p w14:paraId="0D478DB6" w14:textId="77777777" w:rsidR="00EA21F4" w:rsidRPr="00886FD2" w:rsidRDefault="00EA21F4" w:rsidP="00EA21F4">
            <w:pPr>
              <w:spacing w:after="240" w:line="360" w:lineRule="auto"/>
              <w:jc w:val="right"/>
              <w:rPr>
                <w:rFonts w:eastAsia="Times New Roman"/>
                <w:color w:val="000000"/>
                <w:sz w:val="24"/>
                <w:szCs w:val="24"/>
              </w:rPr>
            </w:pPr>
            <w:r w:rsidRPr="00886FD2">
              <w:rPr>
                <w:rFonts w:eastAsia="Times New Roman"/>
                <w:color w:val="000000"/>
                <w:sz w:val="24"/>
                <w:szCs w:val="24"/>
              </w:rPr>
              <w:t>5</w:t>
            </w:r>
          </w:p>
        </w:tc>
        <w:tc>
          <w:tcPr>
            <w:tcW w:w="833" w:type="pct"/>
            <w:tcBorders>
              <w:top w:val="nil"/>
              <w:left w:val="nil"/>
              <w:bottom w:val="single" w:sz="4" w:space="0" w:color="auto"/>
              <w:right w:val="single" w:sz="4" w:space="0" w:color="auto"/>
            </w:tcBorders>
            <w:noWrap/>
            <w:vAlign w:val="bottom"/>
            <w:hideMark/>
          </w:tcPr>
          <w:p w14:paraId="0D144999" w14:textId="77777777" w:rsidR="00EA21F4" w:rsidRPr="00886FD2" w:rsidRDefault="00EA21F4" w:rsidP="00EA21F4">
            <w:pPr>
              <w:spacing w:after="240" w:line="360" w:lineRule="auto"/>
              <w:jc w:val="right"/>
              <w:rPr>
                <w:rFonts w:eastAsia="Times New Roman"/>
                <w:color w:val="000000"/>
                <w:sz w:val="24"/>
                <w:szCs w:val="24"/>
              </w:rPr>
            </w:pPr>
            <w:r w:rsidRPr="00886FD2">
              <w:rPr>
                <w:rFonts w:eastAsia="Times New Roman"/>
                <w:color w:val="000000"/>
                <w:sz w:val="24"/>
                <w:szCs w:val="24"/>
              </w:rPr>
              <w:t>5.680583197</w:t>
            </w:r>
          </w:p>
        </w:tc>
      </w:tr>
      <w:tr w:rsidR="00EA21F4" w:rsidRPr="00886FD2" w14:paraId="400F0B26" w14:textId="77777777" w:rsidTr="00EA21F4">
        <w:trPr>
          <w:trHeight w:val="300"/>
        </w:trPr>
        <w:tc>
          <w:tcPr>
            <w:tcW w:w="4167" w:type="pct"/>
            <w:gridSpan w:val="5"/>
            <w:tcBorders>
              <w:top w:val="single" w:sz="4" w:space="0" w:color="auto"/>
              <w:left w:val="single" w:sz="4" w:space="0" w:color="auto"/>
              <w:bottom w:val="single" w:sz="4" w:space="0" w:color="auto"/>
              <w:right w:val="single" w:sz="4" w:space="0" w:color="auto"/>
            </w:tcBorders>
            <w:noWrap/>
            <w:vAlign w:val="bottom"/>
            <w:hideMark/>
          </w:tcPr>
          <w:p w14:paraId="79E37AA6" w14:textId="77777777" w:rsidR="00EA21F4" w:rsidRPr="00886FD2" w:rsidRDefault="00EA21F4" w:rsidP="00EA21F4">
            <w:pPr>
              <w:spacing w:after="240" w:line="360" w:lineRule="auto"/>
              <w:rPr>
                <w:rFonts w:eastAsia="Times New Roman"/>
                <w:b/>
                <w:bCs/>
                <w:color w:val="000000"/>
                <w:sz w:val="24"/>
                <w:szCs w:val="24"/>
              </w:rPr>
            </w:pPr>
            <w:r w:rsidRPr="00886FD2">
              <w:rPr>
                <w:rFonts w:eastAsia="Times New Roman"/>
                <w:b/>
                <w:bCs/>
                <w:color w:val="000000"/>
                <w:sz w:val="24"/>
                <w:szCs w:val="24"/>
              </w:rPr>
              <w:t>PBP</w:t>
            </w:r>
          </w:p>
        </w:tc>
        <w:tc>
          <w:tcPr>
            <w:tcW w:w="833" w:type="pct"/>
            <w:tcBorders>
              <w:top w:val="nil"/>
              <w:left w:val="nil"/>
              <w:bottom w:val="single" w:sz="4" w:space="0" w:color="auto"/>
              <w:right w:val="single" w:sz="4" w:space="0" w:color="auto"/>
            </w:tcBorders>
            <w:noWrap/>
            <w:vAlign w:val="bottom"/>
            <w:hideMark/>
          </w:tcPr>
          <w:p w14:paraId="26E526D2" w14:textId="77777777" w:rsidR="00EA21F4" w:rsidRPr="00886FD2" w:rsidRDefault="00EA21F4" w:rsidP="00EA21F4">
            <w:pPr>
              <w:spacing w:after="240" w:line="360" w:lineRule="auto"/>
              <w:jc w:val="right"/>
              <w:rPr>
                <w:rFonts w:eastAsia="Times New Roman"/>
                <w:color w:val="000000"/>
                <w:sz w:val="24"/>
                <w:szCs w:val="24"/>
              </w:rPr>
            </w:pPr>
            <w:r w:rsidRPr="00886FD2">
              <w:rPr>
                <w:rFonts w:eastAsia="Times New Roman"/>
                <w:color w:val="000000"/>
                <w:sz w:val="24"/>
                <w:szCs w:val="24"/>
              </w:rPr>
              <w:t>4.735029853</w:t>
            </w:r>
          </w:p>
        </w:tc>
      </w:tr>
      <w:tr w:rsidR="00EA21F4" w:rsidRPr="00886FD2" w14:paraId="534DEB78" w14:textId="77777777" w:rsidTr="00EA21F4">
        <w:trPr>
          <w:trHeight w:val="300"/>
        </w:trPr>
        <w:tc>
          <w:tcPr>
            <w:tcW w:w="4167" w:type="pct"/>
            <w:gridSpan w:val="5"/>
            <w:tcBorders>
              <w:top w:val="single" w:sz="4" w:space="0" w:color="auto"/>
              <w:left w:val="single" w:sz="4" w:space="0" w:color="auto"/>
              <w:bottom w:val="single" w:sz="4" w:space="0" w:color="auto"/>
              <w:right w:val="single" w:sz="4" w:space="0" w:color="auto"/>
            </w:tcBorders>
            <w:noWrap/>
            <w:vAlign w:val="bottom"/>
            <w:hideMark/>
          </w:tcPr>
          <w:p w14:paraId="1C2B87E0" w14:textId="77777777" w:rsidR="00EA21F4" w:rsidRPr="00886FD2" w:rsidRDefault="00EA21F4" w:rsidP="00EA21F4">
            <w:pPr>
              <w:spacing w:after="240" w:line="360" w:lineRule="auto"/>
              <w:rPr>
                <w:rFonts w:eastAsia="Times New Roman"/>
                <w:b/>
                <w:bCs/>
                <w:color w:val="000000"/>
                <w:sz w:val="24"/>
                <w:szCs w:val="24"/>
              </w:rPr>
            </w:pPr>
            <w:r w:rsidRPr="00886FD2">
              <w:rPr>
                <w:rFonts w:eastAsia="Times New Roman"/>
                <w:b/>
                <w:bCs/>
                <w:color w:val="000000"/>
                <w:sz w:val="24"/>
                <w:szCs w:val="24"/>
              </w:rPr>
              <w:t>ARR</w:t>
            </w:r>
          </w:p>
        </w:tc>
        <w:tc>
          <w:tcPr>
            <w:tcW w:w="833" w:type="pct"/>
            <w:tcBorders>
              <w:top w:val="nil"/>
              <w:left w:val="nil"/>
              <w:bottom w:val="single" w:sz="4" w:space="0" w:color="auto"/>
              <w:right w:val="single" w:sz="4" w:space="0" w:color="auto"/>
            </w:tcBorders>
            <w:noWrap/>
            <w:vAlign w:val="bottom"/>
            <w:hideMark/>
          </w:tcPr>
          <w:p w14:paraId="4D085266" w14:textId="77777777" w:rsidR="00EA21F4" w:rsidRPr="00886FD2" w:rsidRDefault="00EA21F4" w:rsidP="00EA21F4">
            <w:pPr>
              <w:spacing w:after="240" w:line="360" w:lineRule="auto"/>
              <w:jc w:val="right"/>
              <w:rPr>
                <w:rFonts w:eastAsia="Times New Roman"/>
                <w:color w:val="000000"/>
                <w:sz w:val="24"/>
                <w:szCs w:val="24"/>
              </w:rPr>
            </w:pPr>
            <w:r w:rsidRPr="00886FD2">
              <w:rPr>
                <w:rFonts w:eastAsia="Times New Roman"/>
                <w:color w:val="000000"/>
                <w:sz w:val="24"/>
                <w:szCs w:val="24"/>
              </w:rPr>
              <w:t>44%</w:t>
            </w:r>
          </w:p>
        </w:tc>
      </w:tr>
      <w:tr w:rsidR="00EA21F4" w:rsidRPr="00886FD2" w14:paraId="15DAD05F" w14:textId="77777777" w:rsidTr="00EA21F4">
        <w:trPr>
          <w:trHeight w:val="300"/>
        </w:trPr>
        <w:tc>
          <w:tcPr>
            <w:tcW w:w="4167" w:type="pct"/>
            <w:gridSpan w:val="5"/>
            <w:tcBorders>
              <w:top w:val="single" w:sz="4" w:space="0" w:color="auto"/>
              <w:left w:val="single" w:sz="4" w:space="0" w:color="auto"/>
              <w:bottom w:val="single" w:sz="4" w:space="0" w:color="auto"/>
              <w:right w:val="single" w:sz="4" w:space="0" w:color="auto"/>
            </w:tcBorders>
            <w:noWrap/>
            <w:vAlign w:val="bottom"/>
            <w:hideMark/>
          </w:tcPr>
          <w:p w14:paraId="6F4F4151" w14:textId="77777777" w:rsidR="00EA21F4" w:rsidRPr="00886FD2" w:rsidRDefault="00EA21F4" w:rsidP="00EA21F4">
            <w:pPr>
              <w:spacing w:after="240" w:line="360" w:lineRule="auto"/>
              <w:rPr>
                <w:rFonts w:eastAsia="Times New Roman"/>
                <w:b/>
                <w:bCs/>
                <w:color w:val="000000"/>
                <w:sz w:val="24"/>
                <w:szCs w:val="24"/>
              </w:rPr>
            </w:pPr>
            <w:r w:rsidRPr="00886FD2">
              <w:rPr>
                <w:rFonts w:eastAsia="Times New Roman"/>
                <w:b/>
                <w:bCs/>
                <w:color w:val="000000"/>
                <w:sz w:val="24"/>
                <w:szCs w:val="24"/>
              </w:rPr>
              <w:t>NPV</w:t>
            </w:r>
          </w:p>
        </w:tc>
        <w:tc>
          <w:tcPr>
            <w:tcW w:w="833" w:type="pct"/>
            <w:tcBorders>
              <w:top w:val="nil"/>
              <w:left w:val="nil"/>
              <w:bottom w:val="single" w:sz="4" w:space="0" w:color="auto"/>
              <w:right w:val="single" w:sz="4" w:space="0" w:color="auto"/>
            </w:tcBorders>
            <w:noWrap/>
            <w:vAlign w:val="bottom"/>
            <w:hideMark/>
          </w:tcPr>
          <w:p w14:paraId="4E89C1C0" w14:textId="77777777" w:rsidR="00EA21F4" w:rsidRPr="00886FD2" w:rsidRDefault="00EA21F4" w:rsidP="00EA21F4">
            <w:pPr>
              <w:spacing w:after="240" w:line="360" w:lineRule="auto"/>
              <w:jc w:val="right"/>
              <w:rPr>
                <w:rFonts w:eastAsia="Times New Roman"/>
                <w:color w:val="000000"/>
                <w:sz w:val="24"/>
                <w:szCs w:val="24"/>
              </w:rPr>
            </w:pPr>
            <w:r w:rsidRPr="00886FD2">
              <w:rPr>
                <w:rFonts w:eastAsia="Times New Roman"/>
                <w:color w:val="FF0000"/>
                <w:sz w:val="24"/>
                <w:szCs w:val="24"/>
              </w:rPr>
              <w:t>($6.08)</w:t>
            </w:r>
          </w:p>
        </w:tc>
      </w:tr>
      <w:tr w:rsidR="00EA21F4" w:rsidRPr="00886FD2" w14:paraId="11F09815" w14:textId="77777777" w:rsidTr="00EA21F4">
        <w:trPr>
          <w:trHeight w:val="300"/>
        </w:trPr>
        <w:tc>
          <w:tcPr>
            <w:tcW w:w="4167" w:type="pct"/>
            <w:gridSpan w:val="5"/>
            <w:tcBorders>
              <w:top w:val="single" w:sz="4" w:space="0" w:color="auto"/>
              <w:left w:val="single" w:sz="4" w:space="0" w:color="auto"/>
              <w:bottom w:val="single" w:sz="4" w:space="0" w:color="auto"/>
              <w:right w:val="single" w:sz="4" w:space="0" w:color="auto"/>
            </w:tcBorders>
            <w:noWrap/>
            <w:vAlign w:val="bottom"/>
            <w:hideMark/>
          </w:tcPr>
          <w:p w14:paraId="06789C64" w14:textId="77777777" w:rsidR="00EA21F4" w:rsidRPr="00886FD2" w:rsidRDefault="00EA21F4" w:rsidP="00EA21F4">
            <w:pPr>
              <w:spacing w:after="240" w:line="360" w:lineRule="auto"/>
              <w:rPr>
                <w:rFonts w:eastAsia="Times New Roman"/>
                <w:b/>
                <w:bCs/>
                <w:color w:val="000000"/>
                <w:sz w:val="24"/>
                <w:szCs w:val="24"/>
              </w:rPr>
            </w:pPr>
            <w:r w:rsidRPr="00886FD2">
              <w:rPr>
                <w:rFonts w:eastAsia="Times New Roman"/>
                <w:b/>
                <w:bCs/>
                <w:color w:val="000000"/>
                <w:sz w:val="24"/>
                <w:szCs w:val="24"/>
              </w:rPr>
              <w:t>PI</w:t>
            </w:r>
          </w:p>
        </w:tc>
        <w:tc>
          <w:tcPr>
            <w:tcW w:w="833" w:type="pct"/>
            <w:tcBorders>
              <w:top w:val="nil"/>
              <w:left w:val="nil"/>
              <w:bottom w:val="single" w:sz="4" w:space="0" w:color="auto"/>
              <w:right w:val="single" w:sz="4" w:space="0" w:color="auto"/>
            </w:tcBorders>
            <w:noWrap/>
            <w:vAlign w:val="bottom"/>
            <w:hideMark/>
          </w:tcPr>
          <w:p w14:paraId="5C144D91" w14:textId="77777777" w:rsidR="00EA21F4" w:rsidRPr="00886FD2" w:rsidRDefault="00EA21F4" w:rsidP="00EA21F4">
            <w:pPr>
              <w:spacing w:after="240" w:line="360" w:lineRule="auto"/>
              <w:jc w:val="right"/>
              <w:rPr>
                <w:rFonts w:eastAsia="Times New Roman"/>
                <w:color w:val="000000"/>
                <w:sz w:val="24"/>
                <w:szCs w:val="24"/>
              </w:rPr>
            </w:pPr>
            <w:r w:rsidRPr="00886FD2">
              <w:rPr>
                <w:rFonts w:eastAsia="Times New Roman"/>
                <w:color w:val="000000"/>
                <w:sz w:val="24"/>
                <w:szCs w:val="24"/>
              </w:rPr>
              <w:t>1.1</w:t>
            </w:r>
          </w:p>
        </w:tc>
      </w:tr>
      <w:tr w:rsidR="00EA21F4" w:rsidRPr="00886FD2" w14:paraId="43434BC5" w14:textId="77777777" w:rsidTr="00EA21F4">
        <w:trPr>
          <w:trHeight w:val="300"/>
        </w:trPr>
        <w:tc>
          <w:tcPr>
            <w:tcW w:w="4167" w:type="pct"/>
            <w:gridSpan w:val="5"/>
            <w:tcBorders>
              <w:top w:val="single" w:sz="4" w:space="0" w:color="auto"/>
              <w:left w:val="single" w:sz="4" w:space="0" w:color="auto"/>
              <w:bottom w:val="single" w:sz="4" w:space="0" w:color="auto"/>
              <w:right w:val="single" w:sz="4" w:space="0" w:color="auto"/>
            </w:tcBorders>
            <w:noWrap/>
            <w:vAlign w:val="bottom"/>
            <w:hideMark/>
          </w:tcPr>
          <w:p w14:paraId="56072064" w14:textId="77777777" w:rsidR="00EA21F4" w:rsidRPr="00886FD2" w:rsidRDefault="00EA21F4" w:rsidP="00EA21F4">
            <w:pPr>
              <w:spacing w:after="240" w:line="360" w:lineRule="auto"/>
              <w:rPr>
                <w:rFonts w:eastAsia="Times New Roman"/>
                <w:b/>
                <w:bCs/>
                <w:color w:val="000000"/>
                <w:sz w:val="24"/>
                <w:szCs w:val="24"/>
              </w:rPr>
            </w:pPr>
            <w:r w:rsidRPr="00886FD2">
              <w:rPr>
                <w:rFonts w:eastAsia="Times New Roman"/>
                <w:b/>
                <w:bCs/>
                <w:color w:val="000000"/>
                <w:sz w:val="24"/>
                <w:szCs w:val="24"/>
              </w:rPr>
              <w:t>IRR</w:t>
            </w:r>
          </w:p>
        </w:tc>
        <w:tc>
          <w:tcPr>
            <w:tcW w:w="833" w:type="pct"/>
            <w:tcBorders>
              <w:top w:val="nil"/>
              <w:left w:val="nil"/>
              <w:bottom w:val="single" w:sz="4" w:space="0" w:color="auto"/>
              <w:right w:val="single" w:sz="4" w:space="0" w:color="auto"/>
            </w:tcBorders>
            <w:noWrap/>
            <w:vAlign w:val="bottom"/>
            <w:hideMark/>
          </w:tcPr>
          <w:p w14:paraId="6A727018" w14:textId="77777777" w:rsidR="00EA21F4" w:rsidRPr="00886FD2" w:rsidRDefault="00EA21F4" w:rsidP="00EA21F4">
            <w:pPr>
              <w:spacing w:after="240" w:line="360" w:lineRule="auto"/>
              <w:jc w:val="right"/>
              <w:rPr>
                <w:rFonts w:eastAsia="Times New Roman"/>
                <w:color w:val="000000"/>
                <w:sz w:val="24"/>
                <w:szCs w:val="24"/>
              </w:rPr>
            </w:pPr>
            <w:r w:rsidRPr="00886FD2">
              <w:rPr>
                <w:rFonts w:eastAsia="Times New Roman"/>
                <w:color w:val="000000"/>
                <w:sz w:val="24"/>
                <w:szCs w:val="24"/>
              </w:rPr>
              <w:t>3%</w:t>
            </w:r>
          </w:p>
        </w:tc>
      </w:tr>
    </w:tbl>
    <w:p w14:paraId="3E42AE90" w14:textId="77777777" w:rsidR="00EA21F4" w:rsidRPr="00886FD2" w:rsidRDefault="00EA21F4">
      <w:pPr>
        <w:spacing w:after="200" w:line="360" w:lineRule="auto"/>
        <w:jc w:val="both"/>
        <w:rPr>
          <w:rFonts w:eastAsia="Times New Roman"/>
          <w:sz w:val="24"/>
          <w:szCs w:val="24"/>
        </w:rPr>
      </w:pPr>
    </w:p>
    <w:p w14:paraId="20556D2A" w14:textId="17949CDA" w:rsidR="00EA21F4" w:rsidRPr="00886FD2" w:rsidRDefault="00EA21F4">
      <w:pPr>
        <w:spacing w:after="200" w:line="360" w:lineRule="auto"/>
        <w:jc w:val="both"/>
        <w:rPr>
          <w:rFonts w:eastAsia="Times New Roman"/>
          <w:sz w:val="24"/>
          <w:szCs w:val="24"/>
        </w:rPr>
      </w:pPr>
      <w:r w:rsidRPr="00886FD2">
        <w:rPr>
          <w:rFonts w:eastAsia="Times New Roman"/>
          <w:b/>
          <w:bCs/>
          <w:i/>
          <w:iCs/>
          <w:sz w:val="24"/>
          <w:szCs w:val="24"/>
        </w:rPr>
        <w:t xml:space="preserve">Project C: </w:t>
      </w:r>
    </w:p>
    <w:tbl>
      <w:tblPr>
        <w:tblW w:w="5000" w:type="pct"/>
        <w:tblLook w:val="04A0" w:firstRow="1" w:lastRow="0" w:firstColumn="1" w:lastColumn="0" w:noHBand="0" w:noVBand="1"/>
      </w:tblPr>
      <w:tblGrid>
        <w:gridCol w:w="1287"/>
        <w:gridCol w:w="1288"/>
        <w:gridCol w:w="1618"/>
        <w:gridCol w:w="1618"/>
        <w:gridCol w:w="1510"/>
        <w:gridCol w:w="1698"/>
      </w:tblGrid>
      <w:tr w:rsidR="00EA21F4" w:rsidRPr="00886FD2" w14:paraId="5208B49A" w14:textId="77777777" w:rsidTr="00EA21F4">
        <w:trPr>
          <w:trHeight w:val="900"/>
        </w:trPr>
        <w:tc>
          <w:tcPr>
            <w:tcW w:w="833" w:type="pct"/>
            <w:tcBorders>
              <w:top w:val="single" w:sz="4" w:space="0" w:color="auto"/>
              <w:left w:val="single" w:sz="4" w:space="0" w:color="auto"/>
              <w:bottom w:val="single" w:sz="4" w:space="0" w:color="auto"/>
              <w:right w:val="single" w:sz="4" w:space="0" w:color="auto"/>
            </w:tcBorders>
            <w:vAlign w:val="center"/>
            <w:hideMark/>
          </w:tcPr>
          <w:p w14:paraId="40AFE6D5" w14:textId="77777777" w:rsidR="00EA21F4" w:rsidRPr="00886FD2" w:rsidRDefault="00EA21F4" w:rsidP="00EA21F4">
            <w:pPr>
              <w:spacing w:after="240" w:line="360" w:lineRule="auto"/>
              <w:jc w:val="center"/>
              <w:rPr>
                <w:rFonts w:eastAsia="Times New Roman"/>
                <w:b/>
                <w:bCs/>
                <w:i/>
                <w:iCs/>
                <w:color w:val="000000"/>
                <w:sz w:val="24"/>
                <w:szCs w:val="24"/>
              </w:rPr>
            </w:pPr>
            <w:r w:rsidRPr="00886FD2">
              <w:rPr>
                <w:rFonts w:eastAsia="Times New Roman"/>
                <w:b/>
                <w:bCs/>
                <w:i/>
                <w:iCs/>
                <w:color w:val="000000"/>
                <w:sz w:val="24"/>
                <w:szCs w:val="24"/>
              </w:rPr>
              <w:t>Year</w:t>
            </w:r>
          </w:p>
        </w:tc>
        <w:tc>
          <w:tcPr>
            <w:tcW w:w="833" w:type="pct"/>
            <w:tcBorders>
              <w:top w:val="single" w:sz="4" w:space="0" w:color="auto"/>
              <w:left w:val="nil"/>
              <w:bottom w:val="single" w:sz="4" w:space="0" w:color="auto"/>
              <w:right w:val="single" w:sz="4" w:space="0" w:color="auto"/>
            </w:tcBorders>
            <w:vAlign w:val="center"/>
            <w:hideMark/>
          </w:tcPr>
          <w:p w14:paraId="37374834" w14:textId="77777777" w:rsidR="00EA21F4" w:rsidRPr="00886FD2" w:rsidRDefault="00EA21F4" w:rsidP="00EA21F4">
            <w:pPr>
              <w:spacing w:after="240" w:line="360" w:lineRule="auto"/>
              <w:jc w:val="center"/>
              <w:rPr>
                <w:rFonts w:eastAsia="Times New Roman"/>
                <w:b/>
                <w:bCs/>
                <w:i/>
                <w:iCs/>
                <w:color w:val="000000"/>
                <w:sz w:val="24"/>
                <w:szCs w:val="24"/>
              </w:rPr>
            </w:pPr>
            <w:r w:rsidRPr="00886FD2">
              <w:rPr>
                <w:rFonts w:eastAsia="Times New Roman"/>
                <w:b/>
                <w:bCs/>
                <w:i/>
                <w:iCs/>
                <w:color w:val="000000"/>
                <w:sz w:val="24"/>
                <w:szCs w:val="24"/>
              </w:rPr>
              <w:t>Net Cash Flow (£m)</w:t>
            </w:r>
          </w:p>
        </w:tc>
        <w:tc>
          <w:tcPr>
            <w:tcW w:w="833" w:type="pct"/>
            <w:tcBorders>
              <w:top w:val="single" w:sz="4" w:space="0" w:color="auto"/>
              <w:left w:val="nil"/>
              <w:bottom w:val="single" w:sz="4" w:space="0" w:color="auto"/>
              <w:right w:val="single" w:sz="4" w:space="0" w:color="auto"/>
            </w:tcBorders>
            <w:vAlign w:val="center"/>
            <w:hideMark/>
          </w:tcPr>
          <w:p w14:paraId="5ED9D006" w14:textId="77777777" w:rsidR="00EA21F4" w:rsidRPr="00886FD2" w:rsidRDefault="00EA21F4" w:rsidP="00EA21F4">
            <w:pPr>
              <w:spacing w:after="240" w:line="360" w:lineRule="auto"/>
              <w:jc w:val="center"/>
              <w:rPr>
                <w:rFonts w:eastAsia="Times New Roman"/>
                <w:b/>
                <w:bCs/>
                <w:i/>
                <w:iCs/>
                <w:color w:val="000000"/>
                <w:sz w:val="24"/>
                <w:szCs w:val="24"/>
              </w:rPr>
            </w:pPr>
            <w:r w:rsidRPr="00886FD2">
              <w:rPr>
                <w:rFonts w:eastAsia="Times New Roman"/>
                <w:b/>
                <w:bCs/>
                <w:i/>
                <w:iCs/>
                <w:color w:val="000000"/>
                <w:sz w:val="24"/>
                <w:szCs w:val="24"/>
              </w:rPr>
              <w:t>Discount Factor (8%)</w:t>
            </w:r>
          </w:p>
        </w:tc>
        <w:tc>
          <w:tcPr>
            <w:tcW w:w="833" w:type="pct"/>
            <w:tcBorders>
              <w:top w:val="single" w:sz="4" w:space="0" w:color="auto"/>
              <w:left w:val="nil"/>
              <w:bottom w:val="single" w:sz="4" w:space="0" w:color="auto"/>
              <w:right w:val="single" w:sz="4" w:space="0" w:color="auto"/>
            </w:tcBorders>
            <w:vAlign w:val="center"/>
            <w:hideMark/>
          </w:tcPr>
          <w:p w14:paraId="650E6DEA" w14:textId="77777777" w:rsidR="00EA21F4" w:rsidRPr="00886FD2" w:rsidRDefault="00EA21F4" w:rsidP="00EA21F4">
            <w:pPr>
              <w:spacing w:after="240" w:line="360" w:lineRule="auto"/>
              <w:jc w:val="center"/>
              <w:rPr>
                <w:rFonts w:eastAsia="Times New Roman"/>
                <w:b/>
                <w:bCs/>
                <w:i/>
                <w:iCs/>
                <w:color w:val="000000"/>
                <w:sz w:val="24"/>
                <w:szCs w:val="24"/>
              </w:rPr>
            </w:pPr>
            <w:r w:rsidRPr="00886FD2">
              <w:rPr>
                <w:rFonts w:eastAsia="Times New Roman"/>
                <w:b/>
                <w:bCs/>
                <w:i/>
                <w:iCs/>
                <w:color w:val="000000"/>
                <w:sz w:val="24"/>
                <w:szCs w:val="24"/>
              </w:rPr>
              <w:t>Present Value (£m)</w:t>
            </w:r>
          </w:p>
        </w:tc>
        <w:tc>
          <w:tcPr>
            <w:tcW w:w="833" w:type="pct"/>
            <w:tcBorders>
              <w:top w:val="single" w:sz="4" w:space="0" w:color="auto"/>
              <w:left w:val="nil"/>
              <w:bottom w:val="single" w:sz="4" w:space="0" w:color="auto"/>
              <w:right w:val="single" w:sz="4" w:space="0" w:color="auto"/>
            </w:tcBorders>
            <w:vAlign w:val="center"/>
            <w:hideMark/>
          </w:tcPr>
          <w:p w14:paraId="759B8DE2" w14:textId="77777777" w:rsidR="00EA21F4" w:rsidRPr="00886FD2" w:rsidRDefault="00EA21F4" w:rsidP="00EA21F4">
            <w:pPr>
              <w:spacing w:after="240" w:line="360" w:lineRule="auto"/>
              <w:jc w:val="center"/>
              <w:rPr>
                <w:rFonts w:eastAsia="Times New Roman"/>
                <w:b/>
                <w:bCs/>
                <w:i/>
                <w:iCs/>
                <w:color w:val="000000"/>
                <w:sz w:val="24"/>
                <w:szCs w:val="24"/>
              </w:rPr>
            </w:pPr>
            <w:r w:rsidRPr="00886FD2">
              <w:rPr>
                <w:rFonts w:eastAsia="Times New Roman"/>
                <w:b/>
                <w:bCs/>
                <w:i/>
                <w:iCs/>
                <w:color w:val="000000"/>
                <w:sz w:val="24"/>
                <w:szCs w:val="24"/>
              </w:rPr>
              <w:t>Cumulative Cash Flow (£m)</w:t>
            </w:r>
          </w:p>
        </w:tc>
        <w:tc>
          <w:tcPr>
            <w:tcW w:w="833" w:type="pct"/>
            <w:tcBorders>
              <w:top w:val="single" w:sz="4" w:space="0" w:color="auto"/>
              <w:left w:val="nil"/>
              <w:bottom w:val="single" w:sz="4" w:space="0" w:color="auto"/>
              <w:right w:val="single" w:sz="4" w:space="0" w:color="auto"/>
            </w:tcBorders>
            <w:vAlign w:val="center"/>
            <w:hideMark/>
          </w:tcPr>
          <w:p w14:paraId="6B9F1C2C" w14:textId="77777777" w:rsidR="00EA21F4" w:rsidRPr="00886FD2" w:rsidRDefault="00EA21F4" w:rsidP="00EA21F4">
            <w:pPr>
              <w:spacing w:after="240" w:line="360" w:lineRule="auto"/>
              <w:jc w:val="center"/>
              <w:rPr>
                <w:rFonts w:eastAsia="Times New Roman"/>
                <w:b/>
                <w:bCs/>
                <w:i/>
                <w:iCs/>
                <w:color w:val="000000"/>
                <w:sz w:val="24"/>
                <w:szCs w:val="24"/>
              </w:rPr>
            </w:pPr>
            <w:r w:rsidRPr="00886FD2">
              <w:rPr>
                <w:rFonts w:eastAsia="Times New Roman"/>
                <w:b/>
                <w:bCs/>
                <w:i/>
                <w:iCs/>
                <w:color w:val="000000"/>
                <w:sz w:val="24"/>
                <w:szCs w:val="24"/>
              </w:rPr>
              <w:t>Cumulative PV (£m)</w:t>
            </w:r>
          </w:p>
        </w:tc>
      </w:tr>
      <w:tr w:rsidR="00EA21F4" w:rsidRPr="00886FD2" w14:paraId="011E0F97" w14:textId="77777777" w:rsidTr="00EA21F4">
        <w:trPr>
          <w:trHeight w:val="300"/>
        </w:trPr>
        <w:tc>
          <w:tcPr>
            <w:tcW w:w="833" w:type="pct"/>
            <w:tcBorders>
              <w:top w:val="nil"/>
              <w:left w:val="single" w:sz="4" w:space="0" w:color="auto"/>
              <w:bottom w:val="single" w:sz="4" w:space="0" w:color="auto"/>
              <w:right w:val="single" w:sz="4" w:space="0" w:color="auto"/>
            </w:tcBorders>
            <w:noWrap/>
            <w:vAlign w:val="bottom"/>
            <w:hideMark/>
          </w:tcPr>
          <w:p w14:paraId="33055216" w14:textId="77777777" w:rsidR="00EA21F4" w:rsidRPr="00886FD2" w:rsidRDefault="00EA21F4" w:rsidP="00EA21F4">
            <w:pPr>
              <w:spacing w:after="240" w:line="360" w:lineRule="auto"/>
              <w:jc w:val="right"/>
              <w:rPr>
                <w:rFonts w:eastAsia="Times New Roman"/>
                <w:color w:val="000000"/>
                <w:sz w:val="24"/>
                <w:szCs w:val="24"/>
              </w:rPr>
            </w:pPr>
            <w:r w:rsidRPr="00886FD2">
              <w:rPr>
                <w:rFonts w:eastAsia="Times New Roman"/>
                <w:color w:val="000000"/>
                <w:sz w:val="24"/>
                <w:szCs w:val="24"/>
              </w:rPr>
              <w:t>0</w:t>
            </w:r>
          </w:p>
        </w:tc>
        <w:tc>
          <w:tcPr>
            <w:tcW w:w="833" w:type="pct"/>
            <w:tcBorders>
              <w:top w:val="nil"/>
              <w:left w:val="nil"/>
              <w:bottom w:val="single" w:sz="4" w:space="0" w:color="auto"/>
              <w:right w:val="single" w:sz="4" w:space="0" w:color="auto"/>
            </w:tcBorders>
            <w:noWrap/>
            <w:vAlign w:val="bottom"/>
            <w:hideMark/>
          </w:tcPr>
          <w:p w14:paraId="6E2ADD2C" w14:textId="77777777" w:rsidR="00EA21F4" w:rsidRPr="00886FD2" w:rsidRDefault="00EA21F4" w:rsidP="00EA21F4">
            <w:pPr>
              <w:spacing w:after="240" w:line="360" w:lineRule="auto"/>
              <w:jc w:val="right"/>
              <w:rPr>
                <w:rFonts w:eastAsia="Times New Roman"/>
                <w:color w:val="000000"/>
                <w:sz w:val="24"/>
                <w:szCs w:val="24"/>
              </w:rPr>
            </w:pPr>
            <w:r w:rsidRPr="00886FD2">
              <w:rPr>
                <w:rFonts w:eastAsia="Times New Roman"/>
                <w:color w:val="000000"/>
                <w:sz w:val="24"/>
                <w:szCs w:val="24"/>
              </w:rPr>
              <w:t>-50</w:t>
            </w:r>
          </w:p>
        </w:tc>
        <w:tc>
          <w:tcPr>
            <w:tcW w:w="833" w:type="pct"/>
            <w:tcBorders>
              <w:top w:val="nil"/>
              <w:left w:val="nil"/>
              <w:bottom w:val="single" w:sz="4" w:space="0" w:color="auto"/>
              <w:right w:val="single" w:sz="4" w:space="0" w:color="auto"/>
            </w:tcBorders>
            <w:noWrap/>
            <w:vAlign w:val="bottom"/>
            <w:hideMark/>
          </w:tcPr>
          <w:p w14:paraId="7D73D040" w14:textId="77777777" w:rsidR="00EA21F4" w:rsidRPr="00886FD2" w:rsidRDefault="00EA21F4" w:rsidP="00EA21F4">
            <w:pPr>
              <w:spacing w:after="240" w:line="360" w:lineRule="auto"/>
              <w:jc w:val="right"/>
              <w:rPr>
                <w:rFonts w:eastAsia="Times New Roman"/>
                <w:color w:val="000000"/>
                <w:sz w:val="24"/>
                <w:szCs w:val="24"/>
              </w:rPr>
            </w:pPr>
            <w:r w:rsidRPr="00886FD2">
              <w:rPr>
                <w:rFonts w:eastAsia="Times New Roman"/>
                <w:color w:val="000000"/>
                <w:sz w:val="24"/>
                <w:szCs w:val="24"/>
              </w:rPr>
              <w:t>1</w:t>
            </w:r>
          </w:p>
        </w:tc>
        <w:tc>
          <w:tcPr>
            <w:tcW w:w="833" w:type="pct"/>
            <w:tcBorders>
              <w:top w:val="nil"/>
              <w:left w:val="nil"/>
              <w:bottom w:val="single" w:sz="4" w:space="0" w:color="auto"/>
              <w:right w:val="single" w:sz="4" w:space="0" w:color="auto"/>
            </w:tcBorders>
            <w:noWrap/>
            <w:vAlign w:val="bottom"/>
            <w:hideMark/>
          </w:tcPr>
          <w:p w14:paraId="5F091D69" w14:textId="77777777" w:rsidR="00EA21F4" w:rsidRPr="00886FD2" w:rsidRDefault="00EA21F4" w:rsidP="00EA21F4">
            <w:pPr>
              <w:spacing w:after="240" w:line="360" w:lineRule="auto"/>
              <w:jc w:val="right"/>
              <w:rPr>
                <w:rFonts w:eastAsia="Times New Roman"/>
                <w:color w:val="000000"/>
                <w:sz w:val="24"/>
                <w:szCs w:val="24"/>
              </w:rPr>
            </w:pPr>
            <w:r w:rsidRPr="00886FD2">
              <w:rPr>
                <w:rFonts w:eastAsia="Times New Roman"/>
                <w:color w:val="000000"/>
                <w:sz w:val="24"/>
                <w:szCs w:val="24"/>
              </w:rPr>
              <w:t>-50</w:t>
            </w:r>
          </w:p>
        </w:tc>
        <w:tc>
          <w:tcPr>
            <w:tcW w:w="833" w:type="pct"/>
            <w:tcBorders>
              <w:top w:val="nil"/>
              <w:left w:val="nil"/>
              <w:bottom w:val="single" w:sz="4" w:space="0" w:color="auto"/>
              <w:right w:val="single" w:sz="4" w:space="0" w:color="auto"/>
            </w:tcBorders>
            <w:noWrap/>
            <w:vAlign w:val="bottom"/>
            <w:hideMark/>
          </w:tcPr>
          <w:p w14:paraId="7BBA3037" w14:textId="77777777" w:rsidR="00EA21F4" w:rsidRPr="00886FD2" w:rsidRDefault="00EA21F4" w:rsidP="00EA21F4">
            <w:pPr>
              <w:spacing w:after="240" w:line="360" w:lineRule="auto"/>
              <w:jc w:val="right"/>
              <w:rPr>
                <w:rFonts w:eastAsia="Times New Roman"/>
                <w:color w:val="000000"/>
                <w:sz w:val="24"/>
                <w:szCs w:val="24"/>
              </w:rPr>
            </w:pPr>
            <w:r w:rsidRPr="00886FD2">
              <w:rPr>
                <w:rFonts w:eastAsia="Times New Roman"/>
                <w:color w:val="000000"/>
                <w:sz w:val="24"/>
                <w:szCs w:val="24"/>
              </w:rPr>
              <w:t>-50</w:t>
            </w:r>
          </w:p>
        </w:tc>
        <w:tc>
          <w:tcPr>
            <w:tcW w:w="833" w:type="pct"/>
            <w:tcBorders>
              <w:top w:val="nil"/>
              <w:left w:val="nil"/>
              <w:bottom w:val="single" w:sz="4" w:space="0" w:color="auto"/>
              <w:right w:val="single" w:sz="4" w:space="0" w:color="auto"/>
            </w:tcBorders>
            <w:noWrap/>
            <w:vAlign w:val="bottom"/>
            <w:hideMark/>
          </w:tcPr>
          <w:p w14:paraId="30D89D7A" w14:textId="77777777" w:rsidR="00EA21F4" w:rsidRPr="00886FD2" w:rsidRDefault="00EA21F4" w:rsidP="00EA21F4">
            <w:pPr>
              <w:spacing w:after="240" w:line="360" w:lineRule="auto"/>
              <w:jc w:val="right"/>
              <w:rPr>
                <w:rFonts w:eastAsia="Times New Roman"/>
                <w:color w:val="000000"/>
                <w:sz w:val="24"/>
                <w:szCs w:val="24"/>
              </w:rPr>
            </w:pPr>
            <w:r w:rsidRPr="00886FD2">
              <w:rPr>
                <w:rFonts w:eastAsia="Times New Roman"/>
                <w:color w:val="000000"/>
                <w:sz w:val="24"/>
                <w:szCs w:val="24"/>
              </w:rPr>
              <w:t>-50</w:t>
            </w:r>
          </w:p>
        </w:tc>
      </w:tr>
      <w:tr w:rsidR="00EA21F4" w:rsidRPr="00886FD2" w14:paraId="06674149" w14:textId="77777777" w:rsidTr="00EA21F4">
        <w:trPr>
          <w:trHeight w:val="300"/>
        </w:trPr>
        <w:tc>
          <w:tcPr>
            <w:tcW w:w="833" w:type="pct"/>
            <w:tcBorders>
              <w:top w:val="nil"/>
              <w:left w:val="single" w:sz="4" w:space="0" w:color="auto"/>
              <w:bottom w:val="single" w:sz="4" w:space="0" w:color="auto"/>
              <w:right w:val="single" w:sz="4" w:space="0" w:color="auto"/>
            </w:tcBorders>
            <w:noWrap/>
            <w:vAlign w:val="bottom"/>
            <w:hideMark/>
          </w:tcPr>
          <w:p w14:paraId="7948C528" w14:textId="77777777" w:rsidR="00EA21F4" w:rsidRPr="00886FD2" w:rsidRDefault="00EA21F4" w:rsidP="00EA21F4">
            <w:pPr>
              <w:spacing w:after="240" w:line="360" w:lineRule="auto"/>
              <w:jc w:val="right"/>
              <w:rPr>
                <w:rFonts w:eastAsia="Times New Roman"/>
                <w:color w:val="000000"/>
                <w:sz w:val="24"/>
                <w:szCs w:val="24"/>
              </w:rPr>
            </w:pPr>
            <w:r w:rsidRPr="00886FD2">
              <w:rPr>
                <w:rFonts w:eastAsia="Times New Roman"/>
                <w:color w:val="000000"/>
                <w:sz w:val="24"/>
                <w:szCs w:val="24"/>
              </w:rPr>
              <w:t>1</w:t>
            </w:r>
          </w:p>
        </w:tc>
        <w:tc>
          <w:tcPr>
            <w:tcW w:w="833" w:type="pct"/>
            <w:tcBorders>
              <w:top w:val="nil"/>
              <w:left w:val="nil"/>
              <w:bottom w:val="single" w:sz="4" w:space="0" w:color="auto"/>
              <w:right w:val="single" w:sz="4" w:space="0" w:color="auto"/>
            </w:tcBorders>
            <w:noWrap/>
            <w:vAlign w:val="bottom"/>
            <w:hideMark/>
          </w:tcPr>
          <w:p w14:paraId="77C07D4D" w14:textId="77777777" w:rsidR="00EA21F4" w:rsidRPr="00886FD2" w:rsidRDefault="00EA21F4" w:rsidP="00EA21F4">
            <w:pPr>
              <w:spacing w:after="240" w:line="360" w:lineRule="auto"/>
              <w:jc w:val="right"/>
              <w:rPr>
                <w:rFonts w:eastAsia="Times New Roman"/>
                <w:color w:val="000000"/>
                <w:sz w:val="24"/>
                <w:szCs w:val="24"/>
              </w:rPr>
            </w:pPr>
            <w:r w:rsidRPr="00886FD2">
              <w:rPr>
                <w:rFonts w:eastAsia="Times New Roman"/>
                <w:color w:val="000000"/>
                <w:sz w:val="24"/>
                <w:szCs w:val="24"/>
              </w:rPr>
              <w:t>5</w:t>
            </w:r>
          </w:p>
        </w:tc>
        <w:tc>
          <w:tcPr>
            <w:tcW w:w="833" w:type="pct"/>
            <w:tcBorders>
              <w:top w:val="nil"/>
              <w:left w:val="nil"/>
              <w:bottom w:val="single" w:sz="4" w:space="0" w:color="auto"/>
              <w:right w:val="single" w:sz="4" w:space="0" w:color="auto"/>
            </w:tcBorders>
            <w:noWrap/>
            <w:vAlign w:val="bottom"/>
            <w:hideMark/>
          </w:tcPr>
          <w:p w14:paraId="2E93DC66" w14:textId="77777777" w:rsidR="00EA21F4" w:rsidRPr="00886FD2" w:rsidRDefault="00EA21F4" w:rsidP="00EA21F4">
            <w:pPr>
              <w:spacing w:after="240" w:line="360" w:lineRule="auto"/>
              <w:jc w:val="right"/>
              <w:rPr>
                <w:rFonts w:eastAsia="Times New Roman"/>
                <w:color w:val="000000"/>
                <w:sz w:val="24"/>
                <w:szCs w:val="24"/>
              </w:rPr>
            </w:pPr>
            <w:r w:rsidRPr="00886FD2">
              <w:rPr>
                <w:rFonts w:eastAsia="Times New Roman"/>
                <w:color w:val="000000"/>
                <w:sz w:val="24"/>
                <w:szCs w:val="24"/>
              </w:rPr>
              <w:t>0.925925926</w:t>
            </w:r>
          </w:p>
        </w:tc>
        <w:tc>
          <w:tcPr>
            <w:tcW w:w="833" w:type="pct"/>
            <w:tcBorders>
              <w:top w:val="nil"/>
              <w:left w:val="nil"/>
              <w:bottom w:val="single" w:sz="4" w:space="0" w:color="auto"/>
              <w:right w:val="single" w:sz="4" w:space="0" w:color="auto"/>
            </w:tcBorders>
            <w:noWrap/>
            <w:vAlign w:val="bottom"/>
            <w:hideMark/>
          </w:tcPr>
          <w:p w14:paraId="797AFE68" w14:textId="77777777" w:rsidR="00EA21F4" w:rsidRPr="00886FD2" w:rsidRDefault="00EA21F4" w:rsidP="00EA21F4">
            <w:pPr>
              <w:spacing w:after="240" w:line="360" w:lineRule="auto"/>
              <w:jc w:val="right"/>
              <w:rPr>
                <w:rFonts w:eastAsia="Times New Roman"/>
                <w:color w:val="000000"/>
                <w:sz w:val="24"/>
                <w:szCs w:val="24"/>
              </w:rPr>
            </w:pPr>
            <w:r w:rsidRPr="00886FD2">
              <w:rPr>
                <w:rFonts w:eastAsia="Times New Roman"/>
                <w:color w:val="000000"/>
                <w:sz w:val="24"/>
                <w:szCs w:val="24"/>
              </w:rPr>
              <w:t>4.62962963</w:t>
            </w:r>
          </w:p>
        </w:tc>
        <w:tc>
          <w:tcPr>
            <w:tcW w:w="833" w:type="pct"/>
            <w:tcBorders>
              <w:top w:val="nil"/>
              <w:left w:val="nil"/>
              <w:bottom w:val="single" w:sz="4" w:space="0" w:color="auto"/>
              <w:right w:val="single" w:sz="4" w:space="0" w:color="auto"/>
            </w:tcBorders>
            <w:noWrap/>
            <w:vAlign w:val="bottom"/>
            <w:hideMark/>
          </w:tcPr>
          <w:p w14:paraId="7E7ED550" w14:textId="77777777" w:rsidR="00EA21F4" w:rsidRPr="00886FD2" w:rsidRDefault="00EA21F4" w:rsidP="00EA21F4">
            <w:pPr>
              <w:spacing w:after="240" w:line="360" w:lineRule="auto"/>
              <w:jc w:val="right"/>
              <w:rPr>
                <w:rFonts w:eastAsia="Times New Roman"/>
                <w:color w:val="000000"/>
                <w:sz w:val="24"/>
                <w:szCs w:val="24"/>
              </w:rPr>
            </w:pPr>
            <w:r w:rsidRPr="00886FD2">
              <w:rPr>
                <w:rFonts w:eastAsia="Times New Roman"/>
                <w:color w:val="000000"/>
                <w:sz w:val="24"/>
                <w:szCs w:val="24"/>
              </w:rPr>
              <w:t>-45</w:t>
            </w:r>
          </w:p>
        </w:tc>
        <w:tc>
          <w:tcPr>
            <w:tcW w:w="833" w:type="pct"/>
            <w:tcBorders>
              <w:top w:val="nil"/>
              <w:left w:val="nil"/>
              <w:bottom w:val="single" w:sz="4" w:space="0" w:color="auto"/>
              <w:right w:val="single" w:sz="4" w:space="0" w:color="auto"/>
            </w:tcBorders>
            <w:noWrap/>
            <w:vAlign w:val="bottom"/>
            <w:hideMark/>
          </w:tcPr>
          <w:p w14:paraId="62CA4FE0" w14:textId="77777777" w:rsidR="00EA21F4" w:rsidRPr="00886FD2" w:rsidRDefault="00EA21F4" w:rsidP="00EA21F4">
            <w:pPr>
              <w:spacing w:after="240" w:line="360" w:lineRule="auto"/>
              <w:jc w:val="right"/>
              <w:rPr>
                <w:rFonts w:eastAsia="Times New Roman"/>
                <w:color w:val="000000"/>
                <w:sz w:val="24"/>
                <w:szCs w:val="24"/>
              </w:rPr>
            </w:pPr>
            <w:r w:rsidRPr="00886FD2">
              <w:rPr>
                <w:rFonts w:eastAsia="Times New Roman"/>
                <w:color w:val="000000"/>
                <w:sz w:val="24"/>
                <w:szCs w:val="24"/>
              </w:rPr>
              <w:t>-44.07407407</w:t>
            </w:r>
          </w:p>
        </w:tc>
      </w:tr>
      <w:tr w:rsidR="00EA21F4" w:rsidRPr="00886FD2" w14:paraId="55E0CE91" w14:textId="77777777" w:rsidTr="00EA21F4">
        <w:trPr>
          <w:trHeight w:val="300"/>
        </w:trPr>
        <w:tc>
          <w:tcPr>
            <w:tcW w:w="833" w:type="pct"/>
            <w:tcBorders>
              <w:top w:val="nil"/>
              <w:left w:val="single" w:sz="4" w:space="0" w:color="auto"/>
              <w:bottom w:val="single" w:sz="4" w:space="0" w:color="auto"/>
              <w:right w:val="single" w:sz="4" w:space="0" w:color="auto"/>
            </w:tcBorders>
            <w:noWrap/>
            <w:vAlign w:val="bottom"/>
            <w:hideMark/>
          </w:tcPr>
          <w:p w14:paraId="42403921" w14:textId="77777777" w:rsidR="00EA21F4" w:rsidRPr="00886FD2" w:rsidRDefault="00EA21F4" w:rsidP="00EA21F4">
            <w:pPr>
              <w:spacing w:after="240" w:line="360" w:lineRule="auto"/>
              <w:jc w:val="right"/>
              <w:rPr>
                <w:rFonts w:eastAsia="Times New Roman"/>
                <w:color w:val="000000"/>
                <w:sz w:val="24"/>
                <w:szCs w:val="24"/>
              </w:rPr>
            </w:pPr>
            <w:r w:rsidRPr="00886FD2">
              <w:rPr>
                <w:rFonts w:eastAsia="Times New Roman"/>
                <w:color w:val="000000"/>
                <w:sz w:val="24"/>
                <w:szCs w:val="24"/>
              </w:rPr>
              <w:t>2</w:t>
            </w:r>
          </w:p>
        </w:tc>
        <w:tc>
          <w:tcPr>
            <w:tcW w:w="833" w:type="pct"/>
            <w:tcBorders>
              <w:top w:val="nil"/>
              <w:left w:val="nil"/>
              <w:bottom w:val="single" w:sz="4" w:space="0" w:color="auto"/>
              <w:right w:val="single" w:sz="4" w:space="0" w:color="auto"/>
            </w:tcBorders>
            <w:noWrap/>
            <w:vAlign w:val="bottom"/>
            <w:hideMark/>
          </w:tcPr>
          <w:p w14:paraId="34DC75E4" w14:textId="77777777" w:rsidR="00EA21F4" w:rsidRPr="00886FD2" w:rsidRDefault="00EA21F4" w:rsidP="00EA21F4">
            <w:pPr>
              <w:spacing w:after="240" w:line="360" w:lineRule="auto"/>
              <w:jc w:val="right"/>
              <w:rPr>
                <w:rFonts w:eastAsia="Times New Roman"/>
                <w:color w:val="000000"/>
                <w:sz w:val="24"/>
                <w:szCs w:val="24"/>
              </w:rPr>
            </w:pPr>
            <w:r w:rsidRPr="00886FD2">
              <w:rPr>
                <w:rFonts w:eastAsia="Times New Roman"/>
                <w:color w:val="000000"/>
                <w:sz w:val="24"/>
                <w:szCs w:val="24"/>
              </w:rPr>
              <w:t>10</w:t>
            </w:r>
          </w:p>
        </w:tc>
        <w:tc>
          <w:tcPr>
            <w:tcW w:w="833" w:type="pct"/>
            <w:tcBorders>
              <w:top w:val="nil"/>
              <w:left w:val="nil"/>
              <w:bottom w:val="single" w:sz="4" w:space="0" w:color="auto"/>
              <w:right w:val="single" w:sz="4" w:space="0" w:color="auto"/>
            </w:tcBorders>
            <w:noWrap/>
            <w:vAlign w:val="bottom"/>
            <w:hideMark/>
          </w:tcPr>
          <w:p w14:paraId="08A36993" w14:textId="77777777" w:rsidR="00EA21F4" w:rsidRPr="00886FD2" w:rsidRDefault="00EA21F4" w:rsidP="00EA21F4">
            <w:pPr>
              <w:spacing w:after="240" w:line="360" w:lineRule="auto"/>
              <w:jc w:val="right"/>
              <w:rPr>
                <w:rFonts w:eastAsia="Times New Roman"/>
                <w:color w:val="000000"/>
                <w:sz w:val="24"/>
                <w:szCs w:val="24"/>
              </w:rPr>
            </w:pPr>
            <w:r w:rsidRPr="00886FD2">
              <w:rPr>
                <w:rFonts w:eastAsia="Times New Roman"/>
                <w:color w:val="000000"/>
                <w:sz w:val="24"/>
                <w:szCs w:val="24"/>
              </w:rPr>
              <w:t>0.85733882</w:t>
            </w:r>
          </w:p>
        </w:tc>
        <w:tc>
          <w:tcPr>
            <w:tcW w:w="833" w:type="pct"/>
            <w:tcBorders>
              <w:top w:val="nil"/>
              <w:left w:val="nil"/>
              <w:bottom w:val="single" w:sz="4" w:space="0" w:color="auto"/>
              <w:right w:val="single" w:sz="4" w:space="0" w:color="auto"/>
            </w:tcBorders>
            <w:noWrap/>
            <w:vAlign w:val="bottom"/>
            <w:hideMark/>
          </w:tcPr>
          <w:p w14:paraId="0015D34B" w14:textId="77777777" w:rsidR="00EA21F4" w:rsidRPr="00886FD2" w:rsidRDefault="00EA21F4" w:rsidP="00EA21F4">
            <w:pPr>
              <w:spacing w:after="240" w:line="360" w:lineRule="auto"/>
              <w:jc w:val="right"/>
              <w:rPr>
                <w:rFonts w:eastAsia="Times New Roman"/>
                <w:color w:val="000000"/>
                <w:sz w:val="24"/>
                <w:szCs w:val="24"/>
              </w:rPr>
            </w:pPr>
            <w:r w:rsidRPr="00886FD2">
              <w:rPr>
                <w:rFonts w:eastAsia="Times New Roman"/>
                <w:color w:val="000000"/>
                <w:sz w:val="24"/>
                <w:szCs w:val="24"/>
              </w:rPr>
              <w:t>8.573388203</w:t>
            </w:r>
          </w:p>
        </w:tc>
        <w:tc>
          <w:tcPr>
            <w:tcW w:w="833" w:type="pct"/>
            <w:tcBorders>
              <w:top w:val="nil"/>
              <w:left w:val="nil"/>
              <w:bottom w:val="single" w:sz="4" w:space="0" w:color="auto"/>
              <w:right w:val="single" w:sz="4" w:space="0" w:color="auto"/>
            </w:tcBorders>
            <w:noWrap/>
            <w:vAlign w:val="bottom"/>
            <w:hideMark/>
          </w:tcPr>
          <w:p w14:paraId="6057A223" w14:textId="77777777" w:rsidR="00EA21F4" w:rsidRPr="00886FD2" w:rsidRDefault="00EA21F4" w:rsidP="00EA21F4">
            <w:pPr>
              <w:spacing w:after="240" w:line="360" w:lineRule="auto"/>
              <w:jc w:val="right"/>
              <w:rPr>
                <w:rFonts w:eastAsia="Times New Roman"/>
                <w:color w:val="000000"/>
                <w:sz w:val="24"/>
                <w:szCs w:val="24"/>
              </w:rPr>
            </w:pPr>
            <w:r w:rsidRPr="00886FD2">
              <w:rPr>
                <w:rFonts w:eastAsia="Times New Roman"/>
                <w:color w:val="000000"/>
                <w:sz w:val="24"/>
                <w:szCs w:val="24"/>
              </w:rPr>
              <w:t>-35</w:t>
            </w:r>
          </w:p>
        </w:tc>
        <w:tc>
          <w:tcPr>
            <w:tcW w:w="833" w:type="pct"/>
            <w:tcBorders>
              <w:top w:val="nil"/>
              <w:left w:val="nil"/>
              <w:bottom w:val="single" w:sz="4" w:space="0" w:color="auto"/>
              <w:right w:val="single" w:sz="4" w:space="0" w:color="auto"/>
            </w:tcBorders>
            <w:noWrap/>
            <w:vAlign w:val="bottom"/>
            <w:hideMark/>
          </w:tcPr>
          <w:p w14:paraId="1CF3F3E8" w14:textId="77777777" w:rsidR="00EA21F4" w:rsidRPr="00886FD2" w:rsidRDefault="00EA21F4" w:rsidP="00EA21F4">
            <w:pPr>
              <w:spacing w:after="240" w:line="360" w:lineRule="auto"/>
              <w:jc w:val="right"/>
              <w:rPr>
                <w:rFonts w:eastAsia="Times New Roman"/>
                <w:color w:val="000000"/>
                <w:sz w:val="24"/>
                <w:szCs w:val="24"/>
              </w:rPr>
            </w:pPr>
            <w:r w:rsidRPr="00886FD2">
              <w:rPr>
                <w:rFonts w:eastAsia="Times New Roman"/>
                <w:color w:val="000000"/>
                <w:sz w:val="24"/>
                <w:szCs w:val="24"/>
              </w:rPr>
              <w:t>-34.14266118</w:t>
            </w:r>
          </w:p>
        </w:tc>
      </w:tr>
      <w:tr w:rsidR="00EA21F4" w:rsidRPr="00886FD2" w14:paraId="11293819" w14:textId="77777777" w:rsidTr="00EA21F4">
        <w:trPr>
          <w:trHeight w:val="300"/>
        </w:trPr>
        <w:tc>
          <w:tcPr>
            <w:tcW w:w="833" w:type="pct"/>
            <w:tcBorders>
              <w:top w:val="nil"/>
              <w:left w:val="single" w:sz="4" w:space="0" w:color="auto"/>
              <w:bottom w:val="single" w:sz="4" w:space="0" w:color="auto"/>
              <w:right w:val="single" w:sz="4" w:space="0" w:color="auto"/>
            </w:tcBorders>
            <w:noWrap/>
            <w:vAlign w:val="bottom"/>
            <w:hideMark/>
          </w:tcPr>
          <w:p w14:paraId="2C616EDD" w14:textId="77777777" w:rsidR="00EA21F4" w:rsidRPr="00886FD2" w:rsidRDefault="00EA21F4" w:rsidP="00EA21F4">
            <w:pPr>
              <w:spacing w:after="240" w:line="360" w:lineRule="auto"/>
              <w:jc w:val="right"/>
              <w:rPr>
                <w:rFonts w:eastAsia="Times New Roman"/>
                <w:color w:val="000000"/>
                <w:sz w:val="24"/>
                <w:szCs w:val="24"/>
              </w:rPr>
            </w:pPr>
            <w:r w:rsidRPr="00886FD2">
              <w:rPr>
                <w:rFonts w:eastAsia="Times New Roman"/>
                <w:color w:val="000000"/>
                <w:sz w:val="24"/>
                <w:szCs w:val="24"/>
              </w:rPr>
              <w:t>3</w:t>
            </w:r>
          </w:p>
        </w:tc>
        <w:tc>
          <w:tcPr>
            <w:tcW w:w="833" w:type="pct"/>
            <w:tcBorders>
              <w:top w:val="nil"/>
              <w:left w:val="nil"/>
              <w:bottom w:val="single" w:sz="4" w:space="0" w:color="auto"/>
              <w:right w:val="single" w:sz="4" w:space="0" w:color="auto"/>
            </w:tcBorders>
            <w:noWrap/>
            <w:vAlign w:val="bottom"/>
            <w:hideMark/>
          </w:tcPr>
          <w:p w14:paraId="30E6D420" w14:textId="77777777" w:rsidR="00EA21F4" w:rsidRPr="00886FD2" w:rsidRDefault="00EA21F4" w:rsidP="00EA21F4">
            <w:pPr>
              <w:spacing w:after="240" w:line="360" w:lineRule="auto"/>
              <w:jc w:val="right"/>
              <w:rPr>
                <w:rFonts w:eastAsia="Times New Roman"/>
                <w:color w:val="000000"/>
                <w:sz w:val="24"/>
                <w:szCs w:val="24"/>
              </w:rPr>
            </w:pPr>
            <w:r w:rsidRPr="00886FD2">
              <w:rPr>
                <w:rFonts w:eastAsia="Times New Roman"/>
                <w:color w:val="000000"/>
                <w:sz w:val="24"/>
                <w:szCs w:val="24"/>
              </w:rPr>
              <w:t>20</w:t>
            </w:r>
          </w:p>
        </w:tc>
        <w:tc>
          <w:tcPr>
            <w:tcW w:w="833" w:type="pct"/>
            <w:tcBorders>
              <w:top w:val="nil"/>
              <w:left w:val="nil"/>
              <w:bottom w:val="single" w:sz="4" w:space="0" w:color="auto"/>
              <w:right w:val="single" w:sz="4" w:space="0" w:color="auto"/>
            </w:tcBorders>
            <w:noWrap/>
            <w:vAlign w:val="bottom"/>
            <w:hideMark/>
          </w:tcPr>
          <w:p w14:paraId="2264A02D" w14:textId="77777777" w:rsidR="00EA21F4" w:rsidRPr="00886FD2" w:rsidRDefault="00EA21F4" w:rsidP="00EA21F4">
            <w:pPr>
              <w:spacing w:after="240" w:line="360" w:lineRule="auto"/>
              <w:jc w:val="right"/>
              <w:rPr>
                <w:rFonts w:eastAsia="Times New Roman"/>
                <w:color w:val="000000"/>
                <w:sz w:val="24"/>
                <w:szCs w:val="24"/>
              </w:rPr>
            </w:pPr>
            <w:r w:rsidRPr="00886FD2">
              <w:rPr>
                <w:rFonts w:eastAsia="Times New Roman"/>
                <w:color w:val="000000"/>
                <w:sz w:val="24"/>
                <w:szCs w:val="24"/>
              </w:rPr>
              <w:t>0.793832241</w:t>
            </w:r>
          </w:p>
        </w:tc>
        <w:tc>
          <w:tcPr>
            <w:tcW w:w="833" w:type="pct"/>
            <w:tcBorders>
              <w:top w:val="nil"/>
              <w:left w:val="nil"/>
              <w:bottom w:val="single" w:sz="4" w:space="0" w:color="auto"/>
              <w:right w:val="single" w:sz="4" w:space="0" w:color="auto"/>
            </w:tcBorders>
            <w:noWrap/>
            <w:vAlign w:val="bottom"/>
            <w:hideMark/>
          </w:tcPr>
          <w:p w14:paraId="09619BF1" w14:textId="77777777" w:rsidR="00EA21F4" w:rsidRPr="00886FD2" w:rsidRDefault="00EA21F4" w:rsidP="00EA21F4">
            <w:pPr>
              <w:spacing w:after="240" w:line="360" w:lineRule="auto"/>
              <w:jc w:val="right"/>
              <w:rPr>
                <w:rFonts w:eastAsia="Times New Roman"/>
                <w:color w:val="000000"/>
                <w:sz w:val="24"/>
                <w:szCs w:val="24"/>
              </w:rPr>
            </w:pPr>
            <w:r w:rsidRPr="00886FD2">
              <w:rPr>
                <w:rFonts w:eastAsia="Times New Roman"/>
                <w:color w:val="000000"/>
                <w:sz w:val="24"/>
                <w:szCs w:val="24"/>
              </w:rPr>
              <w:t>15.87664482</w:t>
            </w:r>
          </w:p>
        </w:tc>
        <w:tc>
          <w:tcPr>
            <w:tcW w:w="833" w:type="pct"/>
            <w:tcBorders>
              <w:top w:val="nil"/>
              <w:left w:val="nil"/>
              <w:bottom w:val="single" w:sz="4" w:space="0" w:color="auto"/>
              <w:right w:val="single" w:sz="4" w:space="0" w:color="auto"/>
            </w:tcBorders>
            <w:noWrap/>
            <w:vAlign w:val="bottom"/>
            <w:hideMark/>
          </w:tcPr>
          <w:p w14:paraId="00A82BDF" w14:textId="77777777" w:rsidR="00EA21F4" w:rsidRPr="00886FD2" w:rsidRDefault="00EA21F4" w:rsidP="00EA21F4">
            <w:pPr>
              <w:spacing w:after="240" w:line="360" w:lineRule="auto"/>
              <w:jc w:val="right"/>
              <w:rPr>
                <w:rFonts w:eastAsia="Times New Roman"/>
                <w:color w:val="000000"/>
                <w:sz w:val="24"/>
                <w:szCs w:val="24"/>
              </w:rPr>
            </w:pPr>
            <w:r w:rsidRPr="00886FD2">
              <w:rPr>
                <w:rFonts w:eastAsia="Times New Roman"/>
                <w:color w:val="000000"/>
                <w:sz w:val="24"/>
                <w:szCs w:val="24"/>
              </w:rPr>
              <w:t>-15</w:t>
            </w:r>
          </w:p>
        </w:tc>
        <w:tc>
          <w:tcPr>
            <w:tcW w:w="833" w:type="pct"/>
            <w:tcBorders>
              <w:top w:val="nil"/>
              <w:left w:val="nil"/>
              <w:bottom w:val="single" w:sz="4" w:space="0" w:color="auto"/>
              <w:right w:val="single" w:sz="4" w:space="0" w:color="auto"/>
            </w:tcBorders>
            <w:noWrap/>
            <w:vAlign w:val="bottom"/>
            <w:hideMark/>
          </w:tcPr>
          <w:p w14:paraId="4EA7A9C8" w14:textId="77777777" w:rsidR="00EA21F4" w:rsidRPr="00886FD2" w:rsidRDefault="00EA21F4" w:rsidP="00EA21F4">
            <w:pPr>
              <w:spacing w:after="240" w:line="360" w:lineRule="auto"/>
              <w:jc w:val="right"/>
              <w:rPr>
                <w:rFonts w:eastAsia="Times New Roman"/>
                <w:color w:val="000000"/>
                <w:sz w:val="24"/>
                <w:szCs w:val="24"/>
              </w:rPr>
            </w:pPr>
            <w:r w:rsidRPr="00886FD2">
              <w:rPr>
                <w:rFonts w:eastAsia="Times New Roman"/>
                <w:color w:val="000000"/>
                <w:sz w:val="24"/>
                <w:szCs w:val="24"/>
              </w:rPr>
              <w:t>-14.20616776</w:t>
            </w:r>
          </w:p>
        </w:tc>
      </w:tr>
      <w:tr w:rsidR="00EA21F4" w:rsidRPr="00886FD2" w14:paraId="061AB974" w14:textId="77777777" w:rsidTr="00EA21F4">
        <w:trPr>
          <w:trHeight w:val="300"/>
        </w:trPr>
        <w:tc>
          <w:tcPr>
            <w:tcW w:w="833" w:type="pct"/>
            <w:tcBorders>
              <w:top w:val="nil"/>
              <w:left w:val="single" w:sz="4" w:space="0" w:color="auto"/>
              <w:bottom w:val="single" w:sz="4" w:space="0" w:color="auto"/>
              <w:right w:val="single" w:sz="4" w:space="0" w:color="auto"/>
            </w:tcBorders>
            <w:noWrap/>
            <w:vAlign w:val="bottom"/>
            <w:hideMark/>
          </w:tcPr>
          <w:p w14:paraId="7559DF3C" w14:textId="77777777" w:rsidR="00EA21F4" w:rsidRPr="00886FD2" w:rsidRDefault="00EA21F4" w:rsidP="00EA21F4">
            <w:pPr>
              <w:spacing w:after="240" w:line="360" w:lineRule="auto"/>
              <w:jc w:val="right"/>
              <w:rPr>
                <w:rFonts w:eastAsia="Times New Roman"/>
                <w:color w:val="000000"/>
                <w:sz w:val="24"/>
                <w:szCs w:val="24"/>
              </w:rPr>
            </w:pPr>
            <w:r w:rsidRPr="00886FD2">
              <w:rPr>
                <w:rFonts w:eastAsia="Times New Roman"/>
                <w:color w:val="000000"/>
                <w:sz w:val="24"/>
                <w:szCs w:val="24"/>
              </w:rPr>
              <w:t>4</w:t>
            </w:r>
          </w:p>
        </w:tc>
        <w:tc>
          <w:tcPr>
            <w:tcW w:w="833" w:type="pct"/>
            <w:tcBorders>
              <w:top w:val="nil"/>
              <w:left w:val="nil"/>
              <w:bottom w:val="single" w:sz="4" w:space="0" w:color="auto"/>
              <w:right w:val="single" w:sz="4" w:space="0" w:color="auto"/>
            </w:tcBorders>
            <w:noWrap/>
            <w:vAlign w:val="bottom"/>
            <w:hideMark/>
          </w:tcPr>
          <w:p w14:paraId="13D5FDEE" w14:textId="77777777" w:rsidR="00EA21F4" w:rsidRPr="00886FD2" w:rsidRDefault="00EA21F4" w:rsidP="00EA21F4">
            <w:pPr>
              <w:spacing w:after="240" w:line="360" w:lineRule="auto"/>
              <w:jc w:val="right"/>
              <w:rPr>
                <w:rFonts w:eastAsia="Times New Roman"/>
                <w:color w:val="000000"/>
                <w:sz w:val="24"/>
                <w:szCs w:val="24"/>
              </w:rPr>
            </w:pPr>
            <w:r w:rsidRPr="00886FD2">
              <w:rPr>
                <w:rFonts w:eastAsia="Times New Roman"/>
                <w:color w:val="000000"/>
                <w:sz w:val="24"/>
                <w:szCs w:val="24"/>
              </w:rPr>
              <w:t>25</w:t>
            </w:r>
          </w:p>
        </w:tc>
        <w:tc>
          <w:tcPr>
            <w:tcW w:w="833" w:type="pct"/>
            <w:tcBorders>
              <w:top w:val="nil"/>
              <w:left w:val="nil"/>
              <w:bottom w:val="single" w:sz="4" w:space="0" w:color="auto"/>
              <w:right w:val="single" w:sz="4" w:space="0" w:color="auto"/>
            </w:tcBorders>
            <w:noWrap/>
            <w:vAlign w:val="bottom"/>
            <w:hideMark/>
          </w:tcPr>
          <w:p w14:paraId="137B5421" w14:textId="77777777" w:rsidR="00EA21F4" w:rsidRPr="00886FD2" w:rsidRDefault="00EA21F4" w:rsidP="00EA21F4">
            <w:pPr>
              <w:spacing w:after="240" w:line="360" w:lineRule="auto"/>
              <w:jc w:val="right"/>
              <w:rPr>
                <w:rFonts w:eastAsia="Times New Roman"/>
                <w:color w:val="000000"/>
                <w:sz w:val="24"/>
                <w:szCs w:val="24"/>
              </w:rPr>
            </w:pPr>
            <w:r w:rsidRPr="00886FD2">
              <w:rPr>
                <w:rFonts w:eastAsia="Times New Roman"/>
                <w:color w:val="000000"/>
                <w:sz w:val="24"/>
                <w:szCs w:val="24"/>
              </w:rPr>
              <w:t>0.735029853</w:t>
            </w:r>
          </w:p>
        </w:tc>
        <w:tc>
          <w:tcPr>
            <w:tcW w:w="833" w:type="pct"/>
            <w:tcBorders>
              <w:top w:val="nil"/>
              <w:left w:val="nil"/>
              <w:bottom w:val="single" w:sz="4" w:space="0" w:color="auto"/>
              <w:right w:val="single" w:sz="4" w:space="0" w:color="auto"/>
            </w:tcBorders>
            <w:noWrap/>
            <w:vAlign w:val="bottom"/>
            <w:hideMark/>
          </w:tcPr>
          <w:p w14:paraId="7D572018" w14:textId="77777777" w:rsidR="00EA21F4" w:rsidRPr="00886FD2" w:rsidRDefault="00EA21F4" w:rsidP="00EA21F4">
            <w:pPr>
              <w:spacing w:after="240" w:line="360" w:lineRule="auto"/>
              <w:jc w:val="right"/>
              <w:rPr>
                <w:rFonts w:eastAsia="Times New Roman"/>
                <w:color w:val="000000"/>
                <w:sz w:val="24"/>
                <w:szCs w:val="24"/>
              </w:rPr>
            </w:pPr>
            <w:r w:rsidRPr="00886FD2">
              <w:rPr>
                <w:rFonts w:eastAsia="Times New Roman"/>
                <w:color w:val="000000"/>
                <w:sz w:val="24"/>
                <w:szCs w:val="24"/>
              </w:rPr>
              <w:t>18.37574632</w:t>
            </w:r>
          </w:p>
        </w:tc>
        <w:tc>
          <w:tcPr>
            <w:tcW w:w="833" w:type="pct"/>
            <w:tcBorders>
              <w:top w:val="nil"/>
              <w:left w:val="nil"/>
              <w:bottom w:val="single" w:sz="4" w:space="0" w:color="auto"/>
              <w:right w:val="single" w:sz="4" w:space="0" w:color="auto"/>
            </w:tcBorders>
            <w:noWrap/>
            <w:vAlign w:val="bottom"/>
            <w:hideMark/>
          </w:tcPr>
          <w:p w14:paraId="12773C12" w14:textId="77777777" w:rsidR="00EA21F4" w:rsidRPr="00886FD2" w:rsidRDefault="00EA21F4" w:rsidP="00EA21F4">
            <w:pPr>
              <w:spacing w:after="240" w:line="360" w:lineRule="auto"/>
              <w:jc w:val="right"/>
              <w:rPr>
                <w:rFonts w:eastAsia="Times New Roman"/>
                <w:color w:val="000000"/>
                <w:sz w:val="24"/>
                <w:szCs w:val="24"/>
              </w:rPr>
            </w:pPr>
            <w:r w:rsidRPr="00886FD2">
              <w:rPr>
                <w:rFonts w:eastAsia="Times New Roman"/>
                <w:color w:val="000000"/>
                <w:sz w:val="24"/>
                <w:szCs w:val="24"/>
              </w:rPr>
              <w:t>10</w:t>
            </w:r>
          </w:p>
        </w:tc>
        <w:tc>
          <w:tcPr>
            <w:tcW w:w="833" w:type="pct"/>
            <w:tcBorders>
              <w:top w:val="nil"/>
              <w:left w:val="nil"/>
              <w:bottom w:val="single" w:sz="4" w:space="0" w:color="auto"/>
              <w:right w:val="single" w:sz="4" w:space="0" w:color="auto"/>
            </w:tcBorders>
            <w:noWrap/>
            <w:vAlign w:val="bottom"/>
            <w:hideMark/>
          </w:tcPr>
          <w:p w14:paraId="0348420E" w14:textId="77777777" w:rsidR="00EA21F4" w:rsidRPr="00886FD2" w:rsidRDefault="00EA21F4" w:rsidP="00EA21F4">
            <w:pPr>
              <w:spacing w:after="240" w:line="360" w:lineRule="auto"/>
              <w:jc w:val="right"/>
              <w:rPr>
                <w:rFonts w:eastAsia="Times New Roman"/>
                <w:color w:val="000000"/>
                <w:sz w:val="24"/>
                <w:szCs w:val="24"/>
              </w:rPr>
            </w:pPr>
            <w:r w:rsidRPr="00886FD2">
              <w:rPr>
                <w:rFonts w:eastAsia="Times New Roman"/>
                <w:color w:val="000000"/>
                <w:sz w:val="24"/>
                <w:szCs w:val="24"/>
              </w:rPr>
              <w:t>10.73502985</w:t>
            </w:r>
          </w:p>
        </w:tc>
      </w:tr>
      <w:tr w:rsidR="00EA21F4" w:rsidRPr="00886FD2" w14:paraId="2CCAD4D4" w14:textId="77777777" w:rsidTr="00EA21F4">
        <w:trPr>
          <w:trHeight w:val="300"/>
        </w:trPr>
        <w:tc>
          <w:tcPr>
            <w:tcW w:w="833" w:type="pct"/>
            <w:tcBorders>
              <w:top w:val="nil"/>
              <w:left w:val="single" w:sz="4" w:space="0" w:color="auto"/>
              <w:bottom w:val="single" w:sz="4" w:space="0" w:color="auto"/>
              <w:right w:val="single" w:sz="4" w:space="0" w:color="auto"/>
            </w:tcBorders>
            <w:noWrap/>
            <w:vAlign w:val="bottom"/>
            <w:hideMark/>
          </w:tcPr>
          <w:p w14:paraId="4A494A9E" w14:textId="77777777" w:rsidR="00EA21F4" w:rsidRPr="00886FD2" w:rsidRDefault="00EA21F4" w:rsidP="00EA21F4">
            <w:pPr>
              <w:spacing w:after="240" w:line="360" w:lineRule="auto"/>
              <w:jc w:val="right"/>
              <w:rPr>
                <w:rFonts w:eastAsia="Times New Roman"/>
                <w:color w:val="000000"/>
                <w:sz w:val="24"/>
                <w:szCs w:val="24"/>
              </w:rPr>
            </w:pPr>
            <w:r w:rsidRPr="00886FD2">
              <w:rPr>
                <w:rFonts w:eastAsia="Times New Roman"/>
                <w:color w:val="000000"/>
                <w:sz w:val="24"/>
                <w:szCs w:val="24"/>
              </w:rPr>
              <w:t>5</w:t>
            </w:r>
          </w:p>
        </w:tc>
        <w:tc>
          <w:tcPr>
            <w:tcW w:w="833" w:type="pct"/>
            <w:tcBorders>
              <w:top w:val="nil"/>
              <w:left w:val="nil"/>
              <w:bottom w:val="single" w:sz="4" w:space="0" w:color="auto"/>
              <w:right w:val="single" w:sz="4" w:space="0" w:color="auto"/>
            </w:tcBorders>
            <w:noWrap/>
            <w:vAlign w:val="bottom"/>
            <w:hideMark/>
          </w:tcPr>
          <w:p w14:paraId="78C07810" w14:textId="77777777" w:rsidR="00EA21F4" w:rsidRPr="00886FD2" w:rsidRDefault="00EA21F4" w:rsidP="00EA21F4">
            <w:pPr>
              <w:spacing w:after="240" w:line="360" w:lineRule="auto"/>
              <w:jc w:val="right"/>
              <w:rPr>
                <w:rFonts w:eastAsia="Times New Roman"/>
                <w:color w:val="000000"/>
                <w:sz w:val="24"/>
                <w:szCs w:val="24"/>
              </w:rPr>
            </w:pPr>
            <w:r w:rsidRPr="00886FD2">
              <w:rPr>
                <w:rFonts w:eastAsia="Times New Roman"/>
                <w:color w:val="000000"/>
                <w:sz w:val="24"/>
                <w:szCs w:val="24"/>
              </w:rPr>
              <w:t>5</w:t>
            </w:r>
          </w:p>
        </w:tc>
        <w:tc>
          <w:tcPr>
            <w:tcW w:w="833" w:type="pct"/>
            <w:tcBorders>
              <w:top w:val="nil"/>
              <w:left w:val="nil"/>
              <w:bottom w:val="single" w:sz="4" w:space="0" w:color="auto"/>
              <w:right w:val="single" w:sz="4" w:space="0" w:color="auto"/>
            </w:tcBorders>
            <w:noWrap/>
            <w:vAlign w:val="bottom"/>
            <w:hideMark/>
          </w:tcPr>
          <w:p w14:paraId="0ACAE538" w14:textId="77777777" w:rsidR="00EA21F4" w:rsidRPr="00886FD2" w:rsidRDefault="00EA21F4" w:rsidP="00EA21F4">
            <w:pPr>
              <w:spacing w:after="240" w:line="360" w:lineRule="auto"/>
              <w:jc w:val="right"/>
              <w:rPr>
                <w:rFonts w:eastAsia="Times New Roman"/>
                <w:color w:val="000000"/>
                <w:sz w:val="24"/>
                <w:szCs w:val="24"/>
              </w:rPr>
            </w:pPr>
            <w:r w:rsidRPr="00886FD2">
              <w:rPr>
                <w:rFonts w:eastAsia="Times New Roman"/>
                <w:color w:val="000000"/>
                <w:sz w:val="24"/>
                <w:szCs w:val="24"/>
              </w:rPr>
              <w:t>0.680583197</w:t>
            </w:r>
          </w:p>
        </w:tc>
        <w:tc>
          <w:tcPr>
            <w:tcW w:w="833" w:type="pct"/>
            <w:tcBorders>
              <w:top w:val="nil"/>
              <w:left w:val="nil"/>
              <w:bottom w:val="single" w:sz="4" w:space="0" w:color="auto"/>
              <w:right w:val="single" w:sz="4" w:space="0" w:color="auto"/>
            </w:tcBorders>
            <w:noWrap/>
            <w:vAlign w:val="bottom"/>
            <w:hideMark/>
          </w:tcPr>
          <w:p w14:paraId="24C83BEF" w14:textId="77777777" w:rsidR="00EA21F4" w:rsidRPr="00886FD2" w:rsidRDefault="00EA21F4" w:rsidP="00EA21F4">
            <w:pPr>
              <w:spacing w:after="240" w:line="360" w:lineRule="auto"/>
              <w:jc w:val="right"/>
              <w:rPr>
                <w:rFonts w:eastAsia="Times New Roman"/>
                <w:color w:val="000000"/>
                <w:sz w:val="24"/>
                <w:szCs w:val="24"/>
              </w:rPr>
            </w:pPr>
            <w:r w:rsidRPr="00886FD2">
              <w:rPr>
                <w:rFonts w:eastAsia="Times New Roman"/>
                <w:color w:val="000000"/>
                <w:sz w:val="24"/>
                <w:szCs w:val="24"/>
              </w:rPr>
              <w:t>3.402915985</w:t>
            </w:r>
          </w:p>
        </w:tc>
        <w:tc>
          <w:tcPr>
            <w:tcW w:w="833" w:type="pct"/>
            <w:tcBorders>
              <w:top w:val="nil"/>
              <w:left w:val="nil"/>
              <w:bottom w:val="single" w:sz="4" w:space="0" w:color="auto"/>
              <w:right w:val="single" w:sz="4" w:space="0" w:color="auto"/>
            </w:tcBorders>
            <w:noWrap/>
            <w:vAlign w:val="bottom"/>
            <w:hideMark/>
          </w:tcPr>
          <w:p w14:paraId="30B00835" w14:textId="77777777" w:rsidR="00EA21F4" w:rsidRPr="00886FD2" w:rsidRDefault="00EA21F4" w:rsidP="00EA21F4">
            <w:pPr>
              <w:spacing w:after="240" w:line="360" w:lineRule="auto"/>
              <w:jc w:val="right"/>
              <w:rPr>
                <w:rFonts w:eastAsia="Times New Roman"/>
                <w:color w:val="000000"/>
                <w:sz w:val="24"/>
                <w:szCs w:val="24"/>
              </w:rPr>
            </w:pPr>
            <w:r w:rsidRPr="00886FD2">
              <w:rPr>
                <w:rFonts w:eastAsia="Times New Roman"/>
                <w:color w:val="000000"/>
                <w:sz w:val="24"/>
                <w:szCs w:val="24"/>
              </w:rPr>
              <w:t>15</w:t>
            </w:r>
          </w:p>
        </w:tc>
        <w:tc>
          <w:tcPr>
            <w:tcW w:w="833" w:type="pct"/>
            <w:tcBorders>
              <w:top w:val="nil"/>
              <w:left w:val="nil"/>
              <w:bottom w:val="single" w:sz="4" w:space="0" w:color="auto"/>
              <w:right w:val="single" w:sz="4" w:space="0" w:color="auto"/>
            </w:tcBorders>
            <w:noWrap/>
            <w:vAlign w:val="bottom"/>
            <w:hideMark/>
          </w:tcPr>
          <w:p w14:paraId="6C379E8F" w14:textId="77777777" w:rsidR="00EA21F4" w:rsidRPr="00886FD2" w:rsidRDefault="00EA21F4" w:rsidP="00EA21F4">
            <w:pPr>
              <w:spacing w:after="240" w:line="360" w:lineRule="auto"/>
              <w:jc w:val="right"/>
              <w:rPr>
                <w:rFonts w:eastAsia="Times New Roman"/>
                <w:color w:val="000000"/>
                <w:sz w:val="24"/>
                <w:szCs w:val="24"/>
              </w:rPr>
            </w:pPr>
            <w:r w:rsidRPr="00886FD2">
              <w:rPr>
                <w:rFonts w:eastAsia="Times New Roman"/>
                <w:color w:val="000000"/>
                <w:sz w:val="24"/>
                <w:szCs w:val="24"/>
              </w:rPr>
              <w:t>15.6805832</w:t>
            </w:r>
          </w:p>
        </w:tc>
      </w:tr>
      <w:tr w:rsidR="00EA21F4" w:rsidRPr="00886FD2" w14:paraId="79B5AA55" w14:textId="77777777" w:rsidTr="00EA21F4">
        <w:trPr>
          <w:trHeight w:val="300"/>
        </w:trPr>
        <w:tc>
          <w:tcPr>
            <w:tcW w:w="4167" w:type="pct"/>
            <w:gridSpan w:val="5"/>
            <w:tcBorders>
              <w:top w:val="single" w:sz="4" w:space="0" w:color="auto"/>
              <w:left w:val="single" w:sz="4" w:space="0" w:color="auto"/>
              <w:bottom w:val="single" w:sz="4" w:space="0" w:color="auto"/>
              <w:right w:val="single" w:sz="4" w:space="0" w:color="auto"/>
            </w:tcBorders>
            <w:noWrap/>
            <w:vAlign w:val="bottom"/>
            <w:hideMark/>
          </w:tcPr>
          <w:p w14:paraId="7C538CAC" w14:textId="77777777" w:rsidR="00EA21F4" w:rsidRPr="00886FD2" w:rsidRDefault="00EA21F4" w:rsidP="00EA21F4">
            <w:pPr>
              <w:spacing w:after="240" w:line="360" w:lineRule="auto"/>
              <w:rPr>
                <w:rFonts w:eastAsia="Times New Roman"/>
                <w:b/>
                <w:bCs/>
                <w:color w:val="000000"/>
                <w:sz w:val="24"/>
                <w:szCs w:val="24"/>
              </w:rPr>
            </w:pPr>
            <w:r w:rsidRPr="00886FD2">
              <w:rPr>
                <w:rFonts w:eastAsia="Times New Roman"/>
                <w:b/>
                <w:bCs/>
                <w:color w:val="000000"/>
                <w:sz w:val="24"/>
                <w:szCs w:val="24"/>
              </w:rPr>
              <w:lastRenderedPageBreak/>
              <w:t>PBP</w:t>
            </w:r>
          </w:p>
        </w:tc>
        <w:tc>
          <w:tcPr>
            <w:tcW w:w="833" w:type="pct"/>
            <w:tcBorders>
              <w:top w:val="nil"/>
              <w:left w:val="nil"/>
              <w:bottom w:val="single" w:sz="4" w:space="0" w:color="auto"/>
              <w:right w:val="single" w:sz="4" w:space="0" w:color="auto"/>
            </w:tcBorders>
            <w:noWrap/>
            <w:vAlign w:val="bottom"/>
            <w:hideMark/>
          </w:tcPr>
          <w:p w14:paraId="2C48A383" w14:textId="77777777" w:rsidR="00EA21F4" w:rsidRPr="00886FD2" w:rsidRDefault="00EA21F4" w:rsidP="00EA21F4">
            <w:pPr>
              <w:spacing w:after="240" w:line="360" w:lineRule="auto"/>
              <w:jc w:val="right"/>
              <w:rPr>
                <w:rFonts w:eastAsia="Times New Roman"/>
                <w:color w:val="000000"/>
                <w:sz w:val="24"/>
                <w:szCs w:val="24"/>
              </w:rPr>
            </w:pPr>
            <w:r w:rsidRPr="00886FD2">
              <w:rPr>
                <w:rFonts w:eastAsia="Times New Roman"/>
                <w:color w:val="000000"/>
                <w:sz w:val="24"/>
                <w:szCs w:val="24"/>
              </w:rPr>
              <w:t>7.675149264</w:t>
            </w:r>
          </w:p>
        </w:tc>
      </w:tr>
      <w:tr w:rsidR="00EA21F4" w:rsidRPr="00886FD2" w14:paraId="7E9D9196" w14:textId="77777777" w:rsidTr="00EA21F4">
        <w:trPr>
          <w:trHeight w:val="300"/>
        </w:trPr>
        <w:tc>
          <w:tcPr>
            <w:tcW w:w="4167" w:type="pct"/>
            <w:gridSpan w:val="5"/>
            <w:tcBorders>
              <w:top w:val="single" w:sz="4" w:space="0" w:color="auto"/>
              <w:left w:val="single" w:sz="4" w:space="0" w:color="auto"/>
              <w:bottom w:val="single" w:sz="4" w:space="0" w:color="auto"/>
              <w:right w:val="single" w:sz="4" w:space="0" w:color="auto"/>
            </w:tcBorders>
            <w:noWrap/>
            <w:vAlign w:val="bottom"/>
            <w:hideMark/>
          </w:tcPr>
          <w:p w14:paraId="4954859A" w14:textId="77777777" w:rsidR="00EA21F4" w:rsidRPr="00886FD2" w:rsidRDefault="00EA21F4" w:rsidP="00EA21F4">
            <w:pPr>
              <w:spacing w:after="240" w:line="360" w:lineRule="auto"/>
              <w:rPr>
                <w:rFonts w:eastAsia="Times New Roman"/>
                <w:b/>
                <w:bCs/>
                <w:color w:val="000000"/>
                <w:sz w:val="24"/>
                <w:szCs w:val="24"/>
              </w:rPr>
            </w:pPr>
            <w:r w:rsidRPr="00886FD2">
              <w:rPr>
                <w:rFonts w:eastAsia="Times New Roman"/>
                <w:b/>
                <w:bCs/>
                <w:color w:val="000000"/>
                <w:sz w:val="24"/>
                <w:szCs w:val="24"/>
              </w:rPr>
              <w:t>ARR</w:t>
            </w:r>
          </w:p>
        </w:tc>
        <w:tc>
          <w:tcPr>
            <w:tcW w:w="833" w:type="pct"/>
            <w:tcBorders>
              <w:top w:val="nil"/>
              <w:left w:val="nil"/>
              <w:bottom w:val="single" w:sz="4" w:space="0" w:color="auto"/>
              <w:right w:val="single" w:sz="4" w:space="0" w:color="auto"/>
            </w:tcBorders>
            <w:noWrap/>
            <w:vAlign w:val="bottom"/>
            <w:hideMark/>
          </w:tcPr>
          <w:p w14:paraId="4A962F33" w14:textId="77777777" w:rsidR="00EA21F4" w:rsidRPr="00886FD2" w:rsidRDefault="00EA21F4" w:rsidP="00EA21F4">
            <w:pPr>
              <w:spacing w:after="240" w:line="360" w:lineRule="auto"/>
              <w:jc w:val="right"/>
              <w:rPr>
                <w:rFonts w:eastAsia="Times New Roman"/>
                <w:color w:val="000000"/>
                <w:sz w:val="24"/>
                <w:szCs w:val="24"/>
              </w:rPr>
            </w:pPr>
            <w:r w:rsidRPr="00886FD2">
              <w:rPr>
                <w:rFonts w:eastAsia="Times New Roman"/>
                <w:color w:val="000000"/>
                <w:sz w:val="24"/>
                <w:szCs w:val="24"/>
              </w:rPr>
              <w:t>52%</w:t>
            </w:r>
          </w:p>
        </w:tc>
      </w:tr>
      <w:tr w:rsidR="00EA21F4" w:rsidRPr="00886FD2" w14:paraId="2B3452FE" w14:textId="77777777" w:rsidTr="00EA21F4">
        <w:trPr>
          <w:trHeight w:val="300"/>
        </w:trPr>
        <w:tc>
          <w:tcPr>
            <w:tcW w:w="4167" w:type="pct"/>
            <w:gridSpan w:val="5"/>
            <w:tcBorders>
              <w:top w:val="single" w:sz="4" w:space="0" w:color="auto"/>
              <w:left w:val="single" w:sz="4" w:space="0" w:color="auto"/>
              <w:bottom w:val="single" w:sz="4" w:space="0" w:color="auto"/>
              <w:right w:val="single" w:sz="4" w:space="0" w:color="auto"/>
            </w:tcBorders>
            <w:noWrap/>
            <w:vAlign w:val="bottom"/>
            <w:hideMark/>
          </w:tcPr>
          <w:p w14:paraId="7DE7346E" w14:textId="77777777" w:rsidR="00EA21F4" w:rsidRPr="00886FD2" w:rsidRDefault="00EA21F4" w:rsidP="00EA21F4">
            <w:pPr>
              <w:spacing w:after="240" w:line="360" w:lineRule="auto"/>
              <w:rPr>
                <w:rFonts w:eastAsia="Times New Roman"/>
                <w:b/>
                <w:bCs/>
                <w:color w:val="000000"/>
                <w:sz w:val="24"/>
                <w:szCs w:val="24"/>
              </w:rPr>
            </w:pPr>
            <w:r w:rsidRPr="00886FD2">
              <w:rPr>
                <w:rFonts w:eastAsia="Times New Roman"/>
                <w:b/>
                <w:bCs/>
                <w:color w:val="000000"/>
                <w:sz w:val="24"/>
                <w:szCs w:val="24"/>
              </w:rPr>
              <w:t>NPV</w:t>
            </w:r>
          </w:p>
        </w:tc>
        <w:tc>
          <w:tcPr>
            <w:tcW w:w="833" w:type="pct"/>
            <w:tcBorders>
              <w:top w:val="nil"/>
              <w:left w:val="nil"/>
              <w:bottom w:val="single" w:sz="4" w:space="0" w:color="auto"/>
              <w:right w:val="single" w:sz="4" w:space="0" w:color="auto"/>
            </w:tcBorders>
            <w:noWrap/>
            <w:vAlign w:val="bottom"/>
            <w:hideMark/>
          </w:tcPr>
          <w:p w14:paraId="29D3536D" w14:textId="77777777" w:rsidR="00EA21F4" w:rsidRPr="00886FD2" w:rsidRDefault="00EA21F4" w:rsidP="00EA21F4">
            <w:pPr>
              <w:spacing w:after="240" w:line="360" w:lineRule="auto"/>
              <w:jc w:val="right"/>
              <w:rPr>
                <w:rFonts w:eastAsia="Times New Roman"/>
                <w:color w:val="000000"/>
                <w:sz w:val="24"/>
                <w:szCs w:val="24"/>
              </w:rPr>
            </w:pPr>
            <w:r w:rsidRPr="00886FD2">
              <w:rPr>
                <w:rFonts w:eastAsia="Times New Roman"/>
                <w:color w:val="000000"/>
                <w:sz w:val="24"/>
                <w:szCs w:val="24"/>
              </w:rPr>
              <w:t xml:space="preserve">$0.86 </w:t>
            </w:r>
          </w:p>
        </w:tc>
      </w:tr>
      <w:tr w:rsidR="00EA21F4" w:rsidRPr="00886FD2" w14:paraId="78540275" w14:textId="77777777" w:rsidTr="00EA21F4">
        <w:trPr>
          <w:trHeight w:val="300"/>
        </w:trPr>
        <w:tc>
          <w:tcPr>
            <w:tcW w:w="4167" w:type="pct"/>
            <w:gridSpan w:val="5"/>
            <w:tcBorders>
              <w:top w:val="single" w:sz="4" w:space="0" w:color="auto"/>
              <w:left w:val="single" w:sz="4" w:space="0" w:color="auto"/>
              <w:bottom w:val="single" w:sz="4" w:space="0" w:color="auto"/>
              <w:right w:val="single" w:sz="4" w:space="0" w:color="auto"/>
            </w:tcBorders>
            <w:noWrap/>
            <w:vAlign w:val="bottom"/>
            <w:hideMark/>
          </w:tcPr>
          <w:p w14:paraId="11609E50" w14:textId="77777777" w:rsidR="00EA21F4" w:rsidRPr="00886FD2" w:rsidRDefault="00EA21F4" w:rsidP="00EA21F4">
            <w:pPr>
              <w:spacing w:after="240" w:line="360" w:lineRule="auto"/>
              <w:rPr>
                <w:rFonts w:eastAsia="Times New Roman"/>
                <w:b/>
                <w:bCs/>
                <w:color w:val="000000"/>
                <w:sz w:val="24"/>
                <w:szCs w:val="24"/>
              </w:rPr>
            </w:pPr>
            <w:r w:rsidRPr="00886FD2">
              <w:rPr>
                <w:rFonts w:eastAsia="Times New Roman"/>
                <w:b/>
                <w:bCs/>
                <w:color w:val="000000"/>
                <w:sz w:val="24"/>
                <w:szCs w:val="24"/>
              </w:rPr>
              <w:t>PI</w:t>
            </w:r>
          </w:p>
        </w:tc>
        <w:tc>
          <w:tcPr>
            <w:tcW w:w="833" w:type="pct"/>
            <w:tcBorders>
              <w:top w:val="nil"/>
              <w:left w:val="nil"/>
              <w:bottom w:val="single" w:sz="4" w:space="0" w:color="auto"/>
              <w:right w:val="single" w:sz="4" w:space="0" w:color="auto"/>
            </w:tcBorders>
            <w:noWrap/>
            <w:vAlign w:val="bottom"/>
            <w:hideMark/>
          </w:tcPr>
          <w:p w14:paraId="42A613D7" w14:textId="77777777" w:rsidR="00EA21F4" w:rsidRPr="00886FD2" w:rsidRDefault="00EA21F4" w:rsidP="00EA21F4">
            <w:pPr>
              <w:spacing w:after="240" w:line="360" w:lineRule="auto"/>
              <w:jc w:val="right"/>
              <w:rPr>
                <w:rFonts w:eastAsia="Times New Roman"/>
                <w:color w:val="000000"/>
                <w:sz w:val="24"/>
                <w:szCs w:val="24"/>
              </w:rPr>
            </w:pPr>
            <w:r w:rsidRPr="00886FD2">
              <w:rPr>
                <w:rFonts w:eastAsia="Times New Roman"/>
                <w:color w:val="000000"/>
                <w:sz w:val="24"/>
                <w:szCs w:val="24"/>
              </w:rPr>
              <w:t>1.3</w:t>
            </w:r>
          </w:p>
        </w:tc>
      </w:tr>
      <w:tr w:rsidR="00EA21F4" w:rsidRPr="00886FD2" w14:paraId="74A2D1F2" w14:textId="77777777" w:rsidTr="00EA21F4">
        <w:trPr>
          <w:trHeight w:val="300"/>
        </w:trPr>
        <w:tc>
          <w:tcPr>
            <w:tcW w:w="4167" w:type="pct"/>
            <w:gridSpan w:val="5"/>
            <w:tcBorders>
              <w:top w:val="single" w:sz="4" w:space="0" w:color="auto"/>
              <w:left w:val="single" w:sz="4" w:space="0" w:color="auto"/>
              <w:bottom w:val="single" w:sz="4" w:space="0" w:color="auto"/>
              <w:right w:val="single" w:sz="4" w:space="0" w:color="auto"/>
            </w:tcBorders>
            <w:noWrap/>
            <w:vAlign w:val="bottom"/>
            <w:hideMark/>
          </w:tcPr>
          <w:p w14:paraId="49EF3D29" w14:textId="77777777" w:rsidR="00EA21F4" w:rsidRPr="00886FD2" w:rsidRDefault="00EA21F4" w:rsidP="00EA21F4">
            <w:pPr>
              <w:spacing w:after="240" w:line="360" w:lineRule="auto"/>
              <w:rPr>
                <w:rFonts w:eastAsia="Times New Roman"/>
                <w:b/>
                <w:bCs/>
                <w:color w:val="000000"/>
                <w:sz w:val="24"/>
                <w:szCs w:val="24"/>
              </w:rPr>
            </w:pPr>
            <w:r w:rsidRPr="00886FD2">
              <w:rPr>
                <w:rFonts w:eastAsia="Times New Roman"/>
                <w:b/>
                <w:bCs/>
                <w:color w:val="000000"/>
                <w:sz w:val="24"/>
                <w:szCs w:val="24"/>
              </w:rPr>
              <w:t>IRR</w:t>
            </w:r>
          </w:p>
        </w:tc>
        <w:tc>
          <w:tcPr>
            <w:tcW w:w="833" w:type="pct"/>
            <w:tcBorders>
              <w:top w:val="nil"/>
              <w:left w:val="nil"/>
              <w:bottom w:val="single" w:sz="4" w:space="0" w:color="auto"/>
              <w:right w:val="single" w:sz="4" w:space="0" w:color="auto"/>
            </w:tcBorders>
            <w:noWrap/>
            <w:vAlign w:val="bottom"/>
            <w:hideMark/>
          </w:tcPr>
          <w:p w14:paraId="7A0A3511" w14:textId="77777777" w:rsidR="00EA21F4" w:rsidRPr="00886FD2" w:rsidRDefault="00EA21F4" w:rsidP="00EA21F4">
            <w:pPr>
              <w:spacing w:after="240" w:line="360" w:lineRule="auto"/>
              <w:jc w:val="right"/>
              <w:rPr>
                <w:rFonts w:eastAsia="Times New Roman"/>
                <w:color w:val="000000"/>
                <w:sz w:val="24"/>
                <w:szCs w:val="24"/>
              </w:rPr>
            </w:pPr>
            <w:r w:rsidRPr="00886FD2">
              <w:rPr>
                <w:rFonts w:eastAsia="Times New Roman"/>
                <w:color w:val="000000"/>
                <w:sz w:val="24"/>
                <w:szCs w:val="24"/>
              </w:rPr>
              <w:t>9%</w:t>
            </w:r>
          </w:p>
        </w:tc>
      </w:tr>
    </w:tbl>
    <w:p w14:paraId="57982153" w14:textId="77777777" w:rsidR="00EA21F4" w:rsidRPr="00886FD2" w:rsidRDefault="00EA21F4">
      <w:pPr>
        <w:spacing w:after="200" w:line="360" w:lineRule="auto"/>
        <w:jc w:val="both"/>
        <w:rPr>
          <w:rFonts w:eastAsia="Times New Roman"/>
          <w:sz w:val="24"/>
          <w:szCs w:val="24"/>
        </w:rPr>
      </w:pPr>
    </w:p>
    <w:p w14:paraId="0970200F" w14:textId="77777777" w:rsidR="00EA21F4" w:rsidRPr="00886FD2" w:rsidRDefault="00EA21F4">
      <w:pPr>
        <w:spacing w:after="200" w:line="360" w:lineRule="auto"/>
        <w:jc w:val="both"/>
        <w:rPr>
          <w:rFonts w:eastAsia="Times New Roman"/>
          <w:sz w:val="24"/>
          <w:szCs w:val="24"/>
        </w:rPr>
      </w:pPr>
    </w:p>
    <w:sectPr w:rsidR="00EA21F4" w:rsidRPr="00886FD2" w:rsidSect="00244E2F">
      <w:footerReference w:type="default" r:id="rId69"/>
      <w:pgSz w:w="11909" w:h="16834"/>
      <w:pgMar w:top="1440" w:right="1440" w:bottom="1440" w:left="1440" w:header="720" w:footer="720" w:gutter="0"/>
      <w:pgBorders w:offsetFrom="page">
        <w:top w:val="single" w:sz="4" w:space="24" w:color="auto"/>
        <w:left w:val="single" w:sz="4" w:space="24" w:color="auto"/>
        <w:bottom w:val="single" w:sz="4" w:space="24" w:color="auto"/>
        <w:right w:val="single" w:sz="4" w:space="24" w:color="auto"/>
      </w:pgBorders>
      <w:pgNumType w:start="1"/>
      <w:cols w:space="72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m="http://schemas.openxmlformats.org/officeDocument/2006/math" xmlns:aink="http://schemas.microsoft.com/office/drawing/2016/ink" xmlns:am3d="http://schemas.microsoft.com/office/drawing/2017/model3d" xmlns:oel="http://schemas.microsoft.com/office/2019/extlst" xmlns:r="http://schemas.openxmlformats.org/officeDocument/2006/relationships" xmlns:wp14="http://schemas.microsoft.com/office/word/2010/wordprocessingDrawing" xmlns:wp="http://schemas.openxmlformats.org/drawingml/2006/wordprocessingDrawing" xmlns:wpg="http://schemas.microsoft.com/office/word/2010/wordprocessingGroup" xmlns:wpi="http://schemas.microsoft.com/office/word/2010/wordprocessingInk" xmlns:wps="http://schemas.microsoft.com/office/word/2010/wordprocessingShape" xmlns:o="urn:schemas-microsoft-com:office:office" xmlns:v="urn:schemas-microsoft-com:vml" xmlns:w10="urn:schemas-microsoft-com:office:word" xmlns:w="http://schemas.openxmlformats.org/wordprocessingml/2006/main" xmlns:w14="http://schemas.microsoft.com/office/word/2010/wordml" xmlns:w15="http://schemas.microsoft.com/office/word/2012/wordml" xmlns:w16cei="http://schemas.microsoft.com/office/word/2026/wordml/cei" xmlns:w16cex="http://schemas.microsoft.com/office/word/2018/wordml/cex" xmlns:w16cid="http://schemas.microsoft.com/office/word/2016/wordml/cid" xmlns:w16="http://schemas.microsoft.com/office/word/2018/wordml" xmlns:w16sdtdh="http://schemas.microsoft.com/office/word/2020/wordml/sdtdatahash" xmlns:w16sdtfl="http://schemas.microsoft.com/office/word/2024/wordml/sdtformatlock" xmlns:w16se="http://schemas.microsoft.com/office/word/2015/wordml/symex" xmlns:w16du="http://schemas.microsoft.com/office/word/2023/wordml/word16du" xmlns:wne="http://schemas.microsoft.com/office/word/2006/wordml" mc:Ignorable="w14 w15 w16se w16cid w16 w16cex w16sdtdh w16sdtfl w16du wp14">
  <w:endnote w:type="separator" w:id="-1">
    <w:p w14:paraId="5E6BE806" w14:textId="77777777" w:rsidR="00335FA1" w:rsidRDefault="00335FA1" w:rsidP="001D1B0E">
      <w:pPr>
        <w:spacing w:line="240" w:lineRule="auto"/>
      </w:pPr>
      <w:r>
        <w:separator/>
      </w:r>
    </w:p>
  </w:endnote>
  <w:endnote w:type="continuationSeparator" w:id="0">
    <w:p w14:paraId="5FC6CB64" w14:textId="77777777" w:rsidR="00335FA1" w:rsidRDefault="00335FA1" w:rsidP="001D1B0E">
      <w:pPr>
        <w:spacing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dtfl="http://schemas.microsoft.com/office/word/2024/wordml/sdtformatlock" xmlns:w16se="http://schemas.microsoft.com/office/word/2015/wordml/symex" xmlns:w16du="http://schemas.microsoft.com/office/word/2023/wordml/word16du" mc:Ignorable="w14 w15 w16se w16cid w16 w16cex w16sdtdh w16sdtfl w16du">
  <w:font w:name="Arial">
    <w:panose1 w:val="020B0604020202020204"/>
    <w:charset w:val="00"/>
    <w:family w:val="swiss"/>
    <w:pitch w:val="variable"/>
    <w:sig w:usb0="E0002EFF" w:usb1="C000785B" w:usb2="00000009" w:usb3="00000000" w:csb0="000001FF" w:csb1="00000000"/>
    <w:embedRegular r:id="rId1" w:fontKey="{ABAB0FC0-35F4-E442-AF8B-69A33166B4D6}"/>
    <w:embedBold r:id="rId2" w:fontKey="{92988E1F-6E7D-5844-BA44-D40D42602F5A}"/>
    <w:embedItalic r:id="rId3" w:fontKey="{FFE1F44D-53AC-5C45-9EFA-4A9D64DDC269}"/>
    <w:embedBoldItalic r:id="rId4" w:fontKey="{305B9483-318F-0D40-A5D5-72AEE47BFCE2}"/>
  </w:font>
  <w:font w:name="Times New Roman">
    <w:panose1 w:val="02020603050405020304"/>
    <w:charset w:val="00"/>
    <w:family w:val="roman"/>
    <w:pitch w:val="variable"/>
    <w:sig w:usb0="E0002EFF" w:usb1="C000785B" w:usb2="00000009" w:usb3="00000000" w:csb0="000001FF" w:csb1="00000000"/>
    <w:embedRegular r:id="rId5" w:fontKey="{7E70C118-0D9D-DB40-B674-7A140DDE54A5}"/>
    <w:embedBold r:id="rId6" w:fontKey="{C1127030-ABCA-5D41-B918-9B80A913A4CC}"/>
    <w:embedItalic r:id="rId7" w:fontKey="{0198FB93-E187-004C-B5D8-E77E2B87AD75}"/>
    <w:embedBoldItalic r:id="rId8" w:fontKey="{A5C9ABA6-BEEC-D74B-8634-B18DFEDEB513}"/>
  </w:font>
  <w:font w:name="Calibri">
    <w:panose1 w:val="020F0502020204030204"/>
    <w:charset w:val="00"/>
    <w:family w:val="swiss"/>
    <w:pitch w:val="variable"/>
    <w:sig w:usb0="E4002EFF" w:usb1="C000247B" w:usb2="00000009" w:usb3="00000000" w:csb0="000001FF" w:csb1="00000000"/>
    <w:embedRegular r:id="rId9" w:fontKey="{FEEFC404-AEE0-774A-BF36-AF054A5BF428}"/>
  </w:font>
  <w:font w:name="Cambria">
    <w:panose1 w:val="02040503050406030204"/>
    <w:charset w:val="00"/>
    <w:family w:val="roman"/>
    <w:pitch w:val="variable"/>
    <w:sig w:usb0="E00006FF" w:usb1="420024FF" w:usb2="02000000" w:usb3="00000000" w:csb0="0000019F" w:csb1="00000000"/>
    <w:embedRegular r:id="rId10" w:fontKey="{209032AE-B874-6841-8F86-177EB6F1439B}"/>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m="http://schemas.openxmlformats.org/officeDocument/2006/math" xmlns:aink="http://schemas.microsoft.com/office/drawing/2016/ink" xmlns:am3d="http://schemas.microsoft.com/office/drawing/2017/model3d" xmlns:oel="http://schemas.microsoft.com/office/2019/extlst" xmlns:r="http://schemas.openxmlformats.org/officeDocument/2006/relationships" xmlns:wp14="http://schemas.microsoft.com/office/word/2010/wordprocessingDrawing" xmlns:wp="http://schemas.openxmlformats.org/drawingml/2006/wordprocessingDrawing" xmlns:wpg="http://schemas.microsoft.com/office/word/2010/wordprocessingGroup" xmlns:wpi="http://schemas.microsoft.com/office/word/2010/wordprocessingInk" xmlns:wps="http://schemas.microsoft.com/office/word/2010/wordprocessingShape" xmlns:o="urn:schemas-microsoft-com:office:office" xmlns:v="urn:schemas-microsoft-com:vml" xmlns:w10="urn:schemas-microsoft-com:office:word" xmlns:w="http://schemas.openxmlformats.org/wordprocessingml/2006/main" xmlns:w14="http://schemas.microsoft.com/office/word/2010/wordml" xmlns:w15="http://schemas.microsoft.com/office/word/2012/wordml" xmlns:w16cei="http://schemas.microsoft.com/office/word/2026/wordml/cei" xmlns:w16cex="http://schemas.microsoft.com/office/word/2018/wordml/cex" xmlns:w16cid="http://schemas.microsoft.com/office/word/2016/wordml/cid" xmlns:w16="http://schemas.microsoft.com/office/word/2018/wordml" xmlns:w16sdtdh="http://schemas.microsoft.com/office/word/2020/wordml/sdtdatahash" xmlns:w16sdtfl="http://schemas.microsoft.com/office/word/2024/wordml/sdtformatlock" xmlns:w16se="http://schemas.microsoft.com/office/word/2015/wordml/symex" xmlns:w16du="http://schemas.microsoft.com/office/word/2023/wordml/word16du" xmlns:wne="http://schemas.microsoft.com/office/word/2006/wordml" mc:Ignorable="w14 w15 w16se w16cid w16 w16cex w16sdtdh w16sdtfl w16du wp14">
  <w:sdt>
    <w:sdtPr>
      <w:id w:val="-583298507"/>
      <w:docPartObj>
        <w:docPartGallery w:val="Page Numbers (Bottom of Page)"/>
        <w:docPartUnique/>
      </w:docPartObj>
    </w:sdtPr>
    <w:sdtEndPr>
      <w:rPr>
        <w:noProof/>
        <w:sz w:val="20"/>
        <w:szCs w:val="20"/>
      </w:rPr>
    </w:sdtEndPr>
    <w:sdtContent>
      <w:p w14:paraId="2B891F2E" w14:textId="02F9E70F" w:rsidR="00244E2F" w:rsidRPr="00886FD2" w:rsidRDefault="00244E2F" w:rsidP="00886FD2">
        <w:pPr>
          <w:pStyle w:val="Footer"/>
          <w:jc w:val="right"/>
          <w:rPr>
            <w:sz w:val="20"/>
            <w:szCs w:val="20"/>
          </w:rPr>
        </w:pPr>
        <w:r w:rsidRPr="00886FD2">
          <w:rPr>
            <w:sz w:val="20"/>
            <w:szCs w:val="20"/>
          </w:rPr>
          <w:fldChar w:fldCharType="begin"/>
        </w:r>
        <w:r w:rsidRPr="00886FD2">
          <w:rPr>
            <w:sz w:val="20"/>
            <w:szCs w:val="20"/>
          </w:rPr>
          <w:instrText xml:space="preserve"> PAGE   \* MERGEFORMAT </w:instrText>
        </w:r>
        <w:r w:rsidRPr="00886FD2">
          <w:rPr>
            <w:sz w:val="20"/>
            <w:szCs w:val="20"/>
          </w:rPr>
          <w:fldChar w:fldCharType="separate"/>
        </w:r>
        <w:r w:rsidR="00886FD2">
          <w:rPr>
            <w:noProof/>
            <w:sz w:val="20"/>
            <w:szCs w:val="20"/>
          </w:rPr>
          <w:t>1</w:t>
        </w:r>
        <w:r w:rsidRPr="00886FD2">
          <w:rPr>
            <w:noProof/>
            <w:sz w:val="20"/>
            <w:szCs w:val="20"/>
          </w:rPr>
          <w:fldChar w:fldCharType="end"/>
        </w:r>
      </w:p>
    </w:sdtContent>
  </w:sdt>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m="http://schemas.openxmlformats.org/officeDocument/2006/math" xmlns:aink="http://schemas.microsoft.com/office/drawing/2016/ink" xmlns:am3d="http://schemas.microsoft.com/office/drawing/2017/model3d" xmlns:oel="http://schemas.microsoft.com/office/2019/extlst" xmlns:r="http://schemas.openxmlformats.org/officeDocument/2006/relationships" xmlns:wp14="http://schemas.microsoft.com/office/word/2010/wordprocessingDrawing" xmlns:wp="http://schemas.openxmlformats.org/drawingml/2006/wordprocessingDrawing" xmlns:wpg="http://schemas.microsoft.com/office/word/2010/wordprocessingGroup" xmlns:wpi="http://schemas.microsoft.com/office/word/2010/wordprocessingInk" xmlns:wps="http://schemas.microsoft.com/office/word/2010/wordprocessingShape" xmlns:o="urn:schemas-microsoft-com:office:office" xmlns:v="urn:schemas-microsoft-com:vml" xmlns:w10="urn:schemas-microsoft-com:office:word" xmlns:w="http://schemas.openxmlformats.org/wordprocessingml/2006/main" xmlns:w14="http://schemas.microsoft.com/office/word/2010/wordml" xmlns:w15="http://schemas.microsoft.com/office/word/2012/wordml" xmlns:w16cei="http://schemas.microsoft.com/office/word/2026/wordml/cei" xmlns:w16cex="http://schemas.microsoft.com/office/word/2018/wordml/cex" xmlns:w16cid="http://schemas.microsoft.com/office/word/2016/wordml/cid" xmlns:w16="http://schemas.microsoft.com/office/word/2018/wordml" xmlns:w16sdtdh="http://schemas.microsoft.com/office/word/2020/wordml/sdtdatahash" xmlns:w16sdtfl="http://schemas.microsoft.com/office/word/2024/wordml/sdtformatlock" xmlns:w16se="http://schemas.microsoft.com/office/word/2015/wordml/symex" xmlns:w16du="http://schemas.microsoft.com/office/word/2023/wordml/word16du" xmlns:wne="http://schemas.microsoft.com/office/word/2006/wordml" mc:Ignorable="w14 w15 w16se w16cid w16 w16cex w16sdtdh w16sdtfl w16du wp14">
  <w:footnote w:type="separator" w:id="-1">
    <w:p w14:paraId="716B9292" w14:textId="77777777" w:rsidR="00335FA1" w:rsidRDefault="00335FA1" w:rsidP="001D1B0E">
      <w:pPr>
        <w:spacing w:line="240" w:lineRule="auto"/>
      </w:pPr>
      <w:r>
        <w:separator/>
      </w:r>
    </w:p>
  </w:footnote>
  <w:footnote w:type="continuationSeparator" w:id="0">
    <w:p w14:paraId="0A16FEE5" w14:textId="77777777" w:rsidR="00335FA1" w:rsidRDefault="00335FA1" w:rsidP="001D1B0E">
      <w:pPr>
        <w:spacing w:line="240" w:lineRule="auto"/>
      </w:pPr>
      <w:r>
        <w:continuationSeparator/>
      </w:r>
    </w:p>
  </w:footnote>
</w:footnotes>
</file>

<file path=word/settings.xml><?xml version="1.0" encoding="utf-8"?>
<w:settings xmlns:mc="http://schemas.openxmlformats.org/markup-compatibility/2006" xmlns:m="http://schemas.openxmlformats.org/officeDocument/2006/math" xmlns:r="http://schemas.openxmlformats.org/officeDocument/2006/relationships" xmlns:sl="http://schemas.openxmlformats.org/schemaLibrary/2006/main" xmlns:o="urn:schemas-microsoft-com:office:office"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dtfl="http://schemas.microsoft.com/office/word/2024/wordml/sdtformatlock" xmlns:w16se="http://schemas.microsoft.com/office/word/2015/wordml/symex" xmlns:w16du="http://schemas.microsoft.com/office/word/2023/wordml/word16du" mc:Ignorable="w14 w15 w16se w16cid w16 w16cex w16sdtdh w16sdtfl w16du">
  <w:zoom w:percent="132"/>
  <w:embedTrueTypeFonts/>
  <w:proofState w:spelling="clean" w:grammar="clean"/>
  <w:defaultTabStop w:val="720"/>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E36F9D"/>
    <w:rsid w:val="00114950"/>
    <w:rsid w:val="0013554A"/>
    <w:rsid w:val="001D1B0E"/>
    <w:rsid w:val="00244E2F"/>
    <w:rsid w:val="002A0751"/>
    <w:rsid w:val="00335FA1"/>
    <w:rsid w:val="00351E7F"/>
    <w:rsid w:val="003A59C8"/>
    <w:rsid w:val="00482B19"/>
    <w:rsid w:val="005259D1"/>
    <w:rsid w:val="005A2CC9"/>
    <w:rsid w:val="006E55C7"/>
    <w:rsid w:val="0072265F"/>
    <w:rsid w:val="00886FD2"/>
    <w:rsid w:val="00A1468A"/>
    <w:rsid w:val="00A65E90"/>
    <w:rsid w:val="00B94DE4"/>
    <w:rsid w:val="00BE0856"/>
    <w:rsid w:val="00C15F69"/>
    <w:rsid w:val="00C83176"/>
    <w:rsid w:val="00D2176F"/>
    <w:rsid w:val="00E36F9D"/>
    <w:rsid w:val="00EA21F4"/>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7BFF406F"/>
  <w15:docId w15:val="{263A0B92-E1C6-4814-8642-28D0E3286B3C}"/>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dtfl="http://schemas.microsoft.com/office/word/2024/wordml/sdtformatlock" xmlns:w16se="http://schemas.microsoft.com/office/word/2015/wordml/symex" xmlns:w16du="http://schemas.microsoft.com/office/word/2023/wordml/word16du" mc:Ignorable="w14 w15 w16se w16cid w16 w16cex w16sdtdh w16sdtfl w16du">
  <w:docDefaults>
    <w:rPrDefault>
      <w:rPr>
        <w:rFonts w:ascii="Arial" w:eastAsia="Arial" w:hAnsi="Arial" w:cs="Arial"/>
        <w:sz w:val="22"/>
        <w:szCs w:val="22"/>
        <w:lang w:val="en-GB" w:eastAsia="en-US" w:bidi="ar-SA"/>
      </w:rPr>
    </w:rPrDefault>
    <w:pPrDefault>
      <w:pPr>
        <w:spacing w:line="276"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0"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paragraph" w:styleId="Heading1">
    <w:name w:val="heading 1"/>
    <w:basedOn w:val="Normal"/>
    <w:next w:val="Normal"/>
    <w:uiPriority w:val="9"/>
    <w:qFormat/>
    <w:rsid w:val="00351E7F"/>
    <w:pPr>
      <w:keepNext/>
      <w:keepLines/>
      <w:spacing w:before="120" w:after="120" w:line="360" w:lineRule="auto"/>
      <w:jc w:val="both"/>
      <w:outlineLvl w:val="0"/>
    </w:pPr>
    <w:rPr>
      <w:b/>
      <w:sz w:val="28"/>
      <w:szCs w:val="40"/>
    </w:rPr>
  </w:style>
  <w:style w:type="paragraph" w:styleId="Heading2">
    <w:name w:val="heading 2"/>
    <w:basedOn w:val="Normal"/>
    <w:next w:val="Normal"/>
    <w:uiPriority w:val="9"/>
    <w:unhideWhenUsed/>
    <w:qFormat/>
    <w:rsid w:val="00351E7F"/>
    <w:pPr>
      <w:keepNext/>
      <w:keepLines/>
      <w:spacing w:before="120" w:after="120" w:line="360" w:lineRule="auto"/>
      <w:jc w:val="both"/>
      <w:outlineLvl w:val="1"/>
    </w:pPr>
    <w:rPr>
      <w:b/>
      <w:sz w:val="26"/>
      <w:szCs w:val="32"/>
    </w:rPr>
  </w:style>
  <w:style w:type="paragraph" w:styleId="Heading3">
    <w:name w:val="heading 3"/>
    <w:basedOn w:val="Normal"/>
    <w:next w:val="Normal"/>
    <w:unhideWhenUsed/>
    <w:qFormat/>
    <w:pPr>
      <w:keepNext/>
      <w:keepLines/>
      <w:spacing w:before="320" w:after="80"/>
      <w:outlineLvl w:val="2"/>
    </w:pPr>
    <w:rPr>
      <w:color w:val="434343"/>
      <w:sz w:val="28"/>
      <w:szCs w:val="28"/>
    </w:rPr>
  </w:style>
  <w:style w:type="paragraph" w:styleId="Heading4">
    <w:name w:val="heading 4"/>
    <w:basedOn w:val="Normal"/>
    <w:next w:val="Normal"/>
    <w:uiPriority w:val="9"/>
    <w:semiHidden/>
    <w:unhideWhenUsed/>
    <w:qFormat/>
    <w:pPr>
      <w:keepNext/>
      <w:keepLines/>
      <w:spacing w:before="280" w:after="80"/>
      <w:outlineLvl w:val="3"/>
    </w:pPr>
    <w:rPr>
      <w:color w:val="666666"/>
      <w:sz w:val="24"/>
      <w:szCs w:val="24"/>
    </w:rPr>
  </w:style>
  <w:style w:type="paragraph" w:styleId="Heading5">
    <w:name w:val="heading 5"/>
    <w:basedOn w:val="Normal"/>
    <w:next w:val="Normal"/>
    <w:uiPriority w:val="9"/>
    <w:semiHidden/>
    <w:unhideWhenUsed/>
    <w:qFormat/>
    <w:pPr>
      <w:keepNext/>
      <w:keepLines/>
      <w:spacing w:before="240" w:after="80"/>
      <w:outlineLvl w:val="4"/>
    </w:pPr>
    <w:rPr>
      <w:color w:val="666666"/>
    </w:rPr>
  </w:style>
  <w:style w:type="paragraph" w:styleId="Heading6">
    <w:name w:val="heading 6"/>
    <w:basedOn w:val="Normal"/>
    <w:next w:val="Normal"/>
    <w:uiPriority w:val="9"/>
    <w:semiHidden/>
    <w:unhideWhenUsed/>
    <w:qFormat/>
    <w:pPr>
      <w:keepNext/>
      <w:keepLines/>
      <w:spacing w:before="240" w:after="80"/>
      <w:outlineLvl w:val="5"/>
    </w:pPr>
    <w:rPr>
      <w:i/>
      <w:iCs/>
      <w:color w:val="666666"/>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table" w:customStyle="1" w:styleId="TableNormal0">
    <w:name w:val="TableNormal"/>
    <w:tblPr>
      <w:tblCellMar>
        <w:top w:w="100" w:type="dxa"/>
        <w:left w:w="100" w:type="dxa"/>
        <w:bottom w:w="100" w:type="dxa"/>
        <w:right w:w="100" w:type="dxa"/>
      </w:tblCellMar>
    </w:tblPr>
  </w:style>
  <w:style w:type="paragraph" w:styleId="Title">
    <w:name w:val="Title"/>
    <w:basedOn w:val="Normal"/>
    <w:next w:val="Normal"/>
    <w:uiPriority w:val="10"/>
    <w:qFormat/>
    <w:pPr>
      <w:keepNext/>
      <w:keepLines/>
      <w:spacing w:after="60"/>
    </w:pPr>
    <w:rPr>
      <w:sz w:val="52"/>
      <w:szCs w:val="52"/>
    </w:rPr>
  </w:style>
  <w:style w:type="paragraph" w:styleId="Subtitle">
    <w:name w:val="Subtitle"/>
    <w:basedOn w:val="Normal"/>
    <w:next w:val="Normal"/>
    <w:uiPriority w:val="11"/>
    <w:qFormat/>
    <w:pPr>
      <w:keepNext/>
      <w:keepLines/>
      <w:spacing w:after="320"/>
    </w:pPr>
    <w:rPr>
      <w:color w:val="666666"/>
      <w:sz w:val="30"/>
      <w:szCs w:val="30"/>
    </w:rPr>
  </w:style>
  <w:style w:type="paragraph" w:styleId="TOCHeading">
    <w:name w:val="TOC Heading"/>
    <w:basedOn w:val="Heading1"/>
    <w:next w:val="Normal"/>
    <w:uiPriority w:val="39"/>
    <w:unhideWhenUsed/>
    <w:qFormat/>
    <w:rsid w:val="001D1B0E"/>
    <w:pPr>
      <w:spacing w:before="240" w:after="0" w:line="259" w:lineRule="auto"/>
      <w:jc w:val="left"/>
      <w:outlineLvl w:val="9"/>
    </w:pPr>
    <w:rPr>
      <w:rFonts w:asciiTheme="majorHAnsi" w:eastAsiaTheme="majorEastAsia" w:hAnsiTheme="majorHAnsi" w:cstheme="majorBidi"/>
      <w:b w:val="0"/>
      <w:color w:val="365F91" w:themeColor="accent1" w:themeShade="BF"/>
      <w:sz w:val="32"/>
      <w:szCs w:val="32"/>
      <w:lang w:val="en-US"/>
    </w:rPr>
  </w:style>
  <w:style w:type="paragraph" w:styleId="TOC1">
    <w:name w:val="toc 1"/>
    <w:basedOn w:val="Normal"/>
    <w:next w:val="Normal"/>
    <w:autoRedefine/>
    <w:uiPriority w:val="39"/>
    <w:unhideWhenUsed/>
    <w:rsid w:val="001D1B0E"/>
    <w:pPr>
      <w:spacing w:after="100"/>
    </w:pPr>
  </w:style>
  <w:style w:type="paragraph" w:styleId="TOC2">
    <w:name w:val="toc 2"/>
    <w:basedOn w:val="Normal"/>
    <w:next w:val="Normal"/>
    <w:autoRedefine/>
    <w:uiPriority w:val="39"/>
    <w:unhideWhenUsed/>
    <w:rsid w:val="001D1B0E"/>
    <w:pPr>
      <w:spacing w:after="100"/>
      <w:ind w:left="220"/>
    </w:pPr>
  </w:style>
  <w:style w:type="character" w:styleId="Hyperlink">
    <w:name w:val="Hyperlink"/>
    <w:basedOn w:val="DefaultParagraphFont"/>
    <w:uiPriority w:val="99"/>
    <w:unhideWhenUsed/>
    <w:rsid w:val="001D1B0E"/>
    <w:rPr>
      <w:color w:val="0000FF" w:themeColor="hyperlink"/>
      <w:u w:val="single"/>
    </w:rPr>
  </w:style>
  <w:style w:type="paragraph" w:styleId="Header">
    <w:name w:val="header"/>
    <w:basedOn w:val="Normal"/>
    <w:link w:val="HeaderChar"/>
    <w:uiPriority w:val="99"/>
    <w:unhideWhenUsed/>
    <w:rsid w:val="001D1B0E"/>
    <w:pPr>
      <w:tabs>
        <w:tab w:val="center" w:pos="4680"/>
        <w:tab w:val="right" w:pos="9360"/>
      </w:tabs>
      <w:spacing w:line="240" w:lineRule="auto"/>
    </w:pPr>
  </w:style>
  <w:style w:type="character" w:customStyle="1" w:styleId="HeaderChar">
    <w:name w:val="Header Char"/>
    <w:basedOn w:val="DefaultParagraphFont"/>
    <w:link w:val="Header"/>
    <w:uiPriority w:val="99"/>
    <w:rsid w:val="001D1B0E"/>
  </w:style>
  <w:style w:type="paragraph" w:styleId="Footer">
    <w:name w:val="footer"/>
    <w:basedOn w:val="Normal"/>
    <w:link w:val="FooterChar"/>
    <w:uiPriority w:val="99"/>
    <w:unhideWhenUsed/>
    <w:rsid w:val="001D1B0E"/>
    <w:pPr>
      <w:tabs>
        <w:tab w:val="center" w:pos="4680"/>
        <w:tab w:val="right" w:pos="9360"/>
      </w:tabs>
      <w:spacing w:line="240" w:lineRule="auto"/>
    </w:pPr>
  </w:style>
  <w:style w:type="character" w:customStyle="1" w:styleId="FooterChar">
    <w:name w:val="Footer Char"/>
    <w:basedOn w:val="DefaultParagraphFont"/>
    <w:link w:val="Footer"/>
    <w:uiPriority w:val="99"/>
    <w:rsid w:val="001D1B0E"/>
  </w:style>
  <w:style w:type="paragraph" w:styleId="NormalWeb">
    <w:name w:val="Normal (Web)"/>
    <w:basedOn w:val="Normal"/>
    <w:uiPriority w:val="99"/>
    <w:semiHidden/>
    <w:unhideWhenUsed/>
    <w:rsid w:val="00C83176"/>
    <w:pPr>
      <w:spacing w:before="100" w:beforeAutospacing="1" w:after="100" w:afterAutospacing="1" w:line="240" w:lineRule="auto"/>
    </w:pPr>
    <w:rPr>
      <w:rFonts w:ascii="Times New Roman" w:eastAsia="Times New Roman" w:hAnsi="Times New Roman" w:cs="Times New Roman"/>
      <w:sz w:val="24"/>
      <w:szCs w:val="24"/>
      <w:lang w:val="en-US"/>
    </w:rPr>
  </w:style>
  <w:style w:type="paragraph" w:styleId="TOC3">
    <w:name w:val="toc 3"/>
    <w:basedOn w:val="Normal"/>
    <w:next w:val="Normal"/>
    <w:autoRedefine/>
    <w:uiPriority w:val="39"/>
    <w:unhideWhenUsed/>
    <w:rsid w:val="002A0751"/>
    <w:pPr>
      <w:spacing w:after="100"/>
      <w:ind w:left="440"/>
    </w:p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dtfl="http://schemas.microsoft.com/office/word/2024/wordml/sdtformatlock" xmlns:w16se="http://schemas.microsoft.com/office/word/2015/wordml/symex" xmlns:w16du="http://schemas.microsoft.com/office/word/2023/wordml/word16du" mc:Ignorable="w14 w15 w16se w16cid w16 w16cex w16sdtdh w16sdtfl w16du">
  <w:divs>
    <w:div w:id="1025445385">
      <w:bodyDiv w:val="1"/>
      <w:marLeft w:val="0"/>
      <w:marRight w:val="0"/>
      <w:marTop w:val="0"/>
      <w:marBottom w:val="0"/>
      <w:divBdr>
        <w:top w:val="none" w:sz="0" w:space="0" w:color="auto"/>
        <w:left w:val="none" w:sz="0" w:space="0" w:color="auto"/>
        <w:bottom w:val="none" w:sz="0" w:space="0" w:color="auto"/>
        <w:right w:val="none" w:sz="0" w:space="0" w:color="auto"/>
      </w:divBdr>
    </w:div>
  </w:divs>
</w:webSettings>
</file>

<file path=word/_rels/document.xml.rels><?xml version="1.0" encoding="UTF-8" standalone="yes"?>
<Relationships xmlns="http://schemas.openxmlformats.org/package/2006/relationships"><Relationship Id="rId26" Type="http://schemas.openxmlformats.org/officeDocument/2006/relationships/hyperlink" Target="https://www.atlantis-press.com/article/125971510.pdf" TargetMode="External"/><Relationship Id="rId21" Type="http://schemas.openxmlformats.org/officeDocument/2006/relationships/hyperlink" Target="https://www.journalkeberlanjutan.com/index.php/JoGTA/article/download/1734/1468" TargetMode="External"/><Relationship Id="rId42" Type="http://schemas.openxmlformats.org/officeDocument/2006/relationships/hyperlink" Target="https://books.google.com/books?hl=en&amp;lr=&amp;id=CeKuEQAAQBAJ&amp;oi=fnd&amp;pg=PA1&amp;dq=this+hospitality+company+requires+to+negotiate+extended+supplier+payment+terms+where+commercially+appropriate,+maximising+the+Days+Payables+Outstanding+without+hindering+the+relationships+with+the+suppliers+and+thus+preserving+the+short-term+liquidity.+&amp;ots=-291H23XIl&amp;sig=JCqn9w91KOilQoanSq4ZF13Ja-A" TargetMode="External"/><Relationship Id="rId47" Type="http://schemas.openxmlformats.org/officeDocument/2006/relationships/hyperlink" Target="https://www.sciencedirect.com/science/article/pii/S0278431922002572" TargetMode="External"/><Relationship Id="rId63" Type="http://schemas.openxmlformats.org/officeDocument/2006/relationships/hyperlink" Target="https://hej.hyperion.ro/articles/HEJ%20nr1(12)_2025_s.pdf" TargetMode="External"/><Relationship Id="rId68" Type="http://schemas.openxmlformats.org/officeDocument/2006/relationships/hyperlink" Target="https://www.econstor.eu/bitstream/10419/271063/1/1843710609.pdf" TargetMode="External"/><Relationship Id="rId7" Type="http://schemas.openxmlformats.org/officeDocument/2006/relationships/image" Target="media/image1.jpeg"/><Relationship Id="rId71" Type="http://schemas.openxmlformats.org/officeDocument/2006/relationships/theme" Target="theme/theme1.xml"/><Relationship Id="rId2" Type="http://schemas.openxmlformats.org/officeDocument/2006/relationships/styles" Target="styles.xml"/><Relationship Id="rId16" Type="http://schemas.openxmlformats.org/officeDocument/2006/relationships/hyperlink" Target="https://journal.iue.edu.krd/index.php/public/article/download/56/40" TargetMode="External"/><Relationship Id="rId29" Type="http://schemas.openxmlformats.org/officeDocument/2006/relationships/hyperlink" Target="https://finance.yahoo.com/quote/HLT/financials/" TargetMode="External"/><Relationship Id="rId11" Type="http://schemas.openxmlformats.org/officeDocument/2006/relationships/chart" Target="charts/chart4.xml"/><Relationship Id="rId24" Type="http://schemas.openxmlformats.org/officeDocument/2006/relationships/hyperlink" Target="https://www.mdpi.com/2227-7390/11/3/616" TargetMode="External"/><Relationship Id="rId32" Type="http://schemas.openxmlformats.org/officeDocument/2006/relationships/hyperlink" Target="https://onlinelibrary.wiley.com/doi/pdfdirect/10.1111/jofi.13162" TargetMode="External"/><Relationship Id="rId37" Type="http://schemas.openxmlformats.org/officeDocument/2006/relationships/hyperlink" Target="https://jurnal.ibik.ac.id/index.php/jimkes/article/download/2742/1966" TargetMode="External"/><Relationship Id="rId40" Type="http://schemas.openxmlformats.org/officeDocument/2006/relationships/hyperlink" Target="https://papers.ssrn.com/sol3/Delivery.cfm?abstractid=4549624" TargetMode="External"/><Relationship Id="rId45" Type="http://schemas.openxmlformats.org/officeDocument/2006/relationships/hyperlink" Target="https://atlantic-press-journals.com/index.php/JMBE/article/download/422/987" TargetMode="External"/><Relationship Id="rId53" Type="http://schemas.openxmlformats.org/officeDocument/2006/relationships/hyperlink" Target="https://www.researchgate.net/profile/Kelvin-Adim-Mordi/publication/394032413_Financial_Flexibility_in_RD_Investment_A_Study_of_Operating_Cash_Flow_Earnings_before_Interest_and_Tax_and_Gearing_Ratio/links/68854a77253dcb78df887e25/Financial-Flexibility-in-R-D-Investment-A-Study-of-Operating-Cash-Flow-Earnings-before-Interest-and-Tax-and-Gearing-Ratio.pdf" TargetMode="External"/><Relationship Id="rId58" Type="http://schemas.openxmlformats.org/officeDocument/2006/relationships/hyperlink" Target="http://eduvest.greenvest.co.id/index.php/edv/article/download/52057/4523" TargetMode="External"/><Relationship Id="rId66" Type="http://schemas.openxmlformats.org/officeDocument/2006/relationships/hyperlink" Target="https://umbrex.com/resources/company-profiles/hilton/" TargetMode="External"/><Relationship Id="rId5" Type="http://schemas.openxmlformats.org/officeDocument/2006/relationships/footnotes" Target="footnotes.xml"/><Relationship Id="rId61" Type="http://schemas.openxmlformats.org/officeDocument/2006/relationships/hyperlink" Target="https://www.sustainabilityreports.com/hilton-worldwide/2024/travel-with-purpose-report" TargetMode="External"/><Relationship Id="rId19" Type="http://schemas.openxmlformats.org/officeDocument/2006/relationships/hyperlink" Target="https://www.researchgate.net/profile/Enoch-Alonge/publication/390033672_A_Predictive_Analytics_Model_for_Optimizing_Cash_Flow_Management_in_Multi-Location_and_Global_Business_Enterprises/links/67dc9faf35f7044c924df1d5/A-Predictive-Analytics-Model-for-Optimizing-Cash-Flow-Management-in-Multi-Location-and-Global-Business-Enterprises.pdf" TargetMode="External"/><Relationship Id="rId14" Type="http://schemas.openxmlformats.org/officeDocument/2006/relationships/image" Target="media/image2.png"/><Relationship Id="rId22" Type="http://schemas.openxmlformats.org/officeDocument/2006/relationships/hyperlink" Target="http://www.pjssrjournal.com/index.php/Journal/article/download/201/190" TargetMode="External"/><Relationship Id="rId27" Type="http://schemas.openxmlformats.org/officeDocument/2006/relationships/hyperlink" Target="https://pmc.ncbi.nlm.nih.gov/articles/PMC9316713/pdf/main.pdf" TargetMode="External"/><Relationship Id="rId30" Type="http://schemas.openxmlformats.org/officeDocument/2006/relationships/hyperlink" Target="https://finance.yahoo.com/quote/HLT/financials/" TargetMode="External"/><Relationship Id="rId35" Type="http://schemas.openxmlformats.org/officeDocument/2006/relationships/hyperlink" Target="https://stars.library.ucf.edu/cgi/viewcontent.cgi?article=1420&amp;context=etd2024" TargetMode="External"/><Relationship Id="rId43" Type="http://schemas.openxmlformats.org/officeDocument/2006/relationships/hyperlink" Target="https://www.ijmrsetm.com/admin/img/15_Ratio.pdf" TargetMode="External"/><Relationship Id="rId48" Type="http://schemas.openxmlformats.org/officeDocument/2006/relationships/hyperlink" Target="https://www.sciencedirect.com/science/article/pii/S0278431922002572" TargetMode="External"/><Relationship Id="rId56" Type="http://schemas.openxmlformats.org/officeDocument/2006/relationships/hyperlink" Target="https://scholar.archive.org/work/mdlbi2hanraitgfektlykiu5wa/access/wayback/https:/jurnal.narotama.ac.id/index.php/ijebd/article/download/1897/1330" TargetMode="External"/><Relationship Id="rId64" Type="http://schemas.openxmlformats.org/officeDocument/2006/relationships/hyperlink" Target="https://hej.hyperion.ro/articles/HEJ%20nr1(12)_2025_s.pdf" TargetMode="External"/><Relationship Id="rId69" Type="http://schemas.openxmlformats.org/officeDocument/2006/relationships/footer" Target="footer1.xml"/><Relationship Id="rId8" Type="http://schemas.openxmlformats.org/officeDocument/2006/relationships/chart" Target="charts/chart1.xml"/><Relationship Id="rId51" Type="http://schemas.openxmlformats.org/officeDocument/2006/relationships/hyperlink" Target="https://www.um.edu.mt/library/oar/bitstream/123456789/139210/1/ERSJ28%283%29A28.pdf" TargetMode="External"/><Relationship Id="rId3" Type="http://schemas.openxmlformats.org/officeDocument/2006/relationships/settings" Target="settings.xml"/><Relationship Id="rId12" Type="http://schemas.openxmlformats.org/officeDocument/2006/relationships/chart" Target="charts/chart5.xml"/><Relationship Id="rId17" Type="http://schemas.openxmlformats.org/officeDocument/2006/relationships/hyperlink" Target="https://www.researchgate.net/profile/Ovbe-Akpadaka/publication/383262033_Impact_of_Cash_Conversion_Cycle_and_Financial_Stability_on_Firm_Value/links/66c4c856ccd355055fe1342b/Impact-of-Cash-Conversion-Cycle-and-Financial-Stability-on-Firm-Value.pdf" TargetMode="External"/><Relationship Id="rId25" Type="http://schemas.openxmlformats.org/officeDocument/2006/relationships/hyperlink" Target="https://www.researchgate.net/profile/Noureddine-Abdelkader-3/publication/401546099_Banking_Operations_and_Corporate_Finance/links/69a86eaad1599a2cb7f67267/Banking-Operations-and-Corporate-Finance.pdf" TargetMode="External"/><Relationship Id="rId33" Type="http://schemas.openxmlformats.org/officeDocument/2006/relationships/hyperlink" Target="https://www.preprints.org/frontend/manuscript/87e6d4da80d3b5d42ca3d909ed7aa5d6/download_pub" TargetMode="External"/><Relationship Id="rId38" Type="http://schemas.openxmlformats.org/officeDocument/2006/relationships/hyperlink" Target="https://ir.hilton.com/financial-reporting/annual-reports" TargetMode="External"/><Relationship Id="rId46" Type="http://schemas.openxmlformats.org/officeDocument/2006/relationships/hyperlink" Target="https://papers.ssrn.com/sol3/Delivery.cfm?abstractid=4277872" TargetMode="External"/><Relationship Id="rId59" Type="http://schemas.openxmlformats.org/officeDocument/2006/relationships/hyperlink" Target="https://www.sec.gov/Archives/edgar/data/1585689/000158568924000191/hlt-20240930.htm" TargetMode="External"/><Relationship Id="rId67" Type="http://schemas.openxmlformats.org/officeDocument/2006/relationships/hyperlink" Target="https://irjems.org/Volume-4-Issue-11/IRJEMS-V4I11P113.pdf" TargetMode="External"/><Relationship Id="rId20" Type="http://schemas.openxmlformats.org/officeDocument/2006/relationships/hyperlink" Target="https://www.journalkeberlanjutan.com/index.php/JoGTA/article/download/1734/1468" TargetMode="External"/><Relationship Id="rId41" Type="http://schemas.openxmlformats.org/officeDocument/2006/relationships/hyperlink" Target="http://xiaohedyhuang.com/HOME_files/BDF.pdf" TargetMode="External"/><Relationship Id="rId54" Type="http://schemas.openxmlformats.org/officeDocument/2006/relationships/hyperlink" Target="https://www.researchgate.net/profile/Kelvin-Adim-Mordi/publication/394032413_Financial_Flexibility_in_RD_Investment_A_Study_of_Operating_Cash_Flow_Earnings_before_Interest_and_Tax_and_Gearing_Ratio/links/68854a77253dcb78df887e25/Financial-Flexibility-in-R-D-Investment-A-Study-of-Operating-Cash-Flow-Earnings-before-Interest-and-Tax-and-Gearing-Ratio.pdf" TargetMode="External"/><Relationship Id="rId62" Type="http://schemas.openxmlformats.org/officeDocument/2006/relationships/hyperlink" Target="https://travelwithpurpose.hilton.com/wp-content/uploads/sites/4/2025/06/2024Report.pdf" TargetMode="External"/><Relationship Id="rId70" Type="http://schemas.openxmlformats.org/officeDocument/2006/relationships/fontTable" Target="fontTable.xml"/><Relationship Id="rId1" Type="http://schemas.openxmlformats.org/officeDocument/2006/relationships/customXml" Target="../customXml/item1.xml"/><Relationship Id="rId6" Type="http://schemas.openxmlformats.org/officeDocument/2006/relationships/endnotes" Target="endnotes.xml"/><Relationship Id="rId15" Type="http://schemas.openxmlformats.org/officeDocument/2006/relationships/hyperlink" Target="https://journal.iue.edu.krd/index.php/public/article/download/56/40" TargetMode="External"/><Relationship Id="rId23" Type="http://schemas.openxmlformats.org/officeDocument/2006/relationships/hyperlink" Target="https://www.academia.edu/download/106769993/cash-conversion-cycle-and-firms-performance.pdf" TargetMode="External"/><Relationship Id="rId28" Type="http://schemas.openxmlformats.org/officeDocument/2006/relationships/hyperlink" Target="https://faculty.wharton.upenn.edu/wp-content/uploads/2016/11/Resource-and-Redeployment_Feldman-Sakhartov_2021.pdf" TargetMode="External"/><Relationship Id="rId36" Type="http://schemas.openxmlformats.org/officeDocument/2006/relationships/hyperlink" Target="https://jurnal.ibik.ac.id/index.php/jimkes/article/download/2742/1966" TargetMode="External"/><Relationship Id="rId49" Type="http://schemas.openxmlformats.org/officeDocument/2006/relationships/hyperlink" Target="https://www.researchgate.net/profile/Geraldine-Mbah/publication/387025413_Data_privacy_in_the_era_of_AI_Navigating_regulatory_landscapes_for_global_businesses/links/675c9d8cebc8f979702cae20/Data-privacy-in-the-era-of-AI-Navigating-regulatory-landscapes-for-global-businesses.pdf" TargetMode="External"/><Relationship Id="rId57" Type="http://schemas.openxmlformats.org/officeDocument/2006/relationships/hyperlink" Target="http://eduvest.greenvest.co.id/index.php/edv/article/download/52057/4523" TargetMode="External"/><Relationship Id="rId10" Type="http://schemas.openxmlformats.org/officeDocument/2006/relationships/chart" Target="charts/chart3.xml"/><Relationship Id="rId31" Type="http://schemas.openxmlformats.org/officeDocument/2006/relationships/hyperlink" Target="https://cris.unibo.it/bitstream/11585/903139/4/AuthorFinalVersion%2BIRIS_removed.pdf" TargetMode="External"/><Relationship Id="rId44" Type="http://schemas.openxmlformats.org/officeDocument/2006/relationships/hyperlink" Target="https://www.ijmrsetm.com/admin/img/15_Ratio.pdf" TargetMode="External"/><Relationship Id="rId52" Type="http://schemas.openxmlformats.org/officeDocument/2006/relationships/hyperlink" Target="https://ijmeapub.com/index.php/pub/article/download/32/29" TargetMode="External"/><Relationship Id="rId60" Type="http://schemas.openxmlformats.org/officeDocument/2006/relationships/hyperlink" Target="https://www.sec.gov/Archives/edgar/data/1585689/000158568924000191/hlt-20240930.htm" TargetMode="External"/><Relationship Id="rId65" Type="http://schemas.openxmlformats.org/officeDocument/2006/relationships/hyperlink" Target="https://www.tradingview.com/news/tradingview:a40ef57379900:0-hilton-worldwide-holdings-inc-sec-10-k-report/" TargetMode="External"/><Relationship Id="rId4" Type="http://schemas.openxmlformats.org/officeDocument/2006/relationships/webSettings" Target="webSettings.xml"/><Relationship Id="rId9" Type="http://schemas.openxmlformats.org/officeDocument/2006/relationships/chart" Target="charts/chart2.xml"/><Relationship Id="rId13" Type="http://schemas.openxmlformats.org/officeDocument/2006/relationships/chart" Target="charts/chart6.xml"/><Relationship Id="rId18" Type="http://schemas.openxmlformats.org/officeDocument/2006/relationships/hyperlink" Target="https://www.researchgate.net/profile/Ishrak-Alim-2/publication/405411961_A_semantic_and_behavioral_AI_framework_for_detecting_invoice_fraud_in_automated_accounts_payable/links/6a18b1301d2edf444ddb9939/A-semantic-and-behavioral-AI-framework-for-detecting-invoice-fraud-in-automated-accounts-payable.pdf" TargetMode="External"/><Relationship Id="rId39" Type="http://schemas.openxmlformats.org/officeDocument/2006/relationships/hyperlink" Target="https://ir.hilton.com/financial-reporting/annual-reports" TargetMode="External"/><Relationship Id="rId34" Type="http://schemas.openxmlformats.org/officeDocument/2006/relationships/hyperlink" Target="https://www.preprints.org/frontend/manuscript/87e6d4da80d3b5d42ca3d909ed7aa5d6/download_pub" TargetMode="External"/><Relationship Id="rId50" Type="http://schemas.openxmlformats.org/officeDocument/2006/relationships/hyperlink" Target="https://www.um.edu.mt/library/oar/bitstream/123456789/139210/1/ERSJ28%283%29A28.pdf" TargetMode="External"/><Relationship Id="rId55" Type="http://schemas.openxmlformats.org/officeDocument/2006/relationships/hyperlink" Target="https://scholar.archive.org/work/mdlbi2hanraitgfektlykiu5wa/access/wayback/https:/jurnal.narotama.ac.id/index.php/ijebd/article/download/1897/1330" TargetMode="External"/></Relationships>
</file>

<file path=word/_rels/fontTable.xml.rels><?xml version="1.0" encoding="UTF-8" standalone="yes"?>
<Relationships xmlns="http://schemas.openxmlformats.org/package/2006/relationships"><Relationship Id="rId8" Type="http://schemas.openxmlformats.org/officeDocument/2006/relationships/font" Target="fonts/font8.odttf"/><Relationship Id="rId3" Type="http://schemas.openxmlformats.org/officeDocument/2006/relationships/font" Target="fonts/font3.odttf"/><Relationship Id="rId7" Type="http://schemas.openxmlformats.org/officeDocument/2006/relationships/font" Target="fonts/font7.odttf"/><Relationship Id="rId2" Type="http://schemas.openxmlformats.org/officeDocument/2006/relationships/font" Target="fonts/font2.odttf"/><Relationship Id="rId1" Type="http://schemas.openxmlformats.org/officeDocument/2006/relationships/font" Target="fonts/font1.odttf"/><Relationship Id="rId6" Type="http://schemas.openxmlformats.org/officeDocument/2006/relationships/font" Target="fonts/font6.odttf"/><Relationship Id="rId5" Type="http://schemas.openxmlformats.org/officeDocument/2006/relationships/font" Target="fonts/font5.odttf"/><Relationship Id="rId10" Type="http://schemas.openxmlformats.org/officeDocument/2006/relationships/font" Target="fonts/font10.odttf"/><Relationship Id="rId4" Type="http://schemas.openxmlformats.org/officeDocument/2006/relationships/font" Target="fonts/font4.odttf"/><Relationship Id="rId9" Type="http://schemas.openxmlformats.org/officeDocument/2006/relationships/font" Target="fonts/font9.odttf"/></Relationships>
</file>

<file path=word/charts/_rels/chart1.xml.rels><?xml version="1.0" encoding="UTF-8" standalone="yes"?>
<Relationships xmlns="http://schemas.openxmlformats.org/package/2006/relationships"><Relationship Id="rId3" Type="http://schemas.openxmlformats.org/officeDocument/2006/relationships/oleObject" Target="file:///E:\Class%20note\Shivani-Wales-Financial%20Management.xlsx" TargetMode="External"/><Relationship Id="rId2" Type="http://schemas.microsoft.com/office/2011/relationships/chartColorStyle" Target="colors1.xml"/><Relationship Id="rId1" Type="http://schemas.microsoft.com/office/2011/relationships/chartStyle" Target="style1.xml"/></Relationships>
</file>

<file path=word/charts/_rels/chart2.xml.rels><?xml version="1.0" encoding="UTF-8" standalone="yes"?>
<Relationships xmlns="http://schemas.openxmlformats.org/package/2006/relationships"><Relationship Id="rId3" Type="http://schemas.openxmlformats.org/officeDocument/2006/relationships/oleObject" Target="file:///E:\Class%20note\Shivani-Wales-Financial%20Management.xlsx" TargetMode="External"/><Relationship Id="rId2" Type="http://schemas.microsoft.com/office/2011/relationships/chartColorStyle" Target="colors2.xml"/><Relationship Id="rId1" Type="http://schemas.microsoft.com/office/2011/relationships/chartStyle" Target="style2.xml"/></Relationships>
</file>

<file path=word/charts/_rels/chart3.xml.rels><?xml version="1.0" encoding="UTF-8" standalone="yes"?>
<Relationships xmlns="http://schemas.openxmlformats.org/package/2006/relationships"><Relationship Id="rId3" Type="http://schemas.openxmlformats.org/officeDocument/2006/relationships/oleObject" Target="file:///E:\Class%20note\Shivani-Wales-Financial%20Management.xlsx" TargetMode="External"/><Relationship Id="rId2" Type="http://schemas.microsoft.com/office/2011/relationships/chartColorStyle" Target="colors3.xml"/><Relationship Id="rId1" Type="http://schemas.microsoft.com/office/2011/relationships/chartStyle" Target="style3.xml"/></Relationships>
</file>

<file path=word/charts/_rels/chart4.xml.rels><?xml version="1.0" encoding="UTF-8" standalone="yes"?>
<Relationships xmlns="http://schemas.openxmlformats.org/package/2006/relationships"><Relationship Id="rId3" Type="http://schemas.openxmlformats.org/officeDocument/2006/relationships/oleObject" Target="file:///E:\Class%20note\Shivani-Wales-Financial%20Management.xlsx" TargetMode="External"/><Relationship Id="rId2" Type="http://schemas.microsoft.com/office/2011/relationships/chartColorStyle" Target="colors4.xml"/><Relationship Id="rId1" Type="http://schemas.microsoft.com/office/2011/relationships/chartStyle" Target="style4.xml"/></Relationships>
</file>

<file path=word/charts/_rels/chart5.xml.rels><?xml version="1.0" encoding="UTF-8" standalone="yes"?>
<Relationships xmlns="http://schemas.openxmlformats.org/package/2006/relationships"><Relationship Id="rId3" Type="http://schemas.openxmlformats.org/officeDocument/2006/relationships/oleObject" Target="file:///E:\Class%20note\Shivani-Wales-Financial%20Management.xlsx" TargetMode="External"/><Relationship Id="rId2" Type="http://schemas.microsoft.com/office/2011/relationships/chartColorStyle" Target="colors5.xml"/><Relationship Id="rId1" Type="http://schemas.microsoft.com/office/2011/relationships/chartStyle" Target="style5.xml"/></Relationships>
</file>

<file path=word/charts/_rels/chart6.xml.rels><?xml version="1.0" encoding="UTF-8" standalone="yes"?>
<Relationships xmlns="http://schemas.openxmlformats.org/package/2006/relationships"><Relationship Id="rId3" Type="http://schemas.openxmlformats.org/officeDocument/2006/relationships/oleObject" Target="file:///E:\Class%20note\Shivani-Wales-Financial%20Management.xlsx" TargetMode="External"/><Relationship Id="rId2" Type="http://schemas.microsoft.com/office/2011/relationships/chartColorStyle" Target="colors6.xml"/><Relationship Id="rId1" Type="http://schemas.microsoft.com/office/2011/relationships/chartStyle" Target="style6.xml"/></Relationships>
</file>

<file path=word/charts/chart1.xml><?xml version="1.0" encoding="utf-8"?>
<c:chartSpace xmlns:c="http://schemas.openxmlformats.org/drawingml/2006/chart" xmlns:a="http://schemas.openxmlformats.org/drawingml/2006/main" xmlns:r="http://schemas.openxmlformats.org/officeDocument/2006/relationships" xmlns:c16r2="http://schemas.microsoft.com/office/drawing/2015/06/chart">
  <c:date1904 val="0"/>
  <c:lang val="en-US"/>
  <c:roundedCorners val="0"/>
  <mc:AlternateContent xmlns:mc="http://schemas.openxmlformats.org/markup-compatibility/2006">
    <mc:Choice xmlns:c14="http://schemas.microsoft.com/office/drawing/2007/8/2/chart" Requires="c14">
      <c14:style val="102"/>
    </mc:Choice>
    <mc:Fallback>
      <c:style val="2"/>
    </mc:Fallback>
  </mc:AlternateContent>
  <c:chart>
    <c:title>
      <c:tx>
        <c:rich>
          <a:bodyPr rot="0" spcFirstLastPara="1" vertOverflow="ellipsis" vert="horz" wrap="square" anchor="ctr" anchorCtr="1"/>
          <a:lstStyle/>
          <a:p>
            <a:pPr>
              <a:defRPr sz="1400" b="0" i="0" u="none" strike="noStrike" kern="1200" spc="0" baseline="0">
                <a:solidFill>
                  <a:sysClr val="windowText" lastClr="000000"/>
                </a:solidFill>
                <a:latin typeface="Times New Roman" panose="02020603050405020304" pitchFamily="18" charset="0"/>
                <a:ea typeface="+mn-ea"/>
                <a:cs typeface="Times New Roman" panose="02020603050405020304" pitchFamily="18" charset="0"/>
              </a:defRPr>
            </a:pPr>
            <a:r>
              <a:rPr lang="en-US" b="1"/>
              <a:t>Gross Profit Margin </a:t>
            </a:r>
          </a:p>
        </c:rich>
      </c:tx>
      <c:overlay val="0"/>
      <c:spPr>
        <a:noFill/>
        <a:ln>
          <a:noFill/>
        </a:ln>
        <a:effectLst/>
      </c:spPr>
      <c:txPr>
        <a:bodyPr rot="0" spcFirstLastPara="1" vertOverflow="ellipsis" vert="horz" wrap="square" anchor="ctr" anchorCtr="1"/>
        <a:lstStyle/>
        <a:p>
          <a:pPr>
            <a:defRPr sz="1400" b="0" i="0" u="none" strike="noStrike" kern="1200" spc="0" baseline="0">
              <a:solidFill>
                <a:sysClr val="windowText" lastClr="000000"/>
              </a:solidFill>
              <a:latin typeface="Times New Roman" panose="02020603050405020304" pitchFamily="18" charset="0"/>
              <a:ea typeface="+mn-ea"/>
              <a:cs typeface="Times New Roman" panose="02020603050405020304" pitchFamily="18" charset="0"/>
            </a:defRPr>
          </a:pPr>
          <a:endParaRPr lang="en-US"/>
        </a:p>
      </c:txPr>
    </c:title>
    <c:autoTitleDeleted val="0"/>
    <c:plotArea>
      <c:layout/>
      <c:lineChart>
        <c:grouping val="standard"/>
        <c:varyColors val="0"/>
        <c:ser>
          <c:idx val="0"/>
          <c:order val="0"/>
          <c:tx>
            <c:strRef>
              <c:f>Ratios!$B$27:$C$27</c:f>
              <c:strCache>
                <c:ptCount val="2"/>
                <c:pt idx="0">
                  <c:v>Gross Profit Margin</c:v>
                </c:pt>
                <c:pt idx="1">
                  <c:v>Gross Profit/Revenue</c:v>
                </c:pt>
              </c:strCache>
            </c:strRef>
          </c:tx>
          <c:spPr>
            <a:ln w="28575" cap="rnd">
              <a:solidFill>
                <a:schemeClr val="accent1"/>
              </a:solidFill>
              <a:round/>
            </a:ln>
            <a:effectLst/>
          </c:spPr>
          <c:marker>
            <c:symbol val="none"/>
          </c:marker>
          <c:cat>
            <c:numRef>
              <c:f>Ratios!$D$26:$H$26</c:f>
              <c:numCache>
                <c:formatCode>General</c:formatCode>
                <c:ptCount val="5"/>
                <c:pt idx="0">
                  <c:v>2021</c:v>
                </c:pt>
                <c:pt idx="1">
                  <c:v>2022</c:v>
                </c:pt>
                <c:pt idx="2">
                  <c:v>2023</c:v>
                </c:pt>
                <c:pt idx="3">
                  <c:v>2024</c:v>
                </c:pt>
                <c:pt idx="4">
                  <c:v>2025</c:v>
                </c:pt>
              </c:numCache>
            </c:numRef>
          </c:cat>
          <c:val>
            <c:numRef>
              <c:f>Ratios!$D$27:$H$27</c:f>
              <c:numCache>
                <c:formatCode>0.000</c:formatCode>
                <c:ptCount val="5"/>
                <c:pt idx="0">
                  <c:v>0.88268832066344161</c:v>
                </c:pt>
                <c:pt idx="1">
                  <c:v>0.88612789239712753</c:v>
                </c:pt>
                <c:pt idx="2">
                  <c:v>0.88851978505129459</c:v>
                </c:pt>
                <c:pt idx="3">
                  <c:v>0.8992303561839986</c:v>
                </c:pt>
                <c:pt idx="4">
                  <c:v>0.90912866517152591</c:v>
                </c:pt>
              </c:numCache>
            </c:numRef>
          </c:val>
          <c:smooth val="0"/>
          <c:extLst>
            <c:ext xmlns:c16="http://schemas.microsoft.com/office/drawing/2014/chart" uri="{C3380CC4-5D6E-409C-BE32-E72D297353CC}">
              <c16:uniqueId val="{00000000-2EAB-4BBC-A505-CBA2B3599D68}"/>
            </c:ext>
          </c:extLst>
        </c:ser>
        <c:dLbls>
          <c:showLegendKey val="0"/>
          <c:showVal val="0"/>
          <c:showCatName val="0"/>
          <c:showSerName val="0"/>
          <c:showPercent val="0"/>
          <c:showBubbleSize val="0"/>
        </c:dLbls>
        <c:smooth val="0"/>
        <c:axId val="26185807"/>
        <c:axId val="103064543"/>
      </c:lineChart>
      <c:catAx>
        <c:axId val="26185807"/>
        <c:scaling>
          <c:orientation val="minMax"/>
        </c:scaling>
        <c:delete val="0"/>
        <c:axPos val="b"/>
        <c:numFmt formatCode="General" sourceLinked="1"/>
        <c:majorTickMark val="none"/>
        <c:minorTickMark val="none"/>
        <c:tickLblPos val="nextTo"/>
        <c:spPr>
          <a:noFill/>
          <a:ln w="9525" cap="flat" cmpd="sng" algn="ctr">
            <a:solidFill>
              <a:schemeClr val="tx1">
                <a:lumMod val="15000"/>
                <a:lumOff val="85000"/>
              </a:schemeClr>
            </a:solidFill>
            <a:round/>
          </a:ln>
          <a:effectLst/>
        </c:spPr>
        <c:txPr>
          <a:bodyPr rot="-60000000" spcFirstLastPara="1" vertOverflow="ellipsis" vert="horz" wrap="square" anchor="ctr" anchorCtr="1"/>
          <a:lstStyle/>
          <a:p>
            <a:pPr>
              <a:defRPr sz="900" b="0" i="0" u="none" strike="noStrike" kern="1200" baseline="0">
                <a:solidFill>
                  <a:sysClr val="windowText" lastClr="000000"/>
                </a:solidFill>
                <a:latin typeface="Times New Roman" panose="02020603050405020304" pitchFamily="18" charset="0"/>
                <a:ea typeface="+mn-ea"/>
                <a:cs typeface="Times New Roman" panose="02020603050405020304" pitchFamily="18" charset="0"/>
              </a:defRPr>
            </a:pPr>
            <a:endParaRPr lang="en-US"/>
          </a:p>
        </c:txPr>
        <c:crossAx val="103064543"/>
        <c:crosses val="autoZero"/>
        <c:auto val="1"/>
        <c:lblAlgn val="ctr"/>
        <c:lblOffset val="100"/>
        <c:noMultiLvlLbl val="0"/>
      </c:catAx>
      <c:valAx>
        <c:axId val="103064543"/>
        <c:scaling>
          <c:orientation val="minMax"/>
        </c:scaling>
        <c:delete val="0"/>
        <c:axPos val="l"/>
        <c:majorGridlines>
          <c:spPr>
            <a:ln w="9525" cap="flat" cmpd="sng" algn="ctr">
              <a:solidFill>
                <a:schemeClr val="tx1">
                  <a:lumMod val="15000"/>
                  <a:lumOff val="85000"/>
                </a:schemeClr>
              </a:solidFill>
              <a:round/>
            </a:ln>
            <a:effectLst/>
          </c:spPr>
        </c:majorGridlines>
        <c:numFmt formatCode="0.000" sourceLinked="1"/>
        <c:majorTickMark val="none"/>
        <c:minorTickMark val="none"/>
        <c:tickLblPos val="nextTo"/>
        <c:spPr>
          <a:noFill/>
          <a:ln>
            <a:noFill/>
          </a:ln>
          <a:effectLst/>
        </c:spPr>
        <c:txPr>
          <a:bodyPr rot="-60000000" spcFirstLastPara="1" vertOverflow="ellipsis" vert="horz" wrap="square" anchor="ctr" anchorCtr="1"/>
          <a:lstStyle/>
          <a:p>
            <a:pPr>
              <a:defRPr sz="900" b="0" i="0" u="none" strike="noStrike" kern="1200" baseline="0">
                <a:solidFill>
                  <a:sysClr val="windowText" lastClr="000000"/>
                </a:solidFill>
                <a:latin typeface="Times New Roman" panose="02020603050405020304" pitchFamily="18" charset="0"/>
                <a:ea typeface="+mn-ea"/>
                <a:cs typeface="Times New Roman" panose="02020603050405020304" pitchFamily="18" charset="0"/>
              </a:defRPr>
            </a:pPr>
            <a:endParaRPr lang="en-US"/>
          </a:p>
        </c:txPr>
        <c:crossAx val="26185807"/>
        <c:crosses val="autoZero"/>
        <c:crossBetween val="between"/>
      </c:valAx>
      <c:spPr>
        <a:noFill/>
        <a:ln>
          <a:noFill/>
        </a:ln>
        <a:effectLst/>
      </c:spPr>
    </c:plotArea>
    <c:plotVisOnly val="1"/>
    <c:dispBlanksAs val="gap"/>
    <c:showDLblsOverMax val="0"/>
  </c:chart>
  <c:spPr>
    <a:solidFill>
      <a:schemeClr val="bg1"/>
    </a:solidFill>
    <a:ln w="9525" cap="flat" cmpd="sng" algn="ctr">
      <a:solidFill>
        <a:schemeClr val="tx1">
          <a:lumMod val="15000"/>
          <a:lumOff val="85000"/>
        </a:schemeClr>
      </a:solidFill>
      <a:round/>
    </a:ln>
    <a:effectLst/>
  </c:spPr>
  <c:txPr>
    <a:bodyPr/>
    <a:lstStyle/>
    <a:p>
      <a:pPr>
        <a:defRPr>
          <a:solidFill>
            <a:sysClr val="windowText" lastClr="000000"/>
          </a:solidFill>
          <a:latin typeface="Times New Roman" panose="02020603050405020304" pitchFamily="18" charset="0"/>
          <a:cs typeface="Times New Roman" panose="02020603050405020304" pitchFamily="18" charset="0"/>
        </a:defRPr>
      </a:pPr>
      <a:endParaRPr lang="en-US"/>
    </a:p>
  </c:txPr>
  <c:externalData r:id="rId3">
    <c:autoUpdate val="0"/>
  </c:externalData>
</c:chartSpace>
</file>

<file path=word/charts/chart2.xml><?xml version="1.0" encoding="utf-8"?>
<c:chartSpace xmlns:c="http://schemas.openxmlformats.org/drawingml/2006/chart" xmlns:a="http://schemas.openxmlformats.org/drawingml/2006/main" xmlns:r="http://schemas.openxmlformats.org/officeDocument/2006/relationships" xmlns:c16r2="http://schemas.microsoft.com/office/drawing/2015/06/chart">
  <c:date1904 val="0"/>
  <c:lang val="en-US"/>
  <c:roundedCorners val="0"/>
  <mc:AlternateContent xmlns:mc="http://schemas.openxmlformats.org/markup-compatibility/2006">
    <mc:Choice xmlns:c14="http://schemas.microsoft.com/office/drawing/2007/8/2/chart" Requires="c14">
      <c14:style val="102"/>
    </mc:Choice>
    <mc:Fallback>
      <c:style val="2"/>
    </mc:Fallback>
  </mc:AlternateContent>
  <c:chart>
    <c:title>
      <c:tx>
        <c:rich>
          <a:bodyPr rot="0" spcFirstLastPara="1" vertOverflow="ellipsis" vert="horz" wrap="square" anchor="ctr" anchorCtr="1"/>
          <a:lstStyle/>
          <a:p>
            <a:pPr>
              <a:defRPr sz="1400" b="0" i="0" u="none" strike="noStrike" kern="1200" spc="0" baseline="0">
                <a:solidFill>
                  <a:sysClr val="windowText" lastClr="000000"/>
                </a:solidFill>
                <a:latin typeface="Times New Roman" panose="02020603050405020304" pitchFamily="18" charset="0"/>
                <a:ea typeface="+mn-ea"/>
                <a:cs typeface="Times New Roman" panose="02020603050405020304" pitchFamily="18" charset="0"/>
              </a:defRPr>
            </a:pPr>
            <a:r>
              <a:rPr lang="en-US"/>
              <a:t>Current Ratio </a:t>
            </a:r>
          </a:p>
        </c:rich>
      </c:tx>
      <c:overlay val="0"/>
      <c:spPr>
        <a:noFill/>
        <a:ln>
          <a:noFill/>
        </a:ln>
        <a:effectLst/>
      </c:spPr>
      <c:txPr>
        <a:bodyPr rot="0" spcFirstLastPara="1" vertOverflow="ellipsis" vert="horz" wrap="square" anchor="ctr" anchorCtr="1"/>
        <a:lstStyle/>
        <a:p>
          <a:pPr>
            <a:defRPr sz="1400" b="0" i="0" u="none" strike="noStrike" kern="1200" spc="0" baseline="0">
              <a:solidFill>
                <a:sysClr val="windowText" lastClr="000000"/>
              </a:solidFill>
              <a:latin typeface="Times New Roman" panose="02020603050405020304" pitchFamily="18" charset="0"/>
              <a:ea typeface="+mn-ea"/>
              <a:cs typeface="Times New Roman" panose="02020603050405020304" pitchFamily="18" charset="0"/>
            </a:defRPr>
          </a:pPr>
          <a:endParaRPr lang="en-US"/>
        </a:p>
      </c:txPr>
    </c:title>
    <c:autoTitleDeleted val="0"/>
    <c:plotArea>
      <c:layout/>
      <c:lineChart>
        <c:grouping val="standard"/>
        <c:varyColors val="0"/>
        <c:ser>
          <c:idx val="0"/>
          <c:order val="0"/>
          <c:tx>
            <c:strRef>
              <c:f>Ratios!$B$34:$C$34</c:f>
              <c:strCache>
                <c:ptCount val="2"/>
                <c:pt idx="0">
                  <c:v>Current Ratio</c:v>
                </c:pt>
                <c:pt idx="1">
                  <c:v>CurrentAssets/CurrentLiabilities</c:v>
                </c:pt>
              </c:strCache>
            </c:strRef>
          </c:tx>
          <c:spPr>
            <a:ln w="28575" cap="rnd">
              <a:solidFill>
                <a:schemeClr val="accent1"/>
              </a:solidFill>
              <a:round/>
            </a:ln>
            <a:effectLst/>
          </c:spPr>
          <c:marker>
            <c:symbol val="none"/>
          </c:marker>
          <c:cat>
            <c:numRef>
              <c:f>Ratios!$D$33:$H$33</c:f>
              <c:numCache>
                <c:formatCode>General</c:formatCode>
                <c:ptCount val="5"/>
                <c:pt idx="0">
                  <c:v>2021</c:v>
                </c:pt>
                <c:pt idx="1">
                  <c:v>2022</c:v>
                </c:pt>
                <c:pt idx="2">
                  <c:v>2023</c:v>
                </c:pt>
                <c:pt idx="3">
                  <c:v>2024</c:v>
                </c:pt>
                <c:pt idx="4">
                  <c:v>2025</c:v>
                </c:pt>
              </c:numCache>
            </c:numRef>
          </c:cat>
          <c:val>
            <c:numRef>
              <c:f>Ratios!$D$34:$H$34</c:f>
              <c:numCache>
                <c:formatCode>0.000</c:formatCode>
                <c:ptCount val="5"/>
                <c:pt idx="0">
                  <c:v>0.95097714474991724</c:v>
                </c:pt>
                <c:pt idx="1">
                  <c:v>0.85112692763938314</c:v>
                </c:pt>
                <c:pt idx="2">
                  <c:v>0.70231058570660931</c:v>
                </c:pt>
                <c:pt idx="3">
                  <c:v>0.69617021276595747</c:v>
                </c:pt>
                <c:pt idx="4">
                  <c:v>0.6645962732919255</c:v>
                </c:pt>
              </c:numCache>
            </c:numRef>
          </c:val>
          <c:smooth val="0"/>
          <c:extLst>
            <c:ext xmlns:c16="http://schemas.microsoft.com/office/drawing/2014/chart" uri="{C3380CC4-5D6E-409C-BE32-E72D297353CC}">
              <c16:uniqueId val="{00000000-3F45-4E15-A484-83945DE91871}"/>
            </c:ext>
          </c:extLst>
        </c:ser>
        <c:dLbls>
          <c:showLegendKey val="0"/>
          <c:showVal val="0"/>
          <c:showCatName val="0"/>
          <c:showSerName val="0"/>
          <c:showPercent val="0"/>
          <c:showBubbleSize val="0"/>
        </c:dLbls>
        <c:smooth val="0"/>
        <c:axId val="56596831"/>
        <c:axId val="2137232639"/>
      </c:lineChart>
      <c:catAx>
        <c:axId val="56596831"/>
        <c:scaling>
          <c:orientation val="minMax"/>
        </c:scaling>
        <c:delete val="0"/>
        <c:axPos val="b"/>
        <c:numFmt formatCode="General" sourceLinked="1"/>
        <c:majorTickMark val="none"/>
        <c:minorTickMark val="none"/>
        <c:tickLblPos val="nextTo"/>
        <c:spPr>
          <a:noFill/>
          <a:ln w="9525" cap="flat" cmpd="sng" algn="ctr">
            <a:solidFill>
              <a:schemeClr val="tx1">
                <a:lumMod val="15000"/>
                <a:lumOff val="85000"/>
              </a:schemeClr>
            </a:solidFill>
            <a:round/>
          </a:ln>
          <a:effectLst/>
        </c:spPr>
        <c:txPr>
          <a:bodyPr rot="-60000000" spcFirstLastPara="1" vertOverflow="ellipsis" vert="horz" wrap="square" anchor="ctr" anchorCtr="1"/>
          <a:lstStyle/>
          <a:p>
            <a:pPr>
              <a:defRPr sz="900" b="0" i="0" u="none" strike="noStrike" kern="1200" baseline="0">
                <a:solidFill>
                  <a:sysClr val="windowText" lastClr="000000"/>
                </a:solidFill>
                <a:latin typeface="Times New Roman" panose="02020603050405020304" pitchFamily="18" charset="0"/>
                <a:ea typeface="+mn-ea"/>
                <a:cs typeface="Times New Roman" panose="02020603050405020304" pitchFamily="18" charset="0"/>
              </a:defRPr>
            </a:pPr>
            <a:endParaRPr lang="en-US"/>
          </a:p>
        </c:txPr>
        <c:crossAx val="2137232639"/>
        <c:crosses val="autoZero"/>
        <c:auto val="1"/>
        <c:lblAlgn val="ctr"/>
        <c:lblOffset val="100"/>
        <c:noMultiLvlLbl val="0"/>
      </c:catAx>
      <c:valAx>
        <c:axId val="2137232639"/>
        <c:scaling>
          <c:orientation val="minMax"/>
        </c:scaling>
        <c:delete val="0"/>
        <c:axPos val="l"/>
        <c:majorGridlines>
          <c:spPr>
            <a:ln w="9525" cap="flat" cmpd="sng" algn="ctr">
              <a:solidFill>
                <a:schemeClr val="tx1">
                  <a:lumMod val="15000"/>
                  <a:lumOff val="85000"/>
                </a:schemeClr>
              </a:solidFill>
              <a:round/>
            </a:ln>
            <a:effectLst/>
          </c:spPr>
        </c:majorGridlines>
        <c:numFmt formatCode="0.000" sourceLinked="1"/>
        <c:majorTickMark val="none"/>
        <c:minorTickMark val="none"/>
        <c:tickLblPos val="nextTo"/>
        <c:spPr>
          <a:noFill/>
          <a:ln>
            <a:noFill/>
          </a:ln>
          <a:effectLst/>
        </c:spPr>
        <c:txPr>
          <a:bodyPr rot="-60000000" spcFirstLastPara="1" vertOverflow="ellipsis" vert="horz" wrap="square" anchor="ctr" anchorCtr="1"/>
          <a:lstStyle/>
          <a:p>
            <a:pPr>
              <a:defRPr sz="900" b="0" i="0" u="none" strike="noStrike" kern="1200" baseline="0">
                <a:solidFill>
                  <a:sysClr val="windowText" lastClr="000000"/>
                </a:solidFill>
                <a:latin typeface="Times New Roman" panose="02020603050405020304" pitchFamily="18" charset="0"/>
                <a:ea typeface="+mn-ea"/>
                <a:cs typeface="Times New Roman" panose="02020603050405020304" pitchFamily="18" charset="0"/>
              </a:defRPr>
            </a:pPr>
            <a:endParaRPr lang="en-US"/>
          </a:p>
        </c:txPr>
        <c:crossAx val="56596831"/>
        <c:crosses val="autoZero"/>
        <c:crossBetween val="between"/>
      </c:valAx>
      <c:spPr>
        <a:noFill/>
        <a:ln>
          <a:noFill/>
        </a:ln>
        <a:effectLst/>
      </c:spPr>
    </c:plotArea>
    <c:plotVisOnly val="1"/>
    <c:dispBlanksAs val="gap"/>
    <c:showDLblsOverMax val="0"/>
  </c:chart>
  <c:spPr>
    <a:solidFill>
      <a:schemeClr val="bg1"/>
    </a:solidFill>
    <a:ln w="9525" cap="flat" cmpd="sng" algn="ctr">
      <a:solidFill>
        <a:schemeClr val="tx1">
          <a:lumMod val="15000"/>
          <a:lumOff val="85000"/>
        </a:schemeClr>
      </a:solidFill>
      <a:round/>
    </a:ln>
    <a:effectLst/>
  </c:spPr>
  <c:txPr>
    <a:bodyPr/>
    <a:lstStyle/>
    <a:p>
      <a:pPr>
        <a:defRPr>
          <a:solidFill>
            <a:sysClr val="windowText" lastClr="000000"/>
          </a:solidFill>
          <a:latin typeface="Times New Roman" panose="02020603050405020304" pitchFamily="18" charset="0"/>
          <a:cs typeface="Times New Roman" panose="02020603050405020304" pitchFamily="18" charset="0"/>
        </a:defRPr>
      </a:pPr>
      <a:endParaRPr lang="en-US"/>
    </a:p>
  </c:txPr>
  <c:externalData r:id="rId3">
    <c:autoUpdate val="0"/>
  </c:externalData>
</c:chartSpace>
</file>

<file path=word/charts/chart3.xml><?xml version="1.0" encoding="utf-8"?>
<c:chartSpace xmlns:c="http://schemas.openxmlformats.org/drawingml/2006/chart" xmlns:a="http://schemas.openxmlformats.org/drawingml/2006/main" xmlns:r="http://schemas.openxmlformats.org/officeDocument/2006/relationships" xmlns:c16r2="http://schemas.microsoft.com/office/drawing/2015/06/chart">
  <c:date1904 val="0"/>
  <c:lang val="en-US"/>
  <c:roundedCorners val="0"/>
  <mc:AlternateContent xmlns:mc="http://schemas.openxmlformats.org/markup-compatibility/2006">
    <mc:Choice xmlns:c14="http://schemas.microsoft.com/office/drawing/2007/8/2/chart" Requires="c14">
      <c14:style val="102"/>
    </mc:Choice>
    <mc:Fallback>
      <c:style val="2"/>
    </mc:Fallback>
  </mc:AlternateContent>
  <c:chart>
    <c:title>
      <c:tx>
        <c:rich>
          <a:bodyPr rot="0" spcFirstLastPara="1" vertOverflow="ellipsis" vert="horz" wrap="square" anchor="ctr" anchorCtr="1"/>
          <a:lstStyle/>
          <a:p>
            <a:pPr>
              <a:defRPr sz="1400" b="0" i="0" u="none" strike="noStrike" kern="1200" spc="0" baseline="0">
                <a:solidFill>
                  <a:sysClr val="windowText" lastClr="000000"/>
                </a:solidFill>
                <a:latin typeface="Times New Roman" panose="02020603050405020304" pitchFamily="18" charset="0"/>
                <a:ea typeface="+mn-ea"/>
                <a:cs typeface="Times New Roman" panose="02020603050405020304" pitchFamily="18" charset="0"/>
              </a:defRPr>
            </a:pPr>
            <a:r>
              <a:rPr lang="en-US"/>
              <a:t>Total Asset Turnover </a:t>
            </a:r>
          </a:p>
        </c:rich>
      </c:tx>
      <c:overlay val="0"/>
      <c:spPr>
        <a:noFill/>
        <a:ln>
          <a:noFill/>
        </a:ln>
        <a:effectLst/>
      </c:spPr>
      <c:txPr>
        <a:bodyPr rot="0" spcFirstLastPara="1" vertOverflow="ellipsis" vert="horz" wrap="square" anchor="ctr" anchorCtr="1"/>
        <a:lstStyle/>
        <a:p>
          <a:pPr>
            <a:defRPr sz="1400" b="0" i="0" u="none" strike="noStrike" kern="1200" spc="0" baseline="0">
              <a:solidFill>
                <a:sysClr val="windowText" lastClr="000000"/>
              </a:solidFill>
              <a:latin typeface="Times New Roman" panose="02020603050405020304" pitchFamily="18" charset="0"/>
              <a:ea typeface="+mn-ea"/>
              <a:cs typeface="Times New Roman" panose="02020603050405020304" pitchFamily="18" charset="0"/>
            </a:defRPr>
          </a:pPr>
          <a:endParaRPr lang="en-US"/>
        </a:p>
      </c:txPr>
    </c:title>
    <c:autoTitleDeleted val="0"/>
    <c:plotArea>
      <c:layout/>
      <c:lineChart>
        <c:grouping val="standard"/>
        <c:varyColors val="0"/>
        <c:ser>
          <c:idx val="0"/>
          <c:order val="0"/>
          <c:tx>
            <c:strRef>
              <c:f>Ratios!$B$37:$C$37</c:f>
              <c:strCache>
                <c:ptCount val="2"/>
                <c:pt idx="0">
                  <c:v>Total Asset Turnover</c:v>
                </c:pt>
                <c:pt idx="1">
                  <c:v>Revenue/TotalAssets</c:v>
                </c:pt>
              </c:strCache>
            </c:strRef>
          </c:tx>
          <c:spPr>
            <a:ln w="28575" cap="rnd">
              <a:solidFill>
                <a:schemeClr val="accent1"/>
              </a:solidFill>
              <a:round/>
            </a:ln>
            <a:effectLst/>
          </c:spPr>
          <c:marker>
            <c:symbol val="none"/>
          </c:marker>
          <c:cat>
            <c:numRef>
              <c:f>Ratios!$D$36:$H$36</c:f>
              <c:numCache>
                <c:formatCode>General</c:formatCode>
                <c:ptCount val="5"/>
                <c:pt idx="0">
                  <c:v>2021</c:v>
                </c:pt>
                <c:pt idx="1">
                  <c:v>2022</c:v>
                </c:pt>
                <c:pt idx="2">
                  <c:v>2023</c:v>
                </c:pt>
                <c:pt idx="3">
                  <c:v>2024</c:v>
                </c:pt>
                <c:pt idx="4">
                  <c:v>2025</c:v>
                </c:pt>
              </c:numCache>
            </c:numRef>
          </c:cat>
          <c:val>
            <c:numRef>
              <c:f>Ratios!$D$37:$H$37</c:f>
              <c:numCache>
                <c:formatCode>0.000</c:formatCode>
                <c:ptCount val="5"/>
                <c:pt idx="0">
                  <c:v>0.37484618871834724</c:v>
                </c:pt>
                <c:pt idx="1">
                  <c:v>0.56556214543579164</c:v>
                </c:pt>
                <c:pt idx="2">
                  <c:v>0.66456723589377309</c:v>
                </c:pt>
                <c:pt idx="3">
                  <c:v>0.67631037404672556</c:v>
                </c:pt>
                <c:pt idx="4">
                  <c:v>0.71771789674496245</c:v>
                </c:pt>
              </c:numCache>
            </c:numRef>
          </c:val>
          <c:smooth val="0"/>
          <c:extLst>
            <c:ext xmlns:c16="http://schemas.microsoft.com/office/drawing/2014/chart" uri="{C3380CC4-5D6E-409C-BE32-E72D297353CC}">
              <c16:uniqueId val="{00000000-4191-4C99-9CA4-D802EE3B76EA}"/>
            </c:ext>
          </c:extLst>
        </c:ser>
        <c:dLbls>
          <c:showLegendKey val="0"/>
          <c:showVal val="0"/>
          <c:showCatName val="0"/>
          <c:showSerName val="0"/>
          <c:showPercent val="0"/>
          <c:showBubbleSize val="0"/>
        </c:dLbls>
        <c:smooth val="0"/>
        <c:axId val="94659743"/>
        <c:axId val="103081823"/>
      </c:lineChart>
      <c:catAx>
        <c:axId val="94659743"/>
        <c:scaling>
          <c:orientation val="minMax"/>
        </c:scaling>
        <c:delete val="0"/>
        <c:axPos val="b"/>
        <c:numFmt formatCode="General" sourceLinked="1"/>
        <c:majorTickMark val="none"/>
        <c:minorTickMark val="none"/>
        <c:tickLblPos val="nextTo"/>
        <c:spPr>
          <a:noFill/>
          <a:ln w="9525" cap="flat" cmpd="sng" algn="ctr">
            <a:solidFill>
              <a:schemeClr val="tx1">
                <a:lumMod val="15000"/>
                <a:lumOff val="85000"/>
              </a:schemeClr>
            </a:solidFill>
            <a:round/>
          </a:ln>
          <a:effectLst/>
        </c:spPr>
        <c:txPr>
          <a:bodyPr rot="-60000000" spcFirstLastPara="1" vertOverflow="ellipsis" vert="horz" wrap="square" anchor="ctr" anchorCtr="1"/>
          <a:lstStyle/>
          <a:p>
            <a:pPr>
              <a:defRPr sz="900" b="0" i="0" u="none" strike="noStrike" kern="1200" baseline="0">
                <a:solidFill>
                  <a:sysClr val="windowText" lastClr="000000"/>
                </a:solidFill>
                <a:latin typeface="Times New Roman" panose="02020603050405020304" pitchFamily="18" charset="0"/>
                <a:ea typeface="+mn-ea"/>
                <a:cs typeface="Times New Roman" panose="02020603050405020304" pitchFamily="18" charset="0"/>
              </a:defRPr>
            </a:pPr>
            <a:endParaRPr lang="en-US"/>
          </a:p>
        </c:txPr>
        <c:crossAx val="103081823"/>
        <c:crosses val="autoZero"/>
        <c:auto val="1"/>
        <c:lblAlgn val="ctr"/>
        <c:lblOffset val="100"/>
        <c:noMultiLvlLbl val="0"/>
      </c:catAx>
      <c:valAx>
        <c:axId val="103081823"/>
        <c:scaling>
          <c:orientation val="minMax"/>
        </c:scaling>
        <c:delete val="0"/>
        <c:axPos val="l"/>
        <c:majorGridlines>
          <c:spPr>
            <a:ln w="9525" cap="flat" cmpd="sng" algn="ctr">
              <a:solidFill>
                <a:schemeClr val="tx1">
                  <a:lumMod val="15000"/>
                  <a:lumOff val="85000"/>
                </a:schemeClr>
              </a:solidFill>
              <a:round/>
            </a:ln>
            <a:effectLst/>
          </c:spPr>
        </c:majorGridlines>
        <c:numFmt formatCode="0.000" sourceLinked="1"/>
        <c:majorTickMark val="none"/>
        <c:minorTickMark val="none"/>
        <c:tickLblPos val="nextTo"/>
        <c:spPr>
          <a:noFill/>
          <a:ln>
            <a:noFill/>
          </a:ln>
          <a:effectLst/>
        </c:spPr>
        <c:txPr>
          <a:bodyPr rot="-60000000" spcFirstLastPara="1" vertOverflow="ellipsis" vert="horz" wrap="square" anchor="ctr" anchorCtr="1"/>
          <a:lstStyle/>
          <a:p>
            <a:pPr>
              <a:defRPr sz="900" b="0" i="0" u="none" strike="noStrike" kern="1200" baseline="0">
                <a:solidFill>
                  <a:sysClr val="windowText" lastClr="000000"/>
                </a:solidFill>
                <a:latin typeface="Times New Roman" panose="02020603050405020304" pitchFamily="18" charset="0"/>
                <a:ea typeface="+mn-ea"/>
                <a:cs typeface="Times New Roman" panose="02020603050405020304" pitchFamily="18" charset="0"/>
              </a:defRPr>
            </a:pPr>
            <a:endParaRPr lang="en-US"/>
          </a:p>
        </c:txPr>
        <c:crossAx val="94659743"/>
        <c:crosses val="autoZero"/>
        <c:crossBetween val="between"/>
      </c:valAx>
      <c:spPr>
        <a:noFill/>
        <a:ln>
          <a:noFill/>
        </a:ln>
        <a:effectLst/>
      </c:spPr>
    </c:plotArea>
    <c:plotVisOnly val="1"/>
    <c:dispBlanksAs val="gap"/>
    <c:showDLblsOverMax val="0"/>
  </c:chart>
  <c:spPr>
    <a:solidFill>
      <a:schemeClr val="bg1"/>
    </a:solidFill>
    <a:ln w="9525" cap="flat" cmpd="sng" algn="ctr">
      <a:solidFill>
        <a:schemeClr val="tx1">
          <a:lumMod val="15000"/>
          <a:lumOff val="85000"/>
        </a:schemeClr>
      </a:solidFill>
      <a:round/>
    </a:ln>
    <a:effectLst/>
  </c:spPr>
  <c:txPr>
    <a:bodyPr/>
    <a:lstStyle/>
    <a:p>
      <a:pPr>
        <a:defRPr>
          <a:solidFill>
            <a:sysClr val="windowText" lastClr="000000"/>
          </a:solidFill>
          <a:latin typeface="Times New Roman" panose="02020603050405020304" pitchFamily="18" charset="0"/>
          <a:cs typeface="Times New Roman" panose="02020603050405020304" pitchFamily="18" charset="0"/>
        </a:defRPr>
      </a:pPr>
      <a:endParaRPr lang="en-US"/>
    </a:p>
  </c:txPr>
  <c:externalData r:id="rId3">
    <c:autoUpdate val="0"/>
  </c:externalData>
</c:chartSpace>
</file>

<file path=word/charts/chart4.xml><?xml version="1.0" encoding="utf-8"?>
<c:chartSpace xmlns:c="http://schemas.openxmlformats.org/drawingml/2006/chart" xmlns:a="http://schemas.openxmlformats.org/drawingml/2006/main" xmlns:r="http://schemas.openxmlformats.org/officeDocument/2006/relationships" xmlns:c16r2="http://schemas.microsoft.com/office/drawing/2015/06/chart">
  <c:date1904 val="0"/>
  <c:lang val="en-US"/>
  <c:roundedCorners val="0"/>
  <mc:AlternateContent xmlns:mc="http://schemas.openxmlformats.org/markup-compatibility/2006">
    <mc:Choice xmlns:c14="http://schemas.microsoft.com/office/drawing/2007/8/2/chart" Requires="c14">
      <c14:style val="102"/>
    </mc:Choice>
    <mc:Fallback>
      <c:style val="2"/>
    </mc:Fallback>
  </mc:AlternateContent>
  <c:chart>
    <c:title>
      <c:tx>
        <c:rich>
          <a:bodyPr rot="0" spcFirstLastPara="1" vertOverflow="ellipsis" vert="horz" wrap="square" anchor="ctr" anchorCtr="1"/>
          <a:lstStyle/>
          <a:p>
            <a:pPr>
              <a:defRPr sz="1400" b="0" i="0" u="none" strike="noStrike" kern="1200" spc="0" baseline="0">
                <a:solidFill>
                  <a:sysClr val="windowText" lastClr="000000"/>
                </a:solidFill>
                <a:latin typeface="Times New Roman" panose="02020603050405020304" pitchFamily="18" charset="0"/>
                <a:ea typeface="+mn-ea"/>
                <a:cs typeface="Times New Roman" panose="02020603050405020304" pitchFamily="18" charset="0"/>
              </a:defRPr>
            </a:pPr>
            <a:r>
              <a:rPr lang="en-US"/>
              <a:t>Debt Ratio </a:t>
            </a:r>
          </a:p>
        </c:rich>
      </c:tx>
      <c:overlay val="0"/>
      <c:spPr>
        <a:noFill/>
        <a:ln>
          <a:noFill/>
        </a:ln>
        <a:effectLst/>
      </c:spPr>
      <c:txPr>
        <a:bodyPr rot="0" spcFirstLastPara="1" vertOverflow="ellipsis" vert="horz" wrap="square" anchor="ctr" anchorCtr="1"/>
        <a:lstStyle/>
        <a:p>
          <a:pPr>
            <a:defRPr sz="1400" b="0" i="0" u="none" strike="noStrike" kern="1200" spc="0" baseline="0">
              <a:solidFill>
                <a:sysClr val="windowText" lastClr="000000"/>
              </a:solidFill>
              <a:latin typeface="Times New Roman" panose="02020603050405020304" pitchFamily="18" charset="0"/>
              <a:ea typeface="+mn-ea"/>
              <a:cs typeface="Times New Roman" panose="02020603050405020304" pitchFamily="18" charset="0"/>
            </a:defRPr>
          </a:pPr>
          <a:endParaRPr lang="en-US"/>
        </a:p>
      </c:txPr>
    </c:title>
    <c:autoTitleDeleted val="0"/>
    <c:plotArea>
      <c:layout/>
      <c:lineChart>
        <c:grouping val="standard"/>
        <c:varyColors val="0"/>
        <c:ser>
          <c:idx val="0"/>
          <c:order val="0"/>
          <c:tx>
            <c:strRef>
              <c:f>Ratios!$B$41:$C$41</c:f>
              <c:strCache>
                <c:ptCount val="2"/>
                <c:pt idx="0">
                  <c:v>Debt Ratio</c:v>
                </c:pt>
                <c:pt idx="1">
                  <c:v>TotalLiabilities/TotalAssets</c:v>
                </c:pt>
              </c:strCache>
            </c:strRef>
          </c:tx>
          <c:spPr>
            <a:ln w="28575" cap="rnd">
              <a:solidFill>
                <a:schemeClr val="accent1"/>
              </a:solidFill>
              <a:round/>
            </a:ln>
            <a:effectLst/>
          </c:spPr>
          <c:marker>
            <c:symbol val="none"/>
          </c:marker>
          <c:cat>
            <c:numRef>
              <c:f>Ratios!$D$40:$H$40</c:f>
              <c:numCache>
                <c:formatCode>General</c:formatCode>
                <c:ptCount val="5"/>
                <c:pt idx="0">
                  <c:v>2021</c:v>
                </c:pt>
                <c:pt idx="1">
                  <c:v>2022</c:v>
                </c:pt>
                <c:pt idx="2">
                  <c:v>2023</c:v>
                </c:pt>
                <c:pt idx="3">
                  <c:v>2024</c:v>
                </c:pt>
                <c:pt idx="4">
                  <c:v>2025</c:v>
                </c:pt>
              </c:numCache>
            </c:numRef>
          </c:cat>
          <c:val>
            <c:numRef>
              <c:f>Ratios!$D$41:$H$41</c:f>
              <c:numCache>
                <c:formatCode>0.00</c:formatCode>
                <c:ptCount val="5"/>
                <c:pt idx="0">
                  <c:v>1.0530406061783564</c:v>
                </c:pt>
                <c:pt idx="1">
                  <c:v>1.0707839092315627</c:v>
                </c:pt>
                <c:pt idx="2">
                  <c:v>1.1523927017726121</c:v>
                </c:pt>
                <c:pt idx="3">
                  <c:v>1.2243069846265586</c:v>
                </c:pt>
                <c:pt idx="4">
                  <c:v>1.3194825324907595</c:v>
                </c:pt>
              </c:numCache>
            </c:numRef>
          </c:val>
          <c:smooth val="0"/>
          <c:extLst>
            <c:ext xmlns:c16="http://schemas.microsoft.com/office/drawing/2014/chart" uri="{C3380CC4-5D6E-409C-BE32-E72D297353CC}">
              <c16:uniqueId val="{00000000-E40D-4247-921B-7F66145B2508}"/>
            </c:ext>
          </c:extLst>
        </c:ser>
        <c:dLbls>
          <c:showLegendKey val="0"/>
          <c:showVal val="0"/>
          <c:showCatName val="0"/>
          <c:showSerName val="0"/>
          <c:showPercent val="0"/>
          <c:showBubbleSize val="0"/>
        </c:dLbls>
        <c:smooth val="0"/>
        <c:axId val="75452751"/>
        <c:axId val="1959767967"/>
      </c:lineChart>
      <c:catAx>
        <c:axId val="75452751"/>
        <c:scaling>
          <c:orientation val="minMax"/>
        </c:scaling>
        <c:delete val="0"/>
        <c:axPos val="b"/>
        <c:numFmt formatCode="General" sourceLinked="1"/>
        <c:majorTickMark val="none"/>
        <c:minorTickMark val="none"/>
        <c:tickLblPos val="nextTo"/>
        <c:spPr>
          <a:noFill/>
          <a:ln w="9525" cap="flat" cmpd="sng" algn="ctr">
            <a:solidFill>
              <a:schemeClr val="tx1">
                <a:lumMod val="15000"/>
                <a:lumOff val="85000"/>
              </a:schemeClr>
            </a:solidFill>
            <a:round/>
          </a:ln>
          <a:effectLst/>
        </c:spPr>
        <c:txPr>
          <a:bodyPr rot="-60000000" spcFirstLastPara="1" vertOverflow="ellipsis" vert="horz" wrap="square" anchor="ctr" anchorCtr="1"/>
          <a:lstStyle/>
          <a:p>
            <a:pPr>
              <a:defRPr sz="900" b="0" i="0" u="none" strike="noStrike" kern="1200" baseline="0">
                <a:solidFill>
                  <a:sysClr val="windowText" lastClr="000000"/>
                </a:solidFill>
                <a:latin typeface="Times New Roman" panose="02020603050405020304" pitchFamily="18" charset="0"/>
                <a:ea typeface="+mn-ea"/>
                <a:cs typeface="Times New Roman" panose="02020603050405020304" pitchFamily="18" charset="0"/>
              </a:defRPr>
            </a:pPr>
            <a:endParaRPr lang="en-US"/>
          </a:p>
        </c:txPr>
        <c:crossAx val="1959767967"/>
        <c:crosses val="autoZero"/>
        <c:auto val="1"/>
        <c:lblAlgn val="ctr"/>
        <c:lblOffset val="100"/>
        <c:noMultiLvlLbl val="0"/>
      </c:catAx>
      <c:valAx>
        <c:axId val="1959767967"/>
        <c:scaling>
          <c:orientation val="minMax"/>
        </c:scaling>
        <c:delete val="0"/>
        <c:axPos val="l"/>
        <c:majorGridlines>
          <c:spPr>
            <a:ln w="9525" cap="flat" cmpd="sng" algn="ctr">
              <a:solidFill>
                <a:schemeClr val="tx1">
                  <a:lumMod val="15000"/>
                  <a:lumOff val="85000"/>
                </a:schemeClr>
              </a:solidFill>
              <a:round/>
            </a:ln>
            <a:effectLst/>
          </c:spPr>
        </c:majorGridlines>
        <c:numFmt formatCode="0.00" sourceLinked="1"/>
        <c:majorTickMark val="none"/>
        <c:minorTickMark val="none"/>
        <c:tickLblPos val="nextTo"/>
        <c:spPr>
          <a:noFill/>
          <a:ln>
            <a:noFill/>
          </a:ln>
          <a:effectLst/>
        </c:spPr>
        <c:txPr>
          <a:bodyPr rot="-60000000" spcFirstLastPara="1" vertOverflow="ellipsis" vert="horz" wrap="square" anchor="ctr" anchorCtr="1"/>
          <a:lstStyle/>
          <a:p>
            <a:pPr>
              <a:defRPr sz="900" b="0" i="0" u="none" strike="noStrike" kern="1200" baseline="0">
                <a:solidFill>
                  <a:sysClr val="windowText" lastClr="000000"/>
                </a:solidFill>
                <a:latin typeface="Times New Roman" panose="02020603050405020304" pitchFamily="18" charset="0"/>
                <a:ea typeface="+mn-ea"/>
                <a:cs typeface="Times New Roman" panose="02020603050405020304" pitchFamily="18" charset="0"/>
              </a:defRPr>
            </a:pPr>
            <a:endParaRPr lang="en-US"/>
          </a:p>
        </c:txPr>
        <c:crossAx val="75452751"/>
        <c:crosses val="autoZero"/>
        <c:crossBetween val="between"/>
      </c:valAx>
      <c:spPr>
        <a:noFill/>
        <a:ln>
          <a:noFill/>
        </a:ln>
        <a:effectLst/>
      </c:spPr>
    </c:plotArea>
    <c:plotVisOnly val="1"/>
    <c:dispBlanksAs val="gap"/>
    <c:showDLblsOverMax val="0"/>
  </c:chart>
  <c:spPr>
    <a:solidFill>
      <a:schemeClr val="bg1"/>
    </a:solidFill>
    <a:ln w="9525" cap="flat" cmpd="sng" algn="ctr">
      <a:solidFill>
        <a:schemeClr val="tx1">
          <a:lumMod val="15000"/>
          <a:lumOff val="85000"/>
        </a:schemeClr>
      </a:solidFill>
      <a:round/>
    </a:ln>
    <a:effectLst/>
  </c:spPr>
  <c:txPr>
    <a:bodyPr/>
    <a:lstStyle/>
    <a:p>
      <a:pPr>
        <a:defRPr>
          <a:solidFill>
            <a:sysClr val="windowText" lastClr="000000"/>
          </a:solidFill>
          <a:latin typeface="Times New Roman" panose="02020603050405020304" pitchFamily="18" charset="0"/>
          <a:cs typeface="Times New Roman" panose="02020603050405020304" pitchFamily="18" charset="0"/>
        </a:defRPr>
      </a:pPr>
      <a:endParaRPr lang="en-US"/>
    </a:p>
  </c:txPr>
  <c:externalData r:id="rId3">
    <c:autoUpdate val="0"/>
  </c:externalData>
</c:chartSpace>
</file>

<file path=word/charts/chart5.xml><?xml version="1.0" encoding="utf-8"?>
<c:chartSpace xmlns:c="http://schemas.openxmlformats.org/drawingml/2006/chart" xmlns:a="http://schemas.openxmlformats.org/drawingml/2006/main" xmlns:r="http://schemas.openxmlformats.org/officeDocument/2006/relationships" xmlns:c16r2="http://schemas.microsoft.com/office/drawing/2015/06/chart">
  <c:date1904 val="0"/>
  <c:lang val="en-US"/>
  <c:roundedCorners val="0"/>
  <mc:AlternateContent xmlns:mc="http://schemas.openxmlformats.org/markup-compatibility/2006">
    <mc:Choice xmlns:c14="http://schemas.microsoft.com/office/drawing/2007/8/2/chart" Requires="c14">
      <c14:style val="102"/>
    </mc:Choice>
    <mc:Fallback>
      <c:style val="2"/>
    </mc:Fallback>
  </mc:AlternateContent>
  <c:chart>
    <c:title>
      <c:tx>
        <c:rich>
          <a:bodyPr rot="0" spcFirstLastPara="1" vertOverflow="ellipsis" vert="horz" wrap="square" anchor="ctr" anchorCtr="1"/>
          <a:lstStyle/>
          <a:p>
            <a:pPr>
              <a:defRPr sz="1400" b="0" i="0" u="none" strike="noStrike" kern="1200" spc="0" baseline="0">
                <a:solidFill>
                  <a:sysClr val="windowText" lastClr="000000"/>
                </a:solidFill>
                <a:latin typeface="Times New Roman" panose="02020603050405020304" pitchFamily="18" charset="0"/>
                <a:ea typeface="+mn-ea"/>
                <a:cs typeface="Times New Roman" panose="02020603050405020304" pitchFamily="18" charset="0"/>
              </a:defRPr>
            </a:pPr>
            <a:r>
              <a:rPr lang="en-US"/>
              <a:t>Earnings per Share ($) </a:t>
            </a:r>
          </a:p>
        </c:rich>
      </c:tx>
      <c:overlay val="0"/>
      <c:spPr>
        <a:noFill/>
        <a:ln>
          <a:noFill/>
        </a:ln>
        <a:effectLst/>
      </c:spPr>
      <c:txPr>
        <a:bodyPr rot="0" spcFirstLastPara="1" vertOverflow="ellipsis" vert="horz" wrap="square" anchor="ctr" anchorCtr="1"/>
        <a:lstStyle/>
        <a:p>
          <a:pPr>
            <a:defRPr sz="1400" b="0" i="0" u="none" strike="noStrike" kern="1200" spc="0" baseline="0">
              <a:solidFill>
                <a:sysClr val="windowText" lastClr="000000"/>
              </a:solidFill>
              <a:latin typeface="Times New Roman" panose="02020603050405020304" pitchFamily="18" charset="0"/>
              <a:ea typeface="+mn-ea"/>
              <a:cs typeface="Times New Roman" panose="02020603050405020304" pitchFamily="18" charset="0"/>
            </a:defRPr>
          </a:pPr>
          <a:endParaRPr lang="en-US"/>
        </a:p>
      </c:txPr>
    </c:title>
    <c:autoTitleDeleted val="0"/>
    <c:plotArea>
      <c:layout/>
      <c:lineChart>
        <c:grouping val="standard"/>
        <c:varyColors val="0"/>
        <c:ser>
          <c:idx val="0"/>
          <c:order val="0"/>
          <c:tx>
            <c:strRef>
              <c:f>Ratios!$B$45:$C$45</c:f>
              <c:strCache>
                <c:ptCount val="2"/>
                <c:pt idx="0">
                  <c:v>Earnings per Share ($)</c:v>
                </c:pt>
                <c:pt idx="1">
                  <c:v>NetIncome/SharesOutstanding</c:v>
                </c:pt>
              </c:strCache>
            </c:strRef>
          </c:tx>
          <c:spPr>
            <a:ln w="28575" cap="rnd">
              <a:solidFill>
                <a:schemeClr val="accent1"/>
              </a:solidFill>
              <a:round/>
            </a:ln>
            <a:effectLst/>
          </c:spPr>
          <c:marker>
            <c:symbol val="none"/>
          </c:marker>
          <c:cat>
            <c:numRef>
              <c:f>Ratios!$D$44:$H$44</c:f>
              <c:numCache>
                <c:formatCode>General</c:formatCode>
                <c:ptCount val="5"/>
                <c:pt idx="0">
                  <c:v>2021</c:v>
                </c:pt>
                <c:pt idx="1">
                  <c:v>2022</c:v>
                </c:pt>
                <c:pt idx="2">
                  <c:v>2023</c:v>
                </c:pt>
                <c:pt idx="3">
                  <c:v>2024</c:v>
                </c:pt>
                <c:pt idx="4">
                  <c:v>2025</c:v>
                </c:pt>
              </c:numCache>
            </c:numRef>
          </c:cat>
          <c:val>
            <c:numRef>
              <c:f>Ratios!$D$45:$H$45</c:f>
              <c:numCache>
                <c:formatCode>0.000</c:formatCode>
                <c:ptCount val="5"/>
                <c:pt idx="0">
                  <c:v>1.46</c:v>
                </c:pt>
                <c:pt idx="1">
                  <c:v>4.53</c:v>
                </c:pt>
                <c:pt idx="2">
                  <c:v>4.33</c:v>
                </c:pt>
                <c:pt idx="3">
                  <c:v>6.14</c:v>
                </c:pt>
                <c:pt idx="4">
                  <c:v>6.12</c:v>
                </c:pt>
              </c:numCache>
            </c:numRef>
          </c:val>
          <c:smooth val="0"/>
          <c:extLst>
            <c:ext xmlns:c16="http://schemas.microsoft.com/office/drawing/2014/chart" uri="{C3380CC4-5D6E-409C-BE32-E72D297353CC}">
              <c16:uniqueId val="{00000000-0A5D-4731-A0F9-09D3A8236678}"/>
            </c:ext>
          </c:extLst>
        </c:ser>
        <c:dLbls>
          <c:showLegendKey val="0"/>
          <c:showVal val="0"/>
          <c:showCatName val="0"/>
          <c:showSerName val="0"/>
          <c:showPercent val="0"/>
          <c:showBubbleSize val="0"/>
        </c:dLbls>
        <c:smooth val="0"/>
        <c:axId val="75468527"/>
        <c:axId val="103083743"/>
      </c:lineChart>
      <c:catAx>
        <c:axId val="75468527"/>
        <c:scaling>
          <c:orientation val="minMax"/>
        </c:scaling>
        <c:delete val="0"/>
        <c:axPos val="b"/>
        <c:numFmt formatCode="General" sourceLinked="1"/>
        <c:majorTickMark val="none"/>
        <c:minorTickMark val="none"/>
        <c:tickLblPos val="nextTo"/>
        <c:spPr>
          <a:noFill/>
          <a:ln w="9525" cap="flat" cmpd="sng" algn="ctr">
            <a:solidFill>
              <a:schemeClr val="tx1">
                <a:lumMod val="15000"/>
                <a:lumOff val="85000"/>
              </a:schemeClr>
            </a:solidFill>
            <a:round/>
          </a:ln>
          <a:effectLst/>
        </c:spPr>
        <c:txPr>
          <a:bodyPr rot="-60000000" spcFirstLastPara="1" vertOverflow="ellipsis" vert="horz" wrap="square" anchor="ctr" anchorCtr="1"/>
          <a:lstStyle/>
          <a:p>
            <a:pPr>
              <a:defRPr sz="900" b="0" i="0" u="none" strike="noStrike" kern="1200" baseline="0">
                <a:solidFill>
                  <a:sysClr val="windowText" lastClr="000000"/>
                </a:solidFill>
                <a:latin typeface="Times New Roman" panose="02020603050405020304" pitchFamily="18" charset="0"/>
                <a:ea typeface="+mn-ea"/>
                <a:cs typeface="Times New Roman" panose="02020603050405020304" pitchFamily="18" charset="0"/>
              </a:defRPr>
            </a:pPr>
            <a:endParaRPr lang="en-US"/>
          </a:p>
        </c:txPr>
        <c:crossAx val="103083743"/>
        <c:crosses val="autoZero"/>
        <c:auto val="1"/>
        <c:lblAlgn val="ctr"/>
        <c:lblOffset val="100"/>
        <c:noMultiLvlLbl val="0"/>
      </c:catAx>
      <c:valAx>
        <c:axId val="103083743"/>
        <c:scaling>
          <c:orientation val="minMax"/>
        </c:scaling>
        <c:delete val="0"/>
        <c:axPos val="l"/>
        <c:majorGridlines>
          <c:spPr>
            <a:ln w="9525" cap="flat" cmpd="sng" algn="ctr">
              <a:solidFill>
                <a:schemeClr val="tx1">
                  <a:lumMod val="15000"/>
                  <a:lumOff val="85000"/>
                </a:schemeClr>
              </a:solidFill>
              <a:round/>
            </a:ln>
            <a:effectLst/>
          </c:spPr>
        </c:majorGridlines>
        <c:numFmt formatCode="0.000" sourceLinked="1"/>
        <c:majorTickMark val="none"/>
        <c:minorTickMark val="none"/>
        <c:tickLblPos val="nextTo"/>
        <c:spPr>
          <a:noFill/>
          <a:ln>
            <a:noFill/>
          </a:ln>
          <a:effectLst/>
        </c:spPr>
        <c:txPr>
          <a:bodyPr rot="-60000000" spcFirstLastPara="1" vertOverflow="ellipsis" vert="horz" wrap="square" anchor="ctr" anchorCtr="1"/>
          <a:lstStyle/>
          <a:p>
            <a:pPr>
              <a:defRPr sz="900" b="0" i="0" u="none" strike="noStrike" kern="1200" baseline="0">
                <a:solidFill>
                  <a:sysClr val="windowText" lastClr="000000"/>
                </a:solidFill>
                <a:latin typeface="Times New Roman" panose="02020603050405020304" pitchFamily="18" charset="0"/>
                <a:ea typeface="+mn-ea"/>
                <a:cs typeface="Times New Roman" panose="02020603050405020304" pitchFamily="18" charset="0"/>
              </a:defRPr>
            </a:pPr>
            <a:endParaRPr lang="en-US"/>
          </a:p>
        </c:txPr>
        <c:crossAx val="75468527"/>
        <c:crosses val="autoZero"/>
        <c:crossBetween val="between"/>
      </c:valAx>
      <c:spPr>
        <a:noFill/>
        <a:ln>
          <a:noFill/>
        </a:ln>
        <a:effectLst/>
      </c:spPr>
    </c:plotArea>
    <c:plotVisOnly val="1"/>
    <c:dispBlanksAs val="gap"/>
    <c:showDLblsOverMax val="0"/>
  </c:chart>
  <c:spPr>
    <a:solidFill>
      <a:schemeClr val="bg1"/>
    </a:solidFill>
    <a:ln w="9525" cap="flat" cmpd="sng" algn="ctr">
      <a:solidFill>
        <a:schemeClr val="tx1">
          <a:lumMod val="15000"/>
          <a:lumOff val="85000"/>
        </a:schemeClr>
      </a:solidFill>
      <a:round/>
    </a:ln>
    <a:effectLst/>
  </c:spPr>
  <c:txPr>
    <a:bodyPr/>
    <a:lstStyle/>
    <a:p>
      <a:pPr>
        <a:defRPr>
          <a:solidFill>
            <a:sysClr val="windowText" lastClr="000000"/>
          </a:solidFill>
          <a:latin typeface="Times New Roman" panose="02020603050405020304" pitchFamily="18" charset="0"/>
          <a:cs typeface="Times New Roman" panose="02020603050405020304" pitchFamily="18" charset="0"/>
        </a:defRPr>
      </a:pPr>
      <a:endParaRPr lang="en-US"/>
    </a:p>
  </c:txPr>
  <c:externalData r:id="rId3">
    <c:autoUpdate val="0"/>
  </c:externalData>
</c:chartSpace>
</file>

<file path=word/charts/chart6.xml><?xml version="1.0" encoding="utf-8"?>
<c:chartSpace xmlns:c="http://schemas.openxmlformats.org/drawingml/2006/chart" xmlns:a="http://schemas.openxmlformats.org/drawingml/2006/main" xmlns:r="http://schemas.openxmlformats.org/officeDocument/2006/relationships" xmlns:c16r2="http://schemas.microsoft.com/office/drawing/2015/06/chart">
  <c:date1904 val="0"/>
  <c:lang val="en-US"/>
  <c:roundedCorners val="0"/>
  <mc:AlternateContent xmlns:mc="http://schemas.openxmlformats.org/markup-compatibility/2006">
    <mc:Choice xmlns:c14="http://schemas.microsoft.com/office/drawing/2007/8/2/chart" Requires="c14">
      <c14:style val="102"/>
    </mc:Choice>
    <mc:Fallback>
      <c:style val="2"/>
    </mc:Fallback>
  </mc:AlternateContent>
  <c:chart>
    <c:title>
      <c:tx>
        <c:rich>
          <a:bodyPr rot="0" spcFirstLastPara="1" vertOverflow="ellipsis" vert="horz" wrap="square" anchor="ctr" anchorCtr="1"/>
          <a:lstStyle/>
          <a:p>
            <a:pPr>
              <a:defRPr sz="1400" b="0" i="0" u="none" strike="noStrike" kern="1200" spc="0" baseline="0">
                <a:solidFill>
                  <a:sysClr val="windowText" lastClr="000000"/>
                </a:solidFill>
                <a:latin typeface="Times New Roman" panose="02020603050405020304" pitchFamily="18" charset="0"/>
                <a:ea typeface="+mn-ea"/>
                <a:cs typeface="Times New Roman" panose="02020603050405020304" pitchFamily="18" charset="0"/>
              </a:defRPr>
            </a:pPr>
            <a:r>
              <a:rPr lang="en-US"/>
              <a:t>Operating Cash Flow Ratio </a:t>
            </a:r>
          </a:p>
        </c:rich>
      </c:tx>
      <c:overlay val="0"/>
      <c:spPr>
        <a:noFill/>
        <a:ln>
          <a:noFill/>
        </a:ln>
        <a:effectLst/>
      </c:spPr>
      <c:txPr>
        <a:bodyPr rot="0" spcFirstLastPara="1" vertOverflow="ellipsis" vert="horz" wrap="square" anchor="ctr" anchorCtr="1"/>
        <a:lstStyle/>
        <a:p>
          <a:pPr>
            <a:defRPr sz="1400" b="0" i="0" u="none" strike="noStrike" kern="1200" spc="0" baseline="0">
              <a:solidFill>
                <a:sysClr val="windowText" lastClr="000000"/>
              </a:solidFill>
              <a:latin typeface="Times New Roman" panose="02020603050405020304" pitchFamily="18" charset="0"/>
              <a:ea typeface="+mn-ea"/>
              <a:cs typeface="Times New Roman" panose="02020603050405020304" pitchFamily="18" charset="0"/>
            </a:defRPr>
          </a:pPr>
          <a:endParaRPr lang="en-US"/>
        </a:p>
      </c:txPr>
    </c:title>
    <c:autoTitleDeleted val="0"/>
    <c:plotArea>
      <c:layout/>
      <c:lineChart>
        <c:grouping val="standard"/>
        <c:varyColors val="0"/>
        <c:ser>
          <c:idx val="0"/>
          <c:order val="0"/>
          <c:tx>
            <c:strRef>
              <c:f>Ratios!$B$49:$C$49</c:f>
              <c:strCache>
                <c:ptCount val="2"/>
                <c:pt idx="0">
                  <c:v>Operating Cash Flow Ratio</c:v>
                </c:pt>
                <c:pt idx="1">
                  <c:v>OperatingCashFlow/CurrentLiabilities</c:v>
                </c:pt>
              </c:strCache>
            </c:strRef>
          </c:tx>
          <c:spPr>
            <a:ln w="28575" cap="rnd">
              <a:solidFill>
                <a:schemeClr val="accent1"/>
              </a:solidFill>
              <a:round/>
            </a:ln>
            <a:effectLst/>
          </c:spPr>
          <c:marker>
            <c:symbol val="none"/>
          </c:marker>
          <c:cat>
            <c:numRef>
              <c:f>Ratios!$D$48:$H$48</c:f>
              <c:numCache>
                <c:formatCode>General</c:formatCode>
                <c:ptCount val="5"/>
                <c:pt idx="0">
                  <c:v>2021</c:v>
                </c:pt>
                <c:pt idx="1">
                  <c:v>2022</c:v>
                </c:pt>
                <c:pt idx="2">
                  <c:v>2023</c:v>
                </c:pt>
                <c:pt idx="3">
                  <c:v>2024</c:v>
                </c:pt>
                <c:pt idx="4">
                  <c:v>2025</c:v>
                </c:pt>
              </c:numCache>
            </c:numRef>
          </c:cat>
          <c:val>
            <c:numRef>
              <c:f>Ratios!$D$49:$H$49</c:f>
              <c:numCache>
                <c:formatCode>0.000</c:formatCode>
                <c:ptCount val="5"/>
                <c:pt idx="0">
                  <c:v>3.6104670420669095E-2</c:v>
                </c:pt>
                <c:pt idx="1">
                  <c:v>0.49851720047449583</c:v>
                </c:pt>
                <c:pt idx="2">
                  <c:v>0.52283718430951098</c:v>
                </c:pt>
                <c:pt idx="3">
                  <c:v>0.42829787234042555</c:v>
                </c:pt>
                <c:pt idx="4">
                  <c:v>0.47227151730257322</c:v>
                </c:pt>
              </c:numCache>
            </c:numRef>
          </c:val>
          <c:smooth val="0"/>
          <c:extLst>
            <c:ext xmlns:c16="http://schemas.microsoft.com/office/drawing/2014/chart" uri="{C3380CC4-5D6E-409C-BE32-E72D297353CC}">
              <c16:uniqueId val="{00000000-D5F5-4EE7-9BAE-32076AC87440}"/>
            </c:ext>
          </c:extLst>
        </c:ser>
        <c:dLbls>
          <c:showLegendKey val="0"/>
          <c:showVal val="0"/>
          <c:showCatName val="0"/>
          <c:showSerName val="0"/>
          <c:showPercent val="0"/>
          <c:showBubbleSize val="0"/>
        </c:dLbls>
        <c:smooth val="0"/>
        <c:axId val="75464351"/>
        <c:axId val="103075583"/>
      </c:lineChart>
      <c:catAx>
        <c:axId val="75464351"/>
        <c:scaling>
          <c:orientation val="minMax"/>
        </c:scaling>
        <c:delete val="0"/>
        <c:axPos val="b"/>
        <c:numFmt formatCode="General" sourceLinked="1"/>
        <c:majorTickMark val="none"/>
        <c:minorTickMark val="none"/>
        <c:tickLblPos val="nextTo"/>
        <c:spPr>
          <a:noFill/>
          <a:ln w="9525" cap="flat" cmpd="sng" algn="ctr">
            <a:solidFill>
              <a:schemeClr val="tx1">
                <a:lumMod val="15000"/>
                <a:lumOff val="85000"/>
              </a:schemeClr>
            </a:solidFill>
            <a:round/>
          </a:ln>
          <a:effectLst/>
        </c:spPr>
        <c:txPr>
          <a:bodyPr rot="-60000000" spcFirstLastPara="1" vertOverflow="ellipsis" vert="horz" wrap="square" anchor="ctr" anchorCtr="1"/>
          <a:lstStyle/>
          <a:p>
            <a:pPr>
              <a:defRPr sz="900" b="0" i="0" u="none" strike="noStrike" kern="1200" baseline="0">
                <a:solidFill>
                  <a:sysClr val="windowText" lastClr="000000"/>
                </a:solidFill>
                <a:latin typeface="Times New Roman" panose="02020603050405020304" pitchFamily="18" charset="0"/>
                <a:ea typeface="+mn-ea"/>
                <a:cs typeface="Times New Roman" panose="02020603050405020304" pitchFamily="18" charset="0"/>
              </a:defRPr>
            </a:pPr>
            <a:endParaRPr lang="en-US"/>
          </a:p>
        </c:txPr>
        <c:crossAx val="103075583"/>
        <c:crosses val="autoZero"/>
        <c:auto val="1"/>
        <c:lblAlgn val="ctr"/>
        <c:lblOffset val="100"/>
        <c:noMultiLvlLbl val="0"/>
      </c:catAx>
      <c:valAx>
        <c:axId val="103075583"/>
        <c:scaling>
          <c:orientation val="minMax"/>
        </c:scaling>
        <c:delete val="0"/>
        <c:axPos val="l"/>
        <c:majorGridlines>
          <c:spPr>
            <a:ln w="9525" cap="flat" cmpd="sng" algn="ctr">
              <a:solidFill>
                <a:schemeClr val="tx1">
                  <a:lumMod val="15000"/>
                  <a:lumOff val="85000"/>
                </a:schemeClr>
              </a:solidFill>
              <a:round/>
            </a:ln>
            <a:effectLst/>
          </c:spPr>
        </c:majorGridlines>
        <c:numFmt formatCode="0.000" sourceLinked="1"/>
        <c:majorTickMark val="none"/>
        <c:minorTickMark val="none"/>
        <c:tickLblPos val="nextTo"/>
        <c:spPr>
          <a:noFill/>
          <a:ln>
            <a:noFill/>
          </a:ln>
          <a:effectLst/>
        </c:spPr>
        <c:txPr>
          <a:bodyPr rot="-60000000" spcFirstLastPara="1" vertOverflow="ellipsis" vert="horz" wrap="square" anchor="ctr" anchorCtr="1"/>
          <a:lstStyle/>
          <a:p>
            <a:pPr>
              <a:defRPr sz="900" b="0" i="0" u="none" strike="noStrike" kern="1200" baseline="0">
                <a:solidFill>
                  <a:sysClr val="windowText" lastClr="000000"/>
                </a:solidFill>
                <a:latin typeface="Times New Roman" panose="02020603050405020304" pitchFamily="18" charset="0"/>
                <a:ea typeface="+mn-ea"/>
                <a:cs typeface="Times New Roman" panose="02020603050405020304" pitchFamily="18" charset="0"/>
              </a:defRPr>
            </a:pPr>
            <a:endParaRPr lang="en-US"/>
          </a:p>
        </c:txPr>
        <c:crossAx val="75464351"/>
        <c:crosses val="autoZero"/>
        <c:crossBetween val="between"/>
      </c:valAx>
      <c:spPr>
        <a:noFill/>
        <a:ln>
          <a:noFill/>
        </a:ln>
        <a:effectLst/>
      </c:spPr>
    </c:plotArea>
    <c:plotVisOnly val="1"/>
    <c:dispBlanksAs val="gap"/>
    <c:showDLblsOverMax val="0"/>
  </c:chart>
  <c:spPr>
    <a:solidFill>
      <a:schemeClr val="bg1"/>
    </a:solidFill>
    <a:ln w="9525" cap="flat" cmpd="sng" algn="ctr">
      <a:solidFill>
        <a:schemeClr val="tx1">
          <a:lumMod val="15000"/>
          <a:lumOff val="85000"/>
        </a:schemeClr>
      </a:solidFill>
      <a:round/>
    </a:ln>
    <a:effectLst/>
  </c:spPr>
  <c:txPr>
    <a:bodyPr/>
    <a:lstStyle/>
    <a:p>
      <a:pPr>
        <a:defRPr>
          <a:solidFill>
            <a:sysClr val="windowText" lastClr="000000"/>
          </a:solidFill>
          <a:latin typeface="Times New Roman" panose="02020603050405020304" pitchFamily="18" charset="0"/>
          <a:cs typeface="Times New Roman" panose="02020603050405020304" pitchFamily="18" charset="0"/>
        </a:defRPr>
      </a:pPr>
      <a:endParaRPr lang="en-US"/>
    </a:p>
  </c:txPr>
  <c:externalData r:id="rId3">
    <c:autoUpdate val="0"/>
  </c:externalData>
</c:chartSpace>
</file>

<file path=word/charts/colors1.xml><?xml version="1.0" encoding="utf-8"?>
<cs:colorStyle xmlns:cs="http://schemas.microsoft.com/office/drawing/2012/chartStyle" xmlns:a="http://schemas.openxmlformats.org/drawingml/2006/main" meth="cycle" id="10">
  <a:schemeClr val="accent1"/>
  <a:schemeClr val="accent2"/>
  <a:schemeClr val="accent3"/>
  <a:schemeClr val="accent4"/>
  <a:schemeClr val="accent5"/>
  <a:schemeClr val="accent6"/>
  <cs:variation/>
  <cs:variation>
    <a:lumMod val="60000"/>
  </cs:variation>
  <cs:variation>
    <a:lumMod val="80000"/>
    <a:lumOff val="20000"/>
  </cs:variation>
  <cs:variation>
    <a:lumMod val="80000"/>
  </cs:variation>
  <cs:variation>
    <a:lumMod val="60000"/>
    <a:lumOff val="40000"/>
  </cs:variation>
  <cs:variation>
    <a:lumMod val="50000"/>
  </cs:variation>
  <cs:variation>
    <a:lumMod val="70000"/>
    <a:lumOff val="30000"/>
  </cs:variation>
  <cs:variation>
    <a:lumMod val="70000"/>
  </cs:variation>
  <cs:variation>
    <a:lumMod val="50000"/>
    <a:lumOff val="50000"/>
  </cs:variation>
</cs:colorStyle>
</file>

<file path=word/charts/colors2.xml><?xml version="1.0" encoding="utf-8"?>
<cs:colorStyle xmlns:cs="http://schemas.microsoft.com/office/drawing/2012/chartStyle" xmlns:a="http://schemas.openxmlformats.org/drawingml/2006/main" meth="cycle" id="10">
  <a:schemeClr val="accent1"/>
  <a:schemeClr val="accent2"/>
  <a:schemeClr val="accent3"/>
  <a:schemeClr val="accent4"/>
  <a:schemeClr val="accent5"/>
  <a:schemeClr val="accent6"/>
  <cs:variation/>
  <cs:variation>
    <a:lumMod val="60000"/>
  </cs:variation>
  <cs:variation>
    <a:lumMod val="80000"/>
    <a:lumOff val="20000"/>
  </cs:variation>
  <cs:variation>
    <a:lumMod val="80000"/>
  </cs:variation>
  <cs:variation>
    <a:lumMod val="60000"/>
    <a:lumOff val="40000"/>
  </cs:variation>
  <cs:variation>
    <a:lumMod val="50000"/>
  </cs:variation>
  <cs:variation>
    <a:lumMod val="70000"/>
    <a:lumOff val="30000"/>
  </cs:variation>
  <cs:variation>
    <a:lumMod val="70000"/>
  </cs:variation>
  <cs:variation>
    <a:lumMod val="50000"/>
    <a:lumOff val="50000"/>
  </cs:variation>
</cs:colorStyle>
</file>

<file path=word/charts/colors3.xml><?xml version="1.0" encoding="utf-8"?>
<cs:colorStyle xmlns:cs="http://schemas.microsoft.com/office/drawing/2012/chartStyle" xmlns:a="http://schemas.openxmlformats.org/drawingml/2006/main" meth="cycle" id="10">
  <a:schemeClr val="accent1"/>
  <a:schemeClr val="accent2"/>
  <a:schemeClr val="accent3"/>
  <a:schemeClr val="accent4"/>
  <a:schemeClr val="accent5"/>
  <a:schemeClr val="accent6"/>
  <cs:variation/>
  <cs:variation>
    <a:lumMod val="60000"/>
  </cs:variation>
  <cs:variation>
    <a:lumMod val="80000"/>
    <a:lumOff val="20000"/>
  </cs:variation>
  <cs:variation>
    <a:lumMod val="80000"/>
  </cs:variation>
  <cs:variation>
    <a:lumMod val="60000"/>
    <a:lumOff val="40000"/>
  </cs:variation>
  <cs:variation>
    <a:lumMod val="50000"/>
  </cs:variation>
  <cs:variation>
    <a:lumMod val="70000"/>
    <a:lumOff val="30000"/>
  </cs:variation>
  <cs:variation>
    <a:lumMod val="70000"/>
  </cs:variation>
  <cs:variation>
    <a:lumMod val="50000"/>
    <a:lumOff val="50000"/>
  </cs:variation>
</cs:colorStyle>
</file>

<file path=word/charts/colors4.xml><?xml version="1.0" encoding="utf-8"?>
<cs:colorStyle xmlns:cs="http://schemas.microsoft.com/office/drawing/2012/chartStyle" xmlns:a="http://schemas.openxmlformats.org/drawingml/2006/main" meth="cycle" id="10">
  <a:schemeClr val="accent1"/>
  <a:schemeClr val="accent2"/>
  <a:schemeClr val="accent3"/>
  <a:schemeClr val="accent4"/>
  <a:schemeClr val="accent5"/>
  <a:schemeClr val="accent6"/>
  <cs:variation/>
  <cs:variation>
    <a:lumMod val="60000"/>
  </cs:variation>
  <cs:variation>
    <a:lumMod val="80000"/>
    <a:lumOff val="20000"/>
  </cs:variation>
  <cs:variation>
    <a:lumMod val="80000"/>
  </cs:variation>
  <cs:variation>
    <a:lumMod val="60000"/>
    <a:lumOff val="40000"/>
  </cs:variation>
  <cs:variation>
    <a:lumMod val="50000"/>
  </cs:variation>
  <cs:variation>
    <a:lumMod val="70000"/>
    <a:lumOff val="30000"/>
  </cs:variation>
  <cs:variation>
    <a:lumMod val="70000"/>
  </cs:variation>
  <cs:variation>
    <a:lumMod val="50000"/>
    <a:lumOff val="50000"/>
  </cs:variation>
</cs:colorStyle>
</file>

<file path=word/charts/colors5.xml><?xml version="1.0" encoding="utf-8"?>
<cs:colorStyle xmlns:cs="http://schemas.microsoft.com/office/drawing/2012/chartStyle" xmlns:a="http://schemas.openxmlformats.org/drawingml/2006/main" meth="cycle" id="10">
  <a:schemeClr val="accent1"/>
  <a:schemeClr val="accent2"/>
  <a:schemeClr val="accent3"/>
  <a:schemeClr val="accent4"/>
  <a:schemeClr val="accent5"/>
  <a:schemeClr val="accent6"/>
  <cs:variation/>
  <cs:variation>
    <a:lumMod val="60000"/>
  </cs:variation>
  <cs:variation>
    <a:lumMod val="80000"/>
    <a:lumOff val="20000"/>
  </cs:variation>
  <cs:variation>
    <a:lumMod val="80000"/>
  </cs:variation>
  <cs:variation>
    <a:lumMod val="60000"/>
    <a:lumOff val="40000"/>
  </cs:variation>
  <cs:variation>
    <a:lumMod val="50000"/>
  </cs:variation>
  <cs:variation>
    <a:lumMod val="70000"/>
    <a:lumOff val="30000"/>
  </cs:variation>
  <cs:variation>
    <a:lumMod val="70000"/>
  </cs:variation>
  <cs:variation>
    <a:lumMod val="50000"/>
    <a:lumOff val="50000"/>
  </cs:variation>
</cs:colorStyle>
</file>

<file path=word/charts/colors6.xml><?xml version="1.0" encoding="utf-8"?>
<cs:colorStyle xmlns:cs="http://schemas.microsoft.com/office/drawing/2012/chartStyle" xmlns:a="http://schemas.openxmlformats.org/drawingml/2006/main" meth="cycle" id="10">
  <a:schemeClr val="accent1"/>
  <a:schemeClr val="accent2"/>
  <a:schemeClr val="accent3"/>
  <a:schemeClr val="accent4"/>
  <a:schemeClr val="accent5"/>
  <a:schemeClr val="accent6"/>
  <cs:variation/>
  <cs:variation>
    <a:lumMod val="60000"/>
  </cs:variation>
  <cs:variation>
    <a:lumMod val="80000"/>
    <a:lumOff val="20000"/>
  </cs:variation>
  <cs:variation>
    <a:lumMod val="80000"/>
  </cs:variation>
  <cs:variation>
    <a:lumMod val="60000"/>
    <a:lumOff val="40000"/>
  </cs:variation>
  <cs:variation>
    <a:lumMod val="50000"/>
  </cs:variation>
  <cs:variation>
    <a:lumMod val="70000"/>
    <a:lumOff val="30000"/>
  </cs:variation>
  <cs:variation>
    <a:lumMod val="70000"/>
  </cs:variation>
  <cs:variation>
    <a:lumMod val="50000"/>
    <a:lumOff val="50000"/>
  </cs:variation>
</cs:colorStyle>
</file>

<file path=word/charts/style1.xml><?xml version="1.0" encoding="utf-8"?>
<cs:chartStyle xmlns:cs="http://schemas.microsoft.com/office/drawing/2012/chartStyle" xmlns:a="http://schemas.openxmlformats.org/drawingml/2006/main" id="227">
  <cs:axisTitle>
    <cs:lnRef idx="0"/>
    <cs:fillRef idx="0"/>
    <cs:effectRef idx="0"/>
    <cs:fontRef idx="minor">
      <a:schemeClr val="tx1">
        <a:lumMod val="65000"/>
        <a:lumOff val="35000"/>
      </a:schemeClr>
    </cs:fontRef>
    <cs:defRPr sz="1000" kern="1200"/>
  </cs:axisTitle>
  <cs:categoryAxis>
    <cs:lnRef idx="0"/>
    <cs:fillRef idx="0"/>
    <cs:effectRef idx="0"/>
    <cs:fontRef idx="minor">
      <a:schemeClr val="tx1">
        <a:lumMod val="65000"/>
        <a:lumOff val="35000"/>
      </a:schemeClr>
    </cs:fontRef>
    <cs:spPr>
      <a:ln w="9525" cap="flat" cmpd="sng" algn="ctr">
        <a:solidFill>
          <a:schemeClr val="tx1">
            <a:lumMod val="15000"/>
            <a:lumOff val="85000"/>
          </a:schemeClr>
        </a:solidFill>
        <a:round/>
      </a:ln>
    </cs:spPr>
    <cs:defRPr sz="900" kern="1200"/>
  </cs:categoryAxis>
  <cs:chartArea mods="allowNoFillOverride allowNoLineOverride">
    <cs:lnRef idx="0"/>
    <cs:fillRef idx="0"/>
    <cs:effectRef idx="0"/>
    <cs:fontRef idx="minor">
      <a:schemeClr val="tx1"/>
    </cs:fontRef>
    <cs:spPr>
      <a:solidFill>
        <a:schemeClr val="bg1"/>
      </a:solidFill>
      <a:ln w="9525" cap="flat" cmpd="sng" algn="ctr">
        <a:solidFill>
          <a:schemeClr val="tx1">
            <a:lumMod val="15000"/>
            <a:lumOff val="85000"/>
          </a:schemeClr>
        </a:solidFill>
        <a:round/>
      </a:ln>
    </cs:spPr>
    <cs:defRPr sz="1000" kern="1200"/>
  </cs:chartArea>
  <cs:dataLabel>
    <cs:lnRef idx="0"/>
    <cs:fillRef idx="0"/>
    <cs:effectRef idx="0"/>
    <cs:fontRef idx="minor">
      <a:schemeClr val="tx1">
        <a:lumMod val="75000"/>
        <a:lumOff val="25000"/>
      </a:schemeClr>
    </cs:fontRef>
    <cs:defRPr sz="900" kern="1200"/>
  </cs:dataLabel>
  <cs:dataLabelCallout>
    <cs:lnRef idx="0"/>
    <cs:fillRef idx="0"/>
    <cs:effectRef idx="0"/>
    <cs:fontRef idx="minor">
      <a:schemeClr val="dk1">
        <a:lumMod val="65000"/>
        <a:lumOff val="35000"/>
      </a:schemeClr>
    </cs:fontRef>
    <cs:spPr>
      <a:solidFill>
        <a:schemeClr val="lt1"/>
      </a:solidFill>
      <a:ln>
        <a:solidFill>
          <a:schemeClr val="dk1">
            <a:lumMod val="25000"/>
            <a:lumOff val="75000"/>
          </a:schemeClr>
        </a:solidFill>
      </a:ln>
    </cs:spPr>
    <cs:defRPr sz="900" kern="1200"/>
    <cs:bodyPr rot="0" spcFirstLastPara="1" vertOverflow="clip" horzOverflow="clip" vert="horz" wrap="square" lIns="36576" tIns="18288" rIns="36576" bIns="18288" anchor="ctr" anchorCtr="1">
      <a:spAutoFit/>
    </cs:bodyPr>
  </cs:dataLabelCallout>
  <cs:dataPoint>
    <cs:lnRef idx="0"/>
    <cs:fillRef idx="1">
      <cs:styleClr val="auto"/>
    </cs:fillRef>
    <cs:effectRef idx="0"/>
    <cs:fontRef idx="minor">
      <a:schemeClr val="tx1"/>
    </cs:fontRef>
    <cs:spPr>
      <a:solidFill>
        <a:schemeClr val="phClr"/>
      </a:solidFill>
    </cs:spPr>
  </cs:dataPoint>
  <cs:dataPoint3D>
    <cs:lnRef idx="0"/>
    <cs:fillRef idx="1">
      <cs:styleClr val="auto"/>
    </cs:fillRef>
    <cs:effectRef idx="0"/>
    <cs:fontRef idx="minor">
      <a:schemeClr val="tx1"/>
    </cs:fontRef>
    <cs:spPr>
      <a:solidFill>
        <a:schemeClr val="phClr"/>
      </a:solidFill>
    </cs:spPr>
  </cs:dataPoint3D>
  <cs:dataPointLine>
    <cs:lnRef idx="0">
      <cs:styleClr val="auto"/>
    </cs:lnRef>
    <cs:fillRef idx="1"/>
    <cs:effectRef idx="0"/>
    <cs:fontRef idx="minor">
      <a:schemeClr val="tx1"/>
    </cs:fontRef>
    <cs:spPr>
      <a:ln w="28575" cap="rnd">
        <a:solidFill>
          <a:schemeClr val="phClr"/>
        </a:solidFill>
        <a:round/>
      </a:ln>
    </cs:spPr>
  </cs:dataPointLine>
  <cs:dataPointMarker>
    <cs:lnRef idx="0">
      <cs:styleClr val="auto"/>
    </cs:lnRef>
    <cs:fillRef idx="1">
      <cs:styleClr val="auto"/>
    </cs:fillRef>
    <cs:effectRef idx="0"/>
    <cs:fontRef idx="minor">
      <a:schemeClr val="tx1"/>
    </cs:fontRef>
    <cs:spPr>
      <a:solidFill>
        <a:schemeClr val="phClr"/>
      </a:solidFill>
      <a:ln w="9525">
        <a:solidFill>
          <a:schemeClr val="phClr"/>
        </a:solidFill>
      </a:ln>
    </cs:spPr>
  </cs:dataPointMarker>
  <cs:dataPointMarkerLayout symbol="circle" size="5"/>
  <cs:dataPointWireframe>
    <cs:lnRef idx="0">
      <cs:styleClr val="auto"/>
    </cs:lnRef>
    <cs:fillRef idx="1"/>
    <cs:effectRef idx="0"/>
    <cs:fontRef idx="minor">
      <a:schemeClr val="tx1"/>
    </cs:fontRef>
    <cs:spPr>
      <a:ln w="9525" cap="rnd">
        <a:solidFill>
          <a:schemeClr val="phClr"/>
        </a:solidFill>
        <a:round/>
      </a:ln>
    </cs:spPr>
  </cs:dataPointWireframe>
  <cs:dataTable>
    <cs:lnRef idx="0"/>
    <cs:fillRef idx="0"/>
    <cs:effectRef idx="0"/>
    <cs:fontRef idx="minor">
      <a:schemeClr val="tx1">
        <a:lumMod val="65000"/>
        <a:lumOff val="35000"/>
      </a:schemeClr>
    </cs:fontRef>
    <cs:spPr>
      <a:noFill/>
      <a:ln w="9525" cap="flat" cmpd="sng" algn="ctr">
        <a:solidFill>
          <a:schemeClr val="tx1">
            <a:lumMod val="15000"/>
            <a:lumOff val="85000"/>
          </a:schemeClr>
        </a:solidFill>
        <a:round/>
      </a:ln>
    </cs:spPr>
    <cs:defRPr sz="900" kern="1200"/>
  </cs:dataTable>
  <cs:downBar>
    <cs:lnRef idx="0"/>
    <cs:fillRef idx="0"/>
    <cs:effectRef idx="0"/>
    <cs:fontRef idx="minor">
      <a:schemeClr val="dk1"/>
    </cs:fontRef>
    <cs:spPr>
      <a:solidFill>
        <a:schemeClr val="dk1">
          <a:lumMod val="65000"/>
          <a:lumOff val="35000"/>
        </a:schemeClr>
      </a:solidFill>
      <a:ln w="9525">
        <a:solidFill>
          <a:schemeClr val="tx1">
            <a:lumMod val="65000"/>
            <a:lumOff val="35000"/>
          </a:schemeClr>
        </a:solidFill>
      </a:ln>
    </cs:spPr>
  </cs:downBar>
  <cs:dropLine>
    <cs:lnRef idx="0"/>
    <cs:fillRef idx="0"/>
    <cs:effectRef idx="0"/>
    <cs:fontRef idx="minor">
      <a:schemeClr val="tx1"/>
    </cs:fontRef>
    <cs:spPr>
      <a:ln w="9525" cap="flat" cmpd="sng" algn="ctr">
        <a:solidFill>
          <a:schemeClr val="tx1">
            <a:lumMod val="35000"/>
            <a:lumOff val="65000"/>
          </a:schemeClr>
        </a:solidFill>
        <a:round/>
      </a:ln>
    </cs:spPr>
  </cs:dropLine>
  <cs:errorBar>
    <cs:lnRef idx="0"/>
    <cs:fillRef idx="0"/>
    <cs:effectRef idx="0"/>
    <cs:fontRef idx="minor">
      <a:schemeClr val="tx1"/>
    </cs:fontRef>
    <cs:spPr>
      <a:ln w="9525" cap="flat" cmpd="sng" algn="ctr">
        <a:solidFill>
          <a:schemeClr val="tx1">
            <a:lumMod val="65000"/>
            <a:lumOff val="35000"/>
          </a:schemeClr>
        </a:solidFill>
        <a:round/>
      </a:ln>
    </cs:spPr>
  </cs:errorBar>
  <cs:floor>
    <cs:lnRef idx="0"/>
    <cs:fillRef idx="0"/>
    <cs:effectRef idx="0"/>
    <cs:fontRef idx="minor">
      <a:schemeClr val="tx1"/>
    </cs:fontRef>
    <cs:spPr>
      <a:noFill/>
      <a:ln>
        <a:noFill/>
      </a:ln>
    </cs:spPr>
  </cs:floor>
  <cs:gridlineMajor>
    <cs:lnRef idx="0"/>
    <cs:fillRef idx="0"/>
    <cs:effectRef idx="0"/>
    <cs:fontRef idx="minor">
      <a:schemeClr val="tx1"/>
    </cs:fontRef>
    <cs:spPr>
      <a:ln w="9525" cap="flat" cmpd="sng" algn="ctr">
        <a:solidFill>
          <a:schemeClr val="tx1">
            <a:lumMod val="15000"/>
            <a:lumOff val="85000"/>
          </a:schemeClr>
        </a:solidFill>
        <a:round/>
      </a:ln>
    </cs:spPr>
  </cs:gridlineMajor>
  <cs:gridlineMinor>
    <cs:lnRef idx="0"/>
    <cs:fillRef idx="0"/>
    <cs:effectRef idx="0"/>
    <cs:fontRef idx="minor">
      <a:schemeClr val="tx1"/>
    </cs:fontRef>
    <cs:spPr>
      <a:ln w="9525" cap="flat" cmpd="sng" algn="ctr">
        <a:solidFill>
          <a:schemeClr val="tx1">
            <a:lumMod val="5000"/>
            <a:lumOff val="95000"/>
          </a:schemeClr>
        </a:solidFill>
        <a:round/>
      </a:ln>
    </cs:spPr>
  </cs:gridlineMinor>
  <cs:hiLoLine>
    <cs:lnRef idx="0"/>
    <cs:fillRef idx="0"/>
    <cs:effectRef idx="0"/>
    <cs:fontRef idx="minor">
      <a:schemeClr val="tx1"/>
    </cs:fontRef>
    <cs:spPr>
      <a:ln w="9525" cap="flat" cmpd="sng" algn="ctr">
        <a:solidFill>
          <a:schemeClr val="tx1">
            <a:lumMod val="75000"/>
            <a:lumOff val="25000"/>
          </a:schemeClr>
        </a:solidFill>
        <a:round/>
      </a:ln>
    </cs:spPr>
  </cs:hiLoLine>
  <cs:leaderLine>
    <cs:lnRef idx="0"/>
    <cs:fillRef idx="0"/>
    <cs:effectRef idx="0"/>
    <cs:fontRef idx="minor">
      <a:schemeClr val="tx1"/>
    </cs:fontRef>
    <cs:spPr>
      <a:ln w="9525" cap="flat" cmpd="sng" algn="ctr">
        <a:solidFill>
          <a:schemeClr val="tx1">
            <a:lumMod val="35000"/>
            <a:lumOff val="65000"/>
          </a:schemeClr>
        </a:solidFill>
        <a:round/>
      </a:ln>
    </cs:spPr>
  </cs:leaderLine>
  <cs:legend>
    <cs:lnRef idx="0"/>
    <cs:fillRef idx="0"/>
    <cs:effectRef idx="0"/>
    <cs:fontRef idx="minor">
      <a:schemeClr val="tx1">
        <a:lumMod val="65000"/>
        <a:lumOff val="35000"/>
      </a:schemeClr>
    </cs:fontRef>
    <cs:defRPr sz="900" kern="1200"/>
  </cs:legend>
  <cs:plotArea mods="allowNoFillOverride allowNoLineOverride">
    <cs:lnRef idx="0"/>
    <cs:fillRef idx="0"/>
    <cs:effectRef idx="0"/>
    <cs:fontRef idx="minor">
      <a:schemeClr val="tx1"/>
    </cs:fontRef>
  </cs:plotArea>
  <cs:plotArea3D mods="allowNoFillOverride allowNoLineOverride">
    <cs:lnRef idx="0"/>
    <cs:fillRef idx="0"/>
    <cs:effectRef idx="0"/>
    <cs:fontRef idx="minor">
      <a:schemeClr val="tx1"/>
    </cs:fontRef>
  </cs:plotArea3D>
  <cs:seriesAxis>
    <cs:lnRef idx="0"/>
    <cs:fillRef idx="0"/>
    <cs:effectRef idx="0"/>
    <cs:fontRef idx="minor">
      <a:schemeClr val="tx1">
        <a:lumMod val="65000"/>
        <a:lumOff val="35000"/>
      </a:schemeClr>
    </cs:fontRef>
    <cs:defRPr sz="900" kern="1200"/>
  </cs:seriesAxis>
  <cs:seriesLine>
    <cs:lnRef idx="0"/>
    <cs:fillRef idx="0"/>
    <cs:effectRef idx="0"/>
    <cs:fontRef idx="minor">
      <a:schemeClr val="tx1"/>
    </cs:fontRef>
    <cs:spPr>
      <a:ln w="9525" cap="flat" cmpd="sng" algn="ctr">
        <a:solidFill>
          <a:schemeClr val="tx1">
            <a:lumMod val="35000"/>
            <a:lumOff val="65000"/>
          </a:schemeClr>
        </a:solidFill>
        <a:round/>
      </a:ln>
    </cs:spPr>
  </cs:seriesLine>
  <cs:title>
    <cs:lnRef idx="0"/>
    <cs:fillRef idx="0"/>
    <cs:effectRef idx="0"/>
    <cs:fontRef idx="minor">
      <a:schemeClr val="tx1">
        <a:lumMod val="65000"/>
        <a:lumOff val="35000"/>
      </a:schemeClr>
    </cs:fontRef>
    <cs:defRPr sz="1400" b="0" kern="1200" spc="0" baseline="0"/>
  </cs:title>
  <cs:trendline>
    <cs:lnRef idx="0">
      <cs:styleClr val="auto"/>
    </cs:lnRef>
    <cs:fillRef idx="0"/>
    <cs:effectRef idx="0"/>
    <cs:fontRef idx="minor">
      <a:schemeClr val="tx1"/>
    </cs:fontRef>
    <cs:spPr>
      <a:ln w="19050" cap="rnd">
        <a:solidFill>
          <a:schemeClr val="phClr"/>
        </a:solidFill>
        <a:prstDash val="sysDot"/>
      </a:ln>
    </cs:spPr>
  </cs:trendline>
  <cs:trendlineLabel>
    <cs:lnRef idx="0"/>
    <cs:fillRef idx="0"/>
    <cs:effectRef idx="0"/>
    <cs:fontRef idx="minor">
      <a:schemeClr val="tx1">
        <a:lumMod val="65000"/>
        <a:lumOff val="35000"/>
      </a:schemeClr>
    </cs:fontRef>
    <cs:defRPr sz="900" kern="1200"/>
  </cs:trendlineLabel>
  <cs:upBar>
    <cs:lnRef idx="0"/>
    <cs:fillRef idx="0"/>
    <cs:effectRef idx="0"/>
    <cs:fontRef idx="minor">
      <a:schemeClr val="dk1"/>
    </cs:fontRef>
    <cs:spPr>
      <a:solidFill>
        <a:schemeClr val="lt1"/>
      </a:solidFill>
      <a:ln w="9525">
        <a:solidFill>
          <a:schemeClr val="tx1">
            <a:lumMod val="15000"/>
            <a:lumOff val="85000"/>
          </a:schemeClr>
        </a:solidFill>
      </a:ln>
    </cs:spPr>
  </cs:upBar>
  <cs:valueAxis>
    <cs:lnRef idx="0"/>
    <cs:fillRef idx="0"/>
    <cs:effectRef idx="0"/>
    <cs:fontRef idx="minor">
      <a:schemeClr val="tx1">
        <a:lumMod val="65000"/>
        <a:lumOff val="35000"/>
      </a:schemeClr>
    </cs:fontRef>
    <cs:defRPr sz="900" kern="1200"/>
  </cs:valueAxis>
  <cs:wall>
    <cs:lnRef idx="0"/>
    <cs:fillRef idx="0"/>
    <cs:effectRef idx="0"/>
    <cs:fontRef idx="minor">
      <a:schemeClr val="tx1"/>
    </cs:fontRef>
    <cs:spPr>
      <a:noFill/>
      <a:ln>
        <a:noFill/>
      </a:ln>
    </cs:spPr>
  </cs:wall>
</cs:chartStyle>
</file>

<file path=word/charts/style2.xml><?xml version="1.0" encoding="utf-8"?>
<cs:chartStyle xmlns:cs="http://schemas.microsoft.com/office/drawing/2012/chartStyle" xmlns:a="http://schemas.openxmlformats.org/drawingml/2006/main" id="227">
  <cs:axisTitle>
    <cs:lnRef idx="0"/>
    <cs:fillRef idx="0"/>
    <cs:effectRef idx="0"/>
    <cs:fontRef idx="minor">
      <a:schemeClr val="tx1">
        <a:lumMod val="65000"/>
        <a:lumOff val="35000"/>
      </a:schemeClr>
    </cs:fontRef>
    <cs:defRPr sz="1000" kern="1200"/>
  </cs:axisTitle>
  <cs:categoryAxis>
    <cs:lnRef idx="0"/>
    <cs:fillRef idx="0"/>
    <cs:effectRef idx="0"/>
    <cs:fontRef idx="minor">
      <a:schemeClr val="tx1">
        <a:lumMod val="65000"/>
        <a:lumOff val="35000"/>
      </a:schemeClr>
    </cs:fontRef>
    <cs:spPr>
      <a:ln w="9525" cap="flat" cmpd="sng" algn="ctr">
        <a:solidFill>
          <a:schemeClr val="tx1">
            <a:lumMod val="15000"/>
            <a:lumOff val="85000"/>
          </a:schemeClr>
        </a:solidFill>
        <a:round/>
      </a:ln>
    </cs:spPr>
    <cs:defRPr sz="900" kern="1200"/>
  </cs:categoryAxis>
  <cs:chartArea mods="allowNoFillOverride allowNoLineOverride">
    <cs:lnRef idx="0"/>
    <cs:fillRef idx="0"/>
    <cs:effectRef idx="0"/>
    <cs:fontRef idx="minor">
      <a:schemeClr val="tx1"/>
    </cs:fontRef>
    <cs:spPr>
      <a:solidFill>
        <a:schemeClr val="bg1"/>
      </a:solidFill>
      <a:ln w="9525" cap="flat" cmpd="sng" algn="ctr">
        <a:solidFill>
          <a:schemeClr val="tx1">
            <a:lumMod val="15000"/>
            <a:lumOff val="85000"/>
          </a:schemeClr>
        </a:solidFill>
        <a:round/>
      </a:ln>
    </cs:spPr>
    <cs:defRPr sz="1000" kern="1200"/>
  </cs:chartArea>
  <cs:dataLabel>
    <cs:lnRef idx="0"/>
    <cs:fillRef idx="0"/>
    <cs:effectRef idx="0"/>
    <cs:fontRef idx="minor">
      <a:schemeClr val="tx1">
        <a:lumMod val="75000"/>
        <a:lumOff val="25000"/>
      </a:schemeClr>
    </cs:fontRef>
    <cs:defRPr sz="900" kern="1200"/>
  </cs:dataLabel>
  <cs:dataLabelCallout>
    <cs:lnRef idx="0"/>
    <cs:fillRef idx="0"/>
    <cs:effectRef idx="0"/>
    <cs:fontRef idx="minor">
      <a:schemeClr val="dk1">
        <a:lumMod val="65000"/>
        <a:lumOff val="35000"/>
      </a:schemeClr>
    </cs:fontRef>
    <cs:spPr>
      <a:solidFill>
        <a:schemeClr val="lt1"/>
      </a:solidFill>
      <a:ln>
        <a:solidFill>
          <a:schemeClr val="dk1">
            <a:lumMod val="25000"/>
            <a:lumOff val="75000"/>
          </a:schemeClr>
        </a:solidFill>
      </a:ln>
    </cs:spPr>
    <cs:defRPr sz="900" kern="1200"/>
    <cs:bodyPr rot="0" spcFirstLastPara="1" vertOverflow="clip" horzOverflow="clip" vert="horz" wrap="square" lIns="36576" tIns="18288" rIns="36576" bIns="18288" anchor="ctr" anchorCtr="1">
      <a:spAutoFit/>
    </cs:bodyPr>
  </cs:dataLabelCallout>
  <cs:dataPoint>
    <cs:lnRef idx="0"/>
    <cs:fillRef idx="1">
      <cs:styleClr val="auto"/>
    </cs:fillRef>
    <cs:effectRef idx="0"/>
    <cs:fontRef idx="minor">
      <a:schemeClr val="tx1"/>
    </cs:fontRef>
    <cs:spPr>
      <a:solidFill>
        <a:schemeClr val="phClr"/>
      </a:solidFill>
    </cs:spPr>
  </cs:dataPoint>
  <cs:dataPoint3D>
    <cs:lnRef idx="0"/>
    <cs:fillRef idx="1">
      <cs:styleClr val="auto"/>
    </cs:fillRef>
    <cs:effectRef idx="0"/>
    <cs:fontRef idx="minor">
      <a:schemeClr val="tx1"/>
    </cs:fontRef>
    <cs:spPr>
      <a:solidFill>
        <a:schemeClr val="phClr"/>
      </a:solidFill>
    </cs:spPr>
  </cs:dataPoint3D>
  <cs:dataPointLine>
    <cs:lnRef idx="0">
      <cs:styleClr val="auto"/>
    </cs:lnRef>
    <cs:fillRef idx="1"/>
    <cs:effectRef idx="0"/>
    <cs:fontRef idx="minor">
      <a:schemeClr val="tx1"/>
    </cs:fontRef>
    <cs:spPr>
      <a:ln w="28575" cap="rnd">
        <a:solidFill>
          <a:schemeClr val="phClr"/>
        </a:solidFill>
        <a:round/>
      </a:ln>
    </cs:spPr>
  </cs:dataPointLine>
  <cs:dataPointMarker>
    <cs:lnRef idx="0">
      <cs:styleClr val="auto"/>
    </cs:lnRef>
    <cs:fillRef idx="1">
      <cs:styleClr val="auto"/>
    </cs:fillRef>
    <cs:effectRef idx="0"/>
    <cs:fontRef idx="minor">
      <a:schemeClr val="tx1"/>
    </cs:fontRef>
    <cs:spPr>
      <a:solidFill>
        <a:schemeClr val="phClr"/>
      </a:solidFill>
      <a:ln w="9525">
        <a:solidFill>
          <a:schemeClr val="phClr"/>
        </a:solidFill>
      </a:ln>
    </cs:spPr>
  </cs:dataPointMarker>
  <cs:dataPointMarkerLayout symbol="circle" size="5"/>
  <cs:dataPointWireframe>
    <cs:lnRef idx="0">
      <cs:styleClr val="auto"/>
    </cs:lnRef>
    <cs:fillRef idx="1"/>
    <cs:effectRef idx="0"/>
    <cs:fontRef idx="minor">
      <a:schemeClr val="tx1"/>
    </cs:fontRef>
    <cs:spPr>
      <a:ln w="9525" cap="rnd">
        <a:solidFill>
          <a:schemeClr val="phClr"/>
        </a:solidFill>
        <a:round/>
      </a:ln>
    </cs:spPr>
  </cs:dataPointWireframe>
  <cs:dataTable>
    <cs:lnRef idx="0"/>
    <cs:fillRef idx="0"/>
    <cs:effectRef idx="0"/>
    <cs:fontRef idx="minor">
      <a:schemeClr val="tx1">
        <a:lumMod val="65000"/>
        <a:lumOff val="35000"/>
      </a:schemeClr>
    </cs:fontRef>
    <cs:spPr>
      <a:noFill/>
      <a:ln w="9525" cap="flat" cmpd="sng" algn="ctr">
        <a:solidFill>
          <a:schemeClr val="tx1">
            <a:lumMod val="15000"/>
            <a:lumOff val="85000"/>
          </a:schemeClr>
        </a:solidFill>
        <a:round/>
      </a:ln>
    </cs:spPr>
    <cs:defRPr sz="900" kern="1200"/>
  </cs:dataTable>
  <cs:downBar>
    <cs:lnRef idx="0"/>
    <cs:fillRef idx="0"/>
    <cs:effectRef idx="0"/>
    <cs:fontRef idx="minor">
      <a:schemeClr val="dk1"/>
    </cs:fontRef>
    <cs:spPr>
      <a:solidFill>
        <a:schemeClr val="dk1">
          <a:lumMod val="65000"/>
          <a:lumOff val="35000"/>
        </a:schemeClr>
      </a:solidFill>
      <a:ln w="9525">
        <a:solidFill>
          <a:schemeClr val="tx1">
            <a:lumMod val="65000"/>
            <a:lumOff val="35000"/>
          </a:schemeClr>
        </a:solidFill>
      </a:ln>
    </cs:spPr>
  </cs:downBar>
  <cs:dropLine>
    <cs:lnRef idx="0"/>
    <cs:fillRef idx="0"/>
    <cs:effectRef idx="0"/>
    <cs:fontRef idx="minor">
      <a:schemeClr val="tx1"/>
    </cs:fontRef>
    <cs:spPr>
      <a:ln w="9525" cap="flat" cmpd="sng" algn="ctr">
        <a:solidFill>
          <a:schemeClr val="tx1">
            <a:lumMod val="35000"/>
            <a:lumOff val="65000"/>
          </a:schemeClr>
        </a:solidFill>
        <a:round/>
      </a:ln>
    </cs:spPr>
  </cs:dropLine>
  <cs:errorBar>
    <cs:lnRef idx="0"/>
    <cs:fillRef idx="0"/>
    <cs:effectRef idx="0"/>
    <cs:fontRef idx="minor">
      <a:schemeClr val="tx1"/>
    </cs:fontRef>
    <cs:spPr>
      <a:ln w="9525" cap="flat" cmpd="sng" algn="ctr">
        <a:solidFill>
          <a:schemeClr val="tx1">
            <a:lumMod val="65000"/>
            <a:lumOff val="35000"/>
          </a:schemeClr>
        </a:solidFill>
        <a:round/>
      </a:ln>
    </cs:spPr>
  </cs:errorBar>
  <cs:floor>
    <cs:lnRef idx="0"/>
    <cs:fillRef idx="0"/>
    <cs:effectRef idx="0"/>
    <cs:fontRef idx="minor">
      <a:schemeClr val="tx1"/>
    </cs:fontRef>
    <cs:spPr>
      <a:noFill/>
      <a:ln>
        <a:noFill/>
      </a:ln>
    </cs:spPr>
  </cs:floor>
  <cs:gridlineMajor>
    <cs:lnRef idx="0"/>
    <cs:fillRef idx="0"/>
    <cs:effectRef idx="0"/>
    <cs:fontRef idx="minor">
      <a:schemeClr val="tx1"/>
    </cs:fontRef>
    <cs:spPr>
      <a:ln w="9525" cap="flat" cmpd="sng" algn="ctr">
        <a:solidFill>
          <a:schemeClr val="tx1">
            <a:lumMod val="15000"/>
            <a:lumOff val="85000"/>
          </a:schemeClr>
        </a:solidFill>
        <a:round/>
      </a:ln>
    </cs:spPr>
  </cs:gridlineMajor>
  <cs:gridlineMinor>
    <cs:lnRef idx="0"/>
    <cs:fillRef idx="0"/>
    <cs:effectRef idx="0"/>
    <cs:fontRef idx="minor">
      <a:schemeClr val="tx1"/>
    </cs:fontRef>
    <cs:spPr>
      <a:ln w="9525" cap="flat" cmpd="sng" algn="ctr">
        <a:solidFill>
          <a:schemeClr val="tx1">
            <a:lumMod val="5000"/>
            <a:lumOff val="95000"/>
          </a:schemeClr>
        </a:solidFill>
        <a:round/>
      </a:ln>
    </cs:spPr>
  </cs:gridlineMinor>
  <cs:hiLoLine>
    <cs:lnRef idx="0"/>
    <cs:fillRef idx="0"/>
    <cs:effectRef idx="0"/>
    <cs:fontRef idx="minor">
      <a:schemeClr val="tx1"/>
    </cs:fontRef>
    <cs:spPr>
      <a:ln w="9525" cap="flat" cmpd="sng" algn="ctr">
        <a:solidFill>
          <a:schemeClr val="tx1">
            <a:lumMod val="75000"/>
            <a:lumOff val="25000"/>
          </a:schemeClr>
        </a:solidFill>
        <a:round/>
      </a:ln>
    </cs:spPr>
  </cs:hiLoLine>
  <cs:leaderLine>
    <cs:lnRef idx="0"/>
    <cs:fillRef idx="0"/>
    <cs:effectRef idx="0"/>
    <cs:fontRef idx="minor">
      <a:schemeClr val="tx1"/>
    </cs:fontRef>
    <cs:spPr>
      <a:ln w="9525" cap="flat" cmpd="sng" algn="ctr">
        <a:solidFill>
          <a:schemeClr val="tx1">
            <a:lumMod val="35000"/>
            <a:lumOff val="65000"/>
          </a:schemeClr>
        </a:solidFill>
        <a:round/>
      </a:ln>
    </cs:spPr>
  </cs:leaderLine>
  <cs:legend>
    <cs:lnRef idx="0"/>
    <cs:fillRef idx="0"/>
    <cs:effectRef idx="0"/>
    <cs:fontRef idx="minor">
      <a:schemeClr val="tx1">
        <a:lumMod val="65000"/>
        <a:lumOff val="35000"/>
      </a:schemeClr>
    </cs:fontRef>
    <cs:defRPr sz="900" kern="1200"/>
  </cs:legend>
  <cs:plotArea mods="allowNoFillOverride allowNoLineOverride">
    <cs:lnRef idx="0"/>
    <cs:fillRef idx="0"/>
    <cs:effectRef idx="0"/>
    <cs:fontRef idx="minor">
      <a:schemeClr val="tx1"/>
    </cs:fontRef>
  </cs:plotArea>
  <cs:plotArea3D mods="allowNoFillOverride allowNoLineOverride">
    <cs:lnRef idx="0"/>
    <cs:fillRef idx="0"/>
    <cs:effectRef idx="0"/>
    <cs:fontRef idx="minor">
      <a:schemeClr val="tx1"/>
    </cs:fontRef>
  </cs:plotArea3D>
  <cs:seriesAxis>
    <cs:lnRef idx="0"/>
    <cs:fillRef idx="0"/>
    <cs:effectRef idx="0"/>
    <cs:fontRef idx="minor">
      <a:schemeClr val="tx1">
        <a:lumMod val="65000"/>
        <a:lumOff val="35000"/>
      </a:schemeClr>
    </cs:fontRef>
    <cs:defRPr sz="900" kern="1200"/>
  </cs:seriesAxis>
  <cs:seriesLine>
    <cs:lnRef idx="0"/>
    <cs:fillRef idx="0"/>
    <cs:effectRef idx="0"/>
    <cs:fontRef idx="minor">
      <a:schemeClr val="tx1"/>
    </cs:fontRef>
    <cs:spPr>
      <a:ln w="9525" cap="flat" cmpd="sng" algn="ctr">
        <a:solidFill>
          <a:schemeClr val="tx1">
            <a:lumMod val="35000"/>
            <a:lumOff val="65000"/>
          </a:schemeClr>
        </a:solidFill>
        <a:round/>
      </a:ln>
    </cs:spPr>
  </cs:seriesLine>
  <cs:title>
    <cs:lnRef idx="0"/>
    <cs:fillRef idx="0"/>
    <cs:effectRef idx="0"/>
    <cs:fontRef idx="minor">
      <a:schemeClr val="tx1">
        <a:lumMod val="65000"/>
        <a:lumOff val="35000"/>
      </a:schemeClr>
    </cs:fontRef>
    <cs:defRPr sz="1400" b="0" kern="1200" spc="0" baseline="0"/>
  </cs:title>
  <cs:trendline>
    <cs:lnRef idx="0">
      <cs:styleClr val="auto"/>
    </cs:lnRef>
    <cs:fillRef idx="0"/>
    <cs:effectRef idx="0"/>
    <cs:fontRef idx="minor">
      <a:schemeClr val="tx1"/>
    </cs:fontRef>
    <cs:spPr>
      <a:ln w="19050" cap="rnd">
        <a:solidFill>
          <a:schemeClr val="phClr"/>
        </a:solidFill>
        <a:prstDash val="sysDot"/>
      </a:ln>
    </cs:spPr>
  </cs:trendline>
  <cs:trendlineLabel>
    <cs:lnRef idx="0"/>
    <cs:fillRef idx="0"/>
    <cs:effectRef idx="0"/>
    <cs:fontRef idx="minor">
      <a:schemeClr val="tx1">
        <a:lumMod val="65000"/>
        <a:lumOff val="35000"/>
      </a:schemeClr>
    </cs:fontRef>
    <cs:defRPr sz="900" kern="1200"/>
  </cs:trendlineLabel>
  <cs:upBar>
    <cs:lnRef idx="0"/>
    <cs:fillRef idx="0"/>
    <cs:effectRef idx="0"/>
    <cs:fontRef idx="minor">
      <a:schemeClr val="dk1"/>
    </cs:fontRef>
    <cs:spPr>
      <a:solidFill>
        <a:schemeClr val="lt1"/>
      </a:solidFill>
      <a:ln w="9525">
        <a:solidFill>
          <a:schemeClr val="tx1">
            <a:lumMod val="15000"/>
            <a:lumOff val="85000"/>
          </a:schemeClr>
        </a:solidFill>
      </a:ln>
    </cs:spPr>
  </cs:upBar>
  <cs:valueAxis>
    <cs:lnRef idx="0"/>
    <cs:fillRef idx="0"/>
    <cs:effectRef idx="0"/>
    <cs:fontRef idx="minor">
      <a:schemeClr val="tx1">
        <a:lumMod val="65000"/>
        <a:lumOff val="35000"/>
      </a:schemeClr>
    </cs:fontRef>
    <cs:defRPr sz="900" kern="1200"/>
  </cs:valueAxis>
  <cs:wall>
    <cs:lnRef idx="0"/>
    <cs:fillRef idx="0"/>
    <cs:effectRef idx="0"/>
    <cs:fontRef idx="minor">
      <a:schemeClr val="tx1"/>
    </cs:fontRef>
    <cs:spPr>
      <a:noFill/>
      <a:ln>
        <a:noFill/>
      </a:ln>
    </cs:spPr>
  </cs:wall>
</cs:chartStyle>
</file>

<file path=word/charts/style3.xml><?xml version="1.0" encoding="utf-8"?>
<cs:chartStyle xmlns:cs="http://schemas.microsoft.com/office/drawing/2012/chartStyle" xmlns:a="http://schemas.openxmlformats.org/drawingml/2006/main" id="227">
  <cs:axisTitle>
    <cs:lnRef idx="0"/>
    <cs:fillRef idx="0"/>
    <cs:effectRef idx="0"/>
    <cs:fontRef idx="minor">
      <a:schemeClr val="tx1">
        <a:lumMod val="65000"/>
        <a:lumOff val="35000"/>
      </a:schemeClr>
    </cs:fontRef>
    <cs:defRPr sz="1000" kern="1200"/>
  </cs:axisTitle>
  <cs:categoryAxis>
    <cs:lnRef idx="0"/>
    <cs:fillRef idx="0"/>
    <cs:effectRef idx="0"/>
    <cs:fontRef idx="minor">
      <a:schemeClr val="tx1">
        <a:lumMod val="65000"/>
        <a:lumOff val="35000"/>
      </a:schemeClr>
    </cs:fontRef>
    <cs:spPr>
      <a:ln w="9525" cap="flat" cmpd="sng" algn="ctr">
        <a:solidFill>
          <a:schemeClr val="tx1">
            <a:lumMod val="15000"/>
            <a:lumOff val="85000"/>
          </a:schemeClr>
        </a:solidFill>
        <a:round/>
      </a:ln>
    </cs:spPr>
    <cs:defRPr sz="900" kern="1200"/>
  </cs:categoryAxis>
  <cs:chartArea mods="allowNoFillOverride allowNoLineOverride">
    <cs:lnRef idx="0"/>
    <cs:fillRef idx="0"/>
    <cs:effectRef idx="0"/>
    <cs:fontRef idx="minor">
      <a:schemeClr val="tx1"/>
    </cs:fontRef>
    <cs:spPr>
      <a:solidFill>
        <a:schemeClr val="bg1"/>
      </a:solidFill>
      <a:ln w="9525" cap="flat" cmpd="sng" algn="ctr">
        <a:solidFill>
          <a:schemeClr val="tx1">
            <a:lumMod val="15000"/>
            <a:lumOff val="85000"/>
          </a:schemeClr>
        </a:solidFill>
        <a:round/>
      </a:ln>
    </cs:spPr>
    <cs:defRPr sz="1000" kern="1200"/>
  </cs:chartArea>
  <cs:dataLabel>
    <cs:lnRef idx="0"/>
    <cs:fillRef idx="0"/>
    <cs:effectRef idx="0"/>
    <cs:fontRef idx="minor">
      <a:schemeClr val="tx1">
        <a:lumMod val="75000"/>
        <a:lumOff val="25000"/>
      </a:schemeClr>
    </cs:fontRef>
    <cs:defRPr sz="900" kern="1200"/>
  </cs:dataLabel>
  <cs:dataLabelCallout>
    <cs:lnRef idx="0"/>
    <cs:fillRef idx="0"/>
    <cs:effectRef idx="0"/>
    <cs:fontRef idx="minor">
      <a:schemeClr val="dk1">
        <a:lumMod val="65000"/>
        <a:lumOff val="35000"/>
      </a:schemeClr>
    </cs:fontRef>
    <cs:spPr>
      <a:solidFill>
        <a:schemeClr val="lt1"/>
      </a:solidFill>
      <a:ln>
        <a:solidFill>
          <a:schemeClr val="dk1">
            <a:lumMod val="25000"/>
            <a:lumOff val="75000"/>
          </a:schemeClr>
        </a:solidFill>
      </a:ln>
    </cs:spPr>
    <cs:defRPr sz="900" kern="1200"/>
    <cs:bodyPr rot="0" spcFirstLastPara="1" vertOverflow="clip" horzOverflow="clip" vert="horz" wrap="square" lIns="36576" tIns="18288" rIns="36576" bIns="18288" anchor="ctr" anchorCtr="1">
      <a:spAutoFit/>
    </cs:bodyPr>
  </cs:dataLabelCallout>
  <cs:dataPoint>
    <cs:lnRef idx="0"/>
    <cs:fillRef idx="1">
      <cs:styleClr val="auto"/>
    </cs:fillRef>
    <cs:effectRef idx="0"/>
    <cs:fontRef idx="minor">
      <a:schemeClr val="tx1"/>
    </cs:fontRef>
    <cs:spPr>
      <a:solidFill>
        <a:schemeClr val="phClr"/>
      </a:solidFill>
    </cs:spPr>
  </cs:dataPoint>
  <cs:dataPoint3D>
    <cs:lnRef idx="0"/>
    <cs:fillRef idx="1">
      <cs:styleClr val="auto"/>
    </cs:fillRef>
    <cs:effectRef idx="0"/>
    <cs:fontRef idx="minor">
      <a:schemeClr val="tx1"/>
    </cs:fontRef>
    <cs:spPr>
      <a:solidFill>
        <a:schemeClr val="phClr"/>
      </a:solidFill>
    </cs:spPr>
  </cs:dataPoint3D>
  <cs:dataPointLine>
    <cs:lnRef idx="0">
      <cs:styleClr val="auto"/>
    </cs:lnRef>
    <cs:fillRef idx="1"/>
    <cs:effectRef idx="0"/>
    <cs:fontRef idx="minor">
      <a:schemeClr val="tx1"/>
    </cs:fontRef>
    <cs:spPr>
      <a:ln w="28575" cap="rnd">
        <a:solidFill>
          <a:schemeClr val="phClr"/>
        </a:solidFill>
        <a:round/>
      </a:ln>
    </cs:spPr>
  </cs:dataPointLine>
  <cs:dataPointMarker>
    <cs:lnRef idx="0">
      <cs:styleClr val="auto"/>
    </cs:lnRef>
    <cs:fillRef idx="1">
      <cs:styleClr val="auto"/>
    </cs:fillRef>
    <cs:effectRef idx="0"/>
    <cs:fontRef idx="minor">
      <a:schemeClr val="tx1"/>
    </cs:fontRef>
    <cs:spPr>
      <a:solidFill>
        <a:schemeClr val="phClr"/>
      </a:solidFill>
      <a:ln w="9525">
        <a:solidFill>
          <a:schemeClr val="phClr"/>
        </a:solidFill>
      </a:ln>
    </cs:spPr>
  </cs:dataPointMarker>
  <cs:dataPointMarkerLayout symbol="circle" size="5"/>
  <cs:dataPointWireframe>
    <cs:lnRef idx="0">
      <cs:styleClr val="auto"/>
    </cs:lnRef>
    <cs:fillRef idx="1"/>
    <cs:effectRef idx="0"/>
    <cs:fontRef idx="minor">
      <a:schemeClr val="tx1"/>
    </cs:fontRef>
    <cs:spPr>
      <a:ln w="9525" cap="rnd">
        <a:solidFill>
          <a:schemeClr val="phClr"/>
        </a:solidFill>
        <a:round/>
      </a:ln>
    </cs:spPr>
  </cs:dataPointWireframe>
  <cs:dataTable>
    <cs:lnRef idx="0"/>
    <cs:fillRef idx="0"/>
    <cs:effectRef idx="0"/>
    <cs:fontRef idx="minor">
      <a:schemeClr val="tx1">
        <a:lumMod val="65000"/>
        <a:lumOff val="35000"/>
      </a:schemeClr>
    </cs:fontRef>
    <cs:spPr>
      <a:noFill/>
      <a:ln w="9525" cap="flat" cmpd="sng" algn="ctr">
        <a:solidFill>
          <a:schemeClr val="tx1">
            <a:lumMod val="15000"/>
            <a:lumOff val="85000"/>
          </a:schemeClr>
        </a:solidFill>
        <a:round/>
      </a:ln>
    </cs:spPr>
    <cs:defRPr sz="900" kern="1200"/>
  </cs:dataTable>
  <cs:downBar>
    <cs:lnRef idx="0"/>
    <cs:fillRef idx="0"/>
    <cs:effectRef idx="0"/>
    <cs:fontRef idx="minor">
      <a:schemeClr val="dk1"/>
    </cs:fontRef>
    <cs:spPr>
      <a:solidFill>
        <a:schemeClr val="dk1">
          <a:lumMod val="65000"/>
          <a:lumOff val="35000"/>
        </a:schemeClr>
      </a:solidFill>
      <a:ln w="9525">
        <a:solidFill>
          <a:schemeClr val="tx1">
            <a:lumMod val="65000"/>
            <a:lumOff val="35000"/>
          </a:schemeClr>
        </a:solidFill>
      </a:ln>
    </cs:spPr>
  </cs:downBar>
  <cs:dropLine>
    <cs:lnRef idx="0"/>
    <cs:fillRef idx="0"/>
    <cs:effectRef idx="0"/>
    <cs:fontRef idx="minor">
      <a:schemeClr val="tx1"/>
    </cs:fontRef>
    <cs:spPr>
      <a:ln w="9525" cap="flat" cmpd="sng" algn="ctr">
        <a:solidFill>
          <a:schemeClr val="tx1">
            <a:lumMod val="35000"/>
            <a:lumOff val="65000"/>
          </a:schemeClr>
        </a:solidFill>
        <a:round/>
      </a:ln>
    </cs:spPr>
  </cs:dropLine>
  <cs:errorBar>
    <cs:lnRef idx="0"/>
    <cs:fillRef idx="0"/>
    <cs:effectRef idx="0"/>
    <cs:fontRef idx="minor">
      <a:schemeClr val="tx1"/>
    </cs:fontRef>
    <cs:spPr>
      <a:ln w="9525" cap="flat" cmpd="sng" algn="ctr">
        <a:solidFill>
          <a:schemeClr val="tx1">
            <a:lumMod val="65000"/>
            <a:lumOff val="35000"/>
          </a:schemeClr>
        </a:solidFill>
        <a:round/>
      </a:ln>
    </cs:spPr>
  </cs:errorBar>
  <cs:floor>
    <cs:lnRef idx="0"/>
    <cs:fillRef idx="0"/>
    <cs:effectRef idx="0"/>
    <cs:fontRef idx="minor">
      <a:schemeClr val="tx1"/>
    </cs:fontRef>
    <cs:spPr>
      <a:noFill/>
      <a:ln>
        <a:noFill/>
      </a:ln>
    </cs:spPr>
  </cs:floor>
  <cs:gridlineMajor>
    <cs:lnRef idx="0"/>
    <cs:fillRef idx="0"/>
    <cs:effectRef idx="0"/>
    <cs:fontRef idx="minor">
      <a:schemeClr val="tx1"/>
    </cs:fontRef>
    <cs:spPr>
      <a:ln w="9525" cap="flat" cmpd="sng" algn="ctr">
        <a:solidFill>
          <a:schemeClr val="tx1">
            <a:lumMod val="15000"/>
            <a:lumOff val="85000"/>
          </a:schemeClr>
        </a:solidFill>
        <a:round/>
      </a:ln>
    </cs:spPr>
  </cs:gridlineMajor>
  <cs:gridlineMinor>
    <cs:lnRef idx="0"/>
    <cs:fillRef idx="0"/>
    <cs:effectRef idx="0"/>
    <cs:fontRef idx="minor">
      <a:schemeClr val="tx1"/>
    </cs:fontRef>
    <cs:spPr>
      <a:ln w="9525" cap="flat" cmpd="sng" algn="ctr">
        <a:solidFill>
          <a:schemeClr val="tx1">
            <a:lumMod val="5000"/>
            <a:lumOff val="95000"/>
          </a:schemeClr>
        </a:solidFill>
        <a:round/>
      </a:ln>
    </cs:spPr>
  </cs:gridlineMinor>
  <cs:hiLoLine>
    <cs:lnRef idx="0"/>
    <cs:fillRef idx="0"/>
    <cs:effectRef idx="0"/>
    <cs:fontRef idx="minor">
      <a:schemeClr val="tx1"/>
    </cs:fontRef>
    <cs:spPr>
      <a:ln w="9525" cap="flat" cmpd="sng" algn="ctr">
        <a:solidFill>
          <a:schemeClr val="tx1">
            <a:lumMod val="75000"/>
            <a:lumOff val="25000"/>
          </a:schemeClr>
        </a:solidFill>
        <a:round/>
      </a:ln>
    </cs:spPr>
  </cs:hiLoLine>
  <cs:leaderLine>
    <cs:lnRef idx="0"/>
    <cs:fillRef idx="0"/>
    <cs:effectRef idx="0"/>
    <cs:fontRef idx="minor">
      <a:schemeClr val="tx1"/>
    </cs:fontRef>
    <cs:spPr>
      <a:ln w="9525" cap="flat" cmpd="sng" algn="ctr">
        <a:solidFill>
          <a:schemeClr val="tx1">
            <a:lumMod val="35000"/>
            <a:lumOff val="65000"/>
          </a:schemeClr>
        </a:solidFill>
        <a:round/>
      </a:ln>
    </cs:spPr>
  </cs:leaderLine>
  <cs:legend>
    <cs:lnRef idx="0"/>
    <cs:fillRef idx="0"/>
    <cs:effectRef idx="0"/>
    <cs:fontRef idx="minor">
      <a:schemeClr val="tx1">
        <a:lumMod val="65000"/>
        <a:lumOff val="35000"/>
      </a:schemeClr>
    </cs:fontRef>
    <cs:defRPr sz="900" kern="1200"/>
  </cs:legend>
  <cs:plotArea mods="allowNoFillOverride allowNoLineOverride">
    <cs:lnRef idx="0"/>
    <cs:fillRef idx="0"/>
    <cs:effectRef idx="0"/>
    <cs:fontRef idx="minor">
      <a:schemeClr val="tx1"/>
    </cs:fontRef>
  </cs:plotArea>
  <cs:plotArea3D mods="allowNoFillOverride allowNoLineOverride">
    <cs:lnRef idx="0"/>
    <cs:fillRef idx="0"/>
    <cs:effectRef idx="0"/>
    <cs:fontRef idx="minor">
      <a:schemeClr val="tx1"/>
    </cs:fontRef>
  </cs:plotArea3D>
  <cs:seriesAxis>
    <cs:lnRef idx="0"/>
    <cs:fillRef idx="0"/>
    <cs:effectRef idx="0"/>
    <cs:fontRef idx="minor">
      <a:schemeClr val="tx1">
        <a:lumMod val="65000"/>
        <a:lumOff val="35000"/>
      </a:schemeClr>
    </cs:fontRef>
    <cs:defRPr sz="900" kern="1200"/>
  </cs:seriesAxis>
  <cs:seriesLine>
    <cs:lnRef idx="0"/>
    <cs:fillRef idx="0"/>
    <cs:effectRef idx="0"/>
    <cs:fontRef idx="minor">
      <a:schemeClr val="tx1"/>
    </cs:fontRef>
    <cs:spPr>
      <a:ln w="9525" cap="flat" cmpd="sng" algn="ctr">
        <a:solidFill>
          <a:schemeClr val="tx1">
            <a:lumMod val="35000"/>
            <a:lumOff val="65000"/>
          </a:schemeClr>
        </a:solidFill>
        <a:round/>
      </a:ln>
    </cs:spPr>
  </cs:seriesLine>
  <cs:title>
    <cs:lnRef idx="0"/>
    <cs:fillRef idx="0"/>
    <cs:effectRef idx="0"/>
    <cs:fontRef idx="minor">
      <a:schemeClr val="tx1">
        <a:lumMod val="65000"/>
        <a:lumOff val="35000"/>
      </a:schemeClr>
    </cs:fontRef>
    <cs:defRPr sz="1400" b="0" kern="1200" spc="0" baseline="0"/>
  </cs:title>
  <cs:trendline>
    <cs:lnRef idx="0">
      <cs:styleClr val="auto"/>
    </cs:lnRef>
    <cs:fillRef idx="0"/>
    <cs:effectRef idx="0"/>
    <cs:fontRef idx="minor">
      <a:schemeClr val="tx1"/>
    </cs:fontRef>
    <cs:spPr>
      <a:ln w="19050" cap="rnd">
        <a:solidFill>
          <a:schemeClr val="phClr"/>
        </a:solidFill>
        <a:prstDash val="sysDot"/>
      </a:ln>
    </cs:spPr>
  </cs:trendline>
  <cs:trendlineLabel>
    <cs:lnRef idx="0"/>
    <cs:fillRef idx="0"/>
    <cs:effectRef idx="0"/>
    <cs:fontRef idx="minor">
      <a:schemeClr val="tx1">
        <a:lumMod val="65000"/>
        <a:lumOff val="35000"/>
      </a:schemeClr>
    </cs:fontRef>
    <cs:defRPr sz="900" kern="1200"/>
  </cs:trendlineLabel>
  <cs:upBar>
    <cs:lnRef idx="0"/>
    <cs:fillRef idx="0"/>
    <cs:effectRef idx="0"/>
    <cs:fontRef idx="minor">
      <a:schemeClr val="dk1"/>
    </cs:fontRef>
    <cs:spPr>
      <a:solidFill>
        <a:schemeClr val="lt1"/>
      </a:solidFill>
      <a:ln w="9525">
        <a:solidFill>
          <a:schemeClr val="tx1">
            <a:lumMod val="15000"/>
            <a:lumOff val="85000"/>
          </a:schemeClr>
        </a:solidFill>
      </a:ln>
    </cs:spPr>
  </cs:upBar>
  <cs:valueAxis>
    <cs:lnRef idx="0"/>
    <cs:fillRef idx="0"/>
    <cs:effectRef idx="0"/>
    <cs:fontRef idx="minor">
      <a:schemeClr val="tx1">
        <a:lumMod val="65000"/>
        <a:lumOff val="35000"/>
      </a:schemeClr>
    </cs:fontRef>
    <cs:defRPr sz="900" kern="1200"/>
  </cs:valueAxis>
  <cs:wall>
    <cs:lnRef idx="0"/>
    <cs:fillRef idx="0"/>
    <cs:effectRef idx="0"/>
    <cs:fontRef idx="minor">
      <a:schemeClr val="tx1"/>
    </cs:fontRef>
    <cs:spPr>
      <a:noFill/>
      <a:ln>
        <a:noFill/>
      </a:ln>
    </cs:spPr>
  </cs:wall>
</cs:chartStyle>
</file>

<file path=word/charts/style4.xml><?xml version="1.0" encoding="utf-8"?>
<cs:chartStyle xmlns:cs="http://schemas.microsoft.com/office/drawing/2012/chartStyle" xmlns:a="http://schemas.openxmlformats.org/drawingml/2006/main" id="227">
  <cs:axisTitle>
    <cs:lnRef idx="0"/>
    <cs:fillRef idx="0"/>
    <cs:effectRef idx="0"/>
    <cs:fontRef idx="minor">
      <a:schemeClr val="tx1">
        <a:lumMod val="65000"/>
        <a:lumOff val="35000"/>
      </a:schemeClr>
    </cs:fontRef>
    <cs:defRPr sz="1000" kern="1200"/>
  </cs:axisTitle>
  <cs:categoryAxis>
    <cs:lnRef idx="0"/>
    <cs:fillRef idx="0"/>
    <cs:effectRef idx="0"/>
    <cs:fontRef idx="minor">
      <a:schemeClr val="tx1">
        <a:lumMod val="65000"/>
        <a:lumOff val="35000"/>
      </a:schemeClr>
    </cs:fontRef>
    <cs:spPr>
      <a:ln w="9525" cap="flat" cmpd="sng" algn="ctr">
        <a:solidFill>
          <a:schemeClr val="tx1">
            <a:lumMod val="15000"/>
            <a:lumOff val="85000"/>
          </a:schemeClr>
        </a:solidFill>
        <a:round/>
      </a:ln>
    </cs:spPr>
    <cs:defRPr sz="900" kern="1200"/>
  </cs:categoryAxis>
  <cs:chartArea mods="allowNoFillOverride allowNoLineOverride">
    <cs:lnRef idx="0"/>
    <cs:fillRef idx="0"/>
    <cs:effectRef idx="0"/>
    <cs:fontRef idx="minor">
      <a:schemeClr val="tx1"/>
    </cs:fontRef>
    <cs:spPr>
      <a:solidFill>
        <a:schemeClr val="bg1"/>
      </a:solidFill>
      <a:ln w="9525" cap="flat" cmpd="sng" algn="ctr">
        <a:solidFill>
          <a:schemeClr val="tx1">
            <a:lumMod val="15000"/>
            <a:lumOff val="85000"/>
          </a:schemeClr>
        </a:solidFill>
        <a:round/>
      </a:ln>
    </cs:spPr>
    <cs:defRPr sz="1000" kern="1200"/>
  </cs:chartArea>
  <cs:dataLabel>
    <cs:lnRef idx="0"/>
    <cs:fillRef idx="0"/>
    <cs:effectRef idx="0"/>
    <cs:fontRef idx="minor">
      <a:schemeClr val="tx1">
        <a:lumMod val="75000"/>
        <a:lumOff val="25000"/>
      </a:schemeClr>
    </cs:fontRef>
    <cs:defRPr sz="900" kern="1200"/>
  </cs:dataLabel>
  <cs:dataLabelCallout>
    <cs:lnRef idx="0"/>
    <cs:fillRef idx="0"/>
    <cs:effectRef idx="0"/>
    <cs:fontRef idx="minor">
      <a:schemeClr val="dk1">
        <a:lumMod val="65000"/>
        <a:lumOff val="35000"/>
      </a:schemeClr>
    </cs:fontRef>
    <cs:spPr>
      <a:solidFill>
        <a:schemeClr val="lt1"/>
      </a:solidFill>
      <a:ln>
        <a:solidFill>
          <a:schemeClr val="dk1">
            <a:lumMod val="25000"/>
            <a:lumOff val="75000"/>
          </a:schemeClr>
        </a:solidFill>
      </a:ln>
    </cs:spPr>
    <cs:defRPr sz="900" kern="1200"/>
    <cs:bodyPr rot="0" spcFirstLastPara="1" vertOverflow="clip" horzOverflow="clip" vert="horz" wrap="square" lIns="36576" tIns="18288" rIns="36576" bIns="18288" anchor="ctr" anchorCtr="1">
      <a:spAutoFit/>
    </cs:bodyPr>
  </cs:dataLabelCallout>
  <cs:dataPoint>
    <cs:lnRef idx="0"/>
    <cs:fillRef idx="1">
      <cs:styleClr val="auto"/>
    </cs:fillRef>
    <cs:effectRef idx="0"/>
    <cs:fontRef idx="minor">
      <a:schemeClr val="tx1"/>
    </cs:fontRef>
    <cs:spPr>
      <a:solidFill>
        <a:schemeClr val="phClr"/>
      </a:solidFill>
    </cs:spPr>
  </cs:dataPoint>
  <cs:dataPoint3D>
    <cs:lnRef idx="0"/>
    <cs:fillRef idx="1">
      <cs:styleClr val="auto"/>
    </cs:fillRef>
    <cs:effectRef idx="0"/>
    <cs:fontRef idx="minor">
      <a:schemeClr val="tx1"/>
    </cs:fontRef>
    <cs:spPr>
      <a:solidFill>
        <a:schemeClr val="phClr"/>
      </a:solidFill>
    </cs:spPr>
  </cs:dataPoint3D>
  <cs:dataPointLine>
    <cs:lnRef idx="0">
      <cs:styleClr val="auto"/>
    </cs:lnRef>
    <cs:fillRef idx="1"/>
    <cs:effectRef idx="0"/>
    <cs:fontRef idx="minor">
      <a:schemeClr val="tx1"/>
    </cs:fontRef>
    <cs:spPr>
      <a:ln w="28575" cap="rnd">
        <a:solidFill>
          <a:schemeClr val="phClr"/>
        </a:solidFill>
        <a:round/>
      </a:ln>
    </cs:spPr>
  </cs:dataPointLine>
  <cs:dataPointMarker>
    <cs:lnRef idx="0">
      <cs:styleClr val="auto"/>
    </cs:lnRef>
    <cs:fillRef idx="1">
      <cs:styleClr val="auto"/>
    </cs:fillRef>
    <cs:effectRef idx="0"/>
    <cs:fontRef idx="minor">
      <a:schemeClr val="tx1"/>
    </cs:fontRef>
    <cs:spPr>
      <a:solidFill>
        <a:schemeClr val="phClr"/>
      </a:solidFill>
      <a:ln w="9525">
        <a:solidFill>
          <a:schemeClr val="phClr"/>
        </a:solidFill>
      </a:ln>
    </cs:spPr>
  </cs:dataPointMarker>
  <cs:dataPointMarkerLayout symbol="circle" size="5"/>
  <cs:dataPointWireframe>
    <cs:lnRef idx="0">
      <cs:styleClr val="auto"/>
    </cs:lnRef>
    <cs:fillRef idx="1"/>
    <cs:effectRef idx="0"/>
    <cs:fontRef idx="minor">
      <a:schemeClr val="tx1"/>
    </cs:fontRef>
    <cs:spPr>
      <a:ln w="9525" cap="rnd">
        <a:solidFill>
          <a:schemeClr val="phClr"/>
        </a:solidFill>
        <a:round/>
      </a:ln>
    </cs:spPr>
  </cs:dataPointWireframe>
  <cs:dataTable>
    <cs:lnRef idx="0"/>
    <cs:fillRef idx="0"/>
    <cs:effectRef idx="0"/>
    <cs:fontRef idx="minor">
      <a:schemeClr val="tx1">
        <a:lumMod val="65000"/>
        <a:lumOff val="35000"/>
      </a:schemeClr>
    </cs:fontRef>
    <cs:spPr>
      <a:noFill/>
      <a:ln w="9525" cap="flat" cmpd="sng" algn="ctr">
        <a:solidFill>
          <a:schemeClr val="tx1">
            <a:lumMod val="15000"/>
            <a:lumOff val="85000"/>
          </a:schemeClr>
        </a:solidFill>
        <a:round/>
      </a:ln>
    </cs:spPr>
    <cs:defRPr sz="900" kern="1200"/>
  </cs:dataTable>
  <cs:downBar>
    <cs:lnRef idx="0"/>
    <cs:fillRef idx="0"/>
    <cs:effectRef idx="0"/>
    <cs:fontRef idx="minor">
      <a:schemeClr val="dk1"/>
    </cs:fontRef>
    <cs:spPr>
      <a:solidFill>
        <a:schemeClr val="dk1">
          <a:lumMod val="65000"/>
          <a:lumOff val="35000"/>
        </a:schemeClr>
      </a:solidFill>
      <a:ln w="9525">
        <a:solidFill>
          <a:schemeClr val="tx1">
            <a:lumMod val="65000"/>
            <a:lumOff val="35000"/>
          </a:schemeClr>
        </a:solidFill>
      </a:ln>
    </cs:spPr>
  </cs:downBar>
  <cs:dropLine>
    <cs:lnRef idx="0"/>
    <cs:fillRef idx="0"/>
    <cs:effectRef idx="0"/>
    <cs:fontRef idx="minor">
      <a:schemeClr val="tx1"/>
    </cs:fontRef>
    <cs:spPr>
      <a:ln w="9525" cap="flat" cmpd="sng" algn="ctr">
        <a:solidFill>
          <a:schemeClr val="tx1">
            <a:lumMod val="35000"/>
            <a:lumOff val="65000"/>
          </a:schemeClr>
        </a:solidFill>
        <a:round/>
      </a:ln>
    </cs:spPr>
  </cs:dropLine>
  <cs:errorBar>
    <cs:lnRef idx="0"/>
    <cs:fillRef idx="0"/>
    <cs:effectRef idx="0"/>
    <cs:fontRef idx="minor">
      <a:schemeClr val="tx1"/>
    </cs:fontRef>
    <cs:spPr>
      <a:ln w="9525" cap="flat" cmpd="sng" algn="ctr">
        <a:solidFill>
          <a:schemeClr val="tx1">
            <a:lumMod val="65000"/>
            <a:lumOff val="35000"/>
          </a:schemeClr>
        </a:solidFill>
        <a:round/>
      </a:ln>
    </cs:spPr>
  </cs:errorBar>
  <cs:floor>
    <cs:lnRef idx="0"/>
    <cs:fillRef idx="0"/>
    <cs:effectRef idx="0"/>
    <cs:fontRef idx="minor">
      <a:schemeClr val="tx1"/>
    </cs:fontRef>
    <cs:spPr>
      <a:noFill/>
      <a:ln>
        <a:noFill/>
      </a:ln>
    </cs:spPr>
  </cs:floor>
  <cs:gridlineMajor>
    <cs:lnRef idx="0"/>
    <cs:fillRef idx="0"/>
    <cs:effectRef idx="0"/>
    <cs:fontRef idx="minor">
      <a:schemeClr val="tx1"/>
    </cs:fontRef>
    <cs:spPr>
      <a:ln w="9525" cap="flat" cmpd="sng" algn="ctr">
        <a:solidFill>
          <a:schemeClr val="tx1">
            <a:lumMod val="15000"/>
            <a:lumOff val="85000"/>
          </a:schemeClr>
        </a:solidFill>
        <a:round/>
      </a:ln>
    </cs:spPr>
  </cs:gridlineMajor>
  <cs:gridlineMinor>
    <cs:lnRef idx="0"/>
    <cs:fillRef idx="0"/>
    <cs:effectRef idx="0"/>
    <cs:fontRef idx="minor">
      <a:schemeClr val="tx1"/>
    </cs:fontRef>
    <cs:spPr>
      <a:ln w="9525" cap="flat" cmpd="sng" algn="ctr">
        <a:solidFill>
          <a:schemeClr val="tx1">
            <a:lumMod val="5000"/>
            <a:lumOff val="95000"/>
          </a:schemeClr>
        </a:solidFill>
        <a:round/>
      </a:ln>
    </cs:spPr>
  </cs:gridlineMinor>
  <cs:hiLoLine>
    <cs:lnRef idx="0"/>
    <cs:fillRef idx="0"/>
    <cs:effectRef idx="0"/>
    <cs:fontRef idx="minor">
      <a:schemeClr val="tx1"/>
    </cs:fontRef>
    <cs:spPr>
      <a:ln w="9525" cap="flat" cmpd="sng" algn="ctr">
        <a:solidFill>
          <a:schemeClr val="tx1">
            <a:lumMod val="75000"/>
            <a:lumOff val="25000"/>
          </a:schemeClr>
        </a:solidFill>
        <a:round/>
      </a:ln>
    </cs:spPr>
  </cs:hiLoLine>
  <cs:leaderLine>
    <cs:lnRef idx="0"/>
    <cs:fillRef idx="0"/>
    <cs:effectRef idx="0"/>
    <cs:fontRef idx="minor">
      <a:schemeClr val="tx1"/>
    </cs:fontRef>
    <cs:spPr>
      <a:ln w="9525" cap="flat" cmpd="sng" algn="ctr">
        <a:solidFill>
          <a:schemeClr val="tx1">
            <a:lumMod val="35000"/>
            <a:lumOff val="65000"/>
          </a:schemeClr>
        </a:solidFill>
        <a:round/>
      </a:ln>
    </cs:spPr>
  </cs:leaderLine>
  <cs:legend>
    <cs:lnRef idx="0"/>
    <cs:fillRef idx="0"/>
    <cs:effectRef idx="0"/>
    <cs:fontRef idx="minor">
      <a:schemeClr val="tx1">
        <a:lumMod val="65000"/>
        <a:lumOff val="35000"/>
      </a:schemeClr>
    </cs:fontRef>
    <cs:defRPr sz="900" kern="1200"/>
  </cs:legend>
  <cs:plotArea mods="allowNoFillOverride allowNoLineOverride">
    <cs:lnRef idx="0"/>
    <cs:fillRef idx="0"/>
    <cs:effectRef idx="0"/>
    <cs:fontRef idx="minor">
      <a:schemeClr val="tx1"/>
    </cs:fontRef>
  </cs:plotArea>
  <cs:plotArea3D mods="allowNoFillOverride allowNoLineOverride">
    <cs:lnRef idx="0"/>
    <cs:fillRef idx="0"/>
    <cs:effectRef idx="0"/>
    <cs:fontRef idx="minor">
      <a:schemeClr val="tx1"/>
    </cs:fontRef>
  </cs:plotArea3D>
  <cs:seriesAxis>
    <cs:lnRef idx="0"/>
    <cs:fillRef idx="0"/>
    <cs:effectRef idx="0"/>
    <cs:fontRef idx="minor">
      <a:schemeClr val="tx1">
        <a:lumMod val="65000"/>
        <a:lumOff val="35000"/>
      </a:schemeClr>
    </cs:fontRef>
    <cs:defRPr sz="900" kern="1200"/>
  </cs:seriesAxis>
  <cs:seriesLine>
    <cs:lnRef idx="0"/>
    <cs:fillRef idx="0"/>
    <cs:effectRef idx="0"/>
    <cs:fontRef idx="minor">
      <a:schemeClr val="tx1"/>
    </cs:fontRef>
    <cs:spPr>
      <a:ln w="9525" cap="flat" cmpd="sng" algn="ctr">
        <a:solidFill>
          <a:schemeClr val="tx1">
            <a:lumMod val="35000"/>
            <a:lumOff val="65000"/>
          </a:schemeClr>
        </a:solidFill>
        <a:round/>
      </a:ln>
    </cs:spPr>
  </cs:seriesLine>
  <cs:title>
    <cs:lnRef idx="0"/>
    <cs:fillRef idx="0"/>
    <cs:effectRef idx="0"/>
    <cs:fontRef idx="minor">
      <a:schemeClr val="tx1">
        <a:lumMod val="65000"/>
        <a:lumOff val="35000"/>
      </a:schemeClr>
    </cs:fontRef>
    <cs:defRPr sz="1400" b="0" kern="1200" spc="0" baseline="0"/>
  </cs:title>
  <cs:trendline>
    <cs:lnRef idx="0">
      <cs:styleClr val="auto"/>
    </cs:lnRef>
    <cs:fillRef idx="0"/>
    <cs:effectRef idx="0"/>
    <cs:fontRef idx="minor">
      <a:schemeClr val="tx1"/>
    </cs:fontRef>
    <cs:spPr>
      <a:ln w="19050" cap="rnd">
        <a:solidFill>
          <a:schemeClr val="phClr"/>
        </a:solidFill>
        <a:prstDash val="sysDot"/>
      </a:ln>
    </cs:spPr>
  </cs:trendline>
  <cs:trendlineLabel>
    <cs:lnRef idx="0"/>
    <cs:fillRef idx="0"/>
    <cs:effectRef idx="0"/>
    <cs:fontRef idx="minor">
      <a:schemeClr val="tx1">
        <a:lumMod val="65000"/>
        <a:lumOff val="35000"/>
      </a:schemeClr>
    </cs:fontRef>
    <cs:defRPr sz="900" kern="1200"/>
  </cs:trendlineLabel>
  <cs:upBar>
    <cs:lnRef idx="0"/>
    <cs:fillRef idx="0"/>
    <cs:effectRef idx="0"/>
    <cs:fontRef idx="minor">
      <a:schemeClr val="dk1"/>
    </cs:fontRef>
    <cs:spPr>
      <a:solidFill>
        <a:schemeClr val="lt1"/>
      </a:solidFill>
      <a:ln w="9525">
        <a:solidFill>
          <a:schemeClr val="tx1">
            <a:lumMod val="15000"/>
            <a:lumOff val="85000"/>
          </a:schemeClr>
        </a:solidFill>
      </a:ln>
    </cs:spPr>
  </cs:upBar>
  <cs:valueAxis>
    <cs:lnRef idx="0"/>
    <cs:fillRef idx="0"/>
    <cs:effectRef idx="0"/>
    <cs:fontRef idx="minor">
      <a:schemeClr val="tx1">
        <a:lumMod val="65000"/>
        <a:lumOff val="35000"/>
      </a:schemeClr>
    </cs:fontRef>
    <cs:defRPr sz="900" kern="1200"/>
  </cs:valueAxis>
  <cs:wall>
    <cs:lnRef idx="0"/>
    <cs:fillRef idx="0"/>
    <cs:effectRef idx="0"/>
    <cs:fontRef idx="minor">
      <a:schemeClr val="tx1"/>
    </cs:fontRef>
    <cs:spPr>
      <a:noFill/>
      <a:ln>
        <a:noFill/>
      </a:ln>
    </cs:spPr>
  </cs:wall>
</cs:chartStyle>
</file>

<file path=word/charts/style5.xml><?xml version="1.0" encoding="utf-8"?>
<cs:chartStyle xmlns:cs="http://schemas.microsoft.com/office/drawing/2012/chartStyle" xmlns:a="http://schemas.openxmlformats.org/drawingml/2006/main" id="227">
  <cs:axisTitle>
    <cs:lnRef idx="0"/>
    <cs:fillRef idx="0"/>
    <cs:effectRef idx="0"/>
    <cs:fontRef idx="minor">
      <a:schemeClr val="tx1">
        <a:lumMod val="65000"/>
        <a:lumOff val="35000"/>
      </a:schemeClr>
    </cs:fontRef>
    <cs:defRPr sz="1000" kern="1200"/>
  </cs:axisTitle>
  <cs:categoryAxis>
    <cs:lnRef idx="0"/>
    <cs:fillRef idx="0"/>
    <cs:effectRef idx="0"/>
    <cs:fontRef idx="minor">
      <a:schemeClr val="tx1">
        <a:lumMod val="65000"/>
        <a:lumOff val="35000"/>
      </a:schemeClr>
    </cs:fontRef>
    <cs:spPr>
      <a:ln w="9525" cap="flat" cmpd="sng" algn="ctr">
        <a:solidFill>
          <a:schemeClr val="tx1">
            <a:lumMod val="15000"/>
            <a:lumOff val="85000"/>
          </a:schemeClr>
        </a:solidFill>
        <a:round/>
      </a:ln>
    </cs:spPr>
    <cs:defRPr sz="900" kern="1200"/>
  </cs:categoryAxis>
  <cs:chartArea mods="allowNoFillOverride allowNoLineOverride">
    <cs:lnRef idx="0"/>
    <cs:fillRef idx="0"/>
    <cs:effectRef idx="0"/>
    <cs:fontRef idx="minor">
      <a:schemeClr val="tx1"/>
    </cs:fontRef>
    <cs:spPr>
      <a:solidFill>
        <a:schemeClr val="bg1"/>
      </a:solidFill>
      <a:ln w="9525" cap="flat" cmpd="sng" algn="ctr">
        <a:solidFill>
          <a:schemeClr val="tx1">
            <a:lumMod val="15000"/>
            <a:lumOff val="85000"/>
          </a:schemeClr>
        </a:solidFill>
        <a:round/>
      </a:ln>
    </cs:spPr>
    <cs:defRPr sz="1000" kern="1200"/>
  </cs:chartArea>
  <cs:dataLabel>
    <cs:lnRef idx="0"/>
    <cs:fillRef idx="0"/>
    <cs:effectRef idx="0"/>
    <cs:fontRef idx="minor">
      <a:schemeClr val="tx1">
        <a:lumMod val="75000"/>
        <a:lumOff val="25000"/>
      </a:schemeClr>
    </cs:fontRef>
    <cs:defRPr sz="900" kern="1200"/>
  </cs:dataLabel>
  <cs:dataLabelCallout>
    <cs:lnRef idx="0"/>
    <cs:fillRef idx="0"/>
    <cs:effectRef idx="0"/>
    <cs:fontRef idx="minor">
      <a:schemeClr val="dk1">
        <a:lumMod val="65000"/>
        <a:lumOff val="35000"/>
      </a:schemeClr>
    </cs:fontRef>
    <cs:spPr>
      <a:solidFill>
        <a:schemeClr val="lt1"/>
      </a:solidFill>
      <a:ln>
        <a:solidFill>
          <a:schemeClr val="dk1">
            <a:lumMod val="25000"/>
            <a:lumOff val="75000"/>
          </a:schemeClr>
        </a:solidFill>
      </a:ln>
    </cs:spPr>
    <cs:defRPr sz="900" kern="1200"/>
    <cs:bodyPr rot="0" spcFirstLastPara="1" vertOverflow="clip" horzOverflow="clip" vert="horz" wrap="square" lIns="36576" tIns="18288" rIns="36576" bIns="18288" anchor="ctr" anchorCtr="1">
      <a:spAutoFit/>
    </cs:bodyPr>
  </cs:dataLabelCallout>
  <cs:dataPoint>
    <cs:lnRef idx="0"/>
    <cs:fillRef idx="1">
      <cs:styleClr val="auto"/>
    </cs:fillRef>
    <cs:effectRef idx="0"/>
    <cs:fontRef idx="minor">
      <a:schemeClr val="tx1"/>
    </cs:fontRef>
    <cs:spPr>
      <a:solidFill>
        <a:schemeClr val="phClr"/>
      </a:solidFill>
    </cs:spPr>
  </cs:dataPoint>
  <cs:dataPoint3D>
    <cs:lnRef idx="0"/>
    <cs:fillRef idx="1">
      <cs:styleClr val="auto"/>
    </cs:fillRef>
    <cs:effectRef idx="0"/>
    <cs:fontRef idx="minor">
      <a:schemeClr val="tx1"/>
    </cs:fontRef>
    <cs:spPr>
      <a:solidFill>
        <a:schemeClr val="phClr"/>
      </a:solidFill>
    </cs:spPr>
  </cs:dataPoint3D>
  <cs:dataPointLine>
    <cs:lnRef idx="0">
      <cs:styleClr val="auto"/>
    </cs:lnRef>
    <cs:fillRef idx="1"/>
    <cs:effectRef idx="0"/>
    <cs:fontRef idx="minor">
      <a:schemeClr val="tx1"/>
    </cs:fontRef>
    <cs:spPr>
      <a:ln w="28575" cap="rnd">
        <a:solidFill>
          <a:schemeClr val="phClr"/>
        </a:solidFill>
        <a:round/>
      </a:ln>
    </cs:spPr>
  </cs:dataPointLine>
  <cs:dataPointMarker>
    <cs:lnRef idx="0">
      <cs:styleClr val="auto"/>
    </cs:lnRef>
    <cs:fillRef idx="1">
      <cs:styleClr val="auto"/>
    </cs:fillRef>
    <cs:effectRef idx="0"/>
    <cs:fontRef idx="minor">
      <a:schemeClr val="tx1"/>
    </cs:fontRef>
    <cs:spPr>
      <a:solidFill>
        <a:schemeClr val="phClr"/>
      </a:solidFill>
      <a:ln w="9525">
        <a:solidFill>
          <a:schemeClr val="phClr"/>
        </a:solidFill>
      </a:ln>
    </cs:spPr>
  </cs:dataPointMarker>
  <cs:dataPointMarkerLayout symbol="circle" size="5"/>
  <cs:dataPointWireframe>
    <cs:lnRef idx="0">
      <cs:styleClr val="auto"/>
    </cs:lnRef>
    <cs:fillRef idx="1"/>
    <cs:effectRef idx="0"/>
    <cs:fontRef idx="minor">
      <a:schemeClr val="tx1"/>
    </cs:fontRef>
    <cs:spPr>
      <a:ln w="9525" cap="rnd">
        <a:solidFill>
          <a:schemeClr val="phClr"/>
        </a:solidFill>
        <a:round/>
      </a:ln>
    </cs:spPr>
  </cs:dataPointWireframe>
  <cs:dataTable>
    <cs:lnRef idx="0"/>
    <cs:fillRef idx="0"/>
    <cs:effectRef idx="0"/>
    <cs:fontRef idx="minor">
      <a:schemeClr val="tx1">
        <a:lumMod val="65000"/>
        <a:lumOff val="35000"/>
      </a:schemeClr>
    </cs:fontRef>
    <cs:spPr>
      <a:noFill/>
      <a:ln w="9525" cap="flat" cmpd="sng" algn="ctr">
        <a:solidFill>
          <a:schemeClr val="tx1">
            <a:lumMod val="15000"/>
            <a:lumOff val="85000"/>
          </a:schemeClr>
        </a:solidFill>
        <a:round/>
      </a:ln>
    </cs:spPr>
    <cs:defRPr sz="900" kern="1200"/>
  </cs:dataTable>
  <cs:downBar>
    <cs:lnRef idx="0"/>
    <cs:fillRef idx="0"/>
    <cs:effectRef idx="0"/>
    <cs:fontRef idx="minor">
      <a:schemeClr val="dk1"/>
    </cs:fontRef>
    <cs:spPr>
      <a:solidFill>
        <a:schemeClr val="dk1">
          <a:lumMod val="65000"/>
          <a:lumOff val="35000"/>
        </a:schemeClr>
      </a:solidFill>
      <a:ln w="9525">
        <a:solidFill>
          <a:schemeClr val="tx1">
            <a:lumMod val="65000"/>
            <a:lumOff val="35000"/>
          </a:schemeClr>
        </a:solidFill>
      </a:ln>
    </cs:spPr>
  </cs:downBar>
  <cs:dropLine>
    <cs:lnRef idx="0"/>
    <cs:fillRef idx="0"/>
    <cs:effectRef idx="0"/>
    <cs:fontRef idx="minor">
      <a:schemeClr val="tx1"/>
    </cs:fontRef>
    <cs:spPr>
      <a:ln w="9525" cap="flat" cmpd="sng" algn="ctr">
        <a:solidFill>
          <a:schemeClr val="tx1">
            <a:lumMod val="35000"/>
            <a:lumOff val="65000"/>
          </a:schemeClr>
        </a:solidFill>
        <a:round/>
      </a:ln>
    </cs:spPr>
  </cs:dropLine>
  <cs:errorBar>
    <cs:lnRef idx="0"/>
    <cs:fillRef idx="0"/>
    <cs:effectRef idx="0"/>
    <cs:fontRef idx="minor">
      <a:schemeClr val="tx1"/>
    </cs:fontRef>
    <cs:spPr>
      <a:ln w="9525" cap="flat" cmpd="sng" algn="ctr">
        <a:solidFill>
          <a:schemeClr val="tx1">
            <a:lumMod val="65000"/>
            <a:lumOff val="35000"/>
          </a:schemeClr>
        </a:solidFill>
        <a:round/>
      </a:ln>
    </cs:spPr>
  </cs:errorBar>
  <cs:floor>
    <cs:lnRef idx="0"/>
    <cs:fillRef idx="0"/>
    <cs:effectRef idx="0"/>
    <cs:fontRef idx="minor">
      <a:schemeClr val="tx1"/>
    </cs:fontRef>
    <cs:spPr>
      <a:noFill/>
      <a:ln>
        <a:noFill/>
      </a:ln>
    </cs:spPr>
  </cs:floor>
  <cs:gridlineMajor>
    <cs:lnRef idx="0"/>
    <cs:fillRef idx="0"/>
    <cs:effectRef idx="0"/>
    <cs:fontRef idx="minor">
      <a:schemeClr val="tx1"/>
    </cs:fontRef>
    <cs:spPr>
      <a:ln w="9525" cap="flat" cmpd="sng" algn="ctr">
        <a:solidFill>
          <a:schemeClr val="tx1">
            <a:lumMod val="15000"/>
            <a:lumOff val="85000"/>
          </a:schemeClr>
        </a:solidFill>
        <a:round/>
      </a:ln>
    </cs:spPr>
  </cs:gridlineMajor>
  <cs:gridlineMinor>
    <cs:lnRef idx="0"/>
    <cs:fillRef idx="0"/>
    <cs:effectRef idx="0"/>
    <cs:fontRef idx="minor">
      <a:schemeClr val="tx1"/>
    </cs:fontRef>
    <cs:spPr>
      <a:ln w="9525" cap="flat" cmpd="sng" algn="ctr">
        <a:solidFill>
          <a:schemeClr val="tx1">
            <a:lumMod val="5000"/>
            <a:lumOff val="95000"/>
          </a:schemeClr>
        </a:solidFill>
        <a:round/>
      </a:ln>
    </cs:spPr>
  </cs:gridlineMinor>
  <cs:hiLoLine>
    <cs:lnRef idx="0"/>
    <cs:fillRef idx="0"/>
    <cs:effectRef idx="0"/>
    <cs:fontRef idx="minor">
      <a:schemeClr val="tx1"/>
    </cs:fontRef>
    <cs:spPr>
      <a:ln w="9525" cap="flat" cmpd="sng" algn="ctr">
        <a:solidFill>
          <a:schemeClr val="tx1">
            <a:lumMod val="75000"/>
            <a:lumOff val="25000"/>
          </a:schemeClr>
        </a:solidFill>
        <a:round/>
      </a:ln>
    </cs:spPr>
  </cs:hiLoLine>
  <cs:leaderLine>
    <cs:lnRef idx="0"/>
    <cs:fillRef idx="0"/>
    <cs:effectRef idx="0"/>
    <cs:fontRef idx="minor">
      <a:schemeClr val="tx1"/>
    </cs:fontRef>
    <cs:spPr>
      <a:ln w="9525" cap="flat" cmpd="sng" algn="ctr">
        <a:solidFill>
          <a:schemeClr val="tx1">
            <a:lumMod val="35000"/>
            <a:lumOff val="65000"/>
          </a:schemeClr>
        </a:solidFill>
        <a:round/>
      </a:ln>
    </cs:spPr>
  </cs:leaderLine>
  <cs:legend>
    <cs:lnRef idx="0"/>
    <cs:fillRef idx="0"/>
    <cs:effectRef idx="0"/>
    <cs:fontRef idx="minor">
      <a:schemeClr val="tx1">
        <a:lumMod val="65000"/>
        <a:lumOff val="35000"/>
      </a:schemeClr>
    </cs:fontRef>
    <cs:defRPr sz="900" kern="1200"/>
  </cs:legend>
  <cs:plotArea mods="allowNoFillOverride allowNoLineOverride">
    <cs:lnRef idx="0"/>
    <cs:fillRef idx="0"/>
    <cs:effectRef idx="0"/>
    <cs:fontRef idx="minor">
      <a:schemeClr val="tx1"/>
    </cs:fontRef>
  </cs:plotArea>
  <cs:plotArea3D mods="allowNoFillOverride allowNoLineOverride">
    <cs:lnRef idx="0"/>
    <cs:fillRef idx="0"/>
    <cs:effectRef idx="0"/>
    <cs:fontRef idx="minor">
      <a:schemeClr val="tx1"/>
    </cs:fontRef>
  </cs:plotArea3D>
  <cs:seriesAxis>
    <cs:lnRef idx="0"/>
    <cs:fillRef idx="0"/>
    <cs:effectRef idx="0"/>
    <cs:fontRef idx="minor">
      <a:schemeClr val="tx1">
        <a:lumMod val="65000"/>
        <a:lumOff val="35000"/>
      </a:schemeClr>
    </cs:fontRef>
    <cs:defRPr sz="900" kern="1200"/>
  </cs:seriesAxis>
  <cs:seriesLine>
    <cs:lnRef idx="0"/>
    <cs:fillRef idx="0"/>
    <cs:effectRef idx="0"/>
    <cs:fontRef idx="minor">
      <a:schemeClr val="tx1"/>
    </cs:fontRef>
    <cs:spPr>
      <a:ln w="9525" cap="flat" cmpd="sng" algn="ctr">
        <a:solidFill>
          <a:schemeClr val="tx1">
            <a:lumMod val="35000"/>
            <a:lumOff val="65000"/>
          </a:schemeClr>
        </a:solidFill>
        <a:round/>
      </a:ln>
    </cs:spPr>
  </cs:seriesLine>
  <cs:title>
    <cs:lnRef idx="0"/>
    <cs:fillRef idx="0"/>
    <cs:effectRef idx="0"/>
    <cs:fontRef idx="minor">
      <a:schemeClr val="tx1">
        <a:lumMod val="65000"/>
        <a:lumOff val="35000"/>
      </a:schemeClr>
    </cs:fontRef>
    <cs:defRPr sz="1400" b="0" kern="1200" spc="0" baseline="0"/>
  </cs:title>
  <cs:trendline>
    <cs:lnRef idx="0">
      <cs:styleClr val="auto"/>
    </cs:lnRef>
    <cs:fillRef idx="0"/>
    <cs:effectRef idx="0"/>
    <cs:fontRef idx="minor">
      <a:schemeClr val="tx1"/>
    </cs:fontRef>
    <cs:spPr>
      <a:ln w="19050" cap="rnd">
        <a:solidFill>
          <a:schemeClr val="phClr"/>
        </a:solidFill>
        <a:prstDash val="sysDot"/>
      </a:ln>
    </cs:spPr>
  </cs:trendline>
  <cs:trendlineLabel>
    <cs:lnRef idx="0"/>
    <cs:fillRef idx="0"/>
    <cs:effectRef idx="0"/>
    <cs:fontRef idx="minor">
      <a:schemeClr val="tx1">
        <a:lumMod val="65000"/>
        <a:lumOff val="35000"/>
      </a:schemeClr>
    </cs:fontRef>
    <cs:defRPr sz="900" kern="1200"/>
  </cs:trendlineLabel>
  <cs:upBar>
    <cs:lnRef idx="0"/>
    <cs:fillRef idx="0"/>
    <cs:effectRef idx="0"/>
    <cs:fontRef idx="minor">
      <a:schemeClr val="dk1"/>
    </cs:fontRef>
    <cs:spPr>
      <a:solidFill>
        <a:schemeClr val="lt1"/>
      </a:solidFill>
      <a:ln w="9525">
        <a:solidFill>
          <a:schemeClr val="tx1">
            <a:lumMod val="15000"/>
            <a:lumOff val="85000"/>
          </a:schemeClr>
        </a:solidFill>
      </a:ln>
    </cs:spPr>
  </cs:upBar>
  <cs:valueAxis>
    <cs:lnRef idx="0"/>
    <cs:fillRef idx="0"/>
    <cs:effectRef idx="0"/>
    <cs:fontRef idx="minor">
      <a:schemeClr val="tx1">
        <a:lumMod val="65000"/>
        <a:lumOff val="35000"/>
      </a:schemeClr>
    </cs:fontRef>
    <cs:defRPr sz="900" kern="1200"/>
  </cs:valueAxis>
  <cs:wall>
    <cs:lnRef idx="0"/>
    <cs:fillRef idx="0"/>
    <cs:effectRef idx="0"/>
    <cs:fontRef idx="minor">
      <a:schemeClr val="tx1"/>
    </cs:fontRef>
    <cs:spPr>
      <a:noFill/>
      <a:ln>
        <a:noFill/>
      </a:ln>
    </cs:spPr>
  </cs:wall>
</cs:chartStyle>
</file>

<file path=word/charts/style6.xml><?xml version="1.0" encoding="utf-8"?>
<cs:chartStyle xmlns:cs="http://schemas.microsoft.com/office/drawing/2012/chartStyle" xmlns:a="http://schemas.openxmlformats.org/drawingml/2006/main" id="227">
  <cs:axisTitle>
    <cs:lnRef idx="0"/>
    <cs:fillRef idx="0"/>
    <cs:effectRef idx="0"/>
    <cs:fontRef idx="minor">
      <a:schemeClr val="tx1">
        <a:lumMod val="65000"/>
        <a:lumOff val="35000"/>
      </a:schemeClr>
    </cs:fontRef>
    <cs:defRPr sz="1000" kern="1200"/>
  </cs:axisTitle>
  <cs:categoryAxis>
    <cs:lnRef idx="0"/>
    <cs:fillRef idx="0"/>
    <cs:effectRef idx="0"/>
    <cs:fontRef idx="minor">
      <a:schemeClr val="tx1">
        <a:lumMod val="65000"/>
        <a:lumOff val="35000"/>
      </a:schemeClr>
    </cs:fontRef>
    <cs:spPr>
      <a:ln w="9525" cap="flat" cmpd="sng" algn="ctr">
        <a:solidFill>
          <a:schemeClr val="tx1">
            <a:lumMod val="15000"/>
            <a:lumOff val="85000"/>
          </a:schemeClr>
        </a:solidFill>
        <a:round/>
      </a:ln>
    </cs:spPr>
    <cs:defRPr sz="900" kern="1200"/>
  </cs:categoryAxis>
  <cs:chartArea mods="allowNoFillOverride allowNoLineOverride">
    <cs:lnRef idx="0"/>
    <cs:fillRef idx="0"/>
    <cs:effectRef idx="0"/>
    <cs:fontRef idx="minor">
      <a:schemeClr val="tx1"/>
    </cs:fontRef>
    <cs:spPr>
      <a:solidFill>
        <a:schemeClr val="bg1"/>
      </a:solidFill>
      <a:ln w="9525" cap="flat" cmpd="sng" algn="ctr">
        <a:solidFill>
          <a:schemeClr val="tx1">
            <a:lumMod val="15000"/>
            <a:lumOff val="85000"/>
          </a:schemeClr>
        </a:solidFill>
        <a:round/>
      </a:ln>
    </cs:spPr>
    <cs:defRPr sz="1000" kern="1200"/>
  </cs:chartArea>
  <cs:dataLabel>
    <cs:lnRef idx="0"/>
    <cs:fillRef idx="0"/>
    <cs:effectRef idx="0"/>
    <cs:fontRef idx="minor">
      <a:schemeClr val="tx1">
        <a:lumMod val="75000"/>
        <a:lumOff val="25000"/>
      </a:schemeClr>
    </cs:fontRef>
    <cs:defRPr sz="900" kern="1200"/>
  </cs:dataLabel>
  <cs:dataLabelCallout>
    <cs:lnRef idx="0"/>
    <cs:fillRef idx="0"/>
    <cs:effectRef idx="0"/>
    <cs:fontRef idx="minor">
      <a:schemeClr val="dk1">
        <a:lumMod val="65000"/>
        <a:lumOff val="35000"/>
      </a:schemeClr>
    </cs:fontRef>
    <cs:spPr>
      <a:solidFill>
        <a:schemeClr val="lt1"/>
      </a:solidFill>
      <a:ln>
        <a:solidFill>
          <a:schemeClr val="dk1">
            <a:lumMod val="25000"/>
            <a:lumOff val="75000"/>
          </a:schemeClr>
        </a:solidFill>
      </a:ln>
    </cs:spPr>
    <cs:defRPr sz="900" kern="1200"/>
    <cs:bodyPr rot="0" spcFirstLastPara="1" vertOverflow="clip" horzOverflow="clip" vert="horz" wrap="square" lIns="36576" tIns="18288" rIns="36576" bIns="18288" anchor="ctr" anchorCtr="1">
      <a:spAutoFit/>
    </cs:bodyPr>
  </cs:dataLabelCallout>
  <cs:dataPoint>
    <cs:lnRef idx="0"/>
    <cs:fillRef idx="1">
      <cs:styleClr val="auto"/>
    </cs:fillRef>
    <cs:effectRef idx="0"/>
    <cs:fontRef idx="minor">
      <a:schemeClr val="tx1"/>
    </cs:fontRef>
    <cs:spPr>
      <a:solidFill>
        <a:schemeClr val="phClr"/>
      </a:solidFill>
    </cs:spPr>
  </cs:dataPoint>
  <cs:dataPoint3D>
    <cs:lnRef idx="0"/>
    <cs:fillRef idx="1">
      <cs:styleClr val="auto"/>
    </cs:fillRef>
    <cs:effectRef idx="0"/>
    <cs:fontRef idx="minor">
      <a:schemeClr val="tx1"/>
    </cs:fontRef>
    <cs:spPr>
      <a:solidFill>
        <a:schemeClr val="phClr"/>
      </a:solidFill>
    </cs:spPr>
  </cs:dataPoint3D>
  <cs:dataPointLine>
    <cs:lnRef idx="0">
      <cs:styleClr val="auto"/>
    </cs:lnRef>
    <cs:fillRef idx="1"/>
    <cs:effectRef idx="0"/>
    <cs:fontRef idx="minor">
      <a:schemeClr val="tx1"/>
    </cs:fontRef>
    <cs:spPr>
      <a:ln w="28575" cap="rnd">
        <a:solidFill>
          <a:schemeClr val="phClr"/>
        </a:solidFill>
        <a:round/>
      </a:ln>
    </cs:spPr>
  </cs:dataPointLine>
  <cs:dataPointMarker>
    <cs:lnRef idx="0">
      <cs:styleClr val="auto"/>
    </cs:lnRef>
    <cs:fillRef idx="1">
      <cs:styleClr val="auto"/>
    </cs:fillRef>
    <cs:effectRef idx="0"/>
    <cs:fontRef idx="minor">
      <a:schemeClr val="tx1"/>
    </cs:fontRef>
    <cs:spPr>
      <a:solidFill>
        <a:schemeClr val="phClr"/>
      </a:solidFill>
      <a:ln w="9525">
        <a:solidFill>
          <a:schemeClr val="phClr"/>
        </a:solidFill>
      </a:ln>
    </cs:spPr>
  </cs:dataPointMarker>
  <cs:dataPointMarkerLayout symbol="circle" size="5"/>
  <cs:dataPointWireframe>
    <cs:lnRef idx="0">
      <cs:styleClr val="auto"/>
    </cs:lnRef>
    <cs:fillRef idx="1"/>
    <cs:effectRef idx="0"/>
    <cs:fontRef idx="minor">
      <a:schemeClr val="tx1"/>
    </cs:fontRef>
    <cs:spPr>
      <a:ln w="9525" cap="rnd">
        <a:solidFill>
          <a:schemeClr val="phClr"/>
        </a:solidFill>
        <a:round/>
      </a:ln>
    </cs:spPr>
  </cs:dataPointWireframe>
  <cs:dataTable>
    <cs:lnRef idx="0"/>
    <cs:fillRef idx="0"/>
    <cs:effectRef idx="0"/>
    <cs:fontRef idx="minor">
      <a:schemeClr val="tx1">
        <a:lumMod val="65000"/>
        <a:lumOff val="35000"/>
      </a:schemeClr>
    </cs:fontRef>
    <cs:spPr>
      <a:noFill/>
      <a:ln w="9525" cap="flat" cmpd="sng" algn="ctr">
        <a:solidFill>
          <a:schemeClr val="tx1">
            <a:lumMod val="15000"/>
            <a:lumOff val="85000"/>
          </a:schemeClr>
        </a:solidFill>
        <a:round/>
      </a:ln>
    </cs:spPr>
    <cs:defRPr sz="900" kern="1200"/>
  </cs:dataTable>
  <cs:downBar>
    <cs:lnRef idx="0"/>
    <cs:fillRef idx="0"/>
    <cs:effectRef idx="0"/>
    <cs:fontRef idx="minor">
      <a:schemeClr val="dk1"/>
    </cs:fontRef>
    <cs:spPr>
      <a:solidFill>
        <a:schemeClr val="dk1">
          <a:lumMod val="65000"/>
          <a:lumOff val="35000"/>
        </a:schemeClr>
      </a:solidFill>
      <a:ln w="9525">
        <a:solidFill>
          <a:schemeClr val="tx1">
            <a:lumMod val="65000"/>
            <a:lumOff val="35000"/>
          </a:schemeClr>
        </a:solidFill>
      </a:ln>
    </cs:spPr>
  </cs:downBar>
  <cs:dropLine>
    <cs:lnRef idx="0"/>
    <cs:fillRef idx="0"/>
    <cs:effectRef idx="0"/>
    <cs:fontRef idx="minor">
      <a:schemeClr val="tx1"/>
    </cs:fontRef>
    <cs:spPr>
      <a:ln w="9525" cap="flat" cmpd="sng" algn="ctr">
        <a:solidFill>
          <a:schemeClr val="tx1">
            <a:lumMod val="35000"/>
            <a:lumOff val="65000"/>
          </a:schemeClr>
        </a:solidFill>
        <a:round/>
      </a:ln>
    </cs:spPr>
  </cs:dropLine>
  <cs:errorBar>
    <cs:lnRef idx="0"/>
    <cs:fillRef idx="0"/>
    <cs:effectRef idx="0"/>
    <cs:fontRef idx="minor">
      <a:schemeClr val="tx1"/>
    </cs:fontRef>
    <cs:spPr>
      <a:ln w="9525" cap="flat" cmpd="sng" algn="ctr">
        <a:solidFill>
          <a:schemeClr val="tx1">
            <a:lumMod val="65000"/>
            <a:lumOff val="35000"/>
          </a:schemeClr>
        </a:solidFill>
        <a:round/>
      </a:ln>
    </cs:spPr>
  </cs:errorBar>
  <cs:floor>
    <cs:lnRef idx="0"/>
    <cs:fillRef idx="0"/>
    <cs:effectRef idx="0"/>
    <cs:fontRef idx="minor">
      <a:schemeClr val="tx1"/>
    </cs:fontRef>
    <cs:spPr>
      <a:noFill/>
      <a:ln>
        <a:noFill/>
      </a:ln>
    </cs:spPr>
  </cs:floor>
  <cs:gridlineMajor>
    <cs:lnRef idx="0"/>
    <cs:fillRef idx="0"/>
    <cs:effectRef idx="0"/>
    <cs:fontRef idx="minor">
      <a:schemeClr val="tx1"/>
    </cs:fontRef>
    <cs:spPr>
      <a:ln w="9525" cap="flat" cmpd="sng" algn="ctr">
        <a:solidFill>
          <a:schemeClr val="tx1">
            <a:lumMod val="15000"/>
            <a:lumOff val="85000"/>
          </a:schemeClr>
        </a:solidFill>
        <a:round/>
      </a:ln>
    </cs:spPr>
  </cs:gridlineMajor>
  <cs:gridlineMinor>
    <cs:lnRef idx="0"/>
    <cs:fillRef idx="0"/>
    <cs:effectRef idx="0"/>
    <cs:fontRef idx="minor">
      <a:schemeClr val="tx1"/>
    </cs:fontRef>
    <cs:spPr>
      <a:ln w="9525" cap="flat" cmpd="sng" algn="ctr">
        <a:solidFill>
          <a:schemeClr val="tx1">
            <a:lumMod val="5000"/>
            <a:lumOff val="95000"/>
          </a:schemeClr>
        </a:solidFill>
        <a:round/>
      </a:ln>
    </cs:spPr>
  </cs:gridlineMinor>
  <cs:hiLoLine>
    <cs:lnRef idx="0"/>
    <cs:fillRef idx="0"/>
    <cs:effectRef idx="0"/>
    <cs:fontRef idx="minor">
      <a:schemeClr val="tx1"/>
    </cs:fontRef>
    <cs:spPr>
      <a:ln w="9525" cap="flat" cmpd="sng" algn="ctr">
        <a:solidFill>
          <a:schemeClr val="tx1">
            <a:lumMod val="75000"/>
            <a:lumOff val="25000"/>
          </a:schemeClr>
        </a:solidFill>
        <a:round/>
      </a:ln>
    </cs:spPr>
  </cs:hiLoLine>
  <cs:leaderLine>
    <cs:lnRef idx="0"/>
    <cs:fillRef idx="0"/>
    <cs:effectRef idx="0"/>
    <cs:fontRef idx="minor">
      <a:schemeClr val="tx1"/>
    </cs:fontRef>
    <cs:spPr>
      <a:ln w="9525" cap="flat" cmpd="sng" algn="ctr">
        <a:solidFill>
          <a:schemeClr val="tx1">
            <a:lumMod val="35000"/>
            <a:lumOff val="65000"/>
          </a:schemeClr>
        </a:solidFill>
        <a:round/>
      </a:ln>
    </cs:spPr>
  </cs:leaderLine>
  <cs:legend>
    <cs:lnRef idx="0"/>
    <cs:fillRef idx="0"/>
    <cs:effectRef idx="0"/>
    <cs:fontRef idx="minor">
      <a:schemeClr val="tx1">
        <a:lumMod val="65000"/>
        <a:lumOff val="35000"/>
      </a:schemeClr>
    </cs:fontRef>
    <cs:defRPr sz="900" kern="1200"/>
  </cs:legend>
  <cs:plotArea mods="allowNoFillOverride allowNoLineOverride">
    <cs:lnRef idx="0"/>
    <cs:fillRef idx="0"/>
    <cs:effectRef idx="0"/>
    <cs:fontRef idx="minor">
      <a:schemeClr val="tx1"/>
    </cs:fontRef>
  </cs:plotArea>
  <cs:plotArea3D mods="allowNoFillOverride allowNoLineOverride">
    <cs:lnRef idx="0"/>
    <cs:fillRef idx="0"/>
    <cs:effectRef idx="0"/>
    <cs:fontRef idx="minor">
      <a:schemeClr val="tx1"/>
    </cs:fontRef>
  </cs:plotArea3D>
  <cs:seriesAxis>
    <cs:lnRef idx="0"/>
    <cs:fillRef idx="0"/>
    <cs:effectRef idx="0"/>
    <cs:fontRef idx="minor">
      <a:schemeClr val="tx1">
        <a:lumMod val="65000"/>
        <a:lumOff val="35000"/>
      </a:schemeClr>
    </cs:fontRef>
    <cs:defRPr sz="900" kern="1200"/>
  </cs:seriesAxis>
  <cs:seriesLine>
    <cs:lnRef idx="0"/>
    <cs:fillRef idx="0"/>
    <cs:effectRef idx="0"/>
    <cs:fontRef idx="minor">
      <a:schemeClr val="tx1"/>
    </cs:fontRef>
    <cs:spPr>
      <a:ln w="9525" cap="flat" cmpd="sng" algn="ctr">
        <a:solidFill>
          <a:schemeClr val="tx1">
            <a:lumMod val="35000"/>
            <a:lumOff val="65000"/>
          </a:schemeClr>
        </a:solidFill>
        <a:round/>
      </a:ln>
    </cs:spPr>
  </cs:seriesLine>
  <cs:title>
    <cs:lnRef idx="0"/>
    <cs:fillRef idx="0"/>
    <cs:effectRef idx="0"/>
    <cs:fontRef idx="minor">
      <a:schemeClr val="tx1">
        <a:lumMod val="65000"/>
        <a:lumOff val="35000"/>
      </a:schemeClr>
    </cs:fontRef>
    <cs:defRPr sz="1400" b="0" kern="1200" spc="0" baseline="0"/>
  </cs:title>
  <cs:trendline>
    <cs:lnRef idx="0">
      <cs:styleClr val="auto"/>
    </cs:lnRef>
    <cs:fillRef idx="0"/>
    <cs:effectRef idx="0"/>
    <cs:fontRef idx="minor">
      <a:schemeClr val="tx1"/>
    </cs:fontRef>
    <cs:spPr>
      <a:ln w="19050" cap="rnd">
        <a:solidFill>
          <a:schemeClr val="phClr"/>
        </a:solidFill>
        <a:prstDash val="sysDot"/>
      </a:ln>
    </cs:spPr>
  </cs:trendline>
  <cs:trendlineLabel>
    <cs:lnRef idx="0"/>
    <cs:fillRef idx="0"/>
    <cs:effectRef idx="0"/>
    <cs:fontRef idx="minor">
      <a:schemeClr val="tx1">
        <a:lumMod val="65000"/>
        <a:lumOff val="35000"/>
      </a:schemeClr>
    </cs:fontRef>
    <cs:defRPr sz="900" kern="1200"/>
  </cs:trendlineLabel>
  <cs:upBar>
    <cs:lnRef idx="0"/>
    <cs:fillRef idx="0"/>
    <cs:effectRef idx="0"/>
    <cs:fontRef idx="minor">
      <a:schemeClr val="dk1"/>
    </cs:fontRef>
    <cs:spPr>
      <a:solidFill>
        <a:schemeClr val="lt1"/>
      </a:solidFill>
      <a:ln w="9525">
        <a:solidFill>
          <a:schemeClr val="tx1">
            <a:lumMod val="15000"/>
            <a:lumOff val="85000"/>
          </a:schemeClr>
        </a:solidFill>
      </a:ln>
    </cs:spPr>
  </cs:upBar>
  <cs:valueAxis>
    <cs:lnRef idx="0"/>
    <cs:fillRef idx="0"/>
    <cs:effectRef idx="0"/>
    <cs:fontRef idx="minor">
      <a:schemeClr val="tx1">
        <a:lumMod val="65000"/>
        <a:lumOff val="35000"/>
      </a:schemeClr>
    </cs:fontRef>
    <cs:defRPr sz="900" kern="1200"/>
  </cs:valueAxis>
  <cs:wall>
    <cs:lnRef idx="0"/>
    <cs:fillRef idx="0"/>
    <cs:effectRef idx="0"/>
    <cs:fontRef idx="minor">
      <a:schemeClr val="tx1"/>
    </cs:fontRef>
    <cs:spPr>
      <a:noFill/>
      <a:ln>
        <a:noFill/>
      </a:ln>
    </cs:spPr>
  </cs:wall>
</cs:chartStyle>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FB5290FA-07AE-4CEB-AAFF-D71F5E0B39BE}">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14</TotalTime>
  <Pages>35</Pages>
  <Words>8971</Words>
  <Characters>51135</Characters>
  <Application>Microsoft Office Word</Application>
  <DocSecurity>0</DocSecurity>
  <Lines>426</Lines>
  <Paragraphs>119</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59987</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RH</dc:creator>
  <cp:lastModifiedBy>Shivani Gagubhai Humbal (2544428)</cp:lastModifiedBy>
  <cp:revision>10</cp:revision>
  <dcterms:created xsi:type="dcterms:W3CDTF">2026-07-17T13:25:00Z</dcterms:created>
  <dcterms:modified xsi:type="dcterms:W3CDTF">2026-08-11T12:56:00Z</dcterms:modified>
</cp:coreProperties>
</file>