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F303D" w14:textId="77777777" w:rsidR="000528FE" w:rsidRDefault="000528FE">
      <w:pPr>
        <w:rPr>
          <w:rFonts w:ascii="Times New Roman" w:hAnsi="Times New Roman" w:cs="Times New Roman"/>
          <w:b/>
          <w:sz w:val="24"/>
          <w:szCs w:val="24"/>
        </w:rPr>
      </w:pPr>
    </w:p>
    <w:p w14:paraId="739A8D3E" w14:textId="77777777" w:rsidR="000528FE" w:rsidRDefault="000528FE">
      <w:pPr>
        <w:rPr>
          <w:rFonts w:ascii="Times New Roman" w:hAnsi="Times New Roman" w:cs="Times New Roman"/>
          <w:b/>
          <w:sz w:val="24"/>
          <w:szCs w:val="24"/>
        </w:rPr>
      </w:pPr>
    </w:p>
    <w:p w14:paraId="0B2971BF" w14:textId="77777777" w:rsidR="000528FE" w:rsidRDefault="000528FE">
      <w:pPr>
        <w:rPr>
          <w:rFonts w:ascii="Times New Roman" w:hAnsi="Times New Roman" w:cs="Times New Roman"/>
          <w:b/>
          <w:sz w:val="24"/>
          <w:szCs w:val="24"/>
        </w:rPr>
      </w:pPr>
    </w:p>
    <w:p w14:paraId="4FFD675B" w14:textId="77777777" w:rsidR="000528FE" w:rsidRDefault="000528FE">
      <w:pPr>
        <w:rPr>
          <w:rFonts w:ascii="Times New Roman" w:hAnsi="Times New Roman" w:cs="Times New Roman"/>
          <w:b/>
          <w:sz w:val="24"/>
          <w:szCs w:val="24"/>
        </w:rPr>
      </w:pPr>
    </w:p>
    <w:p w14:paraId="4772E606" w14:textId="77777777" w:rsidR="000528FE" w:rsidRDefault="000528FE">
      <w:pPr>
        <w:rPr>
          <w:rFonts w:ascii="Times New Roman" w:hAnsi="Times New Roman" w:cs="Times New Roman"/>
          <w:b/>
          <w:sz w:val="24"/>
          <w:szCs w:val="24"/>
        </w:rPr>
      </w:pPr>
    </w:p>
    <w:p w14:paraId="1DEF5776" w14:textId="674835DA" w:rsidR="000528FE" w:rsidRDefault="000A0A2C">
      <w:pPr>
        <w:rPr>
          <w:rFonts w:ascii="Times New Roman" w:hAnsi="Times New Roman" w:cs="Times New Roman"/>
          <w:b/>
          <w:sz w:val="24"/>
          <w:szCs w:val="24"/>
        </w:rPr>
      </w:pPr>
      <w:r>
        <w:rPr>
          <w:rFonts w:ascii="Times New Roman" w:hAnsi="Times New Roman" w:cs="Times New Roman"/>
          <w:b/>
          <w:sz w:val="24"/>
          <w:szCs w:val="24"/>
        </w:rPr>
        <w:t>NAME: NASSON MSONI</w:t>
      </w:r>
    </w:p>
    <w:p w14:paraId="31B74FF2" w14:textId="122A6DDC" w:rsidR="000A0A2C" w:rsidRDefault="00931A0E">
      <w:pPr>
        <w:rPr>
          <w:rFonts w:ascii="Times New Roman" w:hAnsi="Times New Roman" w:cs="Times New Roman"/>
          <w:b/>
          <w:sz w:val="24"/>
          <w:szCs w:val="24"/>
        </w:rPr>
      </w:pPr>
      <w:r>
        <w:rPr>
          <w:rFonts w:ascii="Times New Roman" w:hAnsi="Times New Roman" w:cs="Times New Roman"/>
          <w:b/>
          <w:sz w:val="24"/>
          <w:szCs w:val="24"/>
        </w:rPr>
        <w:t>STUDENT NUMBER: 2244265</w:t>
      </w:r>
    </w:p>
    <w:p w14:paraId="2C1720A2" w14:textId="77777777" w:rsidR="00931A0E" w:rsidRDefault="00931A0E">
      <w:pPr>
        <w:rPr>
          <w:rFonts w:ascii="Times New Roman" w:hAnsi="Times New Roman" w:cs="Times New Roman"/>
          <w:b/>
          <w:sz w:val="24"/>
          <w:szCs w:val="24"/>
        </w:rPr>
      </w:pPr>
    </w:p>
    <w:p w14:paraId="42597778" w14:textId="5D51A0AB" w:rsidR="00DA484D" w:rsidRDefault="00626C40">
      <w:pPr>
        <w:rPr>
          <w:rFonts w:ascii="Times New Roman" w:hAnsi="Times New Roman" w:cs="Times New Roman"/>
          <w:b/>
          <w:sz w:val="24"/>
          <w:szCs w:val="24"/>
        </w:rPr>
      </w:pPr>
      <w:r>
        <w:rPr>
          <w:rFonts w:ascii="Times New Roman" w:hAnsi="Times New Roman" w:cs="Times New Roman"/>
          <w:b/>
          <w:sz w:val="24"/>
          <w:szCs w:val="24"/>
        </w:rPr>
        <w:t>BML</w:t>
      </w:r>
      <w:r w:rsidR="00F208DF">
        <w:rPr>
          <w:rFonts w:ascii="Times New Roman" w:hAnsi="Times New Roman" w:cs="Times New Roman"/>
          <w:b/>
          <w:sz w:val="24"/>
          <w:szCs w:val="24"/>
        </w:rPr>
        <w:t>W</w:t>
      </w:r>
      <w:r w:rsidR="00AB4307">
        <w:rPr>
          <w:rFonts w:ascii="Times New Roman" w:hAnsi="Times New Roman" w:cs="Times New Roman"/>
          <w:b/>
          <w:sz w:val="24"/>
          <w:szCs w:val="24"/>
        </w:rPr>
        <w:t>4006/BMLW</w:t>
      </w:r>
      <w:r w:rsidR="005C3363">
        <w:rPr>
          <w:rFonts w:ascii="Times New Roman" w:hAnsi="Times New Roman" w:cs="Times New Roman"/>
          <w:b/>
          <w:sz w:val="24"/>
          <w:szCs w:val="24"/>
        </w:rPr>
        <w:t>4011</w:t>
      </w:r>
    </w:p>
    <w:p w14:paraId="01FB1733" w14:textId="77777777" w:rsidR="000528FE" w:rsidRDefault="000528FE">
      <w:pPr>
        <w:rPr>
          <w:rFonts w:ascii="Times New Roman" w:hAnsi="Times New Roman" w:cs="Times New Roman"/>
          <w:b/>
          <w:sz w:val="24"/>
          <w:szCs w:val="24"/>
        </w:rPr>
      </w:pPr>
    </w:p>
    <w:p w14:paraId="18B59E07" w14:textId="77777777" w:rsidR="000528FE" w:rsidRDefault="000528FE">
      <w:pPr>
        <w:rPr>
          <w:rFonts w:ascii="Times New Roman" w:hAnsi="Times New Roman" w:cs="Times New Roman"/>
          <w:b/>
          <w:sz w:val="24"/>
          <w:szCs w:val="24"/>
        </w:rPr>
      </w:pPr>
    </w:p>
    <w:p w14:paraId="0A7C2341" w14:textId="77777777" w:rsidR="000528FE" w:rsidRDefault="000528FE">
      <w:pPr>
        <w:rPr>
          <w:rFonts w:ascii="Times New Roman" w:hAnsi="Times New Roman" w:cs="Times New Roman"/>
          <w:b/>
          <w:sz w:val="24"/>
          <w:szCs w:val="24"/>
        </w:rPr>
      </w:pPr>
    </w:p>
    <w:p w14:paraId="57611B46" w14:textId="77777777" w:rsidR="000528FE" w:rsidRDefault="000528FE">
      <w:pPr>
        <w:rPr>
          <w:rFonts w:ascii="Times New Roman" w:hAnsi="Times New Roman" w:cs="Times New Roman"/>
          <w:b/>
          <w:sz w:val="24"/>
          <w:szCs w:val="24"/>
        </w:rPr>
      </w:pPr>
    </w:p>
    <w:p w14:paraId="43604224" w14:textId="77777777" w:rsidR="000528FE" w:rsidRPr="000528FE" w:rsidRDefault="000528FE" w:rsidP="000528FE">
      <w:pPr>
        <w:jc w:val="center"/>
        <w:rPr>
          <w:rFonts w:ascii="Times New Roman" w:hAnsi="Times New Roman" w:cs="Times New Roman"/>
          <w:b/>
          <w:sz w:val="24"/>
          <w:szCs w:val="24"/>
        </w:rPr>
      </w:pPr>
      <w:r w:rsidRPr="000528FE">
        <w:rPr>
          <w:rFonts w:ascii="Times New Roman" w:hAnsi="Times New Roman" w:cs="Times New Roman"/>
          <w:b/>
          <w:sz w:val="24"/>
          <w:szCs w:val="24"/>
        </w:rPr>
        <w:t>Parliamentary Sovereignty in the UK Constitution: An In-Depth Analysis</w:t>
      </w:r>
    </w:p>
    <w:p w14:paraId="5ED646A1" w14:textId="77777777" w:rsidR="000528FE" w:rsidRDefault="000528FE" w:rsidP="000528FE">
      <w:pPr>
        <w:pStyle w:val="TOCHeading"/>
      </w:pPr>
      <w:r>
        <w:br w:type="page"/>
      </w:r>
    </w:p>
    <w:sdt>
      <w:sdtPr>
        <w:rPr>
          <w:rFonts w:asciiTheme="minorHAnsi" w:eastAsiaTheme="minorHAnsi" w:hAnsiTheme="minorHAnsi" w:cstheme="minorBidi"/>
          <w:color w:val="auto"/>
          <w:sz w:val="22"/>
          <w:szCs w:val="22"/>
        </w:rPr>
        <w:id w:val="1982809783"/>
        <w:docPartObj>
          <w:docPartGallery w:val="Table of Contents"/>
          <w:docPartUnique/>
        </w:docPartObj>
      </w:sdtPr>
      <w:sdtEndPr>
        <w:rPr>
          <w:b/>
          <w:bCs/>
          <w:noProof/>
        </w:rPr>
      </w:sdtEndPr>
      <w:sdtContent>
        <w:p w14:paraId="5D606960" w14:textId="77777777" w:rsidR="000528FE" w:rsidRDefault="000528FE" w:rsidP="000528FE">
          <w:pPr>
            <w:pStyle w:val="TOCHeading"/>
            <w:jc w:val="center"/>
          </w:pPr>
          <w:r>
            <w:t>Table of Contents</w:t>
          </w:r>
        </w:p>
        <w:p w14:paraId="56B76E60" w14:textId="77777777" w:rsidR="000528FE" w:rsidRDefault="000528FE" w:rsidP="000528FE">
          <w:pPr>
            <w:pStyle w:val="TOC1"/>
            <w:tabs>
              <w:tab w:val="right" w:leader="dot" w:pos="9350"/>
            </w:tabs>
            <w:rPr>
              <w:noProof/>
            </w:rPr>
          </w:pPr>
          <w:r>
            <w:fldChar w:fldCharType="begin"/>
          </w:r>
          <w:r>
            <w:instrText xml:space="preserve"> TOC \o "1-3" \h \z \u </w:instrText>
          </w:r>
          <w:r>
            <w:fldChar w:fldCharType="separate"/>
          </w:r>
          <w:hyperlink w:anchor="_Toc150384831" w:history="1">
            <w:r w:rsidRPr="00C90934">
              <w:rPr>
                <w:rStyle w:val="Hyperlink"/>
                <w:rFonts w:ascii="Times New Roman" w:hAnsi="Times New Roman" w:cs="Times New Roman"/>
                <w:b/>
                <w:i/>
                <w:noProof/>
              </w:rPr>
              <w:t>Introduction</w:t>
            </w:r>
            <w:r>
              <w:rPr>
                <w:noProof/>
                <w:webHidden/>
              </w:rPr>
              <w:tab/>
            </w:r>
            <w:r>
              <w:rPr>
                <w:noProof/>
                <w:webHidden/>
              </w:rPr>
              <w:fldChar w:fldCharType="begin"/>
            </w:r>
            <w:r>
              <w:rPr>
                <w:noProof/>
                <w:webHidden/>
              </w:rPr>
              <w:instrText xml:space="preserve"> PAGEREF _Toc150384831 \h </w:instrText>
            </w:r>
            <w:r>
              <w:rPr>
                <w:noProof/>
                <w:webHidden/>
              </w:rPr>
            </w:r>
            <w:r>
              <w:rPr>
                <w:noProof/>
                <w:webHidden/>
              </w:rPr>
              <w:fldChar w:fldCharType="separate"/>
            </w:r>
            <w:r>
              <w:rPr>
                <w:noProof/>
                <w:webHidden/>
              </w:rPr>
              <w:t>3</w:t>
            </w:r>
            <w:r>
              <w:rPr>
                <w:noProof/>
                <w:webHidden/>
              </w:rPr>
              <w:fldChar w:fldCharType="end"/>
            </w:r>
          </w:hyperlink>
        </w:p>
        <w:p w14:paraId="5612454C" w14:textId="77777777" w:rsidR="000528FE" w:rsidRDefault="00000000" w:rsidP="000528FE">
          <w:pPr>
            <w:pStyle w:val="TOC1"/>
            <w:tabs>
              <w:tab w:val="right" w:leader="dot" w:pos="9350"/>
            </w:tabs>
            <w:rPr>
              <w:noProof/>
            </w:rPr>
          </w:pPr>
          <w:hyperlink w:anchor="_Toc150384832" w:history="1">
            <w:r w:rsidR="000528FE" w:rsidRPr="00C90934">
              <w:rPr>
                <w:rStyle w:val="Hyperlink"/>
                <w:rFonts w:ascii="Times New Roman" w:hAnsi="Times New Roman" w:cs="Times New Roman"/>
                <w:b/>
                <w:i/>
                <w:noProof/>
              </w:rPr>
              <w:t>Main Body</w:t>
            </w:r>
            <w:r w:rsidR="000528FE">
              <w:rPr>
                <w:noProof/>
                <w:webHidden/>
              </w:rPr>
              <w:tab/>
            </w:r>
            <w:r w:rsidR="000528FE">
              <w:rPr>
                <w:noProof/>
                <w:webHidden/>
              </w:rPr>
              <w:fldChar w:fldCharType="begin"/>
            </w:r>
            <w:r w:rsidR="000528FE">
              <w:rPr>
                <w:noProof/>
                <w:webHidden/>
              </w:rPr>
              <w:instrText xml:space="preserve"> PAGEREF _Toc150384832 \h </w:instrText>
            </w:r>
            <w:r w:rsidR="000528FE">
              <w:rPr>
                <w:noProof/>
                <w:webHidden/>
              </w:rPr>
            </w:r>
            <w:r w:rsidR="000528FE">
              <w:rPr>
                <w:noProof/>
                <w:webHidden/>
              </w:rPr>
              <w:fldChar w:fldCharType="separate"/>
            </w:r>
            <w:r w:rsidR="000528FE">
              <w:rPr>
                <w:noProof/>
                <w:webHidden/>
              </w:rPr>
              <w:t>3</w:t>
            </w:r>
            <w:r w:rsidR="000528FE">
              <w:rPr>
                <w:noProof/>
                <w:webHidden/>
              </w:rPr>
              <w:fldChar w:fldCharType="end"/>
            </w:r>
          </w:hyperlink>
        </w:p>
        <w:p w14:paraId="15F94815" w14:textId="77777777" w:rsidR="000528FE" w:rsidRDefault="00000000" w:rsidP="000528FE">
          <w:pPr>
            <w:pStyle w:val="TOC1"/>
            <w:tabs>
              <w:tab w:val="right" w:leader="dot" w:pos="9350"/>
            </w:tabs>
            <w:rPr>
              <w:noProof/>
            </w:rPr>
          </w:pPr>
          <w:hyperlink w:anchor="_Toc150384833" w:history="1">
            <w:r w:rsidR="000528FE" w:rsidRPr="00C90934">
              <w:rPr>
                <w:rStyle w:val="Hyperlink"/>
                <w:rFonts w:ascii="Times New Roman" w:hAnsi="Times New Roman" w:cs="Times New Roman"/>
                <w:b/>
                <w:i/>
                <w:noProof/>
              </w:rPr>
              <w:t>Conclusion</w:t>
            </w:r>
            <w:r w:rsidR="000528FE">
              <w:rPr>
                <w:noProof/>
                <w:webHidden/>
              </w:rPr>
              <w:tab/>
            </w:r>
            <w:r w:rsidR="000528FE">
              <w:rPr>
                <w:noProof/>
                <w:webHidden/>
              </w:rPr>
              <w:fldChar w:fldCharType="begin"/>
            </w:r>
            <w:r w:rsidR="000528FE">
              <w:rPr>
                <w:noProof/>
                <w:webHidden/>
              </w:rPr>
              <w:instrText xml:space="preserve"> PAGEREF _Toc150384833 \h </w:instrText>
            </w:r>
            <w:r w:rsidR="000528FE">
              <w:rPr>
                <w:noProof/>
                <w:webHidden/>
              </w:rPr>
            </w:r>
            <w:r w:rsidR="000528FE">
              <w:rPr>
                <w:noProof/>
                <w:webHidden/>
              </w:rPr>
              <w:fldChar w:fldCharType="separate"/>
            </w:r>
            <w:r w:rsidR="000528FE">
              <w:rPr>
                <w:noProof/>
                <w:webHidden/>
              </w:rPr>
              <w:t>7</w:t>
            </w:r>
            <w:r w:rsidR="000528FE">
              <w:rPr>
                <w:noProof/>
                <w:webHidden/>
              </w:rPr>
              <w:fldChar w:fldCharType="end"/>
            </w:r>
          </w:hyperlink>
        </w:p>
        <w:p w14:paraId="174F0E72" w14:textId="77777777" w:rsidR="000528FE" w:rsidRDefault="00000000" w:rsidP="000528FE">
          <w:pPr>
            <w:pStyle w:val="TOC1"/>
            <w:tabs>
              <w:tab w:val="right" w:leader="dot" w:pos="9350"/>
            </w:tabs>
            <w:rPr>
              <w:noProof/>
            </w:rPr>
          </w:pPr>
          <w:hyperlink w:anchor="_Toc150384834" w:history="1">
            <w:r w:rsidR="000528FE" w:rsidRPr="00C90934">
              <w:rPr>
                <w:rStyle w:val="Hyperlink"/>
                <w:rFonts w:ascii="Times New Roman" w:hAnsi="Times New Roman" w:cs="Times New Roman"/>
                <w:b/>
                <w:i/>
                <w:noProof/>
              </w:rPr>
              <w:t>References</w:t>
            </w:r>
            <w:r w:rsidR="000528FE">
              <w:rPr>
                <w:noProof/>
                <w:webHidden/>
              </w:rPr>
              <w:tab/>
            </w:r>
            <w:r w:rsidR="000528FE">
              <w:rPr>
                <w:noProof/>
                <w:webHidden/>
              </w:rPr>
              <w:fldChar w:fldCharType="begin"/>
            </w:r>
            <w:r w:rsidR="000528FE">
              <w:rPr>
                <w:noProof/>
                <w:webHidden/>
              </w:rPr>
              <w:instrText xml:space="preserve"> PAGEREF _Toc150384834 \h </w:instrText>
            </w:r>
            <w:r w:rsidR="000528FE">
              <w:rPr>
                <w:noProof/>
                <w:webHidden/>
              </w:rPr>
            </w:r>
            <w:r w:rsidR="000528FE">
              <w:rPr>
                <w:noProof/>
                <w:webHidden/>
              </w:rPr>
              <w:fldChar w:fldCharType="separate"/>
            </w:r>
            <w:r w:rsidR="000528FE">
              <w:rPr>
                <w:noProof/>
                <w:webHidden/>
              </w:rPr>
              <w:t>8</w:t>
            </w:r>
            <w:r w:rsidR="000528FE">
              <w:rPr>
                <w:noProof/>
                <w:webHidden/>
              </w:rPr>
              <w:fldChar w:fldCharType="end"/>
            </w:r>
          </w:hyperlink>
        </w:p>
        <w:p w14:paraId="4EE9E376" w14:textId="77777777" w:rsidR="000528FE" w:rsidRDefault="000528FE" w:rsidP="000528FE">
          <w:pPr>
            <w:rPr>
              <w:b/>
              <w:bCs/>
              <w:noProof/>
            </w:rPr>
          </w:pPr>
          <w:r>
            <w:rPr>
              <w:b/>
              <w:bCs/>
              <w:noProof/>
            </w:rPr>
            <w:fldChar w:fldCharType="end"/>
          </w:r>
        </w:p>
      </w:sdtContent>
    </w:sdt>
    <w:p w14:paraId="7DC7FA9C" w14:textId="77777777" w:rsidR="000528FE" w:rsidRPr="000528FE" w:rsidRDefault="000528FE" w:rsidP="000528FE">
      <w:r>
        <w:rPr>
          <w:rFonts w:ascii="Times New Roman" w:hAnsi="Times New Roman" w:cs="Times New Roman"/>
          <w:b/>
          <w:i/>
          <w:sz w:val="24"/>
          <w:szCs w:val="24"/>
        </w:rPr>
        <w:br w:type="page"/>
      </w:r>
    </w:p>
    <w:p w14:paraId="7BE61D37" w14:textId="77777777" w:rsidR="00D2202B" w:rsidRPr="00D2202B" w:rsidRDefault="00D2202B" w:rsidP="009E312B">
      <w:pPr>
        <w:pStyle w:val="Heading1"/>
        <w:spacing w:before="0" w:line="360" w:lineRule="auto"/>
        <w:jc w:val="both"/>
        <w:rPr>
          <w:rFonts w:ascii="Times New Roman" w:hAnsi="Times New Roman" w:cs="Times New Roman"/>
          <w:b/>
          <w:i/>
          <w:color w:val="auto"/>
          <w:sz w:val="24"/>
          <w:szCs w:val="24"/>
        </w:rPr>
      </w:pPr>
      <w:bookmarkStart w:id="0" w:name="_Toc150384831"/>
      <w:r w:rsidRPr="00D2202B">
        <w:rPr>
          <w:rFonts w:ascii="Times New Roman" w:hAnsi="Times New Roman" w:cs="Times New Roman"/>
          <w:b/>
          <w:i/>
          <w:color w:val="auto"/>
          <w:sz w:val="24"/>
          <w:szCs w:val="24"/>
        </w:rPr>
        <w:lastRenderedPageBreak/>
        <w:t>Introduction</w:t>
      </w:r>
      <w:bookmarkEnd w:id="0"/>
    </w:p>
    <w:p w14:paraId="45FBD292" w14:textId="707F6C6B" w:rsid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The notion of Parliamentary Sovereignty holds significant importance within the constitutional framework of the United Kingdom</w:t>
      </w:r>
      <w:r w:rsidR="00FB2244">
        <w:rPr>
          <w:rFonts w:ascii="Times New Roman" w:hAnsi="Times New Roman" w:cs="Times New Roman"/>
          <w:sz w:val="24"/>
          <w:szCs w:val="24"/>
        </w:rPr>
        <w:t xml:space="preserve"> </w:t>
      </w:r>
      <w:r w:rsidR="00FB2244">
        <w:rPr>
          <w:rFonts w:ascii="Times New Roman" w:hAnsi="Times New Roman" w:cs="Times New Roman"/>
          <w:sz w:val="24"/>
          <w:szCs w:val="24"/>
        </w:rPr>
        <w:fldChar w:fldCharType="begin"/>
      </w:r>
      <w:r w:rsidR="00FB2244">
        <w:rPr>
          <w:rFonts w:ascii="Times New Roman" w:hAnsi="Times New Roman" w:cs="Times New Roman"/>
          <w:sz w:val="24"/>
          <w:szCs w:val="24"/>
        </w:rPr>
        <w:instrText xml:space="preserve"> ADDIN EN.CITE &lt;EndNote&gt;&lt;Cite&gt;&lt;Author&gt;Ackerman&lt;/Author&gt;&lt;Year&gt;2017&lt;/Year&gt;&lt;RecNum&gt;3&lt;/RecNum&gt;&lt;DisplayText&gt;(Ackerman, 2017)&lt;/DisplayText&gt;&lt;record&gt;&lt;rec-number&gt;3&lt;/rec-number&gt;&lt;foreign-keys&gt;&lt;key app="EN" db-id="0r90sxvfhtxxdfev9v0xtpzled5d9x2ee0r5" timestamp="1699471878"&gt;3&lt;/key&gt;&lt;/foreign-keys&gt;&lt;ref-type name="Book Section"&gt;5&lt;/ref-type&gt;&lt;contributors&gt;&lt;authors&gt;&lt;author&gt;Ackerman, Bruce A&lt;/author&gt;&lt;/authors&gt;&lt;/contributors&gt;&lt;titles&gt;&lt;title&gt;The Storrs lectures: Discovering the constitution&lt;/title&gt;&lt;secondary-title&gt;Constitutionalism and Democracy&lt;/secondary-title&gt;&lt;/titles&gt;&lt;pages&gt;305-364&lt;/pages&gt;&lt;dates&gt;&lt;year&gt;2017&lt;/year&gt;&lt;/dates&gt;&lt;publisher&gt;Routledge&lt;/publisher&gt;&lt;urls&gt;&lt;/urls&gt;&lt;/record&gt;&lt;/Cite&gt;&lt;/EndNote&gt;</w:instrText>
      </w:r>
      <w:r w:rsidR="00FB2244">
        <w:rPr>
          <w:rFonts w:ascii="Times New Roman" w:hAnsi="Times New Roman" w:cs="Times New Roman"/>
          <w:sz w:val="24"/>
          <w:szCs w:val="24"/>
        </w:rPr>
        <w:fldChar w:fldCharType="separate"/>
      </w:r>
      <w:r w:rsidR="00FB2244">
        <w:rPr>
          <w:rFonts w:ascii="Times New Roman" w:hAnsi="Times New Roman" w:cs="Times New Roman"/>
          <w:noProof/>
          <w:sz w:val="24"/>
          <w:szCs w:val="24"/>
        </w:rPr>
        <w:t>(Ackerman, 2017)</w:t>
      </w:r>
      <w:r w:rsidR="00FB2244">
        <w:rPr>
          <w:rFonts w:ascii="Times New Roman" w:hAnsi="Times New Roman" w:cs="Times New Roman"/>
          <w:sz w:val="24"/>
          <w:szCs w:val="24"/>
        </w:rPr>
        <w:fldChar w:fldCharType="end"/>
      </w:r>
      <w:r w:rsidRPr="00D2202B">
        <w:rPr>
          <w:rFonts w:ascii="Times New Roman" w:hAnsi="Times New Roman" w:cs="Times New Roman"/>
          <w:sz w:val="24"/>
          <w:szCs w:val="24"/>
        </w:rPr>
        <w:t>. In order to conduct a thorough analysis of this concept, it is imperative first to gain a comprehensive understanding of the fundamental nature of a constitution and the underlying principles that form the basis of the United Kingdom's constitutional framework. Consequently, a comprehensive examination of parliamentary sovereignty, its ramifications, and its central significance within the constitutional framework of the United Kingdom is imperative. Moreover, it is imperative to undertake an analysis of the constraints and prospective modifications linked to this principle in order to attain a thorough comprehension of its importance in the realm of constitutional administration.</w:t>
      </w:r>
    </w:p>
    <w:p w14:paraId="68CA1429" w14:textId="77777777" w:rsidR="00D2202B" w:rsidRPr="00D2202B" w:rsidRDefault="00D2202B" w:rsidP="009E312B">
      <w:pPr>
        <w:pStyle w:val="Heading1"/>
        <w:spacing w:before="0" w:line="360" w:lineRule="auto"/>
        <w:jc w:val="both"/>
        <w:rPr>
          <w:rFonts w:ascii="Times New Roman" w:hAnsi="Times New Roman" w:cs="Times New Roman"/>
          <w:b/>
          <w:i/>
          <w:color w:val="auto"/>
          <w:sz w:val="24"/>
          <w:szCs w:val="24"/>
        </w:rPr>
      </w:pPr>
      <w:bookmarkStart w:id="1" w:name="_Toc150384832"/>
      <w:r w:rsidRPr="00D2202B">
        <w:rPr>
          <w:rFonts w:ascii="Times New Roman" w:hAnsi="Times New Roman" w:cs="Times New Roman"/>
          <w:b/>
          <w:i/>
          <w:color w:val="auto"/>
          <w:sz w:val="24"/>
          <w:szCs w:val="24"/>
        </w:rPr>
        <w:t>Main Body</w:t>
      </w:r>
      <w:bookmarkEnd w:id="1"/>
    </w:p>
    <w:p w14:paraId="2B746307" w14:textId="1003D1B9" w:rsidR="00D2202B" w:rsidRP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The Constitution is pivotal as a nation's foundational governing framework. The Constitution serves as a fundamental structure that governs and oversees the operations of a nation, delineating the complex specifications that establish the authorities and responsibilities of its governmental establishments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&lt;EndNote&gt;&lt;Cite&gt;&lt;Author&gt;Rawlings&lt;/Author&gt;&lt;Year&gt;2022&lt;/Year&gt;&lt;RecNum&gt;1&lt;/RecNum&gt;&lt;DisplayText&gt;(Rawlings, 2022)&lt;/DisplayText&gt;&lt;record&gt;&lt;rec-number&gt;1&lt;/rec-number&gt;&lt;foreign-keys&gt;&lt;key app="EN" db-id="0r90sxvfhtxxdfev9v0xtpzled5d9x2ee0r5" timestamp="1699471538"&gt;1&lt;/key&gt;&lt;/foreign-keys&gt;&lt;ref-type name="Journal Article"&gt;17&lt;/ref-type&gt;&lt;contributors&gt;&lt;authors&gt;&lt;author&gt;Rawlings, Richard&lt;/author&gt;&lt;/authors&gt;&lt;/contributors&gt;&lt;titles&gt;&lt;title&gt;Wales and the United Kingdom: a territorial constitutional policy drive&lt;/title&gt;&lt;secondary-title&gt;Territory, Politics, Governance&lt;/secondary-title&gt;&lt;/titles&gt;&lt;periodical&gt;&lt;full-title&gt;Territory, Politics, Governance&lt;/full-title&gt;&lt;/periodical&gt;&lt;pages&gt;714-732&lt;/pages&gt;&lt;volume&gt;10&lt;/volume&gt;&lt;number&gt;5&lt;/number&gt;&lt;dates&gt;&lt;year&gt;2022&lt;/year&gt;&lt;/dates&gt;&lt;isbn&gt;2162-2671&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(Rawlings, 2022)</w:t>
      </w:r>
      <w:r>
        <w:rPr>
          <w:rFonts w:ascii="Times New Roman" w:hAnsi="Times New Roman" w:cs="Times New Roman"/>
          <w:sz w:val="24"/>
          <w:szCs w:val="24"/>
        </w:rPr>
        <w:fldChar w:fldCharType="end"/>
      </w:r>
      <w:r w:rsidRPr="00D2202B">
        <w:rPr>
          <w:rFonts w:ascii="Times New Roman" w:hAnsi="Times New Roman" w:cs="Times New Roman"/>
          <w:sz w:val="24"/>
          <w:szCs w:val="24"/>
        </w:rPr>
        <w:t xml:space="preserve">. </w:t>
      </w:r>
      <w:r>
        <w:rPr>
          <w:rFonts w:ascii="Times New Roman" w:hAnsi="Times New Roman" w:cs="Times New Roman"/>
          <w:sz w:val="24"/>
          <w:szCs w:val="24"/>
        </w:rPr>
        <w:t>T</w:t>
      </w:r>
      <w:r w:rsidRPr="00D2202B">
        <w:rPr>
          <w:rFonts w:ascii="Times New Roman" w:hAnsi="Times New Roman" w:cs="Times New Roman"/>
          <w:sz w:val="24"/>
          <w:szCs w:val="24"/>
        </w:rPr>
        <w:t>he executive, legislative, and judicial branches function within the parameters established by the Constitution, guaranteeing a cohesive and lawful system of governance</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&lt;EndNote&gt;&lt;Cite&gt;&lt;Author&gt;Ankut&lt;/Author&gt;&lt;Year&gt;2019&lt;/Year&gt;&lt;RecNum&gt;2&lt;/RecNum&gt;&lt;DisplayText&gt;(Ankut, 2019)&lt;/DisplayText&gt;&lt;record&gt;&lt;rec-number&gt;2&lt;/rec-number&gt;&lt;foreign-keys&gt;&lt;key app="EN" db-id="0r90sxvfhtxxdfev9v0xtpzled5d9x2ee0r5" timestamp="1699471774"&gt;2&lt;/key&gt;&lt;/foreign-keys&gt;&lt;ref-type name="Journal Article"&gt;17&lt;/ref-type&gt;&lt;contributors&gt;&lt;authors&gt;&lt;author&gt;Ankut, Priscilla Yachat&lt;/author&gt;&lt;/authors&gt;&lt;/contributors&gt;&lt;titles&gt;&lt;title&gt;The role of constitution-building processes in democratization&lt;/title&gt;&lt;secondary-title&gt;International Institute for Democracy and Electoral Assistance. Accessed September&lt;/secondary-title&gt;&lt;/titles&gt;&lt;periodical&gt;&lt;full-title&gt;International Institute for Democracy and Electoral Assistance. Accessed September&lt;/full-title&gt;&lt;/periodical&gt;&lt;dates&gt;&lt;year&gt;2019&lt;/year&gt;&lt;/dates&gt;&lt;urls&gt;&lt;/urls&gt;&lt;/record&gt;&lt;/Cite&gt;&lt;/EndNote&gt;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(Ankut, 2019)</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 In addition to influencing the structural aspects of governance, a constitution intricately delineates the entitlements and obligations bestowed upon a nation's populace. The rights, encompass a broad range, serving to protect the liberties of individuals, uphold civil rights, and ensure political participation. They provide citizens with a collection of fundamental protections and entitlements considered inviolable</w:t>
      </w:r>
      <w:r w:rsidR="00C037CB">
        <w:rPr>
          <w:rFonts w:ascii="Times New Roman" w:hAnsi="Times New Roman" w:cs="Times New Roman"/>
          <w:sz w:val="24"/>
          <w:szCs w:val="24"/>
        </w:rPr>
        <w:t xml:space="preserve"> </w:t>
      </w:r>
      <w:r w:rsidR="00C037CB">
        <w:rPr>
          <w:rFonts w:ascii="Times New Roman" w:hAnsi="Times New Roman" w:cs="Times New Roman"/>
          <w:sz w:val="24"/>
          <w:szCs w:val="24"/>
        </w:rPr>
        <w:fldChar w:fldCharType="begin"/>
      </w:r>
      <w:r w:rsidR="00C037CB">
        <w:rPr>
          <w:rFonts w:ascii="Times New Roman" w:hAnsi="Times New Roman" w:cs="Times New Roman"/>
          <w:sz w:val="24"/>
          <w:szCs w:val="24"/>
        </w:rPr>
        <w:instrText xml:space="preserve"> ADDIN EN.CITE &lt;EndNote&gt;&lt;Cite&gt;&lt;Author&gt;Schmidt&lt;/Author&gt;&lt;Year&gt;2021&lt;/Year&gt;&lt;RecNum&gt;11&lt;/RecNum&gt;&lt;DisplayText&gt;(Schmidt, 2021)&lt;/DisplayText&gt;&lt;record&gt;&lt;rec-number&gt;11&lt;/rec-number&gt;&lt;foreign-keys&gt;&lt;key app="EN" db-id="0r90sxvfhtxxdfev9v0xtpzled5d9x2ee0r5" timestamp="1699472534"&gt;11&lt;/key&gt;&lt;/foreign-keys&gt;&lt;ref-type name="Book Section"&gt;5&lt;/ref-type&gt;&lt;contributors&gt;&lt;authors&gt;&lt;author&gt;Schmidt, Susanne K&lt;/author&gt;&lt;/authors&gt;&lt;/contributors&gt;&lt;titles&gt;&lt;title&gt;No match made in heaven. Parliamentary sovereignty, EU over-constitutionalization and Brexit&lt;/title&gt;&lt;secondary-title&gt;The Brexit Policy Fiasco&lt;/secondary-title&gt;&lt;/titles&gt;&lt;pages&gt;131-146&lt;/pages&gt;&lt;dates&gt;&lt;year&gt;2021&lt;/year&gt;&lt;/dates&gt;&lt;publisher&gt;Routledge&lt;/publisher&gt;&lt;urls&gt;&lt;/urls&gt;&lt;/record&gt;&lt;/Cite&gt;&lt;/EndNote&gt;</w:instrText>
      </w:r>
      <w:r w:rsidR="00C037CB">
        <w:rPr>
          <w:rFonts w:ascii="Times New Roman" w:hAnsi="Times New Roman" w:cs="Times New Roman"/>
          <w:sz w:val="24"/>
          <w:szCs w:val="24"/>
        </w:rPr>
        <w:fldChar w:fldCharType="separate"/>
      </w:r>
      <w:r w:rsidR="00C037CB">
        <w:rPr>
          <w:rFonts w:ascii="Times New Roman" w:hAnsi="Times New Roman" w:cs="Times New Roman"/>
          <w:noProof/>
          <w:sz w:val="24"/>
          <w:szCs w:val="24"/>
        </w:rPr>
        <w:t>(Schmidt, 2021)</w:t>
      </w:r>
      <w:r w:rsidR="00C037CB">
        <w:rPr>
          <w:rFonts w:ascii="Times New Roman" w:hAnsi="Times New Roman" w:cs="Times New Roman"/>
          <w:sz w:val="24"/>
          <w:szCs w:val="24"/>
        </w:rPr>
        <w:fldChar w:fldCharType="end"/>
      </w:r>
      <w:r w:rsidRPr="00D2202B">
        <w:rPr>
          <w:rFonts w:ascii="Times New Roman" w:hAnsi="Times New Roman" w:cs="Times New Roman"/>
          <w:sz w:val="24"/>
          <w:szCs w:val="24"/>
        </w:rPr>
        <w:t>. Concurrently, the Constitution delineates the corresponding responsibilities and commitments that individuals assume as constituents of society, establishing an equitable social agreement that serves as the bedrock of citizenship</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&lt;EndNote&gt;&lt;Cite&gt;&lt;Author&gt;Ackerman&lt;/Author&gt;&lt;Year&gt;2017&lt;/Year&gt;&lt;RecNum&gt;3&lt;/RecNum&gt;&lt;DisplayText&gt;(Ackerman, 2017)&lt;/DisplayText&gt;&lt;record&gt;&lt;rec-number&gt;3&lt;/rec-number&gt;&lt;foreign-keys&gt;&lt;key app="EN" db-id="0r90sxvfhtxxdfev9v0xtpzled5d9x2ee0r5" timestamp="1699471878"&gt;3&lt;/key&gt;&lt;/foreign-keys&gt;&lt;ref-type name="Book Section"&gt;5&lt;/ref-type&gt;&lt;contributors&gt;&lt;authors&gt;&lt;author&gt;Ackerman, Bruce A&lt;/author&gt;&lt;/authors&gt;&lt;/contributors&gt;&lt;titles&gt;&lt;title&gt;The Storrs lectures: Discovering the constitution&lt;/title&gt;&lt;secondary-title&gt;Constitutionalism and Democracy&lt;/secondary-title&gt;&lt;/titles&gt;&lt;pages&gt;305-364&lt;/pages&gt;&lt;dates&gt;&lt;year&gt;2017&lt;/year&gt;&lt;/dates&gt;&lt;publisher&gt;Routledge&lt;/publisher&gt;&lt;urls&gt;&lt;/urls&gt;&lt;/record&gt;&lt;/Cite&gt;&lt;/EndNote&gt;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(Ackerman, 2017)</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w:t>
      </w:r>
    </w:p>
    <w:p w14:paraId="2B07E03B" w14:textId="6A130481" w:rsidR="00D2202B" w:rsidRP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The United Kingdom possesses an uncodified constitution that needs a single, comprehensive document that consolidates its fundamental principles and rules</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&lt;EndNote&gt;&lt;Cite&gt;&lt;Author&gt;Psygkas&lt;/Author&gt;&lt;Year&gt;2020&lt;/Year&gt;&lt;RecNum&gt;4&lt;/RecNum&gt;&lt;DisplayText&gt;(Psygkas, 2020)&lt;/DisplayText&gt;&lt;record&gt;&lt;rec-number&gt;4&lt;/rec-number&gt;&lt;foreign-keys&gt;&lt;key app="EN" db-id="0r90sxvfhtxxdfev9v0xtpzled5d9x2ee0r5" timestamp="1699471943"&gt;4&lt;/key&gt;&lt;/foreign-keys&gt;&lt;ref-type name="Journal Article"&gt;17&lt;/ref-type&gt;&lt;contributors&gt;&lt;authors&gt;&lt;author&gt;Psygkas, Athanasios&lt;/author&gt;&lt;/authors&gt;&lt;/contributors&gt;&lt;titles&gt;&lt;title&gt;The United Kingdom’s Statutory Constitution&lt;/title&gt;&lt;secondary-title&gt;Oxford Journal of Legal Studies&lt;/secondary-title&gt;&lt;/titles&gt;&lt;periodical&gt;&lt;full-title&gt;Oxford Journal of Legal Studies&lt;/full-title&gt;&lt;/periodical&gt;&lt;pages&gt;449-481&lt;/pages&gt;&lt;volume&gt;40&lt;/volume&gt;&lt;number&gt;3&lt;/number&gt;&lt;dates&gt;&lt;year&gt;2020&lt;/year&gt;&lt;/dates&gt;&lt;isbn&gt;0143-6503&lt;/isbn&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(Psygkas, 2020)</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 However, it should be noted that the Constitution of the United Kingdom is primarily shaped by a process of historical development, the establishment of legal precedents, the enactment of statutes, and the adherence to conventions</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&lt;EndNote&gt;&lt;Cite&gt;&lt;Author&gt;Young&lt;/Author&gt;&lt;Year&gt;2019&lt;/Year&gt;&lt;RecNum&gt;5&lt;/RecNum&gt;&lt;DisplayText&gt;(Young et al., 2019)&lt;/DisplayText&gt;&lt;record&gt;&lt;rec-number&gt;5&lt;/rec-number&gt;&lt;foreign-keys&gt;&lt;key app="EN" db-id="0r90sxvfhtxxdfev9v0xtpzled5d9x2ee0r5" timestamp="1699472026"&gt;5&lt;/key&gt;&lt;/foreign-keys&gt;&lt;ref-type name="Journal Article"&gt;17&lt;/ref-type&gt;&lt;contributors&gt;&lt;authors&gt;&lt;author&gt;Young, Alison L&lt;/author&gt;&lt;author&gt;Birkinshaw, Patrick&lt;/author&gt;&lt;author&gt;Mitsilegas, Valsamis&lt;/author&gt;&lt;author&gt;Christou, Theodora A&lt;/author&gt;&lt;/authors&gt;&lt;/contributors&gt;&lt;titles&gt;&lt;title&gt;Europe’s Gift to the United Kingdom’s Unwritten Constitution–Juridification&lt;/title&gt;&lt;secondary-title&gt;National constitutions in European and global governance: Democracy, rights, the rule of law&lt;/secondary-title&gt;&lt;/titles&gt;&lt;periodical&gt;&lt;full-title&gt;National constitutions in European and global governance: Democracy, rights, the rule of law&lt;/full-title&gt;&lt;/periodical&gt;&lt;pages&gt;83-139&lt;/pages&gt;&lt;dates&gt;&lt;year&gt;2019&lt;/year&gt;&lt;/dates&gt;&lt;urls&gt;&lt;/urls&gt;&lt;/record&gt;&lt;/Cite&gt;&lt;/EndNote&gt;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(Young et al., 2019)</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 xml:space="preserve">. The principles of the United Kingdom's Constitution, commonly known as constitutional conventions, are regarded with equal significance to formal legal provisions. The United Kingdom's Constitution encompasses several fundamental </w:t>
      </w:r>
      <w:r w:rsidRPr="00D2202B">
        <w:rPr>
          <w:rFonts w:ascii="Times New Roman" w:hAnsi="Times New Roman" w:cs="Times New Roman"/>
          <w:sz w:val="24"/>
          <w:szCs w:val="24"/>
        </w:rPr>
        <w:lastRenderedPageBreak/>
        <w:t>principles, including the rule of law, separation of powers, and parliamentary sovereignty. Parliamentary sovereignty, an essential principle within the constitutional framework of the United Kingdom, posits that the ultimate legal authority in the nation resides with Parliament</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&lt;EndNote&gt;&lt;Cite&gt;&lt;Author&gt;Murkens&lt;/Author&gt;&lt;Year&gt;2021&lt;/Year&gt;&lt;RecNum&gt;6&lt;/RecNum&gt;&lt;DisplayText&gt;(Murkens, 2021)&lt;/DisplayText&gt;&lt;record&gt;&lt;rec-number&gt;6&lt;/rec-number&gt;&lt;foreign-keys&gt;&lt;key app="EN" db-id="0r90sxvfhtxxdfev9v0xtpzled5d9x2ee0r5" timestamp="1699472091"&gt;6&lt;/key&gt;&lt;/foreign-keys&gt;&lt;ref-type name="Journal Article"&gt;17&lt;/ref-type&gt;&lt;contributors&gt;&lt;authors&gt;&lt;author&gt;Murkens, Jo Eric Khushal&lt;/author&gt;&lt;/authors&gt;&lt;/contributors&gt;&lt;titles&gt;&lt;title&gt;A written constitution: a case not made&lt;/title&gt;&lt;secondary-title&gt;Oxford Journal of Legal Studies&lt;/secondary-title&gt;&lt;/titles&gt;&lt;periodical&gt;&lt;full-title&gt;Oxford Journal of Legal Studies&lt;/full-title&gt;&lt;/periodical&gt;&lt;pages&gt;965-986&lt;/pages&gt;&lt;volume&gt;41&lt;/volume&gt;&lt;number&gt;4&lt;/number&gt;&lt;dates&gt;&lt;year&gt;2021&lt;/year&gt;&lt;/dates&gt;&lt;isbn&gt;0143-6503&lt;/isbn&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(Murkens, 2021)</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 xml:space="preserve">. Accordingly, the decisions made by Parliament are deemed inviolable and impervious to alteration or contestation from any other entity or establishment. </w:t>
      </w:r>
      <w:r w:rsidR="00FB2244">
        <w:rPr>
          <w:rFonts w:ascii="Times New Roman" w:hAnsi="Times New Roman" w:cs="Times New Roman"/>
          <w:sz w:val="24"/>
          <w:szCs w:val="24"/>
        </w:rPr>
        <w:fldChar w:fldCharType="begin"/>
      </w:r>
      <w:r w:rsidR="00FB2244">
        <w:rPr>
          <w:rFonts w:ascii="Times New Roman" w:hAnsi="Times New Roman" w:cs="Times New Roman"/>
          <w:sz w:val="24"/>
          <w:szCs w:val="24"/>
        </w:rPr>
        <w:instrText xml:space="preserve"> ADDIN EN.CITE &lt;EndNote&gt;&lt;Cite&gt;&lt;Author&gt;Romeo&lt;/Author&gt;&lt;Year&gt;2020&lt;/Year&gt;&lt;RecNum&gt;7&lt;/RecNum&gt;&lt;DisplayText&gt;(Romeo, 2020)&lt;/DisplayText&gt;&lt;record&gt;&lt;rec-number&gt;7&lt;/rec-number&gt;&lt;foreign-keys&gt;&lt;key app="EN" db-id="0r90sxvfhtxxdfev9v0xtpzled5d9x2ee0r5" timestamp="1699472152"&gt;7&lt;/key&gt;&lt;/foreign-keys&gt;&lt;ref-type name="Journal Article"&gt;17&lt;/ref-type&gt;&lt;contributors&gt;&lt;authors&gt;&lt;author&gt;Romeo, Graziella&lt;/author&gt;&lt;/authors&gt;&lt;/contributors&gt;&lt;titles&gt;&lt;title&gt;The Conceptualization of Constitutional Supremacy: Global Discourse and Legal Tradition&lt;/title&gt;&lt;secondary-title&gt;German Law Journal&lt;/secondary-title&gt;&lt;/titles&gt;&lt;periodical&gt;&lt;full-title&gt;German Law Journal&lt;/full-title&gt;&lt;/periodical&gt;&lt;pages&gt;904-923&lt;/pages&gt;&lt;volume&gt;21&lt;/volume&gt;&lt;number&gt;5&lt;/number&gt;&lt;dates&gt;&lt;year&gt;2020&lt;/year&gt;&lt;/dates&gt;&lt;isbn&gt;2071-8322&lt;/isbn&gt;&lt;urls&gt;&lt;/urls&gt;&lt;/record&gt;&lt;/Cite&gt;&lt;/EndNote&gt;</w:instrText>
      </w:r>
      <w:r w:rsidR="00FB2244">
        <w:rPr>
          <w:rFonts w:ascii="Times New Roman" w:hAnsi="Times New Roman" w:cs="Times New Roman"/>
          <w:sz w:val="24"/>
          <w:szCs w:val="24"/>
        </w:rPr>
        <w:fldChar w:fldCharType="separate"/>
      </w:r>
      <w:r w:rsidR="00FB2244">
        <w:rPr>
          <w:rFonts w:ascii="Times New Roman" w:hAnsi="Times New Roman" w:cs="Times New Roman"/>
          <w:noProof/>
          <w:sz w:val="24"/>
          <w:szCs w:val="24"/>
        </w:rPr>
        <w:t>Romeo (2020)</w:t>
      </w:r>
      <w:r w:rsidR="00FB2244">
        <w:rPr>
          <w:rFonts w:ascii="Times New Roman" w:hAnsi="Times New Roman" w:cs="Times New Roman"/>
          <w:sz w:val="24"/>
          <w:szCs w:val="24"/>
        </w:rPr>
        <w:fldChar w:fldCharType="end"/>
      </w:r>
      <w:r w:rsidR="00FB2244">
        <w:rPr>
          <w:rFonts w:ascii="Times New Roman" w:hAnsi="Times New Roman" w:cs="Times New Roman"/>
          <w:sz w:val="24"/>
          <w:szCs w:val="24"/>
        </w:rPr>
        <w:t xml:space="preserve"> </w:t>
      </w:r>
      <w:r w:rsidR="00C037CB">
        <w:rPr>
          <w:rFonts w:ascii="Times New Roman" w:hAnsi="Times New Roman" w:cs="Times New Roman"/>
          <w:sz w:val="24"/>
          <w:szCs w:val="24"/>
        </w:rPr>
        <w:t>outlined that</w:t>
      </w:r>
      <w:r w:rsidR="00FB2244">
        <w:rPr>
          <w:rFonts w:ascii="Times New Roman" w:hAnsi="Times New Roman" w:cs="Times New Roman"/>
          <w:sz w:val="24"/>
          <w:szCs w:val="24"/>
        </w:rPr>
        <w:t xml:space="preserve"> t</w:t>
      </w:r>
      <w:r w:rsidRPr="00D2202B">
        <w:rPr>
          <w:rFonts w:ascii="Times New Roman" w:hAnsi="Times New Roman" w:cs="Times New Roman"/>
          <w:sz w:val="24"/>
          <w:szCs w:val="24"/>
        </w:rPr>
        <w:t>he concept of parliamentary sovereignty is commonly associated with A.V. Dicey, a distinguished constitutional scholar of the 19th century, who expounded upon this principle. According to this doctrine, the Parliament holds the authority to enact or revoke legislation without any scope for challenging the legitimacy of its statutes</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&lt;EndNote&gt;&lt;Cite&gt;&lt;Author&gt;Romeo&lt;/Author&gt;&lt;Year&gt;2020&lt;/Year&gt;&lt;RecNum&gt;7&lt;/RecNum&gt;&lt;DisplayText&gt;(Romeo, 2020)&lt;/DisplayText&gt;&lt;record&gt;&lt;rec-number&gt;7&lt;/rec-number&gt;&lt;foreign-keys&gt;&lt;key app="EN" db-id="0r90sxvfhtxxdfev9v0xtpzled5d9x2ee0r5" timestamp="1699472152"&gt;7&lt;/key&gt;&lt;/foreign-keys&gt;&lt;ref-type name="Journal Article"&gt;17&lt;/ref-type&gt;&lt;contributors&gt;&lt;authors&gt;&lt;author&gt;Romeo, Graziella&lt;/author&gt;&lt;/authors&gt;&lt;/contributors&gt;&lt;titles&gt;&lt;title&gt;The Conceptualization of Constitutional Supremacy: Global Discourse and Legal Tradition&lt;/title&gt;&lt;secondary-title&gt;German Law Journal&lt;/secondary-title&gt;&lt;/titles&gt;&lt;periodical&gt;&lt;full-title&gt;German Law Journal&lt;/full-title&gt;&lt;/periodical&gt;&lt;pages&gt;904-923&lt;/pages&gt;&lt;volume&gt;21&lt;/volume&gt;&lt;number&gt;5&lt;/number&gt;&lt;dates&gt;&lt;year&gt;2020&lt;/year&gt;&lt;/dates&gt;&lt;isbn&gt;2071-8322&lt;/isbn&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(Romeo, 2020)</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w:t>
      </w:r>
    </w:p>
    <w:p w14:paraId="6832055B" w14:textId="316EC74D" w:rsidR="00D2202B" w:rsidRP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The supremacy of Parliament in the legislative process is a fundamental pillar of the constitutional framework in the United Kingdom, carrying significant implications. The principle posits that the United Kingdom Parliament, consisting of the House of Commons and the House of Lords, holds supreme authority in the formulation and amendment of legislation</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&lt;EndNote&gt;&lt;Cite&gt;&lt;Author&gt;Davies&lt;/Author&gt;&lt;Year&gt;2023&lt;/Year&gt;&lt;RecNum&gt;8&lt;/RecNum&gt;&lt;DisplayText&gt;(Davies and Wincott, 2023)&lt;/DisplayText&gt;&lt;record&gt;&lt;rec-number&gt;8&lt;/rec-number&gt;&lt;foreign-keys&gt;&lt;key app="EN" db-id="0r90sxvfhtxxdfev9v0xtpzled5d9x2ee0r5" timestamp="1699472234"&gt;8&lt;/key&gt;&lt;/foreign-keys&gt;&lt;ref-type name="Journal Article"&gt;17&lt;/ref-type&gt;&lt;contributors&gt;&lt;authors&gt;&lt;author&gt;Davies, Gregory&lt;/author&gt;&lt;author&gt;Wincott, Daniel&lt;/author&gt;&lt;/authors&gt;&lt;/contributors&gt;&lt;titles&gt;&lt;title&gt;Ripening time? The Welsh Labour government between Brexit and parliamentary sovereignty&lt;/title&gt;&lt;secondary-title&gt;The British Journal of Politics and International Relations&lt;/secondary-title&gt;&lt;/titles&gt;&lt;periodical&gt;&lt;full-title&gt;The British Journal of Politics and International Relations&lt;/full-title&gt;&lt;/periodical&gt;&lt;pages&gt;462-479&lt;/pages&gt;&lt;volume&gt;25&lt;/volume&gt;&lt;number&gt;3&lt;/number&gt;&lt;dates&gt;&lt;year&gt;2023&lt;/year&gt;&lt;/dates&gt;&lt;isbn&gt;1369-1481&lt;/isbn&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(Davies and Wincott, 2023)</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 xml:space="preserve">. Once a piece of legislation successfully progresses through the legislative process in both houses and obtains royal assent, it acquires the legal authority within the jurisdiction. Significantly, the principle of parliamentary sovereignty confers upon this legislation a distinct status, making it immune to scrutiny or reversal by any other institution or authority. The principle above exerts its impact on both the domains of customary law and legislative law, underscoring the extensive scope of parliamentary jurisdiction. The doctrine at hand serves to establish Parliament as the supreme authority in the creation of laws and </w:t>
      </w:r>
      <w:r w:rsidR="00DA09F1" w:rsidRPr="00D2202B">
        <w:rPr>
          <w:rFonts w:ascii="Times New Roman" w:hAnsi="Times New Roman" w:cs="Times New Roman"/>
          <w:sz w:val="24"/>
          <w:szCs w:val="24"/>
        </w:rPr>
        <w:t>emphasizes</w:t>
      </w:r>
      <w:r w:rsidRPr="00D2202B">
        <w:rPr>
          <w:rFonts w:ascii="Times New Roman" w:hAnsi="Times New Roman" w:cs="Times New Roman"/>
          <w:sz w:val="24"/>
          <w:szCs w:val="24"/>
        </w:rPr>
        <w:t xml:space="preserve"> its unmatched jurisdiction over the entire legal framework</w:t>
      </w:r>
      <w:r w:rsidR="00EC3D92">
        <w:rPr>
          <w:rFonts w:ascii="Times New Roman" w:hAnsi="Times New Roman" w:cs="Times New Roman"/>
          <w:sz w:val="24"/>
          <w:szCs w:val="24"/>
        </w:rPr>
        <w:t xml:space="preserve"> </w:t>
      </w:r>
      <w:r w:rsidR="00EC3D92">
        <w:rPr>
          <w:rFonts w:ascii="Times New Roman" w:hAnsi="Times New Roman" w:cs="Times New Roman"/>
          <w:sz w:val="24"/>
          <w:szCs w:val="24"/>
        </w:rPr>
        <w:fldChar w:fldCharType="begin"/>
      </w:r>
      <w:r w:rsidR="00EC3D92">
        <w:rPr>
          <w:rFonts w:ascii="Times New Roman" w:hAnsi="Times New Roman" w:cs="Times New Roman"/>
          <w:sz w:val="24"/>
          <w:szCs w:val="24"/>
        </w:rPr>
        <w:instrText xml:space="preserve"> ADDIN EN.CITE &lt;EndNote&gt;&lt;Cite&gt;&lt;Author&gt;Keating&lt;/Author&gt;&lt;Year&gt;2018&lt;/Year&gt;&lt;RecNum&gt;9&lt;/RecNum&gt;&lt;DisplayText&gt;(Keating, 2018)&lt;/DisplayText&gt;&lt;record&gt;&lt;rec-number&gt;9&lt;/rec-number&gt;&lt;foreign-keys&gt;&lt;key app="EN" db-id="0r90sxvfhtxxdfev9v0xtpzled5d9x2ee0r5" timestamp="1699472308"&gt;9&lt;/key&gt;&lt;/foreign-keys&gt;&lt;ref-type name="Journal Article"&gt;17&lt;/ref-type&gt;&lt;contributors&gt;&lt;authors&gt;&lt;author&gt;Keating, Michael&lt;/author&gt;&lt;/authors&gt;&lt;/contributors&gt;&lt;titles&gt;&lt;title&gt;Brexit and the territorial constitution of the United Kingdom&lt;/title&gt;&lt;secondary-title&gt;Droit et société&lt;/secondary-title&gt;&lt;/titles&gt;&lt;periodical&gt;&lt;full-title&gt;Droit et société&lt;/full-title&gt;&lt;/periodical&gt;&lt;pages&gt;53-69&lt;/pages&gt;&lt;volume&gt;98&lt;/volume&gt;&lt;number&gt;1&lt;/number&gt;&lt;dates&gt;&lt;year&gt;2018&lt;/year&gt;&lt;/dates&gt;&lt;isbn&gt;0769-3362&lt;/isbn&gt;&lt;urls&gt;&lt;/urls&gt;&lt;/record&gt;&lt;/Cite&gt;&lt;/EndNote&gt;</w:instrText>
      </w:r>
      <w:r w:rsidR="00EC3D92">
        <w:rPr>
          <w:rFonts w:ascii="Times New Roman" w:hAnsi="Times New Roman" w:cs="Times New Roman"/>
          <w:sz w:val="24"/>
          <w:szCs w:val="24"/>
        </w:rPr>
        <w:fldChar w:fldCharType="separate"/>
      </w:r>
      <w:r w:rsidR="00EC3D92">
        <w:rPr>
          <w:rFonts w:ascii="Times New Roman" w:hAnsi="Times New Roman" w:cs="Times New Roman"/>
          <w:noProof/>
          <w:sz w:val="24"/>
          <w:szCs w:val="24"/>
        </w:rPr>
        <w:t>(Keating, 2018)</w:t>
      </w:r>
      <w:r w:rsidR="00EC3D92">
        <w:rPr>
          <w:rFonts w:ascii="Times New Roman" w:hAnsi="Times New Roman" w:cs="Times New Roman"/>
          <w:sz w:val="24"/>
          <w:szCs w:val="24"/>
        </w:rPr>
        <w:fldChar w:fldCharType="end"/>
      </w:r>
      <w:r w:rsidRPr="00D2202B">
        <w:rPr>
          <w:rFonts w:ascii="Times New Roman" w:hAnsi="Times New Roman" w:cs="Times New Roman"/>
          <w:sz w:val="24"/>
          <w:szCs w:val="24"/>
        </w:rPr>
        <w:t>.</w:t>
      </w:r>
    </w:p>
    <w:p w14:paraId="620470AA" w14:textId="6D04905D" w:rsid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Furthermore, the concept of parliamentary sovereignty confers a unique attribute to the United Kingdom's legal system by establishing that no Parliament has the authority to impose enforceable limitations on future Parliaments. From a practical standpoint, this implies that a Parliament cannot pass a law that subsequent Parliaments cannot modify or revoke</w:t>
      </w:r>
      <w:r w:rsidR="00F96B68">
        <w:rPr>
          <w:rFonts w:ascii="Times New Roman" w:hAnsi="Times New Roman" w:cs="Times New Roman"/>
          <w:sz w:val="24"/>
          <w:szCs w:val="24"/>
        </w:rPr>
        <w:t xml:space="preserve"> </w:t>
      </w:r>
      <w:r w:rsidR="00F96B68">
        <w:rPr>
          <w:rFonts w:ascii="Times New Roman" w:hAnsi="Times New Roman" w:cs="Times New Roman"/>
          <w:sz w:val="24"/>
          <w:szCs w:val="24"/>
        </w:rPr>
        <w:fldChar w:fldCharType="begin"/>
      </w:r>
      <w:r w:rsidR="00F96B68">
        <w:rPr>
          <w:rFonts w:ascii="Times New Roman" w:hAnsi="Times New Roman" w:cs="Times New Roman"/>
          <w:sz w:val="24"/>
          <w:szCs w:val="24"/>
        </w:rPr>
        <w:instrText xml:space="preserve"> ADDIN EN.CITE &lt;EndNote&gt;&lt;Cite&gt;&lt;Author&gt;Davies&lt;/Author&gt;&lt;Year&gt;2023&lt;/Year&gt;&lt;RecNum&gt;8&lt;/RecNum&gt;&lt;DisplayText&gt;(Davies and Wincott, 2023)&lt;/DisplayText&gt;&lt;record&gt;&lt;rec-number&gt;8&lt;/rec-number&gt;&lt;foreign-keys&gt;&lt;key app="EN" db-id="0r90sxvfhtxxdfev9v0xtpzled5d9x2ee0r5" timestamp="1699472234"&gt;8&lt;/key&gt;&lt;/foreign-keys&gt;&lt;ref-type name="Journal Article"&gt;17&lt;/ref-type&gt;&lt;contributors&gt;&lt;authors&gt;&lt;author&gt;Davies, Gregory&lt;/author&gt;&lt;author&gt;Wincott, Daniel&lt;/author&gt;&lt;/authors&gt;&lt;/contributors&gt;&lt;titles&gt;&lt;title&gt;Ripening time? The Welsh Labour government between Brexit and parliamentary sovereignty&lt;/title&gt;&lt;secondary-title&gt;The British Journal of Politics and International Relations&lt;/secondary-title&gt;&lt;/titles&gt;&lt;periodical&gt;&lt;full-title&gt;The British Journal of Politics and International Relations&lt;/full-title&gt;&lt;/periodical&gt;&lt;pages&gt;462-479&lt;/pages&gt;&lt;volume&gt;25&lt;/volume&gt;&lt;number&gt;3&lt;/number&gt;&lt;dates&gt;&lt;year&gt;2023&lt;/year&gt;&lt;/dates&gt;&lt;isbn&gt;1369-1481&lt;/isbn&gt;&lt;urls&gt;&lt;/urls&gt;&lt;/record&gt;&lt;/Cite&gt;&lt;/EndNote&gt;</w:instrText>
      </w:r>
      <w:r w:rsidR="00F96B68">
        <w:rPr>
          <w:rFonts w:ascii="Times New Roman" w:hAnsi="Times New Roman" w:cs="Times New Roman"/>
          <w:sz w:val="24"/>
          <w:szCs w:val="24"/>
        </w:rPr>
        <w:fldChar w:fldCharType="separate"/>
      </w:r>
      <w:r w:rsidR="00F96B68">
        <w:rPr>
          <w:rFonts w:ascii="Times New Roman" w:hAnsi="Times New Roman" w:cs="Times New Roman"/>
          <w:noProof/>
          <w:sz w:val="24"/>
          <w:szCs w:val="24"/>
        </w:rPr>
        <w:t>(Davies and Wincott, 2023)</w:t>
      </w:r>
      <w:r w:rsidR="00F96B68">
        <w:rPr>
          <w:rFonts w:ascii="Times New Roman" w:hAnsi="Times New Roman" w:cs="Times New Roman"/>
          <w:sz w:val="24"/>
          <w:szCs w:val="24"/>
        </w:rPr>
        <w:fldChar w:fldCharType="end"/>
      </w:r>
      <w:r w:rsidRPr="00D2202B">
        <w:rPr>
          <w:rFonts w:ascii="Times New Roman" w:hAnsi="Times New Roman" w:cs="Times New Roman"/>
          <w:sz w:val="24"/>
          <w:szCs w:val="24"/>
        </w:rPr>
        <w:t>. The inherent flexibility present in the system functions as a crucial characteristic, allowing the legal framework to develop and adjust following changing circumstances and the dynamic needs of society. The principle of non-binding future Parliaments is designed to maintain the U.K.'s legal and constitutional framework as adaptable and receptive to the requirements and expectations of its populace</w:t>
      </w:r>
      <w:r w:rsidR="00F96B68">
        <w:rPr>
          <w:rFonts w:ascii="Times New Roman" w:hAnsi="Times New Roman" w:cs="Times New Roman"/>
          <w:sz w:val="24"/>
          <w:szCs w:val="24"/>
        </w:rPr>
        <w:t xml:space="preserve"> </w:t>
      </w:r>
      <w:r w:rsidR="00F96B68">
        <w:rPr>
          <w:rFonts w:ascii="Times New Roman" w:hAnsi="Times New Roman" w:cs="Times New Roman"/>
          <w:sz w:val="24"/>
          <w:szCs w:val="24"/>
        </w:rPr>
        <w:fldChar w:fldCharType="begin"/>
      </w:r>
      <w:r w:rsidR="00F96B68">
        <w:rPr>
          <w:rFonts w:ascii="Times New Roman" w:hAnsi="Times New Roman" w:cs="Times New Roman"/>
          <w:sz w:val="24"/>
          <w:szCs w:val="24"/>
        </w:rPr>
        <w:instrText xml:space="preserve"> ADDIN EN.CITE &lt;EndNote&gt;&lt;Cite&gt;&lt;Author&gt;Schmidt&lt;/Author&gt;&lt;Year&gt;2021&lt;/Year&gt;&lt;RecNum&gt;11&lt;/RecNum&gt;&lt;DisplayText&gt;(Schmidt, 2021)&lt;/DisplayText&gt;&lt;record&gt;&lt;rec-number&gt;11&lt;/rec-number&gt;&lt;foreign-keys&gt;&lt;key app="EN" db-id="0r90sxvfhtxxdfev9v0xtpzled5d9x2ee0r5" timestamp="1699472534"&gt;11&lt;/key&gt;&lt;/foreign-keys&gt;&lt;ref-type name="Book Section"&gt;5&lt;/ref-type&gt;&lt;contributors&gt;&lt;authors&gt;&lt;author&gt;Schmidt, Susanne K&lt;/author&gt;&lt;/authors&gt;&lt;/contributors&gt;&lt;titles&gt;&lt;title&gt;No match made in heaven. Parliamentary sovereignty, EU over-constitutionalization and Brexit&lt;/title&gt;&lt;secondary-title&gt;The Brexit Policy Fiasco&lt;/secondary-title&gt;&lt;/titles&gt;&lt;pages&gt;131-146&lt;/pages&gt;&lt;dates&gt;&lt;year&gt;2021&lt;/year&gt;&lt;/dates&gt;&lt;publisher&gt;Routledge&lt;/publisher&gt;&lt;urls&gt;&lt;/urls&gt;&lt;/record&gt;&lt;/Cite&gt;&lt;/EndNote&gt;</w:instrText>
      </w:r>
      <w:r w:rsidR="00F96B68">
        <w:rPr>
          <w:rFonts w:ascii="Times New Roman" w:hAnsi="Times New Roman" w:cs="Times New Roman"/>
          <w:sz w:val="24"/>
          <w:szCs w:val="24"/>
        </w:rPr>
        <w:fldChar w:fldCharType="separate"/>
      </w:r>
      <w:r w:rsidR="00F96B68">
        <w:rPr>
          <w:rFonts w:ascii="Times New Roman" w:hAnsi="Times New Roman" w:cs="Times New Roman"/>
          <w:noProof/>
          <w:sz w:val="24"/>
          <w:szCs w:val="24"/>
        </w:rPr>
        <w:t>(Schmidt, 2021)</w:t>
      </w:r>
      <w:r w:rsidR="00F96B68">
        <w:rPr>
          <w:rFonts w:ascii="Times New Roman" w:hAnsi="Times New Roman" w:cs="Times New Roman"/>
          <w:sz w:val="24"/>
          <w:szCs w:val="24"/>
        </w:rPr>
        <w:fldChar w:fldCharType="end"/>
      </w:r>
      <w:r w:rsidRPr="00D2202B">
        <w:rPr>
          <w:rFonts w:ascii="Times New Roman" w:hAnsi="Times New Roman" w:cs="Times New Roman"/>
          <w:sz w:val="24"/>
          <w:szCs w:val="24"/>
        </w:rPr>
        <w:t xml:space="preserve">. Continually refining and developing laws enable the nation to effectively respond to evolving values, priorities, and challenges over time. The </w:t>
      </w:r>
      <w:r w:rsidRPr="00D2202B">
        <w:rPr>
          <w:rFonts w:ascii="Times New Roman" w:hAnsi="Times New Roman" w:cs="Times New Roman"/>
          <w:sz w:val="24"/>
          <w:szCs w:val="24"/>
        </w:rPr>
        <w:lastRenderedPageBreak/>
        <w:t xml:space="preserve">constitutional system of the United Kingdom is </w:t>
      </w:r>
      <w:r w:rsidR="00A531A8" w:rsidRPr="00D2202B">
        <w:rPr>
          <w:rFonts w:ascii="Times New Roman" w:hAnsi="Times New Roman" w:cs="Times New Roman"/>
          <w:sz w:val="24"/>
          <w:szCs w:val="24"/>
        </w:rPr>
        <w:t>characterized</w:t>
      </w:r>
      <w:r w:rsidRPr="00D2202B">
        <w:rPr>
          <w:rFonts w:ascii="Times New Roman" w:hAnsi="Times New Roman" w:cs="Times New Roman"/>
          <w:sz w:val="24"/>
          <w:szCs w:val="24"/>
        </w:rPr>
        <w:t xml:space="preserve"> by the notable attribute of parliamentary sovereignty, which grants it a capacity for accommodating both tradition and adaptability within the context of a swiftly evolving global landscape</w:t>
      </w:r>
      <w:r w:rsidR="00F96B68">
        <w:rPr>
          <w:rFonts w:ascii="Times New Roman" w:hAnsi="Times New Roman" w:cs="Times New Roman"/>
          <w:sz w:val="24"/>
          <w:szCs w:val="24"/>
        </w:rPr>
        <w:t xml:space="preserve"> </w:t>
      </w:r>
      <w:r w:rsidR="00F96B68">
        <w:rPr>
          <w:rFonts w:ascii="Times New Roman" w:hAnsi="Times New Roman" w:cs="Times New Roman"/>
          <w:sz w:val="24"/>
          <w:szCs w:val="24"/>
        </w:rPr>
        <w:fldChar w:fldCharType="begin"/>
      </w:r>
      <w:r w:rsidR="00F96B68">
        <w:rPr>
          <w:rFonts w:ascii="Times New Roman" w:hAnsi="Times New Roman" w:cs="Times New Roman"/>
          <w:sz w:val="24"/>
          <w:szCs w:val="24"/>
        </w:rPr>
        <w:instrText xml:space="preserve"> ADDIN EN.CITE &lt;EndNote&gt;&lt;Cite&gt;&lt;Author&gt;Loughlin&lt;/Author&gt;&lt;Year&gt;2018&lt;/Year&gt;&lt;RecNum&gt;12&lt;/RecNum&gt;&lt;DisplayText&gt;(Loughlin and Tierney, 2018)&lt;/DisplayText&gt;&lt;record&gt;&lt;rec-number&gt;12&lt;/rec-number&gt;&lt;foreign-keys&gt;&lt;key app="EN" db-id="0r90sxvfhtxxdfev9v0xtpzled5d9x2ee0r5" timestamp="1699472589"&gt;12&lt;/key&gt;&lt;/foreign-keys&gt;&lt;ref-type name="Journal Article"&gt;17&lt;/ref-type&gt;&lt;contributors&gt;&lt;authors&gt;&lt;author&gt;Loughlin, Martin&lt;/author&gt;&lt;author&gt;Tierney, Stephen&lt;/author&gt;&lt;/authors&gt;&lt;/contributors&gt;&lt;titles&gt;&lt;title&gt;The shibboleth of sovereignty&lt;/title&gt;&lt;secondary-title&gt;The Modern Law Review&lt;/secondary-title&gt;&lt;/titles&gt;&lt;periodical&gt;&lt;full-title&gt;The Modern Law Review&lt;/full-title&gt;&lt;/periodical&gt;&lt;pages&gt;989-1016&lt;/pages&gt;&lt;volume&gt;81&lt;/volume&gt;&lt;number&gt;6&lt;/number&gt;&lt;dates&gt;&lt;year&gt;2018&lt;/year&gt;&lt;/dates&gt;&lt;isbn&gt;0026-7961&lt;/isbn&gt;&lt;urls&gt;&lt;/urls&gt;&lt;/record&gt;&lt;/Cite&gt;&lt;/EndNote&gt;</w:instrText>
      </w:r>
      <w:r w:rsidR="00F96B68">
        <w:rPr>
          <w:rFonts w:ascii="Times New Roman" w:hAnsi="Times New Roman" w:cs="Times New Roman"/>
          <w:sz w:val="24"/>
          <w:szCs w:val="24"/>
        </w:rPr>
        <w:fldChar w:fldCharType="separate"/>
      </w:r>
      <w:r w:rsidR="00F96B68">
        <w:rPr>
          <w:rFonts w:ascii="Times New Roman" w:hAnsi="Times New Roman" w:cs="Times New Roman"/>
          <w:noProof/>
          <w:sz w:val="24"/>
          <w:szCs w:val="24"/>
        </w:rPr>
        <w:t>(Loughlin and Tierney, 2018)</w:t>
      </w:r>
      <w:r w:rsidR="00F96B68">
        <w:rPr>
          <w:rFonts w:ascii="Times New Roman" w:hAnsi="Times New Roman" w:cs="Times New Roman"/>
          <w:sz w:val="24"/>
          <w:szCs w:val="24"/>
        </w:rPr>
        <w:fldChar w:fldCharType="end"/>
      </w:r>
      <w:r w:rsidRPr="00D2202B">
        <w:rPr>
          <w:rFonts w:ascii="Times New Roman" w:hAnsi="Times New Roman" w:cs="Times New Roman"/>
          <w:sz w:val="24"/>
          <w:szCs w:val="24"/>
        </w:rPr>
        <w:t>.</w:t>
      </w:r>
    </w:p>
    <w:p w14:paraId="5F630638" w14:textId="3BCE9772" w:rsidR="00D2202B" w:rsidRP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Although the principle of parliamentary sovereignty stipulates that a Parliament cannot impose legal obligations on future Parliaments, it does not imply unrestricted authority for Parliaments to revoke or modify any legislation enacted by a preceding Parliament. Certain constitutional conventions and principles, such as the rule of law and the safeguarding of fundamental rights, limit the authority of Parliament</w:t>
      </w:r>
      <w:r w:rsidR="00F96B68">
        <w:rPr>
          <w:rFonts w:ascii="Times New Roman" w:hAnsi="Times New Roman" w:cs="Times New Roman"/>
          <w:sz w:val="24"/>
          <w:szCs w:val="24"/>
        </w:rPr>
        <w:t xml:space="preserve"> </w:t>
      </w:r>
      <w:r w:rsidR="00F96B68">
        <w:rPr>
          <w:rFonts w:ascii="Times New Roman" w:hAnsi="Times New Roman" w:cs="Times New Roman"/>
          <w:sz w:val="24"/>
          <w:szCs w:val="24"/>
        </w:rPr>
        <w:fldChar w:fldCharType="begin"/>
      </w:r>
      <w:r w:rsidR="00F96B68">
        <w:rPr>
          <w:rFonts w:ascii="Times New Roman" w:hAnsi="Times New Roman" w:cs="Times New Roman"/>
          <w:sz w:val="24"/>
          <w:szCs w:val="24"/>
        </w:rPr>
        <w:instrText xml:space="preserve"> ADDIN EN.CITE &lt;EndNote&gt;&lt;Cite&gt;&lt;Author&gt;MacCormick&lt;/Author&gt;&lt;Year&gt;2018&lt;/Year&gt;&lt;RecNum&gt;13&lt;/RecNum&gt;&lt;DisplayText&gt;(MacCormick, 2018)&lt;/DisplayText&gt;&lt;record&gt;&lt;rec-number&gt;13&lt;/rec-number&gt;&lt;foreign-keys&gt;&lt;key app="EN" db-id="0r90sxvfhtxxdfev9v0xtpzled5d9x2ee0r5" timestamp="1699472710"&gt;13&lt;/key&gt;&lt;/foreign-keys&gt;&lt;ref-type name="Book Section"&gt;5&lt;/ref-type&gt;&lt;contributors&gt;&lt;authors&gt;&lt;author&gt;MacCormick, Neil&lt;/author&gt;&lt;/authors&gt;&lt;/contributors&gt;&lt;titles&gt;&lt;title&gt;Beyond the sovereign state&lt;/title&gt;&lt;secondary-title&gt;Relocating Sovereignty&lt;/secondary-title&gt;&lt;/titles&gt;&lt;pages&gt;473-490&lt;/pages&gt;&lt;dates&gt;&lt;year&gt;2018&lt;/year&gt;&lt;/dates&gt;&lt;publisher&gt;Routledge&lt;/publisher&gt;&lt;urls&gt;&lt;/urls&gt;&lt;/record&gt;&lt;/Cite&gt;&lt;/EndNote&gt;</w:instrText>
      </w:r>
      <w:r w:rsidR="00F96B68">
        <w:rPr>
          <w:rFonts w:ascii="Times New Roman" w:hAnsi="Times New Roman" w:cs="Times New Roman"/>
          <w:sz w:val="24"/>
          <w:szCs w:val="24"/>
        </w:rPr>
        <w:fldChar w:fldCharType="separate"/>
      </w:r>
      <w:r w:rsidR="00F96B68">
        <w:rPr>
          <w:rFonts w:ascii="Times New Roman" w:hAnsi="Times New Roman" w:cs="Times New Roman"/>
          <w:noProof/>
          <w:sz w:val="24"/>
          <w:szCs w:val="24"/>
        </w:rPr>
        <w:t>(MacCormick, 2018)</w:t>
      </w:r>
      <w:r w:rsidR="00F96B68">
        <w:rPr>
          <w:rFonts w:ascii="Times New Roman" w:hAnsi="Times New Roman" w:cs="Times New Roman"/>
          <w:sz w:val="24"/>
          <w:szCs w:val="24"/>
        </w:rPr>
        <w:fldChar w:fldCharType="end"/>
      </w:r>
      <w:r w:rsidRPr="00D2202B">
        <w:rPr>
          <w:rFonts w:ascii="Times New Roman" w:hAnsi="Times New Roman" w:cs="Times New Roman"/>
          <w:sz w:val="24"/>
          <w:szCs w:val="24"/>
        </w:rPr>
        <w:t>. An illustration of this can be found in the European Communities Act 1972, which integrated the United Kingdom into the European Communities. Notably, this act contained a provision granting Parliament the authority to revoke or modify the act</w:t>
      </w:r>
      <w:r w:rsidR="00C037CB">
        <w:rPr>
          <w:rFonts w:ascii="Times New Roman" w:hAnsi="Times New Roman" w:cs="Times New Roman"/>
          <w:sz w:val="24"/>
          <w:szCs w:val="24"/>
        </w:rPr>
        <w:t xml:space="preserve"> </w:t>
      </w:r>
      <w:r w:rsidR="00C037CB">
        <w:rPr>
          <w:rFonts w:ascii="Times New Roman" w:hAnsi="Times New Roman" w:cs="Times New Roman"/>
          <w:sz w:val="24"/>
          <w:szCs w:val="24"/>
        </w:rPr>
        <w:fldChar w:fldCharType="begin"/>
      </w:r>
      <w:r w:rsidR="00C037CB">
        <w:rPr>
          <w:rFonts w:ascii="Times New Roman" w:hAnsi="Times New Roman" w:cs="Times New Roman"/>
          <w:sz w:val="24"/>
          <w:szCs w:val="24"/>
        </w:rPr>
        <w:instrText xml:space="preserve"> ADDIN EN.CITE &lt;EndNote&gt;&lt;Cite&gt;&lt;Author&gt;Ankut&lt;/Author&gt;&lt;Year&gt;2019&lt;/Year&gt;&lt;RecNum&gt;2&lt;/RecNum&gt;&lt;DisplayText&gt;(Ankut, 2019)&lt;/DisplayText&gt;&lt;record&gt;&lt;rec-number&gt;2&lt;/rec-number&gt;&lt;foreign-keys&gt;&lt;key app="EN" db-id="0r90sxvfhtxxdfev9v0xtpzled5d9x2ee0r5" timestamp="1699471774"&gt;2&lt;/key&gt;&lt;/foreign-keys&gt;&lt;ref-type name="Journal Article"&gt;17&lt;/ref-type&gt;&lt;contributors&gt;&lt;authors&gt;&lt;author&gt;Ankut, Priscilla Yachat&lt;/author&gt;&lt;/authors&gt;&lt;/contributors&gt;&lt;titles&gt;&lt;title&gt;The role of constitution-building processes in democratization&lt;/title&gt;&lt;secondary-title&gt;International Institute for Democracy and Electoral Assistance. Accessed September&lt;/secondary-title&gt;&lt;/titles&gt;&lt;periodical&gt;&lt;full-title&gt;International Institute for Democracy and Electoral Assistance. Accessed September&lt;/full-title&gt;&lt;/periodical&gt;&lt;dates&gt;&lt;year&gt;2019&lt;/year&gt;&lt;/dates&gt;&lt;urls&gt;&lt;/urls&gt;&lt;/record&gt;&lt;/Cite&gt;&lt;/EndNote&gt;</w:instrText>
      </w:r>
      <w:r w:rsidR="00C037CB">
        <w:rPr>
          <w:rFonts w:ascii="Times New Roman" w:hAnsi="Times New Roman" w:cs="Times New Roman"/>
          <w:sz w:val="24"/>
          <w:szCs w:val="24"/>
        </w:rPr>
        <w:fldChar w:fldCharType="separate"/>
      </w:r>
      <w:r w:rsidR="00C037CB">
        <w:rPr>
          <w:rFonts w:ascii="Times New Roman" w:hAnsi="Times New Roman" w:cs="Times New Roman"/>
          <w:noProof/>
          <w:sz w:val="24"/>
          <w:szCs w:val="24"/>
        </w:rPr>
        <w:t>(Ankut, 2019)</w:t>
      </w:r>
      <w:r w:rsidR="00C037CB">
        <w:rPr>
          <w:rFonts w:ascii="Times New Roman" w:hAnsi="Times New Roman" w:cs="Times New Roman"/>
          <w:sz w:val="24"/>
          <w:szCs w:val="24"/>
        </w:rPr>
        <w:fldChar w:fldCharType="end"/>
      </w:r>
      <w:r w:rsidRPr="00D2202B">
        <w:rPr>
          <w:rFonts w:ascii="Times New Roman" w:hAnsi="Times New Roman" w:cs="Times New Roman"/>
          <w:sz w:val="24"/>
          <w:szCs w:val="24"/>
        </w:rPr>
        <w:t>. Nevertheless, after the decision made by Parliament to disengage from the European Union, it became imperative to adhere to a well-defined procedure delineated in the European Union (Withdrawal) Act 2018 while also upholding international agreements</w:t>
      </w:r>
      <w:r w:rsidR="00C037CB">
        <w:rPr>
          <w:rFonts w:ascii="Times New Roman" w:hAnsi="Times New Roman" w:cs="Times New Roman"/>
          <w:sz w:val="24"/>
          <w:szCs w:val="24"/>
        </w:rPr>
        <w:t xml:space="preserve"> </w:t>
      </w:r>
      <w:r w:rsidR="00C037CB">
        <w:rPr>
          <w:rFonts w:ascii="Times New Roman" w:hAnsi="Times New Roman" w:cs="Times New Roman"/>
          <w:sz w:val="24"/>
          <w:szCs w:val="24"/>
        </w:rPr>
        <w:fldChar w:fldCharType="begin"/>
      </w:r>
      <w:r w:rsidR="00C037CB">
        <w:rPr>
          <w:rFonts w:ascii="Times New Roman" w:hAnsi="Times New Roman" w:cs="Times New Roman"/>
          <w:sz w:val="24"/>
          <w:szCs w:val="24"/>
        </w:rPr>
        <w:instrText xml:space="preserve"> ADDIN EN.CITE &lt;EndNote&gt;&lt;Cite&gt;&lt;Author&gt;Barnett&lt;/Author&gt;&lt;Year&gt;2019&lt;/Year&gt;&lt;RecNum&gt;18&lt;/RecNum&gt;&lt;DisplayText&gt;(Barnett, 2019)&lt;/DisplayText&gt;&lt;record&gt;&lt;rec-number&gt;18&lt;/rec-number&gt;&lt;foreign-keys&gt;&lt;key app="EN" db-id="0r90sxvfhtxxdfev9v0xtpzled5d9x2ee0r5" timestamp="1699473221"&gt;18&lt;/key&gt;&lt;/foreign-keys&gt;&lt;ref-type name="Book"&gt;6&lt;/ref-type&gt;&lt;contributors&gt;&lt;authors&gt;&lt;author&gt;Barnett, Hilaire&lt;/author&gt;&lt;/authors&gt;&lt;/contributors&gt;&lt;titles&gt;&lt;title&gt;Constitutional and administrative law&lt;/title&gt;&lt;/titles&gt;&lt;dates&gt;&lt;year&gt;2019&lt;/year&gt;&lt;/dates&gt;&lt;publisher&gt;Routledge&lt;/publisher&gt;&lt;isbn&gt;0429322682&lt;/isbn&gt;&lt;urls&gt;&lt;/urls&gt;&lt;/record&gt;&lt;/Cite&gt;&lt;/EndNote&gt;</w:instrText>
      </w:r>
      <w:r w:rsidR="00C037CB">
        <w:rPr>
          <w:rFonts w:ascii="Times New Roman" w:hAnsi="Times New Roman" w:cs="Times New Roman"/>
          <w:sz w:val="24"/>
          <w:szCs w:val="24"/>
        </w:rPr>
        <w:fldChar w:fldCharType="separate"/>
      </w:r>
      <w:r w:rsidR="00C037CB">
        <w:rPr>
          <w:rFonts w:ascii="Times New Roman" w:hAnsi="Times New Roman" w:cs="Times New Roman"/>
          <w:noProof/>
          <w:sz w:val="24"/>
          <w:szCs w:val="24"/>
        </w:rPr>
        <w:t>(Barnett, 2019)</w:t>
      </w:r>
      <w:r w:rsidR="00C037CB">
        <w:rPr>
          <w:rFonts w:ascii="Times New Roman" w:hAnsi="Times New Roman" w:cs="Times New Roman"/>
          <w:sz w:val="24"/>
          <w:szCs w:val="24"/>
        </w:rPr>
        <w:fldChar w:fldCharType="end"/>
      </w:r>
      <w:r w:rsidRPr="00D2202B">
        <w:rPr>
          <w:rFonts w:ascii="Times New Roman" w:hAnsi="Times New Roman" w:cs="Times New Roman"/>
          <w:sz w:val="24"/>
          <w:szCs w:val="24"/>
        </w:rPr>
        <w:t>. Furthermore, Parliament must adhere to the Human Rights Act 1998, which incorporates the European Convention on Human Rights into the legal framework of the United Kingdom. The legislation above imposes a duty upon courts to construe statutes that align with the convention while also conferring upon individuals the entitlement to contest the lawfulness of governmental actions in connection with the convention</w:t>
      </w:r>
      <w:r w:rsidR="00F96B68">
        <w:rPr>
          <w:rFonts w:ascii="Times New Roman" w:hAnsi="Times New Roman" w:cs="Times New Roman"/>
          <w:sz w:val="24"/>
          <w:szCs w:val="24"/>
        </w:rPr>
        <w:t xml:space="preserve"> </w:t>
      </w:r>
      <w:r w:rsidR="00F96B68">
        <w:rPr>
          <w:rFonts w:ascii="Times New Roman" w:hAnsi="Times New Roman" w:cs="Times New Roman"/>
          <w:sz w:val="24"/>
          <w:szCs w:val="24"/>
        </w:rPr>
        <w:fldChar w:fldCharType="begin"/>
      </w:r>
      <w:r w:rsidR="00F96B68">
        <w:rPr>
          <w:rFonts w:ascii="Times New Roman" w:hAnsi="Times New Roman" w:cs="Times New Roman"/>
          <w:sz w:val="24"/>
          <w:szCs w:val="24"/>
        </w:rPr>
        <w:instrText xml:space="preserve"> ADDIN EN.CITE &lt;EndNote&gt;&lt;Cite&gt;&lt;Author&gt;Addison&lt;/Author&gt;&lt;Year&gt;2017&lt;/Year&gt;&lt;RecNum&gt;14&lt;/RecNum&gt;&lt;DisplayText&gt;(Addison and Koh, 2017)&lt;/DisplayText&gt;&lt;record&gt;&lt;rec-number&gt;14&lt;/rec-number&gt;&lt;foreign-keys&gt;&lt;key app="EN" db-id="0r90sxvfhtxxdfev9v0xtpzled5d9x2ee0r5" timestamp="1699472803"&gt;14&lt;/key&gt;&lt;/foreign-keys&gt;&lt;ref-type name="Book Section"&gt;5&lt;/ref-type&gt;&lt;contributors&gt;&lt;authors&gt;&lt;author&gt;Addison, C Harris Lecture&lt;/author&gt;&lt;author&gt;Koh, Hongju&lt;/author&gt;&lt;/authors&gt;&lt;/contributors&gt;&lt;titles&gt;&lt;title&gt;How is international human rights law enforced?&lt;/title&gt;&lt;secondary-title&gt;International Law of Human Rights&lt;/secondary-title&gt;&lt;/titles&gt;&lt;pages&gt;241-262&lt;/pages&gt;&lt;dates&gt;&lt;year&gt;2017&lt;/year&gt;&lt;/dates&gt;&lt;publisher&gt;Routledge&lt;/publisher&gt;&lt;urls&gt;&lt;/urls&gt;&lt;/record&gt;&lt;/Cite&gt;&lt;/EndNote&gt;</w:instrText>
      </w:r>
      <w:r w:rsidR="00F96B68">
        <w:rPr>
          <w:rFonts w:ascii="Times New Roman" w:hAnsi="Times New Roman" w:cs="Times New Roman"/>
          <w:sz w:val="24"/>
          <w:szCs w:val="24"/>
        </w:rPr>
        <w:fldChar w:fldCharType="separate"/>
      </w:r>
      <w:r w:rsidR="00F96B68">
        <w:rPr>
          <w:rFonts w:ascii="Times New Roman" w:hAnsi="Times New Roman" w:cs="Times New Roman"/>
          <w:noProof/>
          <w:sz w:val="24"/>
          <w:szCs w:val="24"/>
        </w:rPr>
        <w:t>(Addison and Koh, 2017)</w:t>
      </w:r>
      <w:r w:rsidR="00F96B68">
        <w:rPr>
          <w:rFonts w:ascii="Times New Roman" w:hAnsi="Times New Roman" w:cs="Times New Roman"/>
          <w:sz w:val="24"/>
          <w:szCs w:val="24"/>
        </w:rPr>
        <w:fldChar w:fldCharType="end"/>
      </w:r>
      <w:r w:rsidRPr="00D2202B">
        <w:rPr>
          <w:rFonts w:ascii="Times New Roman" w:hAnsi="Times New Roman" w:cs="Times New Roman"/>
          <w:sz w:val="24"/>
          <w:szCs w:val="24"/>
        </w:rPr>
        <w:t xml:space="preserve">. </w:t>
      </w:r>
    </w:p>
    <w:p w14:paraId="74F271B9" w14:textId="5BD1F5D1" w:rsidR="00D2202B" w:rsidRP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Numerous reform proposals have been put forth to tackle the challenges and constraints associated with the doctrine of parliamentary sovereignty within the constitutional framework of the United Kingdom. A notable suggestion entails the implementation of a codified constitution. The proposed written Constitution aims to consolidate and codify the fundamental principles and laws of the United Kingdom, providing a coherent and comprehensive legal framework</w:t>
      </w:r>
      <w:r w:rsidR="00F96B68">
        <w:rPr>
          <w:rFonts w:ascii="Times New Roman" w:hAnsi="Times New Roman" w:cs="Times New Roman"/>
          <w:sz w:val="24"/>
          <w:szCs w:val="24"/>
        </w:rPr>
        <w:t xml:space="preserve"> </w:t>
      </w:r>
      <w:r w:rsidR="00F96B68">
        <w:rPr>
          <w:rFonts w:ascii="Times New Roman" w:hAnsi="Times New Roman" w:cs="Times New Roman"/>
          <w:sz w:val="24"/>
          <w:szCs w:val="24"/>
        </w:rPr>
        <w:fldChar w:fldCharType="begin"/>
      </w:r>
      <w:r w:rsidR="00F96B68">
        <w:rPr>
          <w:rFonts w:ascii="Times New Roman" w:hAnsi="Times New Roman" w:cs="Times New Roman"/>
          <w:sz w:val="24"/>
          <w:szCs w:val="24"/>
        </w:rPr>
        <w:instrText xml:space="preserve"> ADDIN EN.CITE &lt;EndNote&gt;&lt;Cite&gt;&lt;Author&gt;Matthews&lt;/Author&gt;&lt;Year&gt;2017&lt;/Year&gt;&lt;RecNum&gt;15&lt;/RecNum&gt;&lt;DisplayText&gt;(Matthews, 2017)&lt;/DisplayText&gt;&lt;record&gt;&lt;rec-number&gt;15&lt;/rec-number&gt;&lt;foreign-keys&gt;&lt;key app="EN" db-id="0r90sxvfhtxxdfev9v0xtpzled5d9x2ee0r5" timestamp="1699472994"&gt;15&lt;/key&gt;&lt;/foreign-keys&gt;&lt;ref-type name="Journal Article"&gt;17&lt;/ref-type&gt;&lt;contributors&gt;&lt;authors&gt;&lt;author&gt;Matthews, Felicity&lt;/author&gt;&lt;/authors&gt;&lt;/contributors&gt;&lt;titles&gt;&lt;title&gt;Whose mandate is it anyway? Brexit, the constitution and the contestation of authority&lt;/title&gt;&lt;secondary-title&gt;The Political Quarterly&lt;/secondary-title&gt;&lt;/titles&gt;&lt;periodical&gt;&lt;full-title&gt;The Political Quarterly&lt;/full-title&gt;&lt;/periodical&gt;&lt;pages&gt;603-611&lt;/pages&gt;&lt;volume&gt;88&lt;/volume&gt;&lt;number&gt;4&lt;/number&gt;&lt;dates&gt;&lt;year&gt;2017&lt;/year&gt;&lt;/dates&gt;&lt;isbn&gt;0032-3179&lt;/isbn&gt;&lt;urls&gt;&lt;/urls&gt;&lt;/record&gt;&lt;/Cite&gt;&lt;/EndNote&gt;</w:instrText>
      </w:r>
      <w:r w:rsidR="00F96B68">
        <w:rPr>
          <w:rFonts w:ascii="Times New Roman" w:hAnsi="Times New Roman" w:cs="Times New Roman"/>
          <w:sz w:val="24"/>
          <w:szCs w:val="24"/>
        </w:rPr>
        <w:fldChar w:fldCharType="separate"/>
      </w:r>
      <w:r w:rsidR="00F96B68">
        <w:rPr>
          <w:rFonts w:ascii="Times New Roman" w:hAnsi="Times New Roman" w:cs="Times New Roman"/>
          <w:noProof/>
          <w:sz w:val="24"/>
          <w:szCs w:val="24"/>
        </w:rPr>
        <w:t>(Matthews, 2017)</w:t>
      </w:r>
      <w:r w:rsidR="00F96B68">
        <w:rPr>
          <w:rFonts w:ascii="Times New Roman" w:hAnsi="Times New Roman" w:cs="Times New Roman"/>
          <w:sz w:val="24"/>
          <w:szCs w:val="24"/>
        </w:rPr>
        <w:fldChar w:fldCharType="end"/>
      </w:r>
      <w:r w:rsidRPr="00D2202B">
        <w:rPr>
          <w:rFonts w:ascii="Times New Roman" w:hAnsi="Times New Roman" w:cs="Times New Roman"/>
          <w:sz w:val="24"/>
          <w:szCs w:val="24"/>
        </w:rPr>
        <w:t>. The implementation of such a constitution has the potential to impose constraints on the authority of Parliament, thereby enhancing the transparency and stability of the legal framework. Another proposed reform entails the broadening of the jurisdiction of judicial review. The judicial review process entails assessing the legality of government actions and legislation by courts</w:t>
      </w:r>
      <w:r w:rsidR="00C037CB">
        <w:rPr>
          <w:rFonts w:ascii="Times New Roman" w:hAnsi="Times New Roman" w:cs="Times New Roman"/>
          <w:sz w:val="24"/>
          <w:szCs w:val="24"/>
        </w:rPr>
        <w:t xml:space="preserve"> </w:t>
      </w:r>
      <w:r w:rsidR="00C037CB">
        <w:rPr>
          <w:rFonts w:ascii="Times New Roman" w:hAnsi="Times New Roman" w:cs="Times New Roman"/>
          <w:sz w:val="24"/>
          <w:szCs w:val="24"/>
        </w:rPr>
        <w:fldChar w:fldCharType="begin"/>
      </w:r>
      <w:r w:rsidR="00C037CB">
        <w:rPr>
          <w:rFonts w:ascii="Times New Roman" w:hAnsi="Times New Roman" w:cs="Times New Roman"/>
          <w:sz w:val="24"/>
          <w:szCs w:val="24"/>
        </w:rPr>
        <w:instrText xml:space="preserve"> ADDIN EN.CITE &lt;EndNote&gt;&lt;Cite&gt;&lt;Author&gt;Barnett&lt;/Author&gt;&lt;Year&gt;2019&lt;/Year&gt;&lt;RecNum&gt;18&lt;/RecNum&gt;&lt;DisplayText&gt;(Barnett, 2019)&lt;/DisplayText&gt;&lt;record&gt;&lt;rec-number&gt;18&lt;/rec-number&gt;&lt;foreign-keys&gt;&lt;key app="EN" db-id="0r90sxvfhtxxdfev9v0xtpzled5d9x2ee0r5" timestamp="1699473221"&gt;18&lt;/key&gt;&lt;/foreign-keys&gt;&lt;ref-type name="Book"&gt;6&lt;/ref-type&gt;&lt;contributors&gt;&lt;authors&gt;&lt;author&gt;Barnett, Hilaire&lt;/author&gt;&lt;/authors&gt;&lt;/contributors&gt;&lt;titles&gt;&lt;title&gt;Constitutional and administrative law&lt;/title&gt;&lt;/titles&gt;&lt;dates&gt;&lt;year&gt;2019&lt;/year&gt;&lt;/dates&gt;&lt;publisher&gt;Routledge&lt;/publisher&gt;&lt;isbn&gt;0429322682&lt;/isbn&gt;&lt;urls&gt;&lt;/urls&gt;&lt;/record&gt;&lt;/Cite&gt;&lt;/EndNote&gt;</w:instrText>
      </w:r>
      <w:r w:rsidR="00C037CB">
        <w:rPr>
          <w:rFonts w:ascii="Times New Roman" w:hAnsi="Times New Roman" w:cs="Times New Roman"/>
          <w:sz w:val="24"/>
          <w:szCs w:val="24"/>
        </w:rPr>
        <w:fldChar w:fldCharType="separate"/>
      </w:r>
      <w:r w:rsidR="00C037CB">
        <w:rPr>
          <w:rFonts w:ascii="Times New Roman" w:hAnsi="Times New Roman" w:cs="Times New Roman"/>
          <w:noProof/>
          <w:sz w:val="24"/>
          <w:szCs w:val="24"/>
        </w:rPr>
        <w:t>(Barnett, 2019)</w:t>
      </w:r>
      <w:r w:rsidR="00C037CB">
        <w:rPr>
          <w:rFonts w:ascii="Times New Roman" w:hAnsi="Times New Roman" w:cs="Times New Roman"/>
          <w:sz w:val="24"/>
          <w:szCs w:val="24"/>
        </w:rPr>
        <w:fldChar w:fldCharType="end"/>
      </w:r>
      <w:r w:rsidRPr="00D2202B">
        <w:rPr>
          <w:rFonts w:ascii="Times New Roman" w:hAnsi="Times New Roman" w:cs="Times New Roman"/>
          <w:sz w:val="24"/>
          <w:szCs w:val="24"/>
        </w:rPr>
        <w:t xml:space="preserve">. By expanding the extent of judicial review, the judiciary can enhance its ability to </w:t>
      </w:r>
      <w:r w:rsidR="00A531A8" w:rsidRPr="00D2202B">
        <w:rPr>
          <w:rFonts w:ascii="Times New Roman" w:hAnsi="Times New Roman" w:cs="Times New Roman"/>
          <w:sz w:val="24"/>
          <w:szCs w:val="24"/>
        </w:rPr>
        <w:t>scrutinize</w:t>
      </w:r>
      <w:r w:rsidRPr="00D2202B">
        <w:rPr>
          <w:rFonts w:ascii="Times New Roman" w:hAnsi="Times New Roman" w:cs="Times New Roman"/>
          <w:sz w:val="24"/>
          <w:szCs w:val="24"/>
        </w:rPr>
        <w:t xml:space="preserve"> and limit the exercise of power by the legislative branch. This </w:t>
      </w:r>
      <w:r w:rsidRPr="00D2202B">
        <w:rPr>
          <w:rFonts w:ascii="Times New Roman" w:hAnsi="Times New Roman" w:cs="Times New Roman"/>
          <w:sz w:val="24"/>
          <w:szCs w:val="24"/>
        </w:rPr>
        <w:lastRenderedPageBreak/>
        <w:t>would facilitate the judicial examination of laws in terms of their conformity with fundamental rights and the rule of law, thereby guaranteeing that legislation is consistent with democratic principles</w:t>
      </w:r>
      <w:r w:rsidR="00873E9F">
        <w:rPr>
          <w:rFonts w:ascii="Times New Roman" w:hAnsi="Times New Roman" w:cs="Times New Roman"/>
          <w:sz w:val="24"/>
          <w:szCs w:val="24"/>
        </w:rPr>
        <w:t xml:space="preserve"> </w:t>
      </w:r>
      <w:r w:rsidR="00873E9F">
        <w:rPr>
          <w:rFonts w:ascii="Times New Roman" w:hAnsi="Times New Roman" w:cs="Times New Roman"/>
          <w:sz w:val="24"/>
          <w:szCs w:val="24"/>
        </w:rPr>
        <w:fldChar w:fldCharType="begin"/>
      </w:r>
      <w:r w:rsidR="00873E9F">
        <w:rPr>
          <w:rFonts w:ascii="Times New Roman" w:hAnsi="Times New Roman" w:cs="Times New Roman"/>
          <w:sz w:val="24"/>
          <w:szCs w:val="24"/>
        </w:rPr>
        <w:instrText xml:space="preserve"> ADDIN EN.CITE &lt;EndNote&gt;&lt;Cite&gt;&lt;Author&gt;McKee&lt;/Author&gt;&lt;Year&gt;2017&lt;/Year&gt;&lt;RecNum&gt;16&lt;/RecNum&gt;&lt;DisplayText&gt;(McKee et al., 2017)&lt;/DisplayText&gt;&lt;record&gt;&lt;rec-number&gt;16&lt;/rec-number&gt;&lt;foreign-keys&gt;&lt;key app="EN" db-id="0r90sxvfhtxxdfev9v0xtpzled5d9x2ee0r5" timestamp="1699473080"&gt;16&lt;/key&gt;&lt;/foreign-keys&gt;&lt;ref-type name="Journal Article"&gt;17&lt;/ref-type&gt;&lt;contributors&gt;&lt;authors&gt;&lt;author&gt;McKee, Kim&lt;/author&gt;&lt;author&gt;Muir, Jenny&lt;/author&gt;&lt;author&gt;Moore, Tom&lt;/author&gt;&lt;/authors&gt;&lt;/contributors&gt;&lt;titles&gt;&lt;title&gt;Housing policy in the UK: the importance of spatial nuance&lt;/title&gt;&lt;secondary-title&gt;Housing Studies&lt;/secondary-title&gt;&lt;/titles&gt;&lt;periodical&gt;&lt;full-title&gt;Housing Studies&lt;/full-title&gt;&lt;/periodical&gt;&lt;pages&gt;60-72&lt;/pages&gt;&lt;volume&gt;32&lt;/volume&gt;&lt;number&gt;1&lt;/number&gt;&lt;dates&gt;&lt;year&gt;2017&lt;/year&gt;&lt;/dates&gt;&lt;isbn&gt;0267-3037&lt;/isbn&gt;&lt;urls&gt;&lt;/urls&gt;&lt;/record&gt;&lt;/Cite&gt;&lt;/EndNote&gt;</w:instrText>
      </w:r>
      <w:r w:rsidR="00873E9F">
        <w:rPr>
          <w:rFonts w:ascii="Times New Roman" w:hAnsi="Times New Roman" w:cs="Times New Roman"/>
          <w:sz w:val="24"/>
          <w:szCs w:val="24"/>
        </w:rPr>
        <w:fldChar w:fldCharType="separate"/>
      </w:r>
      <w:r w:rsidR="00873E9F">
        <w:rPr>
          <w:rFonts w:ascii="Times New Roman" w:hAnsi="Times New Roman" w:cs="Times New Roman"/>
          <w:noProof/>
          <w:sz w:val="24"/>
          <w:szCs w:val="24"/>
        </w:rPr>
        <w:t>(McKee et al., 2017)</w:t>
      </w:r>
      <w:r w:rsidR="00873E9F">
        <w:rPr>
          <w:rFonts w:ascii="Times New Roman" w:hAnsi="Times New Roman" w:cs="Times New Roman"/>
          <w:sz w:val="24"/>
          <w:szCs w:val="24"/>
        </w:rPr>
        <w:fldChar w:fldCharType="end"/>
      </w:r>
      <w:r w:rsidRPr="00D2202B">
        <w:rPr>
          <w:rFonts w:ascii="Times New Roman" w:hAnsi="Times New Roman" w:cs="Times New Roman"/>
          <w:sz w:val="24"/>
          <w:szCs w:val="24"/>
        </w:rPr>
        <w:t>.</w:t>
      </w:r>
    </w:p>
    <w:p w14:paraId="1401CF2E" w14:textId="77777777" w:rsidR="00D2202B" w:rsidRP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A Bill of Rights has also been implemented to enact reform. Numerous democratic nations have implemented Bills of Rights to codify specific rights and safeguards impervious to legislative intervention. Implementing a Bill of Rights in the United Kingdom would serve as a means to establish a solid framework for preserving individual liberties and safeguarding fundamental rights, thereby mitigating the risk of potential infringement by legislative measures</w:t>
      </w:r>
      <w:r w:rsidR="00873E9F">
        <w:rPr>
          <w:rFonts w:ascii="Times New Roman" w:hAnsi="Times New Roman" w:cs="Times New Roman"/>
          <w:sz w:val="24"/>
          <w:szCs w:val="24"/>
        </w:rPr>
        <w:t xml:space="preserve"> </w:t>
      </w:r>
      <w:r w:rsidR="00873E9F">
        <w:rPr>
          <w:rFonts w:ascii="Times New Roman" w:hAnsi="Times New Roman" w:cs="Times New Roman"/>
          <w:sz w:val="24"/>
          <w:szCs w:val="24"/>
        </w:rPr>
        <w:fldChar w:fldCharType="begin"/>
      </w:r>
      <w:r w:rsidR="00873E9F">
        <w:rPr>
          <w:rFonts w:ascii="Times New Roman" w:hAnsi="Times New Roman" w:cs="Times New Roman"/>
          <w:sz w:val="24"/>
          <w:szCs w:val="24"/>
        </w:rPr>
        <w:instrText xml:space="preserve"> ADDIN EN.CITE &lt;EndNote&gt;&lt;Cite&gt;&lt;Author&gt;Courant&lt;/Author&gt;&lt;Year&gt;2021&lt;/Year&gt;&lt;RecNum&gt;17&lt;/RecNum&gt;&lt;DisplayText&gt;(Courant, 2021)&lt;/DisplayText&gt;&lt;record&gt;&lt;rec-number&gt;17&lt;/rec-number&gt;&lt;foreign-keys&gt;&lt;key app="EN" db-id="0r90sxvfhtxxdfev9v0xtpzled5d9x2ee0r5" timestamp="1699473162"&gt;17&lt;/key&gt;&lt;/foreign-keys&gt;&lt;ref-type name="Journal Article"&gt;17&lt;/ref-type&gt;&lt;contributors&gt;&lt;authors&gt;&lt;author&gt;Courant, Dimitri&lt;/author&gt;&lt;/authors&gt;&lt;/contributors&gt;&lt;titles&gt;&lt;title&gt;Citizens&amp;apos; Assemblies for Referendums and Constitutional Reforms: Is There an “Irish Model” for Deliberative Democracy?&lt;/title&gt;&lt;secondary-title&gt;Frontiers in Political Science&lt;/secondary-title&gt;&lt;/titles&gt;&lt;periodical&gt;&lt;full-title&gt;Frontiers in Political Science&lt;/full-title&gt;&lt;/periodical&gt;&lt;pages&gt;591983&lt;/pages&gt;&lt;volume&gt;2&lt;/volume&gt;&lt;dates&gt;&lt;year&gt;2021&lt;/year&gt;&lt;/dates&gt;&lt;isbn&gt;2673-3145&lt;/isbn&gt;&lt;urls&gt;&lt;/urls&gt;&lt;/record&gt;&lt;/Cite&gt;&lt;/EndNote&gt;</w:instrText>
      </w:r>
      <w:r w:rsidR="00873E9F">
        <w:rPr>
          <w:rFonts w:ascii="Times New Roman" w:hAnsi="Times New Roman" w:cs="Times New Roman"/>
          <w:sz w:val="24"/>
          <w:szCs w:val="24"/>
        </w:rPr>
        <w:fldChar w:fldCharType="separate"/>
      </w:r>
      <w:r w:rsidR="00873E9F">
        <w:rPr>
          <w:rFonts w:ascii="Times New Roman" w:hAnsi="Times New Roman" w:cs="Times New Roman"/>
          <w:noProof/>
          <w:sz w:val="24"/>
          <w:szCs w:val="24"/>
        </w:rPr>
        <w:t>(Courant, 2021)</w:t>
      </w:r>
      <w:r w:rsidR="00873E9F">
        <w:rPr>
          <w:rFonts w:ascii="Times New Roman" w:hAnsi="Times New Roman" w:cs="Times New Roman"/>
          <w:sz w:val="24"/>
          <w:szCs w:val="24"/>
        </w:rPr>
        <w:fldChar w:fldCharType="end"/>
      </w:r>
      <w:r w:rsidRPr="00D2202B">
        <w:rPr>
          <w:rFonts w:ascii="Times New Roman" w:hAnsi="Times New Roman" w:cs="Times New Roman"/>
          <w:sz w:val="24"/>
          <w:szCs w:val="24"/>
        </w:rPr>
        <w:t>. The devolution arrangements in the United Kingdom, implemented in regions including Scotland, Wales, and Northern Ireland, have conferred substantial legislative powers upon regional assemblies. Enhancing and consolidating these devolution arrangements could serve as an additional pathway for reform. By implementing this approach, power would be more evenly dispersed, potentially weakening the U.K. Parliament's overall authority and granting regional governments a more significant influence in decisions that impact their respective populations</w:t>
      </w:r>
      <w:r w:rsidR="00873E9F">
        <w:rPr>
          <w:rFonts w:ascii="Times New Roman" w:hAnsi="Times New Roman" w:cs="Times New Roman"/>
          <w:sz w:val="24"/>
          <w:szCs w:val="24"/>
        </w:rPr>
        <w:t xml:space="preserve"> </w:t>
      </w:r>
      <w:r w:rsidR="00873E9F">
        <w:rPr>
          <w:rFonts w:ascii="Times New Roman" w:hAnsi="Times New Roman" w:cs="Times New Roman"/>
          <w:sz w:val="24"/>
          <w:szCs w:val="24"/>
        </w:rPr>
        <w:fldChar w:fldCharType="begin"/>
      </w:r>
      <w:r w:rsidR="00873E9F">
        <w:rPr>
          <w:rFonts w:ascii="Times New Roman" w:hAnsi="Times New Roman" w:cs="Times New Roman"/>
          <w:sz w:val="24"/>
          <w:szCs w:val="24"/>
        </w:rPr>
        <w:instrText xml:space="preserve"> ADDIN EN.CITE &lt;EndNote&gt;&lt;Cite&gt;&lt;Author&gt;Barnett&lt;/Author&gt;&lt;Year&gt;2019&lt;/Year&gt;&lt;RecNum&gt;18&lt;/RecNum&gt;&lt;DisplayText&gt;(Barnett, 2019)&lt;/DisplayText&gt;&lt;record&gt;&lt;rec-number&gt;18&lt;/rec-number&gt;&lt;foreign-keys&gt;&lt;key app="EN" db-id="0r90sxvfhtxxdfev9v0xtpzled5d9x2ee0r5" timestamp="1699473221"&gt;18&lt;/key&gt;&lt;/foreign-keys&gt;&lt;ref-type name="Book"&gt;6&lt;/ref-type&gt;&lt;contributors&gt;&lt;authors&gt;&lt;author&gt;Barnett, Hilaire&lt;/author&gt;&lt;/authors&gt;&lt;/contributors&gt;&lt;titles&gt;&lt;title&gt;Constitutional and administrative law&lt;/title&gt;&lt;/titles&gt;&lt;dates&gt;&lt;year&gt;2019&lt;/year&gt;&lt;/dates&gt;&lt;publisher&gt;Routledge&lt;/publisher&gt;&lt;isbn&gt;0429322682&lt;/isbn&gt;&lt;urls&gt;&lt;/urls&gt;&lt;/record&gt;&lt;/Cite&gt;&lt;/EndNote&gt;</w:instrText>
      </w:r>
      <w:r w:rsidR="00873E9F">
        <w:rPr>
          <w:rFonts w:ascii="Times New Roman" w:hAnsi="Times New Roman" w:cs="Times New Roman"/>
          <w:sz w:val="24"/>
          <w:szCs w:val="24"/>
        </w:rPr>
        <w:fldChar w:fldCharType="separate"/>
      </w:r>
      <w:r w:rsidR="00873E9F">
        <w:rPr>
          <w:rFonts w:ascii="Times New Roman" w:hAnsi="Times New Roman" w:cs="Times New Roman"/>
          <w:noProof/>
          <w:sz w:val="24"/>
          <w:szCs w:val="24"/>
        </w:rPr>
        <w:t>(Barnett, 2019)</w:t>
      </w:r>
      <w:r w:rsidR="00873E9F">
        <w:rPr>
          <w:rFonts w:ascii="Times New Roman" w:hAnsi="Times New Roman" w:cs="Times New Roman"/>
          <w:sz w:val="24"/>
          <w:szCs w:val="24"/>
        </w:rPr>
        <w:fldChar w:fldCharType="end"/>
      </w:r>
      <w:r w:rsidRPr="00D2202B">
        <w:rPr>
          <w:rFonts w:ascii="Times New Roman" w:hAnsi="Times New Roman" w:cs="Times New Roman"/>
          <w:sz w:val="24"/>
          <w:szCs w:val="24"/>
        </w:rPr>
        <w:t>.</w:t>
      </w:r>
    </w:p>
    <w:p w14:paraId="2475CCB0" w14:textId="77777777" w:rsidR="00D2202B" w:rsidRDefault="00D2202B" w:rsidP="009E312B">
      <w:pPr>
        <w:spacing w:after="0" w:line="360" w:lineRule="auto"/>
        <w:ind w:firstLine="720"/>
        <w:jc w:val="both"/>
        <w:rPr>
          <w:rFonts w:ascii="Times New Roman" w:hAnsi="Times New Roman" w:cs="Times New Roman"/>
          <w:sz w:val="24"/>
          <w:szCs w:val="24"/>
        </w:rPr>
      </w:pPr>
      <w:r w:rsidRPr="00D2202B">
        <w:rPr>
          <w:rFonts w:ascii="Times New Roman" w:hAnsi="Times New Roman" w:cs="Times New Roman"/>
          <w:sz w:val="24"/>
          <w:szCs w:val="24"/>
        </w:rPr>
        <w:t>In contemporary times, referendums have emerged as a prevalent approach for addressing substantial constitutional inquiries. This methodology entails actively soliciting the direct involvement of the general public in addressing significant matters that have extensive ramifications for the nation's constitutional structure</w:t>
      </w:r>
      <w:r w:rsidR="00873E9F">
        <w:rPr>
          <w:rFonts w:ascii="Times New Roman" w:hAnsi="Times New Roman" w:cs="Times New Roman"/>
          <w:sz w:val="24"/>
          <w:szCs w:val="24"/>
        </w:rPr>
        <w:t xml:space="preserve"> </w:t>
      </w:r>
      <w:r w:rsidR="00873E9F">
        <w:rPr>
          <w:rFonts w:ascii="Times New Roman" w:hAnsi="Times New Roman" w:cs="Times New Roman"/>
          <w:sz w:val="24"/>
          <w:szCs w:val="24"/>
        </w:rPr>
        <w:fldChar w:fldCharType="begin"/>
      </w:r>
      <w:r w:rsidR="00873E9F">
        <w:rPr>
          <w:rFonts w:ascii="Times New Roman" w:hAnsi="Times New Roman" w:cs="Times New Roman"/>
          <w:sz w:val="24"/>
          <w:szCs w:val="24"/>
        </w:rPr>
        <w:instrText xml:space="preserve"> ADDIN EN.CITE &lt;EndNote&gt;&lt;Cite&gt;&lt;Author&gt;McConalogue&lt;/Author&gt;&lt;Year&gt;2019&lt;/Year&gt;&lt;RecNum&gt;19&lt;/RecNum&gt;&lt;DisplayText&gt;(McConalogue, 2019)&lt;/DisplayText&gt;&lt;record&gt;&lt;rec-number&gt;19&lt;/rec-number&gt;&lt;foreign-keys&gt;&lt;key app="EN" db-id="0r90sxvfhtxxdfev9v0xtpzled5d9x2ee0r5" timestamp="1699473288"&gt;19&lt;/key&gt;&lt;/foreign-keys&gt;&lt;ref-type name="Journal Article"&gt;17&lt;/ref-type&gt;&lt;contributors&gt;&lt;authors&gt;&lt;author&gt;McConalogue, Jim&lt;/author&gt;&lt;/authors&gt;&lt;/contributors&gt;&lt;titles&gt;&lt;title&gt;The British constitution resettled? Parliamentary sovereignty after the EU Referendum&lt;/title&gt;&lt;secondary-title&gt;The British Journal of Politics and International Relations&lt;/secondary-title&gt;&lt;/titles&gt;&lt;periodical&gt;&lt;full-title&gt;The British Journal of Politics and International Relations&lt;/full-title&gt;&lt;/periodical&gt;&lt;pages&gt;439-458&lt;/pages&gt;&lt;volume&gt;21&lt;/volume&gt;&lt;number&gt;2&lt;/number&gt;&lt;dates&gt;&lt;year&gt;2019&lt;/year&gt;&lt;/dates&gt;&lt;isbn&gt;1369-1481&lt;/isbn&gt;&lt;urls&gt;&lt;/urls&gt;&lt;/record&gt;&lt;/Cite&gt;&lt;/EndNote&gt;</w:instrText>
      </w:r>
      <w:r w:rsidR="00873E9F">
        <w:rPr>
          <w:rFonts w:ascii="Times New Roman" w:hAnsi="Times New Roman" w:cs="Times New Roman"/>
          <w:sz w:val="24"/>
          <w:szCs w:val="24"/>
        </w:rPr>
        <w:fldChar w:fldCharType="separate"/>
      </w:r>
      <w:r w:rsidR="00873E9F">
        <w:rPr>
          <w:rFonts w:ascii="Times New Roman" w:hAnsi="Times New Roman" w:cs="Times New Roman"/>
          <w:noProof/>
          <w:sz w:val="24"/>
          <w:szCs w:val="24"/>
        </w:rPr>
        <w:t>(McConalogue, 2019)</w:t>
      </w:r>
      <w:r w:rsidR="00873E9F">
        <w:rPr>
          <w:rFonts w:ascii="Times New Roman" w:hAnsi="Times New Roman" w:cs="Times New Roman"/>
          <w:sz w:val="24"/>
          <w:szCs w:val="24"/>
        </w:rPr>
        <w:fldChar w:fldCharType="end"/>
      </w:r>
      <w:r w:rsidRPr="00D2202B">
        <w:rPr>
          <w:rFonts w:ascii="Times New Roman" w:hAnsi="Times New Roman" w:cs="Times New Roman"/>
          <w:sz w:val="24"/>
          <w:szCs w:val="24"/>
        </w:rPr>
        <w:t>.</w:t>
      </w:r>
      <w:r w:rsidR="00873E9F">
        <w:rPr>
          <w:rFonts w:ascii="Times New Roman" w:hAnsi="Times New Roman" w:cs="Times New Roman"/>
          <w:sz w:val="24"/>
          <w:szCs w:val="24"/>
        </w:rPr>
        <w:t xml:space="preserve"> </w:t>
      </w:r>
      <w:r w:rsidRPr="00D2202B">
        <w:rPr>
          <w:rFonts w:ascii="Times New Roman" w:hAnsi="Times New Roman" w:cs="Times New Roman"/>
          <w:sz w:val="24"/>
          <w:szCs w:val="24"/>
        </w:rPr>
        <w:t xml:space="preserve"> The utilisation of referendums can augment public participation and engagement within the decision-making process, fostering a more inclusive and democratic environment. Finally, a constitutional convention has been established as a platform for deliberating upon and enacting reforms. The proposed convention aims to facilitate the inclusive engagement of experts, politicians, and citizens in the comprehensive evaluation and formulation of recommendations about constitutional amendments. Implementing a collaborative and inclusive approach can significantly influence the trajectory of constitutional reform by ensuring the comprehensive inclusion of various stakeholders' perspectives</w:t>
      </w:r>
      <w:r w:rsidR="00873E9F">
        <w:rPr>
          <w:rFonts w:ascii="Times New Roman" w:hAnsi="Times New Roman" w:cs="Times New Roman"/>
          <w:sz w:val="24"/>
          <w:szCs w:val="24"/>
        </w:rPr>
        <w:t xml:space="preserve"> </w:t>
      </w:r>
      <w:r w:rsidR="00873E9F">
        <w:rPr>
          <w:rFonts w:ascii="Times New Roman" w:hAnsi="Times New Roman" w:cs="Times New Roman"/>
          <w:sz w:val="24"/>
          <w:szCs w:val="24"/>
        </w:rPr>
        <w:fldChar w:fldCharType="begin"/>
      </w:r>
      <w:r w:rsidR="00873E9F">
        <w:rPr>
          <w:rFonts w:ascii="Times New Roman" w:hAnsi="Times New Roman" w:cs="Times New Roman"/>
          <w:sz w:val="24"/>
          <w:szCs w:val="24"/>
        </w:rPr>
        <w:instrText xml:space="preserve"> ADDIN EN.CITE &lt;EndNote&gt;&lt;Cite&gt;&lt;Author&gt;Atkinson&lt;/Author&gt;&lt;Year&gt;2020&lt;/Year&gt;&lt;RecNum&gt;20&lt;/RecNum&gt;&lt;DisplayText&gt;(Atkinson et al., 2020)&lt;/DisplayText&gt;&lt;record&gt;&lt;rec-number&gt;20&lt;/rec-number&gt;&lt;foreign-keys&gt;&lt;key app="EN" db-id="0r90sxvfhtxxdfev9v0xtpzled5d9x2ee0r5" timestamp="1699473391"&gt;20&lt;/key&gt;&lt;/foreign-keys&gt;&lt;ref-type name="Book"&gt;6&lt;/ref-type&gt;&lt;contributors&gt;&lt;authors&gt;&lt;author&gt;Atkinson, Lucy&lt;/author&gt;&lt;author&gt;Blick, Andrew&lt;/author&gt;&lt;author&gt;Qvortrup, Matt&lt;/author&gt;&lt;/authors&gt;&lt;/contributors&gt;&lt;titles&gt;&lt;title&gt;The Referendum in Britain: A History&lt;/title&gt;&lt;/titles&gt;&lt;dates&gt;&lt;year&gt;2020&lt;/year&gt;&lt;/dates&gt;&lt;publisher&gt;Oxford University Press, USA&lt;/publisher&gt;&lt;isbn&gt;0198823614&lt;/isbn&gt;&lt;urls&gt;&lt;/urls&gt;&lt;/record&gt;&lt;/Cite&gt;&lt;/EndNote&gt;</w:instrText>
      </w:r>
      <w:r w:rsidR="00873E9F">
        <w:rPr>
          <w:rFonts w:ascii="Times New Roman" w:hAnsi="Times New Roman" w:cs="Times New Roman"/>
          <w:sz w:val="24"/>
          <w:szCs w:val="24"/>
        </w:rPr>
        <w:fldChar w:fldCharType="separate"/>
      </w:r>
      <w:r w:rsidR="00873E9F">
        <w:rPr>
          <w:rFonts w:ascii="Times New Roman" w:hAnsi="Times New Roman" w:cs="Times New Roman"/>
          <w:noProof/>
          <w:sz w:val="24"/>
          <w:szCs w:val="24"/>
        </w:rPr>
        <w:t>(Atkinson et al., 2020)</w:t>
      </w:r>
      <w:r w:rsidR="00873E9F">
        <w:rPr>
          <w:rFonts w:ascii="Times New Roman" w:hAnsi="Times New Roman" w:cs="Times New Roman"/>
          <w:sz w:val="24"/>
          <w:szCs w:val="24"/>
        </w:rPr>
        <w:fldChar w:fldCharType="end"/>
      </w:r>
      <w:r w:rsidR="00873E9F">
        <w:rPr>
          <w:rFonts w:ascii="Times New Roman" w:hAnsi="Times New Roman" w:cs="Times New Roman"/>
          <w:sz w:val="24"/>
          <w:szCs w:val="24"/>
        </w:rPr>
        <w:t xml:space="preserve">. </w:t>
      </w:r>
      <w:r w:rsidRPr="00D2202B">
        <w:rPr>
          <w:rFonts w:ascii="Times New Roman" w:hAnsi="Times New Roman" w:cs="Times New Roman"/>
          <w:sz w:val="24"/>
          <w:szCs w:val="24"/>
        </w:rPr>
        <w:t xml:space="preserve">The reform proposals presented herein exemplify the ongoing discourse within the United Kingdom about the concept of parliamentary sovereignty, as well as the imperative to strike a harmonious equilibrium between established customs and contemporary democratic principles while also safeguarding individual rights. As the </w:t>
      </w:r>
      <w:r w:rsidRPr="00D2202B">
        <w:rPr>
          <w:rFonts w:ascii="Times New Roman" w:hAnsi="Times New Roman" w:cs="Times New Roman"/>
          <w:sz w:val="24"/>
          <w:szCs w:val="24"/>
        </w:rPr>
        <w:lastRenderedPageBreak/>
        <w:t>nation confronts these matters, it encounters the task of safeguarding its extensive constitutional legacy while accommodating the requisites of the contemporary era</w:t>
      </w:r>
      <w:r w:rsidR="00873E9F">
        <w:rPr>
          <w:rFonts w:ascii="Times New Roman" w:hAnsi="Times New Roman" w:cs="Times New Roman"/>
          <w:sz w:val="24"/>
          <w:szCs w:val="24"/>
        </w:rPr>
        <w:t xml:space="preserve"> </w:t>
      </w:r>
      <w:r w:rsidR="00873E9F">
        <w:rPr>
          <w:rFonts w:ascii="Times New Roman" w:hAnsi="Times New Roman" w:cs="Times New Roman"/>
          <w:sz w:val="24"/>
          <w:szCs w:val="24"/>
        </w:rPr>
        <w:fldChar w:fldCharType="begin"/>
      </w:r>
      <w:r w:rsidR="00873E9F">
        <w:rPr>
          <w:rFonts w:ascii="Times New Roman" w:hAnsi="Times New Roman" w:cs="Times New Roman"/>
          <w:sz w:val="24"/>
          <w:szCs w:val="24"/>
        </w:rPr>
        <w:instrText xml:space="preserve"> ADDIN EN.CITE &lt;EndNote&gt;&lt;Cite&gt;&lt;Author&gt;Barnett&lt;/Author&gt;&lt;Year&gt;2017&lt;/Year&gt;&lt;RecNum&gt;1&lt;/RecNum&gt;&lt;DisplayText&gt;(Barnett and Carty, 2017)&lt;/DisplayText&gt;&lt;record&gt;&lt;rec-number&gt;1&lt;/rec-number&gt;&lt;foreign-keys&gt;&lt;key app="EN" db-id="e59zdatsrtaxe5erwdrx5xdozravw2wr0rws" timestamp="1699473741"&gt;1&lt;/key&gt;&lt;/foreign-keys&gt;&lt;ref-type name="Book"&gt;6&lt;/ref-type&gt;&lt;contributors&gt;&lt;authors&gt;&lt;author&gt;Barnett, Anthony&lt;/author&gt;&lt;author&gt;Carty, Peter&lt;/author&gt;&lt;/authors&gt;&lt;/contributors&gt;&lt;titles&gt;&lt;title&gt;The Athenian option: Radical reform for the House of Lords&lt;/title&gt;&lt;/titles&gt;&lt;volume&gt;5&lt;/volume&gt;&lt;dates&gt;&lt;year&gt;2017&lt;/year&gt;&lt;/dates&gt;&lt;publisher&gt;Andrews UK Limited&lt;/publisher&gt;&lt;isbn&gt;1845406362&lt;/isbn&gt;&lt;urls&gt;&lt;/urls&gt;&lt;/record&gt;&lt;/Cite&gt;&lt;/EndNote&gt;</w:instrText>
      </w:r>
      <w:r w:rsidR="00873E9F">
        <w:rPr>
          <w:rFonts w:ascii="Times New Roman" w:hAnsi="Times New Roman" w:cs="Times New Roman"/>
          <w:sz w:val="24"/>
          <w:szCs w:val="24"/>
        </w:rPr>
        <w:fldChar w:fldCharType="separate"/>
      </w:r>
      <w:r w:rsidR="00873E9F">
        <w:rPr>
          <w:rFonts w:ascii="Times New Roman" w:hAnsi="Times New Roman" w:cs="Times New Roman"/>
          <w:noProof/>
          <w:sz w:val="24"/>
          <w:szCs w:val="24"/>
        </w:rPr>
        <w:t>(Barnett and Carty, 2017)</w:t>
      </w:r>
      <w:r w:rsidR="00873E9F">
        <w:rPr>
          <w:rFonts w:ascii="Times New Roman" w:hAnsi="Times New Roman" w:cs="Times New Roman"/>
          <w:sz w:val="24"/>
          <w:szCs w:val="24"/>
        </w:rPr>
        <w:fldChar w:fldCharType="end"/>
      </w:r>
      <w:r w:rsidR="00502821">
        <w:rPr>
          <w:rFonts w:ascii="Times New Roman" w:hAnsi="Times New Roman" w:cs="Times New Roman"/>
          <w:sz w:val="24"/>
          <w:szCs w:val="24"/>
        </w:rPr>
        <w:t>.</w:t>
      </w:r>
    </w:p>
    <w:p w14:paraId="563A3F86" w14:textId="77777777" w:rsidR="00D2202B" w:rsidRPr="00D2202B" w:rsidRDefault="00D2202B" w:rsidP="009E312B">
      <w:pPr>
        <w:pStyle w:val="Heading1"/>
        <w:spacing w:before="0" w:line="360" w:lineRule="auto"/>
        <w:jc w:val="both"/>
        <w:rPr>
          <w:rFonts w:ascii="Times New Roman" w:hAnsi="Times New Roman" w:cs="Times New Roman"/>
          <w:b/>
          <w:i/>
          <w:color w:val="auto"/>
          <w:sz w:val="24"/>
          <w:szCs w:val="24"/>
        </w:rPr>
      </w:pPr>
      <w:bookmarkStart w:id="2" w:name="_Toc150384833"/>
      <w:r w:rsidRPr="00D2202B">
        <w:rPr>
          <w:rFonts w:ascii="Times New Roman" w:hAnsi="Times New Roman" w:cs="Times New Roman"/>
          <w:b/>
          <w:i/>
          <w:color w:val="auto"/>
          <w:sz w:val="24"/>
          <w:szCs w:val="24"/>
        </w:rPr>
        <w:t>Conclusion</w:t>
      </w:r>
      <w:bookmarkEnd w:id="2"/>
    </w:p>
    <w:p w14:paraId="13A3CB61" w14:textId="736E5CB9" w:rsidR="00D2202B" w:rsidRDefault="00DB5C81" w:rsidP="009E312B">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conclusion, t</w:t>
      </w:r>
      <w:r w:rsidR="00D2202B">
        <w:rPr>
          <w:rFonts w:ascii="Times New Roman" w:hAnsi="Times New Roman" w:cs="Times New Roman"/>
          <w:sz w:val="24"/>
          <w:szCs w:val="24"/>
        </w:rPr>
        <w:t xml:space="preserve">he </w:t>
      </w:r>
      <w:r w:rsidR="00D2202B" w:rsidRPr="00D2202B">
        <w:rPr>
          <w:rFonts w:ascii="Times New Roman" w:hAnsi="Times New Roman" w:cs="Times New Roman"/>
          <w:sz w:val="24"/>
          <w:szCs w:val="24"/>
        </w:rPr>
        <w:t>concept of parliamentary sovereignty holds significant importance in the constitutional framework of the United Kingdom. For centuries, this principle has served as a fundamental cornerstone, exerting a profound influence on the legal and political framework of the nation. Parliament's ultimate authority in law-making has long been a defining characteristic of the U.K.'s constitutional order. Although parliamentary sovereignty continues to be a fundamental concept, its absoluteness is subject to limitations. Parliament's power is subject to limitations imposed by constitutional conventions, principles, and international agreements, which safeguard the rule of law and protect fundamental rights. The concept that a Parliament cannot impose binding obligations on future Parliaments allows adaptability in response to evolving circumstances. However, the concept of parliamentary sovereignty has encountered various challenges and criticisms, leading to debates regarding potential reforms. Proposed reforms encompass the implementation of a codified constitution, an augmented scope for judicial review, establishing a comprehensive Bill of Rights, and reinforcing devolution. These reforms aim to achieve a harmonious equilibrium between upholding the fundamental tenet of parliamentary sovereignty and ensuring the protection of democratic ideals and individual rights.</w:t>
      </w:r>
    </w:p>
    <w:p w14:paraId="0DBDF799" w14:textId="77777777" w:rsidR="00D2202B" w:rsidRDefault="00D2202B" w:rsidP="00D2202B">
      <w:pPr>
        <w:spacing w:line="360" w:lineRule="auto"/>
        <w:jc w:val="both"/>
        <w:rPr>
          <w:rFonts w:ascii="Times New Roman" w:hAnsi="Times New Roman" w:cs="Times New Roman"/>
          <w:sz w:val="24"/>
          <w:szCs w:val="24"/>
        </w:rPr>
      </w:pPr>
    </w:p>
    <w:p w14:paraId="4BD05444" w14:textId="77777777" w:rsidR="00873E9F" w:rsidRDefault="00873E9F" w:rsidP="00873E9F">
      <w:pPr>
        <w:pStyle w:val="EndNoteBibliography"/>
        <w:spacing w:after="0"/>
        <w:ind w:left="720" w:hanging="720"/>
        <w:rPr>
          <w:rFonts w:ascii="Times New Roman" w:hAnsi="Times New Roman" w:cs="Times New Roman"/>
          <w:sz w:val="24"/>
          <w:szCs w:val="24"/>
        </w:rPr>
      </w:pPr>
    </w:p>
    <w:p w14:paraId="123D8A93" w14:textId="77777777" w:rsidR="00873E9F" w:rsidRDefault="00873E9F" w:rsidP="00873E9F">
      <w:pPr>
        <w:pStyle w:val="EndNoteBibliography"/>
        <w:spacing w:after="0"/>
        <w:ind w:left="720" w:hanging="720"/>
        <w:rPr>
          <w:rFonts w:ascii="Times New Roman" w:hAnsi="Times New Roman" w:cs="Times New Roman"/>
          <w:sz w:val="24"/>
          <w:szCs w:val="24"/>
        </w:rPr>
      </w:pPr>
    </w:p>
    <w:p w14:paraId="5DF9E305" w14:textId="77777777" w:rsidR="00873E9F" w:rsidRDefault="00873E9F" w:rsidP="00873E9F">
      <w:pPr>
        <w:pStyle w:val="EndNoteBibliography"/>
        <w:spacing w:after="0"/>
        <w:ind w:left="720" w:hanging="720"/>
        <w:rPr>
          <w:rFonts w:ascii="Times New Roman" w:hAnsi="Times New Roman" w:cs="Times New Roman"/>
          <w:sz w:val="24"/>
          <w:szCs w:val="24"/>
        </w:rPr>
      </w:pPr>
    </w:p>
    <w:p w14:paraId="56872ACE" w14:textId="77777777" w:rsidR="00873E9F" w:rsidRDefault="00873E9F" w:rsidP="00873E9F">
      <w:pPr>
        <w:pStyle w:val="EndNoteBibliography"/>
        <w:spacing w:after="0"/>
        <w:ind w:left="720" w:hanging="720"/>
        <w:rPr>
          <w:rFonts w:ascii="Times New Roman" w:hAnsi="Times New Roman" w:cs="Times New Roman"/>
          <w:sz w:val="24"/>
          <w:szCs w:val="24"/>
        </w:rPr>
      </w:pPr>
    </w:p>
    <w:p w14:paraId="1A820192" w14:textId="77777777" w:rsidR="00873E9F" w:rsidRDefault="00873E9F" w:rsidP="00873E9F">
      <w:pPr>
        <w:pStyle w:val="EndNoteBibliography"/>
        <w:spacing w:after="0"/>
        <w:ind w:left="720" w:hanging="720"/>
        <w:rPr>
          <w:rFonts w:ascii="Times New Roman" w:hAnsi="Times New Roman" w:cs="Times New Roman"/>
          <w:sz w:val="24"/>
          <w:szCs w:val="24"/>
        </w:rPr>
      </w:pPr>
    </w:p>
    <w:p w14:paraId="088304A0" w14:textId="77777777" w:rsidR="00873E9F" w:rsidRDefault="00873E9F" w:rsidP="00873E9F">
      <w:pPr>
        <w:pStyle w:val="EndNoteBibliography"/>
        <w:spacing w:after="0"/>
        <w:ind w:left="720" w:hanging="720"/>
        <w:rPr>
          <w:rFonts w:ascii="Times New Roman" w:hAnsi="Times New Roman" w:cs="Times New Roman"/>
          <w:sz w:val="24"/>
          <w:szCs w:val="24"/>
        </w:rPr>
      </w:pPr>
    </w:p>
    <w:p w14:paraId="255525A6" w14:textId="77777777" w:rsidR="00873E9F" w:rsidRDefault="00873E9F" w:rsidP="00873E9F">
      <w:pPr>
        <w:pStyle w:val="EndNoteBibliography"/>
        <w:spacing w:after="0"/>
        <w:ind w:left="720" w:hanging="720"/>
        <w:rPr>
          <w:rFonts w:ascii="Times New Roman" w:hAnsi="Times New Roman" w:cs="Times New Roman"/>
          <w:sz w:val="24"/>
          <w:szCs w:val="24"/>
        </w:rPr>
      </w:pPr>
    </w:p>
    <w:p w14:paraId="4E921BA2" w14:textId="77777777" w:rsidR="00873E9F" w:rsidRDefault="00873E9F" w:rsidP="00873E9F">
      <w:pPr>
        <w:pStyle w:val="EndNoteBibliography"/>
        <w:spacing w:after="0"/>
        <w:ind w:left="720" w:hanging="720"/>
        <w:rPr>
          <w:rFonts w:ascii="Times New Roman" w:hAnsi="Times New Roman" w:cs="Times New Roman"/>
          <w:sz w:val="24"/>
          <w:szCs w:val="24"/>
        </w:rPr>
      </w:pPr>
    </w:p>
    <w:p w14:paraId="563AF6E2" w14:textId="77777777" w:rsidR="00873E9F" w:rsidRDefault="00873E9F" w:rsidP="00873E9F">
      <w:pPr>
        <w:pStyle w:val="EndNoteBibliography"/>
        <w:spacing w:after="0"/>
        <w:ind w:left="720" w:hanging="720"/>
        <w:rPr>
          <w:rFonts w:ascii="Times New Roman" w:hAnsi="Times New Roman" w:cs="Times New Roman"/>
          <w:sz w:val="24"/>
          <w:szCs w:val="24"/>
        </w:rPr>
      </w:pPr>
    </w:p>
    <w:p w14:paraId="2F1E1E8F" w14:textId="77777777" w:rsidR="00873E9F" w:rsidRDefault="00873E9F" w:rsidP="00873E9F">
      <w:pPr>
        <w:pStyle w:val="EndNoteBibliography"/>
        <w:spacing w:after="0"/>
        <w:ind w:left="720" w:hanging="720"/>
        <w:rPr>
          <w:rFonts w:ascii="Times New Roman" w:hAnsi="Times New Roman" w:cs="Times New Roman"/>
          <w:sz w:val="24"/>
          <w:szCs w:val="24"/>
        </w:rPr>
      </w:pPr>
    </w:p>
    <w:p w14:paraId="3187215A" w14:textId="77777777" w:rsidR="00873E9F" w:rsidRDefault="00873E9F" w:rsidP="00873E9F">
      <w:pPr>
        <w:pStyle w:val="EndNoteBibliography"/>
        <w:spacing w:after="0"/>
        <w:ind w:left="720" w:hanging="720"/>
        <w:rPr>
          <w:rFonts w:ascii="Times New Roman" w:hAnsi="Times New Roman" w:cs="Times New Roman"/>
          <w:sz w:val="24"/>
          <w:szCs w:val="24"/>
        </w:rPr>
      </w:pPr>
    </w:p>
    <w:p w14:paraId="28174586" w14:textId="77777777" w:rsidR="00873E9F" w:rsidRDefault="00873E9F" w:rsidP="00873E9F">
      <w:pPr>
        <w:pStyle w:val="EndNoteBibliography"/>
        <w:spacing w:after="0"/>
        <w:ind w:left="720" w:hanging="720"/>
        <w:rPr>
          <w:rFonts w:ascii="Times New Roman" w:hAnsi="Times New Roman" w:cs="Times New Roman"/>
          <w:sz w:val="24"/>
          <w:szCs w:val="24"/>
        </w:rPr>
      </w:pPr>
    </w:p>
    <w:p w14:paraId="1FD2F8A1" w14:textId="77777777" w:rsidR="009E312B" w:rsidRDefault="009E312B" w:rsidP="00873E9F">
      <w:pPr>
        <w:pStyle w:val="EndNoteBibliography"/>
        <w:spacing w:after="0"/>
        <w:ind w:left="720" w:hanging="720"/>
        <w:rPr>
          <w:rFonts w:ascii="Times New Roman" w:hAnsi="Times New Roman" w:cs="Times New Roman"/>
          <w:sz w:val="24"/>
          <w:szCs w:val="24"/>
        </w:rPr>
      </w:pPr>
    </w:p>
    <w:p w14:paraId="7B98EEE2" w14:textId="77777777" w:rsidR="009E312B" w:rsidRDefault="009E312B" w:rsidP="00873E9F">
      <w:pPr>
        <w:pStyle w:val="EndNoteBibliography"/>
        <w:spacing w:after="0"/>
        <w:ind w:left="720" w:hanging="720"/>
        <w:rPr>
          <w:rFonts w:ascii="Times New Roman" w:hAnsi="Times New Roman" w:cs="Times New Roman"/>
          <w:sz w:val="24"/>
          <w:szCs w:val="24"/>
        </w:rPr>
      </w:pPr>
    </w:p>
    <w:p w14:paraId="35114F5C" w14:textId="77777777" w:rsidR="009E312B" w:rsidRDefault="009E312B" w:rsidP="00873E9F">
      <w:pPr>
        <w:pStyle w:val="EndNoteBibliography"/>
        <w:spacing w:after="0"/>
        <w:ind w:left="720" w:hanging="720"/>
        <w:rPr>
          <w:rFonts w:ascii="Times New Roman" w:hAnsi="Times New Roman" w:cs="Times New Roman"/>
          <w:sz w:val="24"/>
          <w:szCs w:val="24"/>
        </w:rPr>
      </w:pPr>
    </w:p>
    <w:p w14:paraId="741E4E9E" w14:textId="77777777" w:rsidR="009E312B" w:rsidRDefault="009E312B" w:rsidP="00873E9F">
      <w:pPr>
        <w:pStyle w:val="EndNoteBibliography"/>
        <w:spacing w:after="0"/>
        <w:ind w:left="720" w:hanging="720"/>
        <w:rPr>
          <w:rFonts w:ascii="Times New Roman" w:hAnsi="Times New Roman" w:cs="Times New Roman"/>
          <w:sz w:val="24"/>
          <w:szCs w:val="24"/>
        </w:rPr>
      </w:pPr>
    </w:p>
    <w:p w14:paraId="49BAE734" w14:textId="77777777" w:rsidR="009E312B" w:rsidRDefault="009E312B" w:rsidP="00873E9F">
      <w:pPr>
        <w:pStyle w:val="EndNoteBibliography"/>
        <w:spacing w:after="0"/>
        <w:ind w:left="720" w:hanging="720"/>
        <w:rPr>
          <w:rFonts w:ascii="Times New Roman" w:hAnsi="Times New Roman" w:cs="Times New Roman"/>
          <w:sz w:val="24"/>
          <w:szCs w:val="24"/>
        </w:rPr>
      </w:pPr>
    </w:p>
    <w:p w14:paraId="22448DA2" w14:textId="77777777" w:rsidR="00873E9F" w:rsidRPr="000528FE" w:rsidRDefault="000528FE" w:rsidP="000528FE">
      <w:pPr>
        <w:pStyle w:val="Heading1"/>
        <w:rPr>
          <w:rFonts w:ascii="Times New Roman" w:hAnsi="Times New Roman" w:cs="Times New Roman"/>
          <w:b/>
          <w:i/>
          <w:color w:val="auto"/>
          <w:sz w:val="24"/>
          <w:szCs w:val="24"/>
        </w:rPr>
      </w:pPr>
      <w:bookmarkStart w:id="3" w:name="_Toc150384834"/>
      <w:r w:rsidRPr="000528FE">
        <w:rPr>
          <w:rFonts w:ascii="Times New Roman" w:hAnsi="Times New Roman" w:cs="Times New Roman"/>
          <w:b/>
          <w:i/>
          <w:color w:val="auto"/>
          <w:sz w:val="24"/>
          <w:szCs w:val="24"/>
        </w:rPr>
        <w:lastRenderedPageBreak/>
        <w:t>References</w:t>
      </w:r>
      <w:bookmarkEnd w:id="3"/>
    </w:p>
    <w:p w14:paraId="3AFA4E3A" w14:textId="77777777" w:rsidR="00873E9F" w:rsidRPr="000528FE" w:rsidRDefault="00D2202B"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fldChar w:fldCharType="begin"/>
      </w:r>
      <w:r w:rsidRPr="000528FE">
        <w:rPr>
          <w:rFonts w:ascii="Times New Roman" w:hAnsi="Times New Roman" w:cs="Times New Roman"/>
          <w:sz w:val="24"/>
          <w:szCs w:val="24"/>
        </w:rPr>
        <w:instrText xml:space="preserve"> ADDIN EN.REFLIST </w:instrText>
      </w:r>
      <w:r w:rsidRPr="000528FE">
        <w:rPr>
          <w:rFonts w:ascii="Times New Roman" w:hAnsi="Times New Roman" w:cs="Times New Roman"/>
          <w:sz w:val="24"/>
          <w:szCs w:val="24"/>
        </w:rPr>
        <w:fldChar w:fldCharType="separate"/>
      </w:r>
      <w:r w:rsidR="00873E9F" w:rsidRPr="000528FE">
        <w:rPr>
          <w:rFonts w:ascii="Times New Roman" w:hAnsi="Times New Roman" w:cs="Times New Roman"/>
          <w:sz w:val="24"/>
          <w:szCs w:val="24"/>
        </w:rPr>
        <w:t>A</w:t>
      </w:r>
      <w:r w:rsidR="000528FE" w:rsidRPr="000528FE">
        <w:rPr>
          <w:rFonts w:ascii="Times New Roman" w:hAnsi="Times New Roman" w:cs="Times New Roman"/>
          <w:sz w:val="24"/>
          <w:szCs w:val="24"/>
        </w:rPr>
        <w:t>ckerman</w:t>
      </w:r>
      <w:r w:rsidR="00873E9F" w:rsidRPr="000528FE">
        <w:rPr>
          <w:rFonts w:ascii="Times New Roman" w:hAnsi="Times New Roman" w:cs="Times New Roman"/>
          <w:sz w:val="24"/>
          <w:szCs w:val="24"/>
        </w:rPr>
        <w:t xml:space="preserve">, B. A. 2017. The Storrs lectures: Discovering the constitution. </w:t>
      </w:r>
      <w:r w:rsidR="00873E9F" w:rsidRPr="000528FE">
        <w:rPr>
          <w:rFonts w:ascii="Times New Roman" w:hAnsi="Times New Roman" w:cs="Times New Roman"/>
          <w:i/>
          <w:sz w:val="24"/>
          <w:szCs w:val="24"/>
        </w:rPr>
        <w:t>Constitutionalism and Democracy.</w:t>
      </w:r>
      <w:r w:rsidR="00873E9F" w:rsidRPr="000528FE">
        <w:rPr>
          <w:rFonts w:ascii="Times New Roman" w:hAnsi="Times New Roman" w:cs="Times New Roman"/>
          <w:sz w:val="24"/>
          <w:szCs w:val="24"/>
        </w:rPr>
        <w:t xml:space="preserve"> Routledge.</w:t>
      </w:r>
    </w:p>
    <w:p w14:paraId="2F97E0C3" w14:textId="77777777" w:rsidR="00873E9F" w:rsidRPr="000528FE" w:rsidRDefault="000528FE" w:rsidP="000528FE">
      <w:pPr>
        <w:pStyle w:val="EndNoteBibliography"/>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Addison, C. H. L. and</w:t>
      </w:r>
      <w:r w:rsidR="00873E9F" w:rsidRPr="000528FE">
        <w:rPr>
          <w:rFonts w:ascii="Times New Roman" w:hAnsi="Times New Roman" w:cs="Times New Roman"/>
          <w:sz w:val="24"/>
          <w:szCs w:val="24"/>
        </w:rPr>
        <w:t xml:space="preserve"> K</w:t>
      </w:r>
      <w:r w:rsidRPr="000528FE">
        <w:rPr>
          <w:rFonts w:ascii="Times New Roman" w:hAnsi="Times New Roman" w:cs="Times New Roman"/>
          <w:sz w:val="24"/>
          <w:szCs w:val="24"/>
        </w:rPr>
        <w:t>oh</w:t>
      </w:r>
      <w:r w:rsidR="00873E9F" w:rsidRPr="000528FE">
        <w:rPr>
          <w:rFonts w:ascii="Times New Roman" w:hAnsi="Times New Roman" w:cs="Times New Roman"/>
          <w:sz w:val="24"/>
          <w:szCs w:val="24"/>
        </w:rPr>
        <w:t xml:space="preserve">, H. 2017. How is international human rights law enforced? </w:t>
      </w:r>
      <w:r w:rsidR="00873E9F" w:rsidRPr="000528FE">
        <w:rPr>
          <w:rFonts w:ascii="Times New Roman" w:hAnsi="Times New Roman" w:cs="Times New Roman"/>
          <w:i/>
          <w:sz w:val="24"/>
          <w:szCs w:val="24"/>
        </w:rPr>
        <w:t>International Law of Human Rights.</w:t>
      </w:r>
      <w:r w:rsidR="00873E9F" w:rsidRPr="000528FE">
        <w:rPr>
          <w:rFonts w:ascii="Times New Roman" w:hAnsi="Times New Roman" w:cs="Times New Roman"/>
          <w:sz w:val="24"/>
          <w:szCs w:val="24"/>
        </w:rPr>
        <w:t xml:space="preserve"> Routledge.</w:t>
      </w:r>
    </w:p>
    <w:p w14:paraId="70965C93"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A</w:t>
      </w:r>
      <w:r w:rsidR="000528FE" w:rsidRPr="000528FE">
        <w:rPr>
          <w:rFonts w:ascii="Times New Roman" w:hAnsi="Times New Roman" w:cs="Times New Roman"/>
          <w:sz w:val="24"/>
          <w:szCs w:val="24"/>
        </w:rPr>
        <w:t>nkut</w:t>
      </w:r>
      <w:r w:rsidRPr="000528FE">
        <w:rPr>
          <w:rFonts w:ascii="Times New Roman" w:hAnsi="Times New Roman" w:cs="Times New Roman"/>
          <w:sz w:val="24"/>
          <w:szCs w:val="24"/>
        </w:rPr>
        <w:t xml:space="preserve">, P. Y. 2019. The role of constitution-building processes in democratization. </w:t>
      </w:r>
      <w:r w:rsidRPr="000528FE">
        <w:rPr>
          <w:rFonts w:ascii="Times New Roman" w:hAnsi="Times New Roman" w:cs="Times New Roman"/>
          <w:i/>
          <w:sz w:val="24"/>
          <w:szCs w:val="24"/>
        </w:rPr>
        <w:t>International Institute for Democracy and Electoral Assistance. Accessed September</w:t>
      </w:r>
      <w:r w:rsidRPr="000528FE">
        <w:rPr>
          <w:rFonts w:ascii="Times New Roman" w:hAnsi="Times New Roman" w:cs="Times New Roman"/>
          <w:sz w:val="24"/>
          <w:szCs w:val="24"/>
        </w:rPr>
        <w:t>.</w:t>
      </w:r>
    </w:p>
    <w:p w14:paraId="536A5508" w14:textId="77777777" w:rsidR="00873E9F" w:rsidRPr="000528FE" w:rsidRDefault="000528FE" w:rsidP="000528FE">
      <w:pPr>
        <w:pStyle w:val="EndNoteBibliography"/>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Atkinson, L., Blick, A. and</w:t>
      </w:r>
      <w:r w:rsidR="00873E9F" w:rsidRPr="000528FE">
        <w:rPr>
          <w:rFonts w:ascii="Times New Roman" w:hAnsi="Times New Roman" w:cs="Times New Roman"/>
          <w:sz w:val="24"/>
          <w:szCs w:val="24"/>
        </w:rPr>
        <w:t xml:space="preserve"> Q</w:t>
      </w:r>
      <w:r w:rsidRPr="000528FE">
        <w:rPr>
          <w:rFonts w:ascii="Times New Roman" w:hAnsi="Times New Roman" w:cs="Times New Roman"/>
          <w:sz w:val="24"/>
          <w:szCs w:val="24"/>
        </w:rPr>
        <w:t>vortrup</w:t>
      </w:r>
      <w:r w:rsidR="00873E9F" w:rsidRPr="000528FE">
        <w:rPr>
          <w:rFonts w:ascii="Times New Roman" w:hAnsi="Times New Roman" w:cs="Times New Roman"/>
          <w:sz w:val="24"/>
          <w:szCs w:val="24"/>
        </w:rPr>
        <w:t xml:space="preserve">, M. 2020. </w:t>
      </w:r>
      <w:r w:rsidR="00873E9F" w:rsidRPr="000528FE">
        <w:rPr>
          <w:rFonts w:ascii="Times New Roman" w:hAnsi="Times New Roman" w:cs="Times New Roman"/>
          <w:i/>
          <w:sz w:val="24"/>
          <w:szCs w:val="24"/>
        </w:rPr>
        <w:t>The Referendum in Britain: A History</w:t>
      </w:r>
      <w:r w:rsidR="00873E9F" w:rsidRPr="000528FE">
        <w:rPr>
          <w:rFonts w:ascii="Times New Roman" w:hAnsi="Times New Roman" w:cs="Times New Roman"/>
          <w:sz w:val="24"/>
          <w:szCs w:val="24"/>
        </w:rPr>
        <w:t>, Oxford University Press, USA.</w:t>
      </w:r>
    </w:p>
    <w:p w14:paraId="314D07D2"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B</w:t>
      </w:r>
      <w:r w:rsidR="000528FE" w:rsidRPr="000528FE">
        <w:rPr>
          <w:rFonts w:ascii="Times New Roman" w:hAnsi="Times New Roman" w:cs="Times New Roman"/>
          <w:sz w:val="24"/>
          <w:szCs w:val="24"/>
        </w:rPr>
        <w:t>arnett</w:t>
      </w:r>
      <w:r w:rsidR="000528FE">
        <w:rPr>
          <w:rFonts w:ascii="Times New Roman" w:hAnsi="Times New Roman" w:cs="Times New Roman"/>
          <w:sz w:val="24"/>
          <w:szCs w:val="24"/>
        </w:rPr>
        <w:t>, A. and</w:t>
      </w:r>
      <w:r w:rsidRPr="000528FE">
        <w:rPr>
          <w:rFonts w:ascii="Times New Roman" w:hAnsi="Times New Roman" w:cs="Times New Roman"/>
          <w:sz w:val="24"/>
          <w:szCs w:val="24"/>
        </w:rPr>
        <w:t xml:space="preserve"> C</w:t>
      </w:r>
      <w:r w:rsidR="000528FE" w:rsidRPr="000528FE">
        <w:rPr>
          <w:rFonts w:ascii="Times New Roman" w:hAnsi="Times New Roman" w:cs="Times New Roman"/>
          <w:sz w:val="24"/>
          <w:szCs w:val="24"/>
        </w:rPr>
        <w:t>arty</w:t>
      </w:r>
      <w:r w:rsidRPr="000528FE">
        <w:rPr>
          <w:rFonts w:ascii="Times New Roman" w:hAnsi="Times New Roman" w:cs="Times New Roman"/>
          <w:sz w:val="24"/>
          <w:szCs w:val="24"/>
        </w:rPr>
        <w:t xml:space="preserve">, P. 2017. </w:t>
      </w:r>
      <w:r w:rsidRPr="000528FE">
        <w:rPr>
          <w:rFonts w:ascii="Times New Roman" w:hAnsi="Times New Roman" w:cs="Times New Roman"/>
          <w:i/>
          <w:sz w:val="24"/>
          <w:szCs w:val="24"/>
        </w:rPr>
        <w:t>The Athenian option: Radical reform for the House of Lords</w:t>
      </w:r>
      <w:r w:rsidRPr="000528FE">
        <w:rPr>
          <w:rFonts w:ascii="Times New Roman" w:hAnsi="Times New Roman" w:cs="Times New Roman"/>
          <w:sz w:val="24"/>
          <w:szCs w:val="24"/>
        </w:rPr>
        <w:t>, Andrews UK Limited.</w:t>
      </w:r>
    </w:p>
    <w:p w14:paraId="7331DD0D"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B</w:t>
      </w:r>
      <w:r w:rsidR="000528FE" w:rsidRPr="000528FE">
        <w:rPr>
          <w:rFonts w:ascii="Times New Roman" w:hAnsi="Times New Roman" w:cs="Times New Roman"/>
          <w:sz w:val="24"/>
          <w:szCs w:val="24"/>
        </w:rPr>
        <w:t>arnett</w:t>
      </w:r>
      <w:r w:rsidRPr="000528FE">
        <w:rPr>
          <w:rFonts w:ascii="Times New Roman" w:hAnsi="Times New Roman" w:cs="Times New Roman"/>
          <w:sz w:val="24"/>
          <w:szCs w:val="24"/>
        </w:rPr>
        <w:t xml:space="preserve">, H. 2019. </w:t>
      </w:r>
      <w:r w:rsidRPr="000528FE">
        <w:rPr>
          <w:rFonts w:ascii="Times New Roman" w:hAnsi="Times New Roman" w:cs="Times New Roman"/>
          <w:i/>
          <w:sz w:val="24"/>
          <w:szCs w:val="24"/>
        </w:rPr>
        <w:t>Constitutional and administrative law</w:t>
      </w:r>
      <w:r w:rsidRPr="000528FE">
        <w:rPr>
          <w:rFonts w:ascii="Times New Roman" w:hAnsi="Times New Roman" w:cs="Times New Roman"/>
          <w:sz w:val="24"/>
          <w:szCs w:val="24"/>
        </w:rPr>
        <w:t>, Routledge.</w:t>
      </w:r>
    </w:p>
    <w:p w14:paraId="5AFA2CCA"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C</w:t>
      </w:r>
      <w:r w:rsidR="000528FE" w:rsidRPr="000528FE">
        <w:rPr>
          <w:rFonts w:ascii="Times New Roman" w:hAnsi="Times New Roman" w:cs="Times New Roman"/>
          <w:sz w:val="24"/>
          <w:szCs w:val="24"/>
        </w:rPr>
        <w:t>ourant</w:t>
      </w:r>
      <w:r w:rsidRPr="000528FE">
        <w:rPr>
          <w:rFonts w:ascii="Times New Roman" w:hAnsi="Times New Roman" w:cs="Times New Roman"/>
          <w:sz w:val="24"/>
          <w:szCs w:val="24"/>
        </w:rPr>
        <w:t xml:space="preserve">, D. 2021. Citizens' Assemblies for Referendums and Constitutional Reforms: Is There an “Irish Model” for Deliberative Democracy? </w:t>
      </w:r>
      <w:r w:rsidRPr="000528FE">
        <w:rPr>
          <w:rFonts w:ascii="Times New Roman" w:hAnsi="Times New Roman" w:cs="Times New Roman"/>
          <w:i/>
          <w:sz w:val="24"/>
          <w:szCs w:val="24"/>
        </w:rPr>
        <w:t>Frontiers in Political Science,</w:t>
      </w:r>
      <w:r w:rsidRPr="000528FE">
        <w:rPr>
          <w:rFonts w:ascii="Times New Roman" w:hAnsi="Times New Roman" w:cs="Times New Roman"/>
          <w:sz w:val="24"/>
          <w:szCs w:val="24"/>
        </w:rPr>
        <w:t xml:space="preserve"> 2</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591983.</w:t>
      </w:r>
    </w:p>
    <w:p w14:paraId="4A951EF8"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D</w:t>
      </w:r>
      <w:r w:rsidR="000528FE" w:rsidRPr="000528FE">
        <w:rPr>
          <w:rFonts w:ascii="Times New Roman" w:hAnsi="Times New Roman" w:cs="Times New Roman"/>
          <w:sz w:val="24"/>
          <w:szCs w:val="24"/>
        </w:rPr>
        <w:t>avies</w:t>
      </w:r>
      <w:r w:rsidR="000528FE">
        <w:rPr>
          <w:rFonts w:ascii="Times New Roman" w:hAnsi="Times New Roman" w:cs="Times New Roman"/>
          <w:sz w:val="24"/>
          <w:szCs w:val="24"/>
        </w:rPr>
        <w:t>, G. and</w:t>
      </w:r>
      <w:r w:rsidRPr="000528FE">
        <w:rPr>
          <w:rFonts w:ascii="Times New Roman" w:hAnsi="Times New Roman" w:cs="Times New Roman"/>
          <w:sz w:val="24"/>
          <w:szCs w:val="24"/>
        </w:rPr>
        <w:t xml:space="preserve"> W</w:t>
      </w:r>
      <w:r w:rsidR="000528FE" w:rsidRPr="000528FE">
        <w:rPr>
          <w:rFonts w:ascii="Times New Roman" w:hAnsi="Times New Roman" w:cs="Times New Roman"/>
          <w:sz w:val="24"/>
          <w:szCs w:val="24"/>
        </w:rPr>
        <w:t>incott</w:t>
      </w:r>
      <w:r w:rsidRPr="000528FE">
        <w:rPr>
          <w:rFonts w:ascii="Times New Roman" w:hAnsi="Times New Roman" w:cs="Times New Roman"/>
          <w:sz w:val="24"/>
          <w:szCs w:val="24"/>
        </w:rPr>
        <w:t xml:space="preserve">, D. 2023. Ripening time? The Welsh Labour government between Brexit and parliamentary sovereignty. </w:t>
      </w:r>
      <w:r w:rsidRPr="000528FE">
        <w:rPr>
          <w:rFonts w:ascii="Times New Roman" w:hAnsi="Times New Roman" w:cs="Times New Roman"/>
          <w:i/>
          <w:sz w:val="24"/>
          <w:szCs w:val="24"/>
        </w:rPr>
        <w:t>The British Journal of Politics and International Relations,</w:t>
      </w:r>
      <w:r w:rsidRPr="000528FE">
        <w:rPr>
          <w:rFonts w:ascii="Times New Roman" w:hAnsi="Times New Roman" w:cs="Times New Roman"/>
          <w:sz w:val="24"/>
          <w:szCs w:val="24"/>
        </w:rPr>
        <w:t xml:space="preserve"> 25</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462-479.</w:t>
      </w:r>
    </w:p>
    <w:p w14:paraId="55D1E4E9"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K</w:t>
      </w:r>
      <w:r w:rsidR="000528FE" w:rsidRPr="000528FE">
        <w:rPr>
          <w:rFonts w:ascii="Times New Roman" w:hAnsi="Times New Roman" w:cs="Times New Roman"/>
          <w:sz w:val="24"/>
          <w:szCs w:val="24"/>
        </w:rPr>
        <w:t>eating</w:t>
      </w:r>
      <w:r w:rsidRPr="000528FE">
        <w:rPr>
          <w:rFonts w:ascii="Times New Roman" w:hAnsi="Times New Roman" w:cs="Times New Roman"/>
          <w:sz w:val="24"/>
          <w:szCs w:val="24"/>
        </w:rPr>
        <w:t xml:space="preserve">, M. 2018. Brexit and the territorial constitution of the United Kingdom. </w:t>
      </w:r>
      <w:r w:rsidRPr="000528FE">
        <w:rPr>
          <w:rFonts w:ascii="Times New Roman" w:hAnsi="Times New Roman" w:cs="Times New Roman"/>
          <w:i/>
          <w:sz w:val="24"/>
          <w:szCs w:val="24"/>
        </w:rPr>
        <w:t>Droit et société,</w:t>
      </w:r>
      <w:r w:rsidRPr="000528FE">
        <w:rPr>
          <w:rFonts w:ascii="Times New Roman" w:hAnsi="Times New Roman" w:cs="Times New Roman"/>
          <w:sz w:val="24"/>
          <w:szCs w:val="24"/>
        </w:rPr>
        <w:t xml:space="preserve"> 98</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53-69.</w:t>
      </w:r>
    </w:p>
    <w:p w14:paraId="7047B029"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L</w:t>
      </w:r>
      <w:r w:rsidR="000528FE" w:rsidRPr="000528FE">
        <w:rPr>
          <w:rFonts w:ascii="Times New Roman" w:hAnsi="Times New Roman" w:cs="Times New Roman"/>
          <w:sz w:val="24"/>
          <w:szCs w:val="24"/>
        </w:rPr>
        <w:t>oughlin</w:t>
      </w:r>
      <w:r w:rsidRPr="000528FE">
        <w:rPr>
          <w:rFonts w:ascii="Times New Roman" w:hAnsi="Times New Roman" w:cs="Times New Roman"/>
          <w:sz w:val="24"/>
          <w:szCs w:val="24"/>
        </w:rPr>
        <w:t>, M. &amp; T</w:t>
      </w:r>
      <w:r w:rsidR="000528FE" w:rsidRPr="000528FE">
        <w:rPr>
          <w:rFonts w:ascii="Times New Roman" w:hAnsi="Times New Roman" w:cs="Times New Roman"/>
          <w:sz w:val="24"/>
          <w:szCs w:val="24"/>
        </w:rPr>
        <w:t>ierney</w:t>
      </w:r>
      <w:r w:rsidRPr="000528FE">
        <w:rPr>
          <w:rFonts w:ascii="Times New Roman" w:hAnsi="Times New Roman" w:cs="Times New Roman"/>
          <w:sz w:val="24"/>
          <w:szCs w:val="24"/>
        </w:rPr>
        <w:t xml:space="preserve">, S. 2018. The shibboleth of sovereignty. </w:t>
      </w:r>
      <w:r w:rsidRPr="000528FE">
        <w:rPr>
          <w:rFonts w:ascii="Times New Roman" w:hAnsi="Times New Roman" w:cs="Times New Roman"/>
          <w:i/>
          <w:sz w:val="24"/>
          <w:szCs w:val="24"/>
        </w:rPr>
        <w:t>The Modern Law Review,</w:t>
      </w:r>
      <w:r w:rsidRPr="000528FE">
        <w:rPr>
          <w:rFonts w:ascii="Times New Roman" w:hAnsi="Times New Roman" w:cs="Times New Roman"/>
          <w:sz w:val="24"/>
          <w:szCs w:val="24"/>
        </w:rPr>
        <w:t xml:space="preserve"> 81</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989-1016.</w:t>
      </w:r>
    </w:p>
    <w:p w14:paraId="093DF5DB"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M</w:t>
      </w:r>
      <w:r w:rsidR="000528FE" w:rsidRPr="000528FE">
        <w:rPr>
          <w:rFonts w:ascii="Times New Roman" w:hAnsi="Times New Roman" w:cs="Times New Roman"/>
          <w:sz w:val="24"/>
          <w:szCs w:val="24"/>
        </w:rPr>
        <w:t>accormick</w:t>
      </w:r>
      <w:r w:rsidRPr="000528FE">
        <w:rPr>
          <w:rFonts w:ascii="Times New Roman" w:hAnsi="Times New Roman" w:cs="Times New Roman"/>
          <w:sz w:val="24"/>
          <w:szCs w:val="24"/>
        </w:rPr>
        <w:t xml:space="preserve">, N. 2018. Beyond the sovereign state. </w:t>
      </w:r>
      <w:r w:rsidRPr="000528FE">
        <w:rPr>
          <w:rFonts w:ascii="Times New Roman" w:hAnsi="Times New Roman" w:cs="Times New Roman"/>
          <w:i/>
          <w:sz w:val="24"/>
          <w:szCs w:val="24"/>
        </w:rPr>
        <w:t>Relocating Sovereignty.</w:t>
      </w:r>
      <w:r w:rsidRPr="000528FE">
        <w:rPr>
          <w:rFonts w:ascii="Times New Roman" w:hAnsi="Times New Roman" w:cs="Times New Roman"/>
          <w:sz w:val="24"/>
          <w:szCs w:val="24"/>
        </w:rPr>
        <w:t xml:space="preserve"> Routledge.</w:t>
      </w:r>
    </w:p>
    <w:p w14:paraId="290D87D6"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M</w:t>
      </w:r>
      <w:r w:rsidR="000528FE" w:rsidRPr="000528FE">
        <w:rPr>
          <w:rFonts w:ascii="Times New Roman" w:hAnsi="Times New Roman" w:cs="Times New Roman"/>
          <w:sz w:val="24"/>
          <w:szCs w:val="24"/>
        </w:rPr>
        <w:t>atthews</w:t>
      </w:r>
      <w:r w:rsidRPr="000528FE">
        <w:rPr>
          <w:rFonts w:ascii="Times New Roman" w:hAnsi="Times New Roman" w:cs="Times New Roman"/>
          <w:sz w:val="24"/>
          <w:szCs w:val="24"/>
        </w:rPr>
        <w:t xml:space="preserve">, F. 2017. Whose mandate is it anyway? Brexit, the constitution and the contestation of authority. </w:t>
      </w:r>
      <w:r w:rsidRPr="000528FE">
        <w:rPr>
          <w:rFonts w:ascii="Times New Roman" w:hAnsi="Times New Roman" w:cs="Times New Roman"/>
          <w:i/>
          <w:sz w:val="24"/>
          <w:szCs w:val="24"/>
        </w:rPr>
        <w:t>The Political Quarterly,</w:t>
      </w:r>
      <w:r w:rsidRPr="000528FE">
        <w:rPr>
          <w:rFonts w:ascii="Times New Roman" w:hAnsi="Times New Roman" w:cs="Times New Roman"/>
          <w:sz w:val="24"/>
          <w:szCs w:val="24"/>
        </w:rPr>
        <w:t xml:space="preserve"> 88</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603-611.</w:t>
      </w:r>
    </w:p>
    <w:p w14:paraId="0720D5D7"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M</w:t>
      </w:r>
      <w:r w:rsidR="000528FE" w:rsidRPr="000528FE">
        <w:rPr>
          <w:rFonts w:ascii="Times New Roman" w:hAnsi="Times New Roman" w:cs="Times New Roman"/>
          <w:sz w:val="24"/>
          <w:szCs w:val="24"/>
        </w:rPr>
        <w:t>cconalogue</w:t>
      </w:r>
      <w:r w:rsidRPr="000528FE">
        <w:rPr>
          <w:rFonts w:ascii="Times New Roman" w:hAnsi="Times New Roman" w:cs="Times New Roman"/>
          <w:sz w:val="24"/>
          <w:szCs w:val="24"/>
        </w:rPr>
        <w:t xml:space="preserve">, J. 2019. The British constitution resettled? Parliamentary sovereignty after the EU Referendum. </w:t>
      </w:r>
      <w:r w:rsidRPr="000528FE">
        <w:rPr>
          <w:rFonts w:ascii="Times New Roman" w:hAnsi="Times New Roman" w:cs="Times New Roman"/>
          <w:i/>
          <w:sz w:val="24"/>
          <w:szCs w:val="24"/>
        </w:rPr>
        <w:t>The British Journal of Politics and International Relations,</w:t>
      </w:r>
      <w:r w:rsidRPr="000528FE">
        <w:rPr>
          <w:rFonts w:ascii="Times New Roman" w:hAnsi="Times New Roman" w:cs="Times New Roman"/>
          <w:sz w:val="24"/>
          <w:szCs w:val="24"/>
        </w:rPr>
        <w:t xml:space="preserve"> 21</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439-458.</w:t>
      </w:r>
    </w:p>
    <w:p w14:paraId="11B85C52"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M</w:t>
      </w:r>
      <w:r w:rsidR="000528FE" w:rsidRPr="000528FE">
        <w:rPr>
          <w:rFonts w:ascii="Times New Roman" w:hAnsi="Times New Roman" w:cs="Times New Roman"/>
          <w:sz w:val="24"/>
          <w:szCs w:val="24"/>
        </w:rPr>
        <w:t>ckee</w:t>
      </w:r>
      <w:r w:rsidRPr="000528FE">
        <w:rPr>
          <w:rFonts w:ascii="Times New Roman" w:hAnsi="Times New Roman" w:cs="Times New Roman"/>
          <w:sz w:val="24"/>
          <w:szCs w:val="24"/>
        </w:rPr>
        <w:t>, K., M</w:t>
      </w:r>
      <w:r w:rsidR="000528FE" w:rsidRPr="000528FE">
        <w:rPr>
          <w:rFonts w:ascii="Times New Roman" w:hAnsi="Times New Roman" w:cs="Times New Roman"/>
          <w:sz w:val="24"/>
          <w:szCs w:val="24"/>
        </w:rPr>
        <w:t>uir</w:t>
      </w:r>
      <w:r w:rsidR="000528FE">
        <w:rPr>
          <w:rFonts w:ascii="Times New Roman" w:hAnsi="Times New Roman" w:cs="Times New Roman"/>
          <w:sz w:val="24"/>
          <w:szCs w:val="24"/>
        </w:rPr>
        <w:t>, J. and</w:t>
      </w:r>
      <w:r w:rsidRPr="000528FE">
        <w:rPr>
          <w:rFonts w:ascii="Times New Roman" w:hAnsi="Times New Roman" w:cs="Times New Roman"/>
          <w:sz w:val="24"/>
          <w:szCs w:val="24"/>
        </w:rPr>
        <w:t xml:space="preserve"> M</w:t>
      </w:r>
      <w:r w:rsidR="000528FE" w:rsidRPr="000528FE">
        <w:rPr>
          <w:rFonts w:ascii="Times New Roman" w:hAnsi="Times New Roman" w:cs="Times New Roman"/>
          <w:sz w:val="24"/>
          <w:szCs w:val="24"/>
        </w:rPr>
        <w:t>oore</w:t>
      </w:r>
      <w:r w:rsidRPr="000528FE">
        <w:rPr>
          <w:rFonts w:ascii="Times New Roman" w:hAnsi="Times New Roman" w:cs="Times New Roman"/>
          <w:sz w:val="24"/>
          <w:szCs w:val="24"/>
        </w:rPr>
        <w:t xml:space="preserve">, T. 2017. Housing policy in the UK: the importance of spatial nuance. </w:t>
      </w:r>
      <w:r w:rsidRPr="000528FE">
        <w:rPr>
          <w:rFonts w:ascii="Times New Roman" w:hAnsi="Times New Roman" w:cs="Times New Roman"/>
          <w:i/>
          <w:sz w:val="24"/>
          <w:szCs w:val="24"/>
        </w:rPr>
        <w:t>Housing Studies,</w:t>
      </w:r>
      <w:r w:rsidRPr="000528FE">
        <w:rPr>
          <w:rFonts w:ascii="Times New Roman" w:hAnsi="Times New Roman" w:cs="Times New Roman"/>
          <w:sz w:val="24"/>
          <w:szCs w:val="24"/>
        </w:rPr>
        <w:t xml:space="preserve"> 32</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60-72.</w:t>
      </w:r>
    </w:p>
    <w:p w14:paraId="68BA66A4"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M</w:t>
      </w:r>
      <w:r w:rsidR="000528FE" w:rsidRPr="000528FE">
        <w:rPr>
          <w:rFonts w:ascii="Times New Roman" w:hAnsi="Times New Roman" w:cs="Times New Roman"/>
          <w:sz w:val="24"/>
          <w:szCs w:val="24"/>
        </w:rPr>
        <w:t>urkens,</w:t>
      </w:r>
      <w:r w:rsidRPr="000528FE">
        <w:rPr>
          <w:rFonts w:ascii="Times New Roman" w:hAnsi="Times New Roman" w:cs="Times New Roman"/>
          <w:sz w:val="24"/>
          <w:szCs w:val="24"/>
        </w:rPr>
        <w:t xml:space="preserve"> J. E. K. 2021. A written constitution: a case not made. </w:t>
      </w:r>
      <w:r w:rsidRPr="000528FE">
        <w:rPr>
          <w:rFonts w:ascii="Times New Roman" w:hAnsi="Times New Roman" w:cs="Times New Roman"/>
          <w:i/>
          <w:sz w:val="24"/>
          <w:szCs w:val="24"/>
        </w:rPr>
        <w:t>Oxford Journal of Legal Studies,</w:t>
      </w:r>
      <w:r w:rsidRPr="000528FE">
        <w:rPr>
          <w:rFonts w:ascii="Times New Roman" w:hAnsi="Times New Roman" w:cs="Times New Roman"/>
          <w:sz w:val="24"/>
          <w:szCs w:val="24"/>
        </w:rPr>
        <w:t xml:space="preserve"> 41</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965-986.</w:t>
      </w:r>
    </w:p>
    <w:p w14:paraId="52008BE7"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lastRenderedPageBreak/>
        <w:t xml:space="preserve">PSYGKAS, A. 2020. The United Kingdom’s Statutory Constitution. </w:t>
      </w:r>
      <w:r w:rsidRPr="000528FE">
        <w:rPr>
          <w:rFonts w:ascii="Times New Roman" w:hAnsi="Times New Roman" w:cs="Times New Roman"/>
          <w:i/>
          <w:sz w:val="24"/>
          <w:szCs w:val="24"/>
        </w:rPr>
        <w:t>Oxford Journal of Legal Studies,</w:t>
      </w:r>
      <w:r w:rsidRPr="000528FE">
        <w:rPr>
          <w:rFonts w:ascii="Times New Roman" w:hAnsi="Times New Roman" w:cs="Times New Roman"/>
          <w:sz w:val="24"/>
          <w:szCs w:val="24"/>
        </w:rPr>
        <w:t xml:space="preserve"> 40</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449-481.</w:t>
      </w:r>
    </w:p>
    <w:p w14:paraId="7A03ED17"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 xml:space="preserve">RAWLINGS, R. 2022. Wales and the United Kingdom: a territorial constitutional policy drive. </w:t>
      </w:r>
      <w:r w:rsidRPr="000528FE">
        <w:rPr>
          <w:rFonts w:ascii="Times New Roman" w:hAnsi="Times New Roman" w:cs="Times New Roman"/>
          <w:i/>
          <w:sz w:val="24"/>
          <w:szCs w:val="24"/>
        </w:rPr>
        <w:t>Territory, Politics, Governance,</w:t>
      </w:r>
      <w:r w:rsidRPr="000528FE">
        <w:rPr>
          <w:rFonts w:ascii="Times New Roman" w:hAnsi="Times New Roman" w:cs="Times New Roman"/>
          <w:sz w:val="24"/>
          <w:szCs w:val="24"/>
        </w:rPr>
        <w:t xml:space="preserve"> 10</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714-732.</w:t>
      </w:r>
    </w:p>
    <w:p w14:paraId="03AB72D6"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 xml:space="preserve">ROMEO, G. 2020. The Conceptualization of Constitutional Supremacy: Global Discourse and Legal Tradition. </w:t>
      </w:r>
      <w:r w:rsidRPr="000528FE">
        <w:rPr>
          <w:rFonts w:ascii="Times New Roman" w:hAnsi="Times New Roman" w:cs="Times New Roman"/>
          <w:i/>
          <w:sz w:val="24"/>
          <w:szCs w:val="24"/>
        </w:rPr>
        <w:t>German Law Journal,</w:t>
      </w:r>
      <w:r w:rsidRPr="000528FE">
        <w:rPr>
          <w:rFonts w:ascii="Times New Roman" w:hAnsi="Times New Roman" w:cs="Times New Roman"/>
          <w:sz w:val="24"/>
          <w:szCs w:val="24"/>
        </w:rPr>
        <w:t xml:space="preserve"> 21</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904-923.</w:t>
      </w:r>
    </w:p>
    <w:p w14:paraId="6361295F" w14:textId="77777777" w:rsidR="00873E9F" w:rsidRPr="000528FE" w:rsidRDefault="00873E9F" w:rsidP="000528FE">
      <w:pPr>
        <w:pStyle w:val="EndNoteBibliography"/>
        <w:spacing w:after="0"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 xml:space="preserve">SCHMIDT, S. K. 2021. No match made in heaven. Parliamentary sovereignty, EU over-constitutionalization and Brexit. </w:t>
      </w:r>
      <w:r w:rsidRPr="000528FE">
        <w:rPr>
          <w:rFonts w:ascii="Times New Roman" w:hAnsi="Times New Roman" w:cs="Times New Roman"/>
          <w:i/>
          <w:sz w:val="24"/>
          <w:szCs w:val="24"/>
        </w:rPr>
        <w:t>The Brexit Policy Fiasco.</w:t>
      </w:r>
      <w:r w:rsidRPr="000528FE">
        <w:rPr>
          <w:rFonts w:ascii="Times New Roman" w:hAnsi="Times New Roman" w:cs="Times New Roman"/>
          <w:sz w:val="24"/>
          <w:szCs w:val="24"/>
        </w:rPr>
        <w:t xml:space="preserve"> Routledge.</w:t>
      </w:r>
    </w:p>
    <w:p w14:paraId="217D131B" w14:textId="77777777" w:rsidR="00873E9F" w:rsidRPr="000528FE" w:rsidRDefault="00873E9F" w:rsidP="000528FE">
      <w:pPr>
        <w:pStyle w:val="EndNoteBibliography"/>
        <w:spacing w:line="360" w:lineRule="auto"/>
        <w:ind w:left="720" w:hanging="720"/>
        <w:rPr>
          <w:rFonts w:ascii="Times New Roman" w:hAnsi="Times New Roman" w:cs="Times New Roman"/>
          <w:sz w:val="24"/>
          <w:szCs w:val="24"/>
        </w:rPr>
      </w:pPr>
      <w:r w:rsidRPr="000528FE">
        <w:rPr>
          <w:rFonts w:ascii="Times New Roman" w:hAnsi="Times New Roman" w:cs="Times New Roman"/>
          <w:sz w:val="24"/>
          <w:szCs w:val="24"/>
        </w:rPr>
        <w:t xml:space="preserve">YOUNG, A. L., BIRKINSHAW, P., MITSILEGAS, V. &amp; CHRISTOU, T. A. 2019. Europe’s Gift to the United Kingdom’s Unwritten Constitution–Juridification. </w:t>
      </w:r>
      <w:r w:rsidRPr="000528FE">
        <w:rPr>
          <w:rFonts w:ascii="Times New Roman" w:hAnsi="Times New Roman" w:cs="Times New Roman"/>
          <w:i/>
          <w:sz w:val="24"/>
          <w:szCs w:val="24"/>
        </w:rPr>
        <w:t>National constitutions in European and global governance: Democracy, rights, the rule of law</w:t>
      </w:r>
      <w:r w:rsidRPr="000528FE">
        <w:rPr>
          <w:rFonts w:ascii="Times New Roman" w:hAnsi="Times New Roman" w:cs="Times New Roman"/>
          <w:b/>
          <w:sz w:val="24"/>
          <w:szCs w:val="24"/>
        </w:rPr>
        <w:t>,</w:t>
      </w:r>
      <w:r w:rsidRPr="000528FE">
        <w:rPr>
          <w:rFonts w:ascii="Times New Roman" w:hAnsi="Times New Roman" w:cs="Times New Roman"/>
          <w:sz w:val="24"/>
          <w:szCs w:val="24"/>
        </w:rPr>
        <w:t xml:space="preserve"> 83-139.</w:t>
      </w:r>
    </w:p>
    <w:p w14:paraId="5652B45F" w14:textId="77777777" w:rsidR="0019159A" w:rsidRDefault="00D2202B" w:rsidP="000528FE">
      <w:pPr>
        <w:spacing w:line="360" w:lineRule="auto"/>
        <w:jc w:val="both"/>
        <w:rPr>
          <w:rFonts w:ascii="Times New Roman" w:hAnsi="Times New Roman" w:cs="Times New Roman"/>
          <w:sz w:val="24"/>
          <w:szCs w:val="24"/>
        </w:rPr>
      </w:pPr>
      <w:r w:rsidRPr="000528FE">
        <w:rPr>
          <w:rFonts w:ascii="Times New Roman" w:hAnsi="Times New Roman" w:cs="Times New Roman"/>
          <w:sz w:val="24"/>
          <w:szCs w:val="24"/>
        </w:rPr>
        <w:fldChar w:fldCharType="end"/>
      </w:r>
    </w:p>
    <w:sectPr w:rsidR="001915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59zdatsrtaxe5erwdrx5xdozravw2wr0rws&quot;&gt;My EndNote Libraryasd&lt;record-ids&gt;&lt;item&gt;1&lt;/item&gt;&lt;/record-ids&gt;&lt;/item&gt;&lt;/Libraries&gt;"/>
  </w:docVars>
  <w:rsids>
    <w:rsidRoot w:val="00D2202B"/>
    <w:rsid w:val="000528FE"/>
    <w:rsid w:val="000A0A2C"/>
    <w:rsid w:val="0019159A"/>
    <w:rsid w:val="00502821"/>
    <w:rsid w:val="005C3363"/>
    <w:rsid w:val="00626C40"/>
    <w:rsid w:val="00873E9F"/>
    <w:rsid w:val="00901AA8"/>
    <w:rsid w:val="00931A0E"/>
    <w:rsid w:val="009E312B"/>
    <w:rsid w:val="00A531A8"/>
    <w:rsid w:val="00AB4307"/>
    <w:rsid w:val="00C037CB"/>
    <w:rsid w:val="00D2202B"/>
    <w:rsid w:val="00DA09F1"/>
    <w:rsid w:val="00DA484D"/>
    <w:rsid w:val="00DB5C81"/>
    <w:rsid w:val="00EC3D92"/>
    <w:rsid w:val="00F208DF"/>
    <w:rsid w:val="00F96B68"/>
    <w:rsid w:val="00FB2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C4A3"/>
  <w15:chartTrackingRefBased/>
  <w15:docId w15:val="{89BEB296-CBED-4830-A455-AEB05060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0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02B"/>
    <w:rPr>
      <w:rFonts w:asciiTheme="majorHAnsi" w:eastAsiaTheme="majorEastAsia" w:hAnsiTheme="majorHAnsi" w:cstheme="majorBidi"/>
      <w:color w:val="2E74B5" w:themeColor="accent1" w:themeShade="BF"/>
      <w:sz w:val="32"/>
      <w:szCs w:val="32"/>
    </w:rPr>
  </w:style>
  <w:style w:type="paragraph" w:customStyle="1" w:styleId="EndNoteBibliographyTitle">
    <w:name w:val="EndNote Bibliography Title"/>
    <w:basedOn w:val="Normal"/>
    <w:link w:val="EndNoteBibliographyTitleChar"/>
    <w:rsid w:val="00D2202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D2202B"/>
    <w:rPr>
      <w:rFonts w:ascii="Calibri" w:hAnsi="Calibri" w:cs="Calibri"/>
      <w:noProof/>
    </w:rPr>
  </w:style>
  <w:style w:type="paragraph" w:customStyle="1" w:styleId="EndNoteBibliography">
    <w:name w:val="EndNote Bibliography"/>
    <w:basedOn w:val="Normal"/>
    <w:link w:val="EndNoteBibliographyChar"/>
    <w:rsid w:val="00D2202B"/>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D2202B"/>
    <w:rPr>
      <w:rFonts w:ascii="Calibri" w:hAnsi="Calibri" w:cs="Calibri"/>
      <w:noProof/>
    </w:rPr>
  </w:style>
  <w:style w:type="paragraph" w:styleId="TOCHeading">
    <w:name w:val="TOC Heading"/>
    <w:basedOn w:val="Heading1"/>
    <w:next w:val="Normal"/>
    <w:uiPriority w:val="39"/>
    <w:unhideWhenUsed/>
    <w:qFormat/>
    <w:rsid w:val="000528FE"/>
    <w:pPr>
      <w:outlineLvl w:val="9"/>
    </w:pPr>
  </w:style>
  <w:style w:type="paragraph" w:styleId="TOC1">
    <w:name w:val="toc 1"/>
    <w:basedOn w:val="Normal"/>
    <w:next w:val="Normal"/>
    <w:autoRedefine/>
    <w:uiPriority w:val="39"/>
    <w:unhideWhenUsed/>
    <w:rsid w:val="000528FE"/>
    <w:pPr>
      <w:spacing w:after="100"/>
    </w:pPr>
  </w:style>
  <w:style w:type="character" w:styleId="Hyperlink">
    <w:name w:val="Hyperlink"/>
    <w:basedOn w:val="DefaultParagraphFont"/>
    <w:uiPriority w:val="99"/>
    <w:unhideWhenUsed/>
    <w:rsid w:val="000528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18A372-11E8-45E6-97E4-2AE8EB8A1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5474</Words>
  <Characters>31205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Zulfiqar  Ali</dc:creator>
  <cp:keywords/>
  <dc:description/>
  <cp:lastModifiedBy>Divine Rescue</cp:lastModifiedBy>
  <cp:revision>11</cp:revision>
  <dcterms:created xsi:type="dcterms:W3CDTF">2023-11-09T12:34:00Z</dcterms:created>
  <dcterms:modified xsi:type="dcterms:W3CDTF">2023-11-09T12:40:00Z</dcterms:modified>
</cp:coreProperties>
</file>