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072A0" w14:textId="354D5271" w:rsidR="00E934F2" w:rsidRDefault="001B0E9F" w:rsidP="001B0E9F">
      <w:pPr>
        <w:jc w:val="center"/>
        <w:rPr>
          <w:sz w:val="36"/>
          <w:szCs w:val="36"/>
          <w:u w:val="single"/>
        </w:rPr>
      </w:pPr>
      <w:r>
        <w:rPr>
          <w:sz w:val="36"/>
          <w:szCs w:val="36"/>
          <w:u w:val="single"/>
        </w:rPr>
        <w:t xml:space="preserve">Heritage and Cultural Tourism: </w:t>
      </w:r>
    </w:p>
    <w:p w14:paraId="72609296" w14:textId="725074BC" w:rsidR="001B0E9F" w:rsidRPr="001B0E9F" w:rsidRDefault="001B0E9F" w:rsidP="001B0E9F">
      <w:pPr>
        <w:jc w:val="center"/>
        <w:rPr>
          <w:sz w:val="36"/>
          <w:szCs w:val="36"/>
          <w:u w:val="single"/>
        </w:rPr>
      </w:pPr>
      <w:r>
        <w:rPr>
          <w:sz w:val="36"/>
          <w:szCs w:val="36"/>
          <w:u w:val="single"/>
        </w:rPr>
        <w:t>Stonehenge</w:t>
      </w:r>
    </w:p>
    <w:p w14:paraId="672B1CFA" w14:textId="77777777" w:rsidR="001B0E9F" w:rsidRDefault="001B0E9F"/>
    <w:p w14:paraId="082A3221" w14:textId="53F10514" w:rsidR="00E934F2" w:rsidRDefault="00FE274F">
      <w:pPr>
        <w:rPr>
          <w:rFonts w:ascii="Verdana" w:hAnsi="Verdana"/>
          <w:color w:val="262626"/>
          <w:sz w:val="18"/>
          <w:szCs w:val="18"/>
        </w:rPr>
      </w:pPr>
      <w:r>
        <w:rPr>
          <w:noProof/>
          <w:lang w:eastAsia="en-GB"/>
        </w:rPr>
        <w:drawing>
          <wp:anchor distT="0" distB="0" distL="114300" distR="114300" simplePos="0" relativeHeight="251658240" behindDoc="1" locked="0" layoutInCell="1" allowOverlap="1" wp14:anchorId="606AD708" wp14:editId="7DC82558">
            <wp:simplePos x="0" y="0"/>
            <wp:positionH relativeFrom="margin">
              <wp:posOffset>-95250</wp:posOffset>
            </wp:positionH>
            <wp:positionV relativeFrom="paragraph">
              <wp:posOffset>152400</wp:posOffset>
            </wp:positionV>
            <wp:extent cx="3600450" cy="3114675"/>
            <wp:effectExtent l="0" t="0" r="0" b="9525"/>
            <wp:wrapTight wrapText="bothSides">
              <wp:wrapPolygon edited="0">
                <wp:start x="0" y="0"/>
                <wp:lineTo x="0" y="21534"/>
                <wp:lineTo x="21486" y="21534"/>
                <wp:lineTo x="21486"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E934F2">
        <w:t>Stonehenge, situated just outside Amesbury in the English county of Wiltshire</w:t>
      </w:r>
      <w:r w:rsidR="00501D39">
        <w:t xml:space="preserve"> (listed by Natural England as National Character Area 132 Salisbury Plain and West Wiltshire Downs</w:t>
      </w:r>
      <w:r w:rsidR="00501D39">
        <w:rPr>
          <w:rStyle w:val="FootnoteReference"/>
        </w:rPr>
        <w:footnoteReference w:id="1"/>
      </w:r>
      <w:r w:rsidR="00501D39">
        <w:t>)</w:t>
      </w:r>
      <w:r w:rsidR="00E934F2">
        <w:t>, is a site of great importance. Featured on the UNESCO list of world heritage sites</w:t>
      </w:r>
      <w:r w:rsidR="00E934F2">
        <w:rPr>
          <w:rStyle w:val="FootnoteReference"/>
        </w:rPr>
        <w:footnoteReference w:id="2"/>
      </w:r>
      <w:r w:rsidR="00E934F2">
        <w:t xml:space="preserve">, in 2018 it boasted </w:t>
      </w:r>
      <w:r w:rsidR="00E934F2" w:rsidRPr="00E934F2">
        <w:rPr>
          <w:rFonts w:ascii="Verdana" w:hAnsi="Verdana"/>
          <w:color w:val="262626"/>
          <w:sz w:val="18"/>
          <w:szCs w:val="18"/>
        </w:rPr>
        <w:t>1,555,868</w:t>
      </w:r>
      <w:r w:rsidR="00E934F2">
        <w:rPr>
          <w:rFonts w:ascii="Verdana" w:hAnsi="Verdana"/>
          <w:color w:val="262626"/>
          <w:sz w:val="18"/>
          <w:szCs w:val="18"/>
        </w:rPr>
        <w:t xml:space="preserve"> visitors</w:t>
      </w:r>
      <w:r w:rsidR="00E934F2">
        <w:rPr>
          <w:rStyle w:val="FootnoteReference"/>
          <w:rFonts w:ascii="Verdana" w:hAnsi="Verdana"/>
          <w:color w:val="262626"/>
          <w:sz w:val="18"/>
          <w:szCs w:val="18"/>
        </w:rPr>
        <w:footnoteReference w:id="3"/>
      </w:r>
      <w:r w:rsidR="00E934F2">
        <w:rPr>
          <w:rFonts w:ascii="Verdana" w:hAnsi="Verdana"/>
          <w:color w:val="262626"/>
          <w:sz w:val="18"/>
          <w:szCs w:val="18"/>
        </w:rPr>
        <w:t xml:space="preserve"> – an increase of over 90% from the figure in 2004</w:t>
      </w:r>
      <w:r w:rsidR="00E934F2">
        <w:rPr>
          <w:rStyle w:val="FootnoteReference"/>
          <w:rFonts w:ascii="Verdana" w:hAnsi="Verdana"/>
          <w:color w:val="262626"/>
          <w:sz w:val="18"/>
          <w:szCs w:val="18"/>
        </w:rPr>
        <w:footnoteReference w:id="4"/>
      </w:r>
      <w:r w:rsidR="00E934F2">
        <w:rPr>
          <w:rFonts w:ascii="Verdana" w:hAnsi="Verdana"/>
          <w:color w:val="262626"/>
          <w:sz w:val="18"/>
          <w:szCs w:val="18"/>
        </w:rPr>
        <w:t xml:space="preserve">. </w:t>
      </w:r>
      <w:r w:rsidR="00A130A7">
        <w:rPr>
          <w:rFonts w:ascii="Verdana" w:hAnsi="Verdana"/>
          <w:color w:val="262626"/>
          <w:sz w:val="18"/>
          <w:szCs w:val="18"/>
        </w:rPr>
        <w:t>It is obvious that in the past 14 years something dramatic has changed – whether it is public desire or something more intrinsic with the site is up for debate.</w:t>
      </w:r>
      <w:r>
        <w:rPr>
          <w:rFonts w:ascii="Verdana" w:hAnsi="Verdana"/>
          <w:color w:val="262626"/>
          <w:sz w:val="18"/>
          <w:szCs w:val="18"/>
        </w:rPr>
        <w:t xml:space="preserve"> This report will focus on the heritage of the site regarding cultural tourism, focussing on site development and on where different groups of people have different ideas on how Stonehenge should be used or perhaps ‘exploited’ in the present and in the future.</w:t>
      </w:r>
    </w:p>
    <w:p w14:paraId="55D1D2D6" w14:textId="77777777" w:rsidR="00A130A7" w:rsidRDefault="00A130A7">
      <w:pPr>
        <w:rPr>
          <w:rFonts w:ascii="Verdana" w:hAnsi="Verdana"/>
          <w:color w:val="262626"/>
          <w:sz w:val="18"/>
          <w:szCs w:val="18"/>
        </w:rPr>
      </w:pPr>
    </w:p>
    <w:p w14:paraId="6D923415" w14:textId="1673D666" w:rsidR="00A130A7" w:rsidRDefault="00A130A7">
      <w:pPr>
        <w:rPr>
          <w:rFonts w:ascii="Verdana" w:hAnsi="Verdana"/>
          <w:color w:val="262626"/>
          <w:sz w:val="18"/>
          <w:szCs w:val="18"/>
        </w:rPr>
      </w:pPr>
      <w:r>
        <w:rPr>
          <w:rFonts w:ascii="Verdana" w:hAnsi="Verdana"/>
          <w:color w:val="262626"/>
          <w:sz w:val="18"/>
          <w:szCs w:val="18"/>
        </w:rPr>
        <w:t xml:space="preserve">As a historical object, we know a few things. Stonehenge is a ruin site of a construction traversing time between </w:t>
      </w:r>
      <w:r w:rsidR="00501D39">
        <w:rPr>
          <w:rFonts w:ascii="Verdana" w:hAnsi="Verdana"/>
          <w:color w:val="262626"/>
          <w:sz w:val="18"/>
          <w:szCs w:val="18"/>
        </w:rPr>
        <w:t>3700</w:t>
      </w:r>
      <w:r>
        <w:rPr>
          <w:rFonts w:ascii="Verdana" w:hAnsi="Verdana"/>
          <w:color w:val="262626"/>
          <w:sz w:val="18"/>
          <w:szCs w:val="18"/>
        </w:rPr>
        <w:t xml:space="preserve"> and 1</w:t>
      </w:r>
      <w:r w:rsidR="00501D39">
        <w:rPr>
          <w:rFonts w:ascii="Verdana" w:hAnsi="Verdana"/>
          <w:color w:val="262626"/>
          <w:sz w:val="18"/>
          <w:szCs w:val="18"/>
        </w:rPr>
        <w:t>6</w:t>
      </w:r>
      <w:r>
        <w:rPr>
          <w:rFonts w:ascii="Verdana" w:hAnsi="Verdana"/>
          <w:color w:val="262626"/>
          <w:sz w:val="18"/>
          <w:szCs w:val="18"/>
        </w:rPr>
        <w:t xml:space="preserve">00 BCE, </w:t>
      </w:r>
      <w:r w:rsidR="00FE274F">
        <w:rPr>
          <w:rFonts w:ascii="Verdana" w:hAnsi="Verdana"/>
          <w:color w:val="262626"/>
          <w:sz w:val="18"/>
          <w:szCs w:val="18"/>
        </w:rPr>
        <w:t>which includes ‘bluestones’ that probably came from Wales</w:t>
      </w:r>
      <w:r w:rsidR="00FE274F">
        <w:rPr>
          <w:rStyle w:val="FootnoteReference"/>
          <w:rFonts w:ascii="Verdana" w:hAnsi="Verdana"/>
          <w:color w:val="262626"/>
          <w:sz w:val="18"/>
          <w:szCs w:val="18"/>
        </w:rPr>
        <w:footnoteReference w:id="5"/>
      </w:r>
      <w:r w:rsidR="00FE274F">
        <w:rPr>
          <w:rFonts w:ascii="Verdana" w:hAnsi="Verdana"/>
          <w:color w:val="262626"/>
          <w:sz w:val="18"/>
          <w:szCs w:val="18"/>
        </w:rPr>
        <w:t>. The idea that Stonehenge was used by iron age druids is debated</w:t>
      </w:r>
      <w:r w:rsidR="00501D39">
        <w:rPr>
          <w:rFonts w:ascii="Verdana" w:hAnsi="Verdana"/>
          <w:color w:val="262626"/>
          <w:sz w:val="18"/>
          <w:szCs w:val="18"/>
        </w:rPr>
        <w:t>, with UNESCO arguing that it (and the associated sites at Avebury) “</w:t>
      </w:r>
      <w:r w:rsidR="00501D39" w:rsidRPr="00501D39">
        <w:rPr>
          <w:rFonts w:ascii="Verdana" w:hAnsi="Verdana"/>
          <w:color w:val="262626"/>
          <w:sz w:val="18"/>
          <w:szCs w:val="18"/>
        </w:rPr>
        <w:t>demonstrate Neolithic and Bronze Age ceremonial and mortuary practices</w:t>
      </w:r>
      <w:r w:rsidR="00501D39">
        <w:rPr>
          <w:rFonts w:ascii="Verdana" w:hAnsi="Verdana"/>
          <w:color w:val="262626"/>
          <w:sz w:val="18"/>
          <w:szCs w:val="18"/>
        </w:rPr>
        <w:t>”</w:t>
      </w:r>
      <w:r w:rsidR="00501D39">
        <w:rPr>
          <w:rStyle w:val="FootnoteReference"/>
          <w:rFonts w:ascii="Verdana" w:hAnsi="Verdana"/>
          <w:color w:val="262626"/>
          <w:sz w:val="18"/>
          <w:szCs w:val="18"/>
        </w:rPr>
        <w:footnoteReference w:id="6"/>
      </w:r>
      <w:r w:rsidR="00FE274F">
        <w:rPr>
          <w:rFonts w:ascii="Verdana" w:hAnsi="Verdana"/>
          <w:color w:val="262626"/>
          <w:sz w:val="18"/>
          <w:szCs w:val="18"/>
        </w:rPr>
        <w:t xml:space="preserve">, </w:t>
      </w:r>
      <w:r w:rsidR="00501D39">
        <w:rPr>
          <w:rFonts w:ascii="Verdana" w:hAnsi="Verdana"/>
          <w:color w:val="262626"/>
          <w:sz w:val="18"/>
          <w:szCs w:val="18"/>
        </w:rPr>
        <w:t>but</w:t>
      </w:r>
      <w:r w:rsidR="00FE274F">
        <w:rPr>
          <w:rFonts w:ascii="Verdana" w:hAnsi="Verdana"/>
          <w:color w:val="262626"/>
          <w:sz w:val="18"/>
          <w:szCs w:val="18"/>
        </w:rPr>
        <w:t xml:space="preserve"> the concept has captured the imagination of </w:t>
      </w:r>
      <w:r w:rsidR="007A7BC7">
        <w:rPr>
          <w:rFonts w:ascii="Verdana" w:hAnsi="Verdana"/>
          <w:color w:val="262626"/>
          <w:sz w:val="18"/>
          <w:szCs w:val="18"/>
        </w:rPr>
        <w:t>modern-day</w:t>
      </w:r>
      <w:r w:rsidR="00FE274F">
        <w:rPr>
          <w:rFonts w:ascii="Verdana" w:hAnsi="Verdana"/>
          <w:color w:val="262626"/>
          <w:sz w:val="18"/>
          <w:szCs w:val="18"/>
        </w:rPr>
        <w:t xml:space="preserve"> druids and neo-pagans who consider the site holy in the modern day. </w:t>
      </w:r>
      <w:r w:rsidR="00501D39" w:rsidRPr="00501D39">
        <w:rPr>
          <w:rFonts w:ascii="Verdana" w:hAnsi="Verdana"/>
          <w:color w:val="262626"/>
          <w:sz w:val="18"/>
          <w:szCs w:val="18"/>
        </w:rPr>
        <w:t xml:space="preserve">Stonehenge is the most architecturally sophisticated prehistoric stone circle in the world. </w:t>
      </w:r>
    </w:p>
    <w:p w14:paraId="1CE4E964" w14:textId="5EB3EA2C" w:rsidR="00FE274F" w:rsidRDefault="00FE274F" w:rsidP="014807EB">
      <w:pPr>
        <w:rPr>
          <w:rFonts w:ascii="Verdana" w:hAnsi="Verdana"/>
          <w:color w:val="262626" w:themeColor="text1" w:themeTint="D9"/>
          <w:sz w:val="18"/>
          <w:szCs w:val="18"/>
        </w:rPr>
      </w:pPr>
      <w:r>
        <w:rPr>
          <w:rFonts w:ascii="Verdana" w:hAnsi="Verdana"/>
          <w:color w:val="262626"/>
          <w:sz w:val="18"/>
          <w:szCs w:val="18"/>
        </w:rPr>
        <w:t xml:space="preserve">More important for the purposes of this report is the history of Stonehenge as a heritage object – not when it was built or how it was used, but </w:t>
      </w:r>
      <w:r w:rsidR="002463D0">
        <w:rPr>
          <w:rFonts w:ascii="Verdana" w:hAnsi="Verdana"/>
          <w:color w:val="262626"/>
          <w:sz w:val="18"/>
          <w:szCs w:val="18"/>
        </w:rPr>
        <w:t xml:space="preserve">how ‘modern’ people interact with and understand it. </w:t>
      </w:r>
      <w:r w:rsidR="00501D39">
        <w:rPr>
          <w:rFonts w:ascii="Verdana" w:hAnsi="Verdana"/>
          <w:color w:val="262626"/>
          <w:sz w:val="18"/>
          <w:szCs w:val="18"/>
        </w:rPr>
        <w:t>In the 12</w:t>
      </w:r>
      <w:r w:rsidR="00501D39" w:rsidRPr="00501D39">
        <w:rPr>
          <w:rFonts w:ascii="Verdana" w:hAnsi="Verdana"/>
          <w:color w:val="262626"/>
          <w:sz w:val="18"/>
          <w:szCs w:val="18"/>
          <w:vertAlign w:val="superscript"/>
        </w:rPr>
        <w:t>th</w:t>
      </w:r>
      <w:r w:rsidR="00501D39">
        <w:rPr>
          <w:rFonts w:ascii="Verdana" w:hAnsi="Verdana"/>
          <w:color w:val="262626"/>
          <w:sz w:val="18"/>
          <w:szCs w:val="18"/>
        </w:rPr>
        <w:t xml:space="preserve"> century Stonehenge was considered one of the wonders of the world </w:t>
      </w:r>
      <w:r w:rsidR="00577416">
        <w:rPr>
          <w:rFonts w:ascii="Verdana" w:hAnsi="Verdana"/>
          <w:color w:val="262626"/>
          <w:sz w:val="18"/>
          <w:szCs w:val="18"/>
        </w:rPr>
        <w:t>by Henry de Huntington and Geoffrey de Monmouth, and early investigations include those of John Aubrey and Inigo Jones around 1600 CE</w:t>
      </w:r>
      <w:r w:rsidR="00577416">
        <w:rPr>
          <w:rStyle w:val="FootnoteReference"/>
          <w:rFonts w:ascii="Verdana" w:hAnsi="Verdana"/>
          <w:color w:val="262626"/>
          <w:sz w:val="18"/>
          <w:szCs w:val="18"/>
        </w:rPr>
        <w:footnoteReference w:id="7"/>
      </w:r>
      <w:r w:rsidR="00577416">
        <w:rPr>
          <w:rFonts w:ascii="Verdana" w:hAnsi="Verdana"/>
          <w:color w:val="262626"/>
          <w:sz w:val="18"/>
          <w:szCs w:val="18"/>
        </w:rPr>
        <w:t>. Later, t</w:t>
      </w:r>
      <w:r w:rsidR="007C4B1E">
        <w:rPr>
          <w:rFonts w:ascii="Verdana" w:hAnsi="Verdana"/>
          <w:color w:val="262626"/>
          <w:sz w:val="18"/>
          <w:szCs w:val="18"/>
        </w:rPr>
        <w:t>he owner of the object Sir Edmund Antrobus fenced off Stonehenge in 1901 and charged entry, a move that proved very unpopular – the residents of Amesbury staged a large, though unsuccessful, protest.</w:t>
      </w:r>
      <w:r w:rsidRPr="014807EB">
        <w:rPr>
          <w:rStyle w:val="FootnoteReference"/>
          <w:rFonts w:ascii="Verdana" w:hAnsi="Verdana"/>
          <w:color w:val="262626" w:themeColor="text1" w:themeTint="D9"/>
          <w:sz w:val="18"/>
          <w:szCs w:val="18"/>
        </w:rPr>
        <w:footnoteReference w:id="8"/>
      </w:r>
      <w:r w:rsidR="007C4B1E">
        <w:rPr>
          <w:rFonts w:ascii="Verdana" w:hAnsi="Verdana"/>
          <w:color w:val="262626"/>
          <w:sz w:val="18"/>
          <w:szCs w:val="18"/>
        </w:rPr>
        <w:t xml:space="preserve"> </w:t>
      </w:r>
      <w:r w:rsidR="002463D0">
        <w:rPr>
          <w:rFonts w:ascii="Verdana" w:hAnsi="Verdana"/>
          <w:color w:val="262626"/>
          <w:sz w:val="18"/>
          <w:szCs w:val="18"/>
        </w:rPr>
        <w:t xml:space="preserve">The monument was in private hands until </w:t>
      </w:r>
      <w:r w:rsidR="002463D0">
        <w:rPr>
          <w:rFonts w:ascii="Verdana" w:hAnsi="Verdana"/>
          <w:color w:val="262626"/>
          <w:sz w:val="18"/>
          <w:szCs w:val="18"/>
        </w:rPr>
        <w:lastRenderedPageBreak/>
        <w:t>1918, when Cecil Chubb passed the monument into the public hands</w:t>
      </w:r>
      <w:r w:rsidR="002463D0">
        <w:rPr>
          <w:rStyle w:val="FootnoteReference"/>
          <w:rFonts w:ascii="Verdana" w:hAnsi="Verdana"/>
          <w:color w:val="262626"/>
          <w:sz w:val="18"/>
          <w:szCs w:val="18"/>
        </w:rPr>
        <w:footnoteReference w:id="9"/>
      </w:r>
      <w:r w:rsidR="00852C03">
        <w:rPr>
          <w:rFonts w:ascii="Verdana" w:hAnsi="Verdana"/>
          <w:color w:val="262626"/>
          <w:sz w:val="18"/>
          <w:szCs w:val="18"/>
        </w:rPr>
        <w:t>. Since 1927, acquisition of land around Stonehenge by the national trust allowed for increased efforts towards preservation and restoration of the site and its surrounding areas.</w:t>
      </w:r>
      <w:r w:rsidR="00501D39">
        <w:rPr>
          <w:rFonts w:ascii="Verdana" w:hAnsi="Verdana"/>
          <w:color w:val="262626"/>
          <w:sz w:val="18"/>
          <w:szCs w:val="18"/>
        </w:rPr>
        <w:t xml:space="preserve"> </w:t>
      </w:r>
      <w:r w:rsidR="00852C03">
        <w:rPr>
          <w:rFonts w:ascii="Verdana" w:hAnsi="Verdana"/>
          <w:color w:val="262626"/>
          <w:sz w:val="18"/>
          <w:szCs w:val="18"/>
        </w:rPr>
        <w:t xml:space="preserve"> More recently, the visitor centre was relocated to roughly 150m away from the stones in late 2013, which along with the closing of the nearby A344 road helped to restore a semblance of the natural and historical landscape that Stonehenge is situated within. </w:t>
      </w:r>
      <w:r w:rsidR="00C56758">
        <w:rPr>
          <w:rFonts w:ascii="Verdana" w:hAnsi="Verdana"/>
          <w:color w:val="262626"/>
          <w:sz w:val="18"/>
          <w:szCs w:val="18"/>
        </w:rPr>
        <w:t>The thrust of this movement arose from decades of heated debate of how Stonehenge should</w:t>
      </w:r>
      <w:r w:rsidR="00501D39">
        <w:rPr>
          <w:rFonts w:ascii="Verdana" w:hAnsi="Verdana"/>
          <w:color w:val="262626"/>
          <w:sz w:val="18"/>
          <w:szCs w:val="18"/>
        </w:rPr>
        <w:t xml:space="preserve"> be</w:t>
      </w:r>
      <w:r w:rsidR="00C56758">
        <w:rPr>
          <w:rFonts w:ascii="Verdana" w:hAnsi="Verdana"/>
          <w:color w:val="262626"/>
          <w:sz w:val="18"/>
          <w:szCs w:val="18"/>
        </w:rPr>
        <w:t xml:space="preserve"> presented to the public, and it is discussion regarding the visitor centre, nearby roads and other aspects of the landscape and the experience it provides to visitors that should be focussed on.</w:t>
      </w:r>
    </w:p>
    <w:p w14:paraId="7077194C" w14:textId="26D5975D" w:rsidR="00C56758" w:rsidRDefault="00C56758">
      <w:pPr>
        <w:rPr>
          <w:rFonts w:ascii="Verdana" w:hAnsi="Verdana"/>
          <w:color w:val="262626"/>
          <w:sz w:val="18"/>
          <w:szCs w:val="18"/>
        </w:rPr>
      </w:pPr>
    </w:p>
    <w:p w14:paraId="6B1C8AFF" w14:textId="5DD22D1A" w:rsidR="00C56758" w:rsidRDefault="00C56758">
      <w:pPr>
        <w:rPr>
          <w:rFonts w:ascii="Verdana" w:hAnsi="Verdana"/>
          <w:color w:val="262626"/>
          <w:sz w:val="18"/>
          <w:szCs w:val="18"/>
        </w:rPr>
      </w:pPr>
    </w:p>
    <w:p w14:paraId="63193115" w14:textId="2576A4D5" w:rsidR="00C56758" w:rsidRDefault="00C56758">
      <w:pPr>
        <w:rPr>
          <w:rFonts w:ascii="Verdana" w:hAnsi="Verdana"/>
          <w:color w:val="262626"/>
          <w:sz w:val="18"/>
          <w:szCs w:val="18"/>
        </w:rPr>
      </w:pPr>
    </w:p>
    <w:p w14:paraId="539E3819" w14:textId="75827866" w:rsidR="00C56758" w:rsidRDefault="00C56758">
      <w:pPr>
        <w:rPr>
          <w:rFonts w:ascii="Verdana" w:hAnsi="Verdana"/>
          <w:color w:val="262626"/>
          <w:sz w:val="18"/>
          <w:szCs w:val="18"/>
        </w:rPr>
      </w:pPr>
    </w:p>
    <w:p w14:paraId="2951E41B" w14:textId="04C8DDC7" w:rsidR="00C56758" w:rsidRDefault="00C56758">
      <w:pPr>
        <w:rPr>
          <w:rFonts w:ascii="Verdana" w:hAnsi="Verdana"/>
          <w:color w:val="262626"/>
          <w:sz w:val="18"/>
          <w:szCs w:val="18"/>
        </w:rPr>
      </w:pPr>
      <w:r>
        <w:rPr>
          <w:rFonts w:ascii="Verdana" w:hAnsi="Verdana"/>
          <w:color w:val="262626"/>
          <w:sz w:val="18"/>
          <w:szCs w:val="18"/>
        </w:rPr>
        <w:t xml:space="preserve">One of the things that visitors often expect when interacting with history and heritage is at least a </w:t>
      </w:r>
      <w:r w:rsidRPr="014807EB">
        <w:rPr>
          <w:rFonts w:ascii="Verdana" w:hAnsi="Verdana"/>
          <w:i/>
          <w:iCs/>
          <w:color w:val="262626"/>
          <w:sz w:val="18"/>
          <w:szCs w:val="18"/>
        </w:rPr>
        <w:t>sense</w:t>
      </w:r>
      <w:r>
        <w:rPr>
          <w:rFonts w:ascii="Verdana" w:hAnsi="Verdana"/>
          <w:color w:val="262626"/>
          <w:sz w:val="18"/>
          <w:szCs w:val="18"/>
        </w:rPr>
        <w:t xml:space="preserve"> of authenticity – that their experience of an object relates to or aligns with the experiences of people contemporary to the object. </w:t>
      </w:r>
      <w:r w:rsidR="00BF6AEA">
        <w:rPr>
          <w:rFonts w:ascii="Verdana" w:hAnsi="Verdana"/>
          <w:color w:val="262626"/>
          <w:sz w:val="18"/>
          <w:szCs w:val="18"/>
        </w:rPr>
        <w:t>There are multiple arguments regarding the relationship between tourists and authenticity. Some argue</w:t>
      </w:r>
      <w:r w:rsidR="00BF6AEA">
        <w:rPr>
          <w:rStyle w:val="FootnoteReference"/>
          <w:rFonts w:ascii="Verdana" w:hAnsi="Verdana"/>
          <w:color w:val="262626"/>
          <w:sz w:val="18"/>
          <w:szCs w:val="18"/>
        </w:rPr>
        <w:footnoteReference w:id="10"/>
      </w:r>
      <w:r w:rsidR="00BF6AEA">
        <w:rPr>
          <w:rFonts w:ascii="Verdana" w:hAnsi="Verdana"/>
          <w:color w:val="262626"/>
          <w:sz w:val="18"/>
          <w:szCs w:val="18"/>
        </w:rPr>
        <w:t xml:space="preserve"> that tourists seek authenticity (but are easily fooled into believing the inauthentic), some argue</w:t>
      </w:r>
      <w:r w:rsidR="00BF6AEA">
        <w:rPr>
          <w:rStyle w:val="FootnoteReference"/>
          <w:rFonts w:ascii="Verdana" w:hAnsi="Verdana"/>
          <w:color w:val="262626"/>
          <w:sz w:val="18"/>
          <w:szCs w:val="18"/>
        </w:rPr>
        <w:footnoteReference w:id="11"/>
      </w:r>
      <w:r w:rsidR="00BF6AEA">
        <w:rPr>
          <w:rFonts w:ascii="Verdana" w:hAnsi="Verdana"/>
          <w:color w:val="262626"/>
          <w:sz w:val="18"/>
          <w:szCs w:val="18"/>
        </w:rPr>
        <w:t xml:space="preserve"> that tourists pay no heed to authenticity at all, and some argue</w:t>
      </w:r>
      <w:r w:rsidR="00BF6AEA">
        <w:rPr>
          <w:rStyle w:val="FootnoteReference"/>
          <w:rFonts w:ascii="Verdana" w:hAnsi="Verdana"/>
          <w:color w:val="262626"/>
          <w:sz w:val="18"/>
          <w:szCs w:val="18"/>
        </w:rPr>
        <w:footnoteReference w:id="12"/>
      </w:r>
      <w:r w:rsidR="00BF6AEA">
        <w:rPr>
          <w:rFonts w:ascii="Verdana" w:hAnsi="Verdana"/>
          <w:color w:val="262626"/>
          <w:sz w:val="18"/>
          <w:szCs w:val="18"/>
        </w:rPr>
        <w:t xml:space="preserve"> that tourists can readily distinguish the authentic and the inauthentic and make decisions on what to engage in of their own accord. </w:t>
      </w:r>
      <w:r w:rsidR="00E468E8">
        <w:rPr>
          <w:rFonts w:ascii="Verdana" w:hAnsi="Verdana"/>
          <w:color w:val="262626"/>
          <w:sz w:val="18"/>
          <w:szCs w:val="18"/>
        </w:rPr>
        <w:t xml:space="preserve">It seems safe to make some assumptions about the reasons people visit Stonehenge </w:t>
      </w:r>
      <w:r w:rsidR="00792645">
        <w:rPr>
          <w:rFonts w:ascii="Verdana" w:hAnsi="Verdana"/>
          <w:color w:val="262626"/>
          <w:sz w:val="18"/>
          <w:szCs w:val="18"/>
        </w:rPr>
        <w:t>–</w:t>
      </w:r>
      <w:r w:rsidR="00E468E8">
        <w:rPr>
          <w:rFonts w:ascii="Verdana" w:hAnsi="Verdana"/>
          <w:color w:val="262626"/>
          <w:sz w:val="18"/>
          <w:szCs w:val="18"/>
        </w:rPr>
        <w:t xml:space="preserve"> ther</w:t>
      </w:r>
      <w:r w:rsidR="00792645">
        <w:rPr>
          <w:rFonts w:ascii="Verdana" w:hAnsi="Verdana"/>
          <w:color w:val="262626"/>
          <w:sz w:val="18"/>
          <w:szCs w:val="18"/>
        </w:rPr>
        <w:t xml:space="preserve">e are no high-octane thrills and there’s no sea and sand. It is apparent that cultural tourism is much of the drive of visitors towards Stonehenge, and so ‘exploitation’ of tourism should be aimed towards the site as heritage. It would very easy to ‘theme-parkify’ Stonehenge – the reiteration of the cultural importance of a world heritage site could lead to magnified expectations of grandeur (a so-called hyper-reality), and from a purely financial sense there would be gains to be made, at least in the short term. However, this near-sighted sort of exploitation tends towards unsustainability, as the cultural value of the given site is reduced by over-commodification. </w:t>
      </w:r>
    </w:p>
    <w:p w14:paraId="28F0DCDB" w14:textId="0D5BECE9" w:rsidR="00792645" w:rsidRDefault="00792645">
      <w:pPr>
        <w:rPr>
          <w:rFonts w:ascii="Verdana" w:hAnsi="Verdana"/>
          <w:color w:val="262626"/>
          <w:sz w:val="18"/>
          <w:szCs w:val="18"/>
        </w:rPr>
      </w:pPr>
      <w:r>
        <w:rPr>
          <w:rFonts w:ascii="Verdana" w:hAnsi="Verdana"/>
          <w:color w:val="262626"/>
          <w:sz w:val="18"/>
          <w:szCs w:val="18"/>
        </w:rPr>
        <w:t xml:space="preserve">This ‘gaudiness’ can be avoided with sensible planning and considered approaches to maintain authenticity. </w:t>
      </w:r>
      <w:r w:rsidR="009F301D">
        <w:rPr>
          <w:rFonts w:ascii="Verdana" w:hAnsi="Verdana"/>
          <w:color w:val="262626"/>
          <w:sz w:val="18"/>
          <w:szCs w:val="18"/>
        </w:rPr>
        <w:t>One must remember in this case tha</w:t>
      </w:r>
      <w:r w:rsidR="00862106">
        <w:rPr>
          <w:rFonts w:ascii="Verdana" w:hAnsi="Verdana"/>
          <w:color w:val="262626"/>
          <w:sz w:val="18"/>
          <w:szCs w:val="18"/>
        </w:rPr>
        <w:t xml:space="preserve">t Stonehenge is not simply the standing stone circle – both in the sense of the very nearby archaeological sites and in the sense that Stonehenge at its time of use existed within a certain historical landscape. You cannot recreate a sense of the historical Stonehenge without recreating some of the landscape in which it was contained. This is of course not practically possible to do entirely – human impact on the landscape of the UK is immense and to try and revert to a landscape that we don’t even really know accurately would be folly. UNESCO </w:t>
      </w:r>
      <w:r w:rsidR="00B06327">
        <w:rPr>
          <w:rFonts w:ascii="Verdana" w:hAnsi="Verdana"/>
          <w:color w:val="262626"/>
          <w:sz w:val="18"/>
          <w:szCs w:val="18"/>
        </w:rPr>
        <w:t>says:</w:t>
      </w:r>
    </w:p>
    <w:p w14:paraId="4103B13E" w14:textId="61138183" w:rsidR="00862106" w:rsidRPr="00862106" w:rsidRDefault="00862106">
      <w:pPr>
        <w:rPr>
          <w:rFonts w:ascii="Verdana" w:hAnsi="Verdana"/>
          <w:color w:val="5B9BD5" w:themeColor="accent1"/>
          <w:sz w:val="18"/>
          <w:szCs w:val="18"/>
        </w:rPr>
      </w:pPr>
      <w:r w:rsidRPr="00862106">
        <w:rPr>
          <w:rFonts w:ascii="Verdana" w:hAnsi="Verdana"/>
          <w:color w:val="5B9BD5" w:themeColor="accent1"/>
          <w:sz w:val="18"/>
          <w:szCs w:val="18"/>
        </w:rPr>
        <w:t>“The presence of busy main roads going through the World Heritage property impacts adversely on its integrity. The roads sever the relationship between Stonehenge and its surrounding monuments, notably the A344 which separates the Stone Circle from the Avenue.”</w:t>
      </w:r>
      <w:r>
        <w:rPr>
          <w:rStyle w:val="FootnoteReference"/>
          <w:rFonts w:ascii="Verdana" w:hAnsi="Verdana"/>
          <w:color w:val="5B9BD5" w:themeColor="accent1"/>
          <w:sz w:val="18"/>
          <w:szCs w:val="18"/>
        </w:rPr>
        <w:footnoteReference w:id="13"/>
      </w:r>
    </w:p>
    <w:p w14:paraId="5180C765" w14:textId="5F82D6B2" w:rsidR="00B77AB0" w:rsidRDefault="00B06327" w:rsidP="00B06327">
      <w:pPr>
        <w:rPr>
          <w:rFonts w:ascii="Verdana" w:hAnsi="Verdana"/>
          <w:color w:val="262626"/>
          <w:sz w:val="18"/>
          <w:szCs w:val="18"/>
        </w:rPr>
      </w:pPr>
      <w:r>
        <w:rPr>
          <w:rFonts w:ascii="Verdana" w:hAnsi="Verdana"/>
          <w:color w:val="262626"/>
          <w:sz w:val="18"/>
          <w:szCs w:val="18"/>
        </w:rPr>
        <w:t xml:space="preserve">A busy main road passing close to the circle certainly has a negative impact on the aesthetics of authenticity. In the process of trying to alleviate these issues, the </w:t>
      </w:r>
      <w:r w:rsidRPr="00B06327">
        <w:rPr>
          <w:rFonts w:ascii="Verdana" w:hAnsi="Verdana"/>
          <w:color w:val="262626"/>
          <w:sz w:val="18"/>
          <w:szCs w:val="18"/>
        </w:rPr>
        <w:t>Report on the joint World Heritage Centre / ICOMOS</w:t>
      </w:r>
      <w:r>
        <w:rPr>
          <w:rFonts w:ascii="Verdana" w:hAnsi="Verdana"/>
          <w:color w:val="262626"/>
          <w:sz w:val="18"/>
          <w:szCs w:val="18"/>
        </w:rPr>
        <w:t xml:space="preserve"> Advisory Mission to Stonehenge, Avebury and Associated Sites was presented at a meeting of the World Heritage Committee in 2017. Its aim was to provide advice regarding a proposed scheme of reconstruction of the A303 that passes close to the circle. It </w:t>
      </w:r>
      <w:r>
        <w:rPr>
          <w:rFonts w:ascii="Verdana" w:hAnsi="Verdana"/>
          <w:color w:val="262626"/>
          <w:sz w:val="18"/>
          <w:szCs w:val="18"/>
        </w:rPr>
        <w:lastRenderedPageBreak/>
        <w:t>“</w:t>
      </w:r>
      <w:r w:rsidRPr="00B06327">
        <w:rPr>
          <w:rFonts w:ascii="Verdana" w:hAnsi="Verdana"/>
          <w:color w:val="262626"/>
          <w:sz w:val="18"/>
          <w:szCs w:val="18"/>
        </w:rPr>
        <w:t>highlight</w:t>
      </w:r>
      <w:r w:rsidR="00290B3A">
        <w:rPr>
          <w:rFonts w:ascii="Verdana" w:hAnsi="Verdana"/>
          <w:color w:val="262626"/>
          <w:sz w:val="18"/>
          <w:szCs w:val="18"/>
        </w:rPr>
        <w:t>[s]</w:t>
      </w:r>
      <w:r w:rsidRPr="00B06327">
        <w:rPr>
          <w:rFonts w:ascii="Verdana" w:hAnsi="Verdana"/>
          <w:color w:val="262626"/>
          <w:sz w:val="18"/>
          <w:szCs w:val="18"/>
        </w:rPr>
        <w:t xml:space="preserve"> considerations, assess</w:t>
      </w:r>
      <w:r w:rsidR="00290B3A">
        <w:rPr>
          <w:rFonts w:ascii="Verdana" w:hAnsi="Verdana"/>
          <w:color w:val="262626"/>
          <w:sz w:val="18"/>
          <w:szCs w:val="18"/>
        </w:rPr>
        <w:t>[es]</w:t>
      </w:r>
      <w:r w:rsidRPr="00B06327">
        <w:rPr>
          <w:rFonts w:ascii="Verdana" w:hAnsi="Verdana"/>
          <w:color w:val="262626"/>
          <w:sz w:val="18"/>
          <w:szCs w:val="18"/>
        </w:rPr>
        <w:t xml:space="preserve"> potential impacts and processes, and advance</w:t>
      </w:r>
      <w:r w:rsidR="00290B3A">
        <w:rPr>
          <w:rFonts w:ascii="Verdana" w:hAnsi="Verdana"/>
          <w:color w:val="262626"/>
          <w:sz w:val="18"/>
          <w:szCs w:val="18"/>
        </w:rPr>
        <w:t>[s]</w:t>
      </w:r>
      <w:r w:rsidRPr="00B06327">
        <w:rPr>
          <w:rFonts w:ascii="Verdana" w:hAnsi="Verdana"/>
          <w:color w:val="262626"/>
          <w:sz w:val="18"/>
          <w:szCs w:val="18"/>
        </w:rPr>
        <w:t xml:space="preserve"> proposals</w:t>
      </w:r>
      <w:r w:rsidR="00290B3A">
        <w:rPr>
          <w:rFonts w:ascii="Verdana" w:hAnsi="Verdana"/>
          <w:color w:val="262626"/>
          <w:sz w:val="18"/>
          <w:szCs w:val="18"/>
        </w:rPr>
        <w:t xml:space="preserve"> </w:t>
      </w:r>
      <w:r w:rsidRPr="00B06327">
        <w:rPr>
          <w:rFonts w:ascii="Verdana" w:hAnsi="Verdana"/>
          <w:color w:val="262626"/>
          <w:sz w:val="18"/>
          <w:szCs w:val="18"/>
        </w:rPr>
        <w:t>relating to heritage management on possible routes and options</w:t>
      </w:r>
      <w:r>
        <w:rPr>
          <w:rFonts w:ascii="Verdana" w:hAnsi="Verdana"/>
          <w:color w:val="262626"/>
          <w:sz w:val="18"/>
          <w:szCs w:val="18"/>
        </w:rPr>
        <w:t>”</w:t>
      </w:r>
      <w:r w:rsidR="00290B3A">
        <w:rPr>
          <w:rStyle w:val="FootnoteReference"/>
          <w:rFonts w:ascii="Verdana" w:hAnsi="Verdana"/>
          <w:color w:val="262626"/>
          <w:sz w:val="18"/>
          <w:szCs w:val="18"/>
        </w:rPr>
        <w:footnoteReference w:id="14"/>
      </w:r>
      <w:r w:rsidR="00290B3A">
        <w:rPr>
          <w:rFonts w:ascii="Verdana" w:hAnsi="Verdana"/>
          <w:color w:val="262626"/>
          <w:sz w:val="18"/>
          <w:szCs w:val="18"/>
        </w:rPr>
        <w:t>, but makes sure to reiterate that it is a purely advisory report that has no power to enforce its advice. The main focus regards a scheme of duelling and tunnelling the A303 over a distance of 2.9km as it passes Stonehenge. Immediately the report outlines 3 issues that need to be considered</w:t>
      </w:r>
      <w:r w:rsidR="00B77AB0">
        <w:rPr>
          <w:rFonts w:ascii="Verdana" w:hAnsi="Verdana"/>
          <w:color w:val="262626"/>
          <w:sz w:val="18"/>
          <w:szCs w:val="18"/>
        </w:rPr>
        <w:t>:</w:t>
      </w:r>
    </w:p>
    <w:p w14:paraId="002E4FAA" w14:textId="01E36652" w:rsidR="00B77AB0" w:rsidRDefault="00B77AB0" w:rsidP="00B77AB0">
      <w:pPr>
        <w:pStyle w:val="ListParagraph"/>
        <w:numPr>
          <w:ilvl w:val="0"/>
          <w:numId w:val="1"/>
        </w:numPr>
        <w:rPr>
          <w:rFonts w:ascii="Verdana" w:hAnsi="Verdana"/>
          <w:color w:val="262626"/>
          <w:sz w:val="18"/>
          <w:szCs w:val="18"/>
        </w:rPr>
      </w:pPr>
      <w:r>
        <w:rPr>
          <w:rFonts w:ascii="Verdana" w:hAnsi="Verdana"/>
          <w:color w:val="262626"/>
          <w:sz w:val="18"/>
          <w:szCs w:val="18"/>
        </w:rPr>
        <w:t>T</w:t>
      </w:r>
      <w:r w:rsidRPr="00B77AB0">
        <w:rPr>
          <w:rFonts w:ascii="Verdana" w:hAnsi="Verdana"/>
          <w:color w:val="262626"/>
          <w:sz w:val="18"/>
          <w:szCs w:val="18"/>
        </w:rPr>
        <w:t>he position of the tunnelling should help to restore the ‘visual integrity’ of one part of the Stonehenge site.</w:t>
      </w:r>
    </w:p>
    <w:p w14:paraId="2FB0FA3A" w14:textId="77777777" w:rsidR="00B77AB0" w:rsidRDefault="00B77AB0" w:rsidP="00B77AB0">
      <w:pPr>
        <w:pStyle w:val="ListParagraph"/>
        <w:numPr>
          <w:ilvl w:val="0"/>
          <w:numId w:val="1"/>
        </w:numPr>
        <w:rPr>
          <w:rFonts w:ascii="Verdana" w:hAnsi="Verdana"/>
          <w:color w:val="262626"/>
          <w:sz w:val="18"/>
          <w:szCs w:val="18"/>
        </w:rPr>
      </w:pPr>
      <w:r>
        <w:rPr>
          <w:rFonts w:ascii="Verdana" w:hAnsi="Verdana"/>
          <w:color w:val="262626"/>
          <w:sz w:val="18"/>
          <w:szCs w:val="18"/>
        </w:rPr>
        <w:t>T</w:t>
      </w:r>
      <w:r w:rsidR="00CC2559" w:rsidRPr="00B77AB0">
        <w:rPr>
          <w:rFonts w:ascii="Verdana" w:hAnsi="Verdana"/>
          <w:color w:val="262626"/>
          <w:sz w:val="18"/>
          <w:szCs w:val="18"/>
        </w:rPr>
        <w:t>h</w:t>
      </w:r>
      <w:r w:rsidRPr="00B77AB0">
        <w:rPr>
          <w:rFonts w:ascii="Verdana" w:hAnsi="Verdana"/>
          <w:color w:val="262626"/>
          <w:sz w:val="18"/>
          <w:szCs w:val="18"/>
        </w:rPr>
        <w:t xml:space="preserve">e work would likely lead to loss of integrity in the archaeological layers of the site. </w:t>
      </w:r>
    </w:p>
    <w:p w14:paraId="4775767D" w14:textId="36074F20" w:rsidR="00B06327" w:rsidRPr="00B77AB0" w:rsidRDefault="00B77AB0" w:rsidP="00B77AB0">
      <w:pPr>
        <w:pStyle w:val="ListParagraph"/>
        <w:numPr>
          <w:ilvl w:val="0"/>
          <w:numId w:val="1"/>
        </w:numPr>
        <w:rPr>
          <w:rFonts w:ascii="Verdana" w:hAnsi="Verdana"/>
          <w:color w:val="262626"/>
          <w:sz w:val="18"/>
          <w:szCs w:val="18"/>
        </w:rPr>
      </w:pPr>
      <w:r>
        <w:rPr>
          <w:rFonts w:ascii="Verdana" w:hAnsi="Verdana"/>
          <w:color w:val="262626"/>
          <w:sz w:val="18"/>
          <w:szCs w:val="18"/>
        </w:rPr>
        <w:t>T</w:t>
      </w:r>
      <w:r w:rsidRPr="00B77AB0">
        <w:rPr>
          <w:rFonts w:ascii="Verdana" w:hAnsi="Verdana"/>
          <w:color w:val="262626"/>
          <w:sz w:val="18"/>
          <w:szCs w:val="18"/>
        </w:rPr>
        <w:t>he public will lose the ability to see Stonehenge from the road</w:t>
      </w:r>
      <w:r w:rsidR="00E63DFE">
        <w:rPr>
          <w:rFonts w:ascii="Verdana" w:hAnsi="Verdana"/>
          <w:color w:val="262626"/>
          <w:sz w:val="18"/>
          <w:szCs w:val="18"/>
        </w:rPr>
        <w:t>, “</w:t>
      </w:r>
      <w:r w:rsidR="00E63DFE" w:rsidRPr="00E63DFE">
        <w:rPr>
          <w:rFonts w:ascii="Verdana" w:hAnsi="Verdana"/>
          <w:color w:val="262626"/>
          <w:sz w:val="18"/>
          <w:szCs w:val="18"/>
        </w:rPr>
        <w:t>which might be perceived as a value for sharing this heritage</w:t>
      </w:r>
      <w:r w:rsidR="00E63DFE">
        <w:rPr>
          <w:rFonts w:ascii="Verdana" w:hAnsi="Verdana"/>
          <w:color w:val="262626"/>
          <w:sz w:val="18"/>
          <w:szCs w:val="18"/>
        </w:rPr>
        <w:t>”</w:t>
      </w:r>
      <w:r w:rsidR="00E63DFE">
        <w:rPr>
          <w:rStyle w:val="FootnoteReference"/>
          <w:rFonts w:ascii="Verdana" w:hAnsi="Verdana"/>
          <w:color w:val="262626"/>
          <w:sz w:val="18"/>
          <w:szCs w:val="18"/>
        </w:rPr>
        <w:footnoteReference w:id="15"/>
      </w:r>
      <w:r w:rsidRPr="00B77AB0">
        <w:rPr>
          <w:rFonts w:ascii="Verdana" w:hAnsi="Verdana"/>
          <w:color w:val="262626"/>
          <w:sz w:val="18"/>
          <w:szCs w:val="18"/>
        </w:rPr>
        <w:t>.</w:t>
      </w:r>
    </w:p>
    <w:p w14:paraId="665D698D" w14:textId="5AEC512D" w:rsidR="00B77AB0" w:rsidRDefault="00B77AB0" w:rsidP="00B06327">
      <w:pPr>
        <w:rPr>
          <w:rFonts w:ascii="Verdana" w:hAnsi="Verdana"/>
          <w:color w:val="262626"/>
          <w:sz w:val="18"/>
          <w:szCs w:val="18"/>
        </w:rPr>
      </w:pPr>
      <w:r>
        <w:rPr>
          <w:rFonts w:ascii="Verdana" w:hAnsi="Verdana"/>
          <w:color w:val="262626"/>
          <w:sz w:val="18"/>
          <w:szCs w:val="18"/>
        </w:rPr>
        <w:t xml:space="preserve">Issue one is directly linked to the landscape – reinforcing the appearance of an authentic landscape and increasing the cultural value of the experience of visiting the site. Issue 2 is emblematic of a difficult aspect of heritage management – managing the site in modernity versus exploring the history of the site. Sometimes, the impact that tourists have on a site is very direct, such as taking chips from statues, graffiti, litter or myriad other things. In this instance, the tunnelling is for the benefit of tourists, but not directly caused by. It is essentially a cost / opportunity evaluation: do we want to potentially lose information and links to the past via archaeology to enhance the experience of the modern visitor? It could be argued (and I would argue) that the potential improvement is worth the potential risk. </w:t>
      </w:r>
      <w:r w:rsidR="00E63DFE">
        <w:rPr>
          <w:rFonts w:ascii="Verdana" w:hAnsi="Verdana"/>
          <w:color w:val="262626"/>
          <w:sz w:val="18"/>
          <w:szCs w:val="18"/>
        </w:rPr>
        <w:t xml:space="preserve">The third point is interesting, and one that could easily be missed. </w:t>
      </w:r>
      <w:r w:rsidR="000B0EBD">
        <w:rPr>
          <w:rFonts w:ascii="Verdana" w:hAnsi="Verdana"/>
          <w:color w:val="262626"/>
          <w:sz w:val="18"/>
          <w:szCs w:val="18"/>
        </w:rPr>
        <w:t>The A303 is an important, high traffic road – roughly 22,800 vehicles used it on average every day in 2017</w:t>
      </w:r>
      <w:r w:rsidR="000B0EBD">
        <w:rPr>
          <w:rStyle w:val="FootnoteReference"/>
          <w:rFonts w:ascii="Verdana" w:hAnsi="Verdana"/>
          <w:color w:val="262626"/>
          <w:sz w:val="18"/>
          <w:szCs w:val="18"/>
        </w:rPr>
        <w:footnoteReference w:id="16"/>
      </w:r>
      <w:r w:rsidR="000B0EBD">
        <w:rPr>
          <w:rFonts w:ascii="Verdana" w:hAnsi="Verdana"/>
          <w:color w:val="262626"/>
          <w:sz w:val="18"/>
          <w:szCs w:val="18"/>
        </w:rPr>
        <w:t>. Travellers along this route would come to be accustomed to the sight of Stonehenge as they pass by it, and thus would pass into a more specific form of heritage which would be lost if the route was tunnelled. It seems apparent that this issue carries less weight than the other two, but it should be remembered that some people will not ever have interest in visiting the actual site, and the sight of the stones as they pass by would be the only interaction they ever have ‘in the flesh’</w:t>
      </w:r>
      <w:r w:rsidR="00FB23EC">
        <w:rPr>
          <w:rFonts w:ascii="Verdana" w:hAnsi="Verdana"/>
          <w:color w:val="262626"/>
          <w:sz w:val="18"/>
          <w:szCs w:val="18"/>
        </w:rPr>
        <w:t>, and in that sense the heritage value is damaged.</w:t>
      </w:r>
    </w:p>
    <w:p w14:paraId="36F30B42" w14:textId="1988574C" w:rsidR="00FB23EC" w:rsidRDefault="00FB23EC" w:rsidP="00B06327">
      <w:pPr>
        <w:rPr>
          <w:rFonts w:ascii="Verdana" w:hAnsi="Verdana"/>
          <w:color w:val="262626"/>
          <w:sz w:val="18"/>
          <w:szCs w:val="18"/>
        </w:rPr>
      </w:pPr>
      <w:r>
        <w:rPr>
          <w:rFonts w:ascii="Verdana" w:hAnsi="Verdana"/>
          <w:color w:val="262626"/>
          <w:sz w:val="18"/>
          <w:szCs w:val="18"/>
        </w:rPr>
        <w:t>The report continues with an outline of the site, and of public reaction (generally positive). A section then is dedicated to preliminary archaeological works, undertaken largely by Wessex Archaeology</w:t>
      </w:r>
      <w:r>
        <w:rPr>
          <w:rStyle w:val="FootnoteReference"/>
          <w:rFonts w:ascii="Verdana" w:hAnsi="Verdana"/>
          <w:color w:val="262626"/>
          <w:sz w:val="18"/>
          <w:szCs w:val="18"/>
        </w:rPr>
        <w:footnoteReference w:id="17"/>
      </w:r>
      <w:r>
        <w:rPr>
          <w:rFonts w:ascii="Verdana" w:hAnsi="Verdana"/>
          <w:color w:val="262626"/>
          <w:sz w:val="18"/>
          <w:szCs w:val="18"/>
        </w:rPr>
        <w:t>, and their impact on the outstanding universal value (OUV) that is assigned to the site by UNESCO.</w:t>
      </w:r>
    </w:p>
    <w:p w14:paraId="1E89C27F" w14:textId="28E2FC53" w:rsidR="00B9142C" w:rsidRDefault="00B9142C" w:rsidP="00B06327">
      <w:pPr>
        <w:rPr>
          <w:rFonts w:ascii="Verdana" w:hAnsi="Verdana"/>
          <w:color w:val="262626"/>
          <w:sz w:val="18"/>
          <w:szCs w:val="18"/>
        </w:rPr>
      </w:pPr>
      <w:r>
        <w:rPr>
          <w:rFonts w:ascii="Verdana" w:hAnsi="Verdana"/>
          <w:color w:val="262626"/>
          <w:sz w:val="18"/>
          <w:szCs w:val="18"/>
        </w:rPr>
        <w:t>An important section follows regarding the route selection process, which states that the procedure included assessment of the corridors against the National Policy Statement for National Networks</w:t>
      </w:r>
      <w:r>
        <w:rPr>
          <w:rStyle w:val="FootnoteReference"/>
          <w:rFonts w:ascii="Verdana" w:hAnsi="Verdana"/>
          <w:color w:val="262626"/>
          <w:sz w:val="18"/>
          <w:szCs w:val="18"/>
        </w:rPr>
        <w:footnoteReference w:id="18"/>
      </w:r>
      <w:r>
        <w:rPr>
          <w:rFonts w:ascii="Verdana" w:hAnsi="Verdana"/>
          <w:color w:val="262626"/>
          <w:sz w:val="18"/>
          <w:szCs w:val="18"/>
        </w:rPr>
        <w:t>. The necessary areas for assessment are</w:t>
      </w:r>
    </w:p>
    <w:p w14:paraId="56F8F7FC" w14:textId="5B2CA4C3"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Air quality.</w:t>
      </w:r>
    </w:p>
    <w:p w14:paraId="5AB9B510" w14:textId="28C7FBCC"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 xml:space="preserve">Carbon emissions. </w:t>
      </w:r>
    </w:p>
    <w:p w14:paraId="1B13782F" w14:textId="6E4C4F65"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Biodiversity.</w:t>
      </w:r>
    </w:p>
    <w:p w14:paraId="008ECCE8" w14:textId="5E2FE852"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Waste management.</w:t>
      </w:r>
    </w:p>
    <w:p w14:paraId="6EF083E7" w14:textId="213F0F3E"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Civil and military aviation and defence interests.</w:t>
      </w:r>
    </w:p>
    <w:p w14:paraId="0B38756C" w14:textId="56E466C6"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Coastal change.</w:t>
      </w:r>
    </w:p>
    <w:p w14:paraId="13479618" w14:textId="107D769B"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Dust, odour, artificial light, smoke, steam.</w:t>
      </w:r>
    </w:p>
    <w:p w14:paraId="383BE4F6" w14:textId="30E06F8A"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Flood risk.</w:t>
      </w:r>
    </w:p>
    <w:p w14:paraId="2D23C0C0" w14:textId="4A491901"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Land instability.</w:t>
      </w:r>
    </w:p>
    <w:p w14:paraId="7151149A" w14:textId="5378338C"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The historic environment.</w:t>
      </w:r>
    </w:p>
    <w:p w14:paraId="455E6C2F" w14:textId="68E2F6FC"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Land use including open space, green infrastructure and greenbelt.</w:t>
      </w:r>
    </w:p>
    <w:p w14:paraId="662A19BB" w14:textId="3079B2B2"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Noise and vibration.</w:t>
      </w:r>
    </w:p>
    <w:p w14:paraId="47C92CC2" w14:textId="788FE799" w:rsid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Impact on transport networks.</w:t>
      </w:r>
    </w:p>
    <w:p w14:paraId="43B4E12D" w14:textId="4740AFB1" w:rsidR="00B9142C" w:rsidRPr="00B9142C" w:rsidRDefault="00B9142C" w:rsidP="00B9142C">
      <w:pPr>
        <w:pStyle w:val="ListParagraph"/>
        <w:numPr>
          <w:ilvl w:val="0"/>
          <w:numId w:val="2"/>
        </w:numPr>
        <w:rPr>
          <w:rFonts w:ascii="Verdana" w:hAnsi="Verdana"/>
          <w:color w:val="262626"/>
          <w:sz w:val="18"/>
          <w:szCs w:val="18"/>
        </w:rPr>
      </w:pPr>
      <w:r>
        <w:rPr>
          <w:rFonts w:ascii="Verdana" w:hAnsi="Verdana"/>
          <w:color w:val="262626"/>
          <w:sz w:val="18"/>
          <w:szCs w:val="18"/>
        </w:rPr>
        <w:t>Water quality and resources.</w:t>
      </w:r>
    </w:p>
    <w:p w14:paraId="17C32B33" w14:textId="79230CC7" w:rsidR="00E934F2" w:rsidRDefault="00B9142C">
      <w:r>
        <w:lastRenderedPageBreak/>
        <w:t xml:space="preserve">When one considers the improvements to Stonehenge, it would be tempting to consider just the historic environment. However, the historic environment sits among 13 other points that must be considered and evaluated. </w:t>
      </w:r>
      <w:r w:rsidR="00A04E87">
        <w:t>This is an essential aspect of heritage – a constant push and pull between multiple different interests. In this, the report makes recommendations for one of the route options on the table, but an interesting point is made towards the end of the segment:</w:t>
      </w:r>
    </w:p>
    <w:p w14:paraId="50AE334A" w14:textId="359F196F" w:rsidR="00A04E87" w:rsidRDefault="00A04E87" w:rsidP="00A04E87">
      <w:pPr>
        <w:rPr>
          <w:color w:val="5B9BD5" w:themeColor="accent1"/>
        </w:rPr>
      </w:pPr>
      <w:r w:rsidRPr="00A04E87">
        <w:rPr>
          <w:color w:val="5B9BD5" w:themeColor="accent1"/>
        </w:rPr>
        <w:t>“For a World Heritage property, a simple balance between positive and benefit impacts is not appropriate. The appropriate ‘test’ is not whether or not there is a net benefit to OUV or other heritage values, but rather whether the outcome has an adverse impact on OUV.”</w:t>
      </w:r>
      <w:r w:rsidRPr="00A04E87">
        <w:rPr>
          <w:rStyle w:val="FootnoteReference"/>
          <w:color w:val="5B9BD5" w:themeColor="accent1"/>
        </w:rPr>
        <w:footnoteReference w:id="19"/>
      </w:r>
      <w:r w:rsidRPr="00A04E87">
        <w:rPr>
          <w:color w:val="5B9BD5" w:themeColor="accent1"/>
        </w:rPr>
        <w:t>.</w:t>
      </w:r>
    </w:p>
    <w:p w14:paraId="339F8B52" w14:textId="28526E16" w:rsidR="00A04E87" w:rsidRDefault="00A04E87" w:rsidP="00A04E87">
      <w:r>
        <w:t>Thus,</w:t>
      </w:r>
      <w:r w:rsidR="00842E72">
        <w:t xml:space="preserve"> they</w:t>
      </w:r>
      <w:r>
        <w:t xml:space="preserve"> outline the outright goal of the report – not improvement but preservation. </w:t>
      </w:r>
      <w:r w:rsidR="00842E72">
        <w:t>I consider this to be a short sighted and unhelpful approach, but it is the approach that is used.</w:t>
      </w:r>
    </w:p>
    <w:p w14:paraId="7D561935" w14:textId="6B11F093" w:rsidR="00842E72" w:rsidRDefault="00842E72" w:rsidP="00A04E87"/>
    <w:p w14:paraId="2A472E04" w14:textId="67A5EDF2" w:rsidR="00842E72" w:rsidRDefault="00842E72" w:rsidP="00A04E87">
      <w:r>
        <w:t xml:space="preserve">The historic landscape is not the only issue associated with Stonehenge. As discussed previously, people visit Stonehenge for many reasons, and for each of these people Stonehenge is a little bit different. </w:t>
      </w:r>
      <w:r w:rsidR="00C013D3">
        <w:t xml:space="preserve"> One of those interpretations is that of a religious sit</w:t>
      </w:r>
      <w:r w:rsidR="004751B4">
        <w:t>e, as Stonehenge is a very important place in certain druidic or neo-pagan groups. This leads generally to disagreement between these religious groups and heritage bodies, and this is the element of contested heritage. The current stewards of Stonehenge, Historic England, has the primary goal of preservation and conservation – in its current state, it is an “encaged monument”</w:t>
      </w:r>
      <w:r w:rsidR="004751B4">
        <w:rPr>
          <w:rStyle w:val="FootnoteReference"/>
        </w:rPr>
        <w:footnoteReference w:id="20"/>
      </w:r>
      <w:r w:rsidR="004751B4">
        <w:t>. Alongside the historians, archaeologists and traditional tourists, there are representatives of the ‘alternate’ – earth mystics, dowsers, and ley-line hunters in addition to the druidic and the neo-pagan. You cannot discount these versions of Stonehenge – the past is essentially ethereal, and those who would pay due reverence to an object of historical interest without wanting to take away from the experience of said object from others have just as much claim to an object created thousands of years ago.</w:t>
      </w:r>
    </w:p>
    <w:p w14:paraId="63A63E18" w14:textId="0B3B0904" w:rsidR="00A9507F" w:rsidRDefault="00A9507F" w:rsidP="00A04E87">
      <w:r>
        <w:t xml:space="preserve">One of the ways that ‘authority’ has attempted to reconcile these views is </w:t>
      </w:r>
      <w:r w:rsidR="005A0870">
        <w:t xml:space="preserve">through what are officially called ‘managed open access’ events. </w:t>
      </w:r>
      <w:r w:rsidR="0051381E">
        <w:t>The origins of these events, in which people gather at the stones in much closer proximity than usually permitted on the dates of the winter and summer solstices, lie within the ‘Peoples Free Festival’ that ran from 1974 to 1984. Blain and Wallis discuss how these events “unsettled the authority”</w:t>
      </w:r>
      <w:r w:rsidR="0051381E">
        <w:rPr>
          <w:rStyle w:val="FootnoteReference"/>
        </w:rPr>
        <w:footnoteReference w:id="21"/>
      </w:r>
      <w:r w:rsidR="0051381E">
        <w:t xml:space="preserve"> with overt contravention of society conventions and black-market economy, whilst the location upset local custodians and archaeologists. This meant, it was argued, that the event was doomed from the start. However, the attachment to the event and what it meant to the people who attended was underestimated: the violence suffered be a ‘peace convoy’ of protestors at the hands of the police at what would be known as the ‘battle of the beanfield’ and the 4 mile exclusion zone that would be enforced in the following years</w:t>
      </w:r>
      <w:r w:rsidR="00EB6F30">
        <w:t xml:space="preserve"> would cement Stonehenge and attending the stones as a symbol of resistance. </w:t>
      </w:r>
    </w:p>
    <w:p w14:paraId="6E500321" w14:textId="10D77984" w:rsidR="00BC4ED8" w:rsidRDefault="00EB6F30" w:rsidP="00A04E87">
      <w:r>
        <w:t>Years of active rebellion would culminate in 2000, when the first of the modern managed open access events took place. Numbers were low at only 5</w:t>
      </w:r>
      <w:r w:rsidR="00BC4ED8">
        <w:t>,</w:t>
      </w:r>
      <w:r>
        <w:t>000</w:t>
      </w:r>
      <w:r>
        <w:rPr>
          <w:rStyle w:val="FootnoteReference"/>
        </w:rPr>
        <w:footnoteReference w:id="22"/>
      </w:r>
      <w:r w:rsidR="00BC4ED8">
        <w:t xml:space="preserve"> in the first </w:t>
      </w:r>
      <w:r w:rsidR="007A7BC7">
        <w:t>event but</w:t>
      </w:r>
      <w:r w:rsidR="00BC4ED8">
        <w:t xml:space="preserve"> have since grown to heights of 31,000 in 2003</w:t>
      </w:r>
      <w:r w:rsidR="00BC4ED8">
        <w:rPr>
          <w:rStyle w:val="FootnoteReference"/>
        </w:rPr>
        <w:footnoteReference w:id="23"/>
      </w:r>
      <w:r w:rsidR="00BC4ED8">
        <w:t xml:space="preserve"> - 2017 saw numbers of 13,000</w:t>
      </w:r>
      <w:r w:rsidR="00BC4ED8">
        <w:rPr>
          <w:rStyle w:val="FootnoteReference"/>
        </w:rPr>
        <w:footnoteReference w:id="24"/>
      </w:r>
      <w:r w:rsidR="00BC4ED8">
        <w:t xml:space="preserve">. These events have no defined schedule, almost no plan – an opening time and a leaving time, and everything else is fair game. </w:t>
      </w:r>
      <w:r w:rsidR="00BC4ED8">
        <w:lastRenderedPageBreak/>
        <w:t xml:space="preserve">There is generally a party-like atmosphere, with music, dancing, drinking, drug usage and all the associated activities. It is obviously a popular event, but the issues that may be had are obvious. If it is the job of heritage custodians to protect our historical monuments, especially those of world importance, then it seems an obvious detriment to allow such revelries directly next to, or in some cases on top of (this is disallowed by event management, but does not stop everyone) the stones – the potential for damage either deliberately or accidentally, and of simple wear and tear is certainly present. The fact is, the solstice is a matter of great spiritual importance for a </w:t>
      </w:r>
      <w:r w:rsidR="006D65F8">
        <w:t>substantial population, and they must be allowed to interact with their heritage in the same way that Historic England and UNESCO allow the mainstream to interact with theirs – and if this happens to open the way for what would be considered disrespectful party goers</w:t>
      </w:r>
      <w:r w:rsidR="006D65F8">
        <w:rPr>
          <w:rStyle w:val="FootnoteReference"/>
        </w:rPr>
        <w:footnoteReference w:id="25"/>
      </w:r>
      <w:r w:rsidR="006D65F8">
        <w:t>, then so be it.</w:t>
      </w:r>
    </w:p>
    <w:p w14:paraId="0FDEC350" w14:textId="30E959A8" w:rsidR="006D65F8" w:rsidRDefault="006D65F8" w:rsidP="00A04E87">
      <w:r>
        <w:t>The interaction between the druidic / neo-pagan / alternative communities and the heritage custodians are a prime example of the difficulties of contested heritage. Even though both sides have the same understanding of the history of Stonehenge</w:t>
      </w:r>
      <w:r w:rsidR="00F97FDD">
        <w:t>, a site of ritual used by peoples at the very least analogous to druidic groups today, their desired experience of the same heritage is very different. Even within the alternative groups their ideas of the heritage of the site result in different expectation and desires for the future of the managed open access events – some wanting something more sombre, some wanting a fuller party experience.</w:t>
      </w:r>
    </w:p>
    <w:p w14:paraId="096D1578" w14:textId="1BE0B97B" w:rsidR="00F97FDD" w:rsidRDefault="00351782" w:rsidP="00A04E87">
      <w:r>
        <w:t>In terms of tourism, the managed open access events are a unique challenge: Historic England do not charge for entry (though in recent years have introduced a parking fee, to the chagrin of many). In a purely direct financial sense, it is only a loss. However, one cannot discount the more ethereal impact. An important aspect of the perception of Stonehenge is the ritual – as impressive as the stones are, they wouldn’t capture the imagination of the world without this link to the people of the past. The postulation that the modern observances of the solstice events at Stonehenge have a genuine positive impact on the aura of the site, that the continuation of the thread of use from the past to the present, and thus increase tourist revenue, is untested and perhaps untestable. However, as with most heritage, the objects continue to live in the present – and adding the positivity of the open access events to the living present of Stonehenge is for sure an admirable goal.</w:t>
      </w:r>
    </w:p>
    <w:p w14:paraId="17385776" w14:textId="6780110C" w:rsidR="00351782" w:rsidRDefault="00351782" w:rsidP="00A04E87"/>
    <w:p w14:paraId="371AE8A1" w14:textId="46861720" w:rsidR="00351782" w:rsidRDefault="00356B4D" w:rsidP="00A04E87">
      <w:r>
        <w:t>There are myriad more issues regarding Stonehenge than have been discussed here, and the discussion has been happening for a long time. In 2000, Geoffrey Wainwright published an article titled “The Stonehenge We Deserve” which outlined the contemporary political situation of the state of the site as well as a history of discussion and argumentation</w:t>
      </w:r>
      <w:r>
        <w:rPr>
          <w:rStyle w:val="FootnoteReference"/>
        </w:rPr>
        <w:footnoteReference w:id="26"/>
      </w:r>
      <w:r>
        <w:t>. Immediately, several people fired back with “The Stonehenge We Don’t Deserve”</w:t>
      </w:r>
      <w:r>
        <w:rPr>
          <w:rStyle w:val="FootnoteReference"/>
        </w:rPr>
        <w:footnoteReference w:id="27"/>
      </w:r>
      <w:r>
        <w:t>. Debates continue to this day, so we should be looking forward.</w:t>
      </w:r>
      <w:bookmarkStart w:id="0" w:name="_GoBack"/>
      <w:bookmarkEnd w:id="0"/>
      <w:r>
        <w:t xml:space="preserve"> </w:t>
      </w:r>
      <w:r w:rsidR="00351782">
        <w:t xml:space="preserve">The future for Stonehenge is bright. The custodians still seek positive ways to improve the historic landscape, to provide a genuine experience of the site to both ‘regular’ tourists (thus generating the income required to </w:t>
      </w:r>
      <w:r w:rsidR="001B0E9F">
        <w:t>preserve the monument)</w:t>
      </w:r>
      <w:r w:rsidR="00351782">
        <w:t xml:space="preserve"> and ‘alternative’ attendees</w:t>
      </w:r>
      <w:r w:rsidR="001B0E9F">
        <w:t>, and to enrich the grandeur of the site of outstanding universal value. Moving forward, these interests must continue to be advanced but to be balanced against each other</w:t>
      </w:r>
      <w:r>
        <w:t>, to provide a Stonehenge that serves the functions it needs to serve for as many people as possible.</w:t>
      </w:r>
    </w:p>
    <w:p w14:paraId="5F22422D" w14:textId="4051AAC3" w:rsidR="00AC791F" w:rsidRDefault="00AC791F" w:rsidP="00A04E87">
      <w:pPr>
        <w:rPr>
          <w:sz w:val="28"/>
          <w:szCs w:val="28"/>
        </w:rPr>
      </w:pPr>
    </w:p>
    <w:sdt>
      <w:sdtPr>
        <w:rPr>
          <w:rFonts w:asciiTheme="minorHAnsi" w:eastAsiaTheme="minorHAnsi" w:hAnsiTheme="minorHAnsi" w:cstheme="minorBidi"/>
          <w:color w:val="auto"/>
          <w:sz w:val="22"/>
          <w:szCs w:val="22"/>
          <w:lang w:val="en-GB"/>
        </w:rPr>
        <w:id w:val="1573384377"/>
        <w:docPartObj>
          <w:docPartGallery w:val="Bibliographies"/>
          <w:docPartUnique/>
        </w:docPartObj>
      </w:sdtPr>
      <w:sdtEndPr/>
      <w:sdtContent>
        <w:p w14:paraId="735B374A" w14:textId="1B033469" w:rsidR="00AC791F" w:rsidRDefault="00AC791F">
          <w:pPr>
            <w:pStyle w:val="Heading1"/>
          </w:pPr>
          <w:r>
            <w:t>Bibliography</w:t>
          </w:r>
        </w:p>
        <w:p w14:paraId="64FE705F" w14:textId="38F206D7" w:rsidR="00AE5327" w:rsidRPr="00AE5327" w:rsidRDefault="00AE5327" w:rsidP="00AE5327">
          <w:pPr>
            <w:rPr>
              <w:lang w:val="en-US"/>
            </w:rPr>
          </w:pPr>
          <w:r w:rsidRPr="00AE5327">
            <w:rPr>
              <w:lang w:val="en-US"/>
            </w:rPr>
            <w:t>Alva.org.uk. (2018). ALVA | Association of Leading Visitor Attractions. [online] Available at: http://www.alva.org.uk/details.cfm?p=609 [Accessed 5 Apr. 2019].</w:t>
          </w:r>
        </w:p>
        <w:sdt>
          <w:sdtPr>
            <w:id w:val="111145805"/>
            <w:bibliography/>
          </w:sdtPr>
          <w:sdtEndPr/>
          <w:sdtContent>
            <w:p w14:paraId="48577251" w14:textId="7F4A3844" w:rsidR="00AC791F" w:rsidRDefault="00AC791F" w:rsidP="00AC791F">
              <w:pPr>
                <w:pStyle w:val="Bibliography"/>
                <w:ind w:left="720" w:hanging="720"/>
              </w:pPr>
              <w:r w:rsidRPr="00AC791F">
                <w:t>BBC News. (2017). Summer solstice crowds at Stonehenge. [online] Available at: https://www.bbc.co.uk/news/uk-england-wiltshire-40352528 [Accessed 5 Apr. 2019].</w:t>
              </w:r>
            </w:p>
            <w:p w14:paraId="4F9F95FE" w14:textId="53503D95" w:rsidR="00AC791F" w:rsidRDefault="00AC791F" w:rsidP="00AC791F">
              <w:pPr>
                <w:pStyle w:val="Bibliography"/>
                <w:ind w:left="720" w:hanging="720"/>
              </w:pPr>
              <w:r w:rsidRPr="00AC791F">
                <w:t>Blain, J. and Wallis, R. (2007). Sacred sites - contested rites/rights. Brighton: Sussex Acad. Press.</w:t>
              </w:r>
            </w:p>
            <w:p w14:paraId="6DB03011" w14:textId="2BB4BC11" w:rsidR="00AC791F" w:rsidRDefault="00AC791F" w:rsidP="00AC791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Boorstin, D. (1961). </w:t>
              </w:r>
              <w:r>
                <w:rPr>
                  <w:i/>
                  <w:iCs/>
                  <w:noProof/>
                  <w:lang w:val="en-US"/>
                </w:rPr>
                <w:t>The Image: A Guide to Pseudo-Events in America.</w:t>
              </w:r>
              <w:r>
                <w:rPr>
                  <w:noProof/>
                  <w:lang w:val="en-US"/>
                </w:rPr>
                <w:t xml:space="preserve"> New York: Harper and Row.</w:t>
              </w:r>
            </w:p>
            <w:p w14:paraId="1B30FC9B" w14:textId="77777777" w:rsidR="00AC791F" w:rsidRDefault="00AC791F" w:rsidP="00AC791F">
              <w:pPr>
                <w:pStyle w:val="Bibliography"/>
                <w:ind w:left="720" w:hanging="720"/>
                <w:rPr>
                  <w:noProof/>
                  <w:lang w:val="en-US"/>
                </w:rPr>
              </w:pPr>
              <w:r>
                <w:rPr>
                  <w:noProof/>
                  <w:lang w:val="en-US"/>
                </w:rPr>
                <w:t xml:space="preserve">Chippindale, C. (2012). </w:t>
              </w:r>
              <w:r>
                <w:rPr>
                  <w:i/>
                  <w:iCs/>
                  <w:noProof/>
                  <w:lang w:val="en-US"/>
                </w:rPr>
                <w:t>Stonehenge Complete.</w:t>
              </w:r>
              <w:r>
                <w:rPr>
                  <w:noProof/>
                  <w:lang w:val="en-US"/>
                </w:rPr>
                <w:t xml:space="preserve"> London: Thames and Hudson Ltd.</w:t>
              </w:r>
            </w:p>
            <w:p w14:paraId="415786AC" w14:textId="77777777" w:rsidR="00AC791F" w:rsidRDefault="00AC791F" w:rsidP="00AC791F">
              <w:pPr>
                <w:pStyle w:val="Bibliography"/>
                <w:ind w:left="720" w:hanging="720"/>
                <w:rPr>
                  <w:noProof/>
                  <w:lang w:val="en-US"/>
                </w:rPr>
              </w:pPr>
              <w:r>
                <w:rPr>
                  <w:noProof/>
                  <w:lang w:val="en-US"/>
                </w:rPr>
                <w:t xml:space="preserve">ICOMOS. (2017). </w:t>
              </w:r>
              <w:r>
                <w:rPr>
                  <w:i/>
                  <w:iCs/>
                  <w:noProof/>
                  <w:lang w:val="en-US"/>
                </w:rPr>
                <w:t>Report on the joint World Heritage Centre / ICOMOS Advisory Mission to Stonehenge, Avebury and Associated Sites.</w:t>
              </w:r>
              <w:r>
                <w:rPr>
                  <w:noProof/>
                  <w:lang w:val="en-US"/>
                </w:rPr>
                <w:t xml:space="preserve"> </w:t>
              </w:r>
            </w:p>
            <w:p w14:paraId="55D64F72" w14:textId="4479B1A1" w:rsidR="00AC791F" w:rsidRDefault="00AC791F" w:rsidP="00AC791F">
              <w:pPr>
                <w:pStyle w:val="Bibliography"/>
                <w:ind w:left="720" w:hanging="720"/>
                <w:rPr>
                  <w:noProof/>
                  <w:lang w:val="en-US"/>
                </w:rPr>
              </w:pPr>
              <w:r>
                <w:rPr>
                  <w:noProof/>
                  <w:lang w:val="en-US"/>
                </w:rPr>
                <w:t xml:space="preserve">MacCannell, D. (1973). Staged Authenticity: Arrangements of Social Space in Tourist Settings. </w:t>
              </w:r>
              <w:r>
                <w:rPr>
                  <w:i/>
                  <w:iCs/>
                  <w:noProof/>
                  <w:lang w:val="en-US"/>
                </w:rPr>
                <w:t>American Journal of Sociology</w:t>
              </w:r>
              <w:r>
                <w:rPr>
                  <w:noProof/>
                  <w:lang w:val="en-US"/>
                </w:rPr>
                <w:t>, 589-603.</w:t>
              </w:r>
            </w:p>
            <w:p w14:paraId="0BA04874" w14:textId="6922A077" w:rsidR="00AE5327" w:rsidRPr="00AE5327" w:rsidRDefault="00AE5327" w:rsidP="00AE5327">
              <w:pPr>
                <w:rPr>
                  <w:lang w:val="en-US"/>
                </w:rPr>
              </w:pPr>
              <w:r w:rsidRPr="00AE5327">
                <w:rPr>
                  <w:lang w:val="en-US"/>
                </w:rPr>
                <w:t>Natural England (2013). NCA Profile:132 Salisbury Plain and West Wiltshire Downs - NE479. [online] Natural England - Access to Evidence. Available at: http://publications.naturalengland.org.uk/publication/5001829523914752?category=587130 [Accessed 5 Apr. 2019].</w:t>
              </w:r>
            </w:p>
            <w:p w14:paraId="21950ED2" w14:textId="77777777" w:rsidR="00AC791F" w:rsidRPr="00AC791F" w:rsidRDefault="00AC791F" w:rsidP="00AC791F">
              <w:pPr>
                <w:rPr>
                  <w:lang w:val="en-US"/>
                </w:rPr>
              </w:pPr>
              <w:r w:rsidRPr="00AC791F">
                <w:rPr>
                  <w:lang w:val="en-US"/>
                </w:rPr>
                <w:t>Roadtrafficstats.uk. (n.d.). Traffic statistics on the A303, Winterbourne Stoke, Wiltshire | SU066407. [online] Available at: https://roadtrafficstats.uk/traffic-statistics-wiltshire-a303-winterbourne-stoke-6874 [Accessed 5 Apr. 2019].</w:t>
              </w:r>
            </w:p>
            <w:p w14:paraId="19B2B5E3" w14:textId="4A839228" w:rsidR="00AC791F" w:rsidRDefault="00AC791F" w:rsidP="00AC791F">
              <w:pPr>
                <w:pStyle w:val="Bibliography"/>
                <w:rPr>
                  <w:noProof/>
                  <w:lang w:val="en-US"/>
                </w:rPr>
              </w:pPr>
              <w:r>
                <w:rPr>
                  <w:noProof/>
                  <w:lang w:val="en-US"/>
                </w:rPr>
                <w:t>Transport, D. f. (2014). National Policy Statement for National Networks.</w:t>
              </w:r>
            </w:p>
            <w:p w14:paraId="348AE5BE" w14:textId="777A9855" w:rsidR="00AE5327" w:rsidRPr="00AE5327" w:rsidRDefault="00AE5327" w:rsidP="00AE5327">
              <w:pPr>
                <w:rPr>
                  <w:lang w:val="en-US"/>
                </w:rPr>
              </w:pPr>
              <w:r>
                <w:rPr>
                  <w:lang w:val="en-US"/>
                </w:rPr>
                <w:t>UNESCO</w:t>
              </w:r>
              <w:r w:rsidRPr="00AE5327">
                <w:rPr>
                  <w:lang w:val="en-US"/>
                </w:rPr>
                <w:t xml:space="preserve"> (2019). Stonehenge, Avebury and Associated Sites. [online] Available at: https://whc.unesco.org/en/list/373 [Accessed 5 Apr. 2019].</w:t>
              </w:r>
            </w:p>
            <w:p w14:paraId="77F88766" w14:textId="77777777" w:rsidR="00AC791F" w:rsidRDefault="00AC791F" w:rsidP="00AC791F">
              <w:pPr>
                <w:pStyle w:val="Bibliography"/>
                <w:ind w:left="720" w:hanging="720"/>
                <w:rPr>
                  <w:noProof/>
                  <w:lang w:val="en-US"/>
                </w:rPr>
              </w:pPr>
              <w:r>
                <w:rPr>
                  <w:noProof/>
                  <w:lang w:val="en-US"/>
                </w:rPr>
                <w:t xml:space="preserve">Urry, J. (1995). </w:t>
              </w:r>
              <w:r>
                <w:rPr>
                  <w:i/>
                  <w:iCs/>
                  <w:noProof/>
                  <w:lang w:val="en-US"/>
                </w:rPr>
                <w:t>Consuming Places.</w:t>
              </w:r>
              <w:r>
                <w:rPr>
                  <w:noProof/>
                  <w:lang w:val="en-US"/>
                </w:rPr>
                <w:t xml:space="preserve"> London: Routledge.</w:t>
              </w:r>
            </w:p>
            <w:p w14:paraId="0D651217" w14:textId="0D1A4413" w:rsidR="00AC791F" w:rsidRDefault="00AC791F" w:rsidP="00AC791F">
              <w:r>
                <w:rPr>
                  <w:b/>
                  <w:bCs/>
                  <w:noProof/>
                </w:rPr>
                <w:fldChar w:fldCharType="end"/>
              </w:r>
            </w:p>
          </w:sdtContent>
        </w:sdt>
      </w:sdtContent>
    </w:sdt>
    <w:p w14:paraId="1810E2B1" w14:textId="77777777" w:rsidR="00AC791F" w:rsidRPr="00AC791F" w:rsidRDefault="00AC791F" w:rsidP="00A04E87"/>
    <w:p w14:paraId="6CB80EB0" w14:textId="6C1856E4" w:rsidR="00351782" w:rsidRDefault="00351782" w:rsidP="00A04E87"/>
    <w:p w14:paraId="7CCA6AD3" w14:textId="77777777" w:rsidR="00351782" w:rsidRPr="00A04E87" w:rsidRDefault="00351782" w:rsidP="00A04E87"/>
    <w:sectPr w:rsidR="00351782" w:rsidRPr="00A04E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3FE73" w14:textId="77777777" w:rsidR="009513C1" w:rsidRDefault="009513C1" w:rsidP="00E934F2">
      <w:pPr>
        <w:spacing w:after="0" w:line="240" w:lineRule="auto"/>
      </w:pPr>
      <w:r>
        <w:separator/>
      </w:r>
    </w:p>
  </w:endnote>
  <w:endnote w:type="continuationSeparator" w:id="0">
    <w:p w14:paraId="4EC8C17C" w14:textId="77777777" w:rsidR="009513C1" w:rsidRDefault="009513C1" w:rsidP="00E93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1EC3D" w14:textId="77777777" w:rsidR="009513C1" w:rsidRDefault="009513C1" w:rsidP="00E934F2">
      <w:pPr>
        <w:spacing w:after="0" w:line="240" w:lineRule="auto"/>
      </w:pPr>
      <w:r>
        <w:separator/>
      </w:r>
    </w:p>
  </w:footnote>
  <w:footnote w:type="continuationSeparator" w:id="0">
    <w:p w14:paraId="01BB2033" w14:textId="77777777" w:rsidR="009513C1" w:rsidRDefault="009513C1" w:rsidP="00E934F2">
      <w:pPr>
        <w:spacing w:after="0" w:line="240" w:lineRule="auto"/>
      </w:pPr>
      <w:r>
        <w:continuationSeparator/>
      </w:r>
    </w:p>
  </w:footnote>
  <w:footnote w:id="1">
    <w:p w14:paraId="605CA023" w14:textId="7AF29B98" w:rsidR="00501D39" w:rsidRDefault="00501D39">
      <w:pPr>
        <w:pStyle w:val="FootnoteText"/>
      </w:pPr>
      <w:r>
        <w:rPr>
          <w:rStyle w:val="FootnoteReference"/>
        </w:rPr>
        <w:footnoteRef/>
      </w:r>
      <w:r>
        <w:t xml:space="preserve"> </w:t>
      </w:r>
      <w:r w:rsidRPr="00501D39">
        <w:t>http://publications.naturalengland.org.uk/publication/5001829523914752?category=587130</w:t>
      </w:r>
    </w:p>
  </w:footnote>
  <w:footnote w:id="2">
    <w:p w14:paraId="3B8FC2CC" w14:textId="77777777" w:rsidR="00E934F2" w:rsidRDefault="00E934F2">
      <w:pPr>
        <w:pStyle w:val="FootnoteText"/>
      </w:pPr>
      <w:r>
        <w:rPr>
          <w:rStyle w:val="FootnoteReference"/>
        </w:rPr>
        <w:footnoteRef/>
      </w:r>
      <w:r>
        <w:t xml:space="preserve"> </w:t>
      </w:r>
      <w:r w:rsidRPr="00E934F2">
        <w:t>https://whc.unesco.org/en/list/373</w:t>
      </w:r>
    </w:p>
  </w:footnote>
  <w:footnote w:id="3">
    <w:p w14:paraId="1530DE02" w14:textId="77777777" w:rsidR="00E934F2" w:rsidRDefault="00E934F2">
      <w:pPr>
        <w:pStyle w:val="FootnoteText"/>
      </w:pPr>
      <w:r>
        <w:rPr>
          <w:rStyle w:val="FootnoteReference"/>
        </w:rPr>
        <w:footnoteRef/>
      </w:r>
      <w:r>
        <w:t xml:space="preserve"> </w:t>
      </w:r>
      <w:r w:rsidRPr="00E934F2">
        <w:t>http://www.alva.org.uk/details.cfm?p=609</w:t>
      </w:r>
    </w:p>
  </w:footnote>
  <w:footnote w:id="4">
    <w:p w14:paraId="0EC1BAA9" w14:textId="77777777" w:rsidR="00E934F2" w:rsidRDefault="00E934F2">
      <w:pPr>
        <w:pStyle w:val="FootnoteText"/>
      </w:pPr>
      <w:r>
        <w:rPr>
          <w:rStyle w:val="FootnoteReference"/>
        </w:rPr>
        <w:footnoteRef/>
      </w:r>
      <w:r>
        <w:t xml:space="preserve"> </w:t>
      </w:r>
      <w:r w:rsidRPr="00E934F2">
        <w:t>http://www.alva.org.uk/details.cfm?p=603</w:t>
      </w:r>
    </w:p>
  </w:footnote>
  <w:footnote w:id="5">
    <w:p w14:paraId="3922A742" w14:textId="77777777" w:rsidR="00FE274F" w:rsidRDefault="00FE274F">
      <w:pPr>
        <w:pStyle w:val="FootnoteText"/>
      </w:pPr>
      <w:r>
        <w:rPr>
          <w:rStyle w:val="FootnoteReference"/>
        </w:rPr>
        <w:footnoteRef/>
      </w:r>
      <w:r>
        <w:t xml:space="preserve"> Lythe, C. (2015)</w:t>
      </w:r>
    </w:p>
  </w:footnote>
  <w:footnote w:id="6">
    <w:p w14:paraId="04EFDD37" w14:textId="2CAA2B4E" w:rsidR="00501D39" w:rsidRDefault="00501D39">
      <w:pPr>
        <w:pStyle w:val="FootnoteText"/>
      </w:pPr>
      <w:r>
        <w:rPr>
          <w:rStyle w:val="FootnoteReference"/>
        </w:rPr>
        <w:footnoteRef/>
      </w:r>
      <w:r>
        <w:t xml:space="preserve"> </w:t>
      </w:r>
      <w:r w:rsidRPr="00501D39">
        <w:t>https://whc.unesco.org/en/list/373</w:t>
      </w:r>
    </w:p>
  </w:footnote>
  <w:footnote w:id="7">
    <w:p w14:paraId="136B67B9" w14:textId="46D14F6F" w:rsidR="00577416" w:rsidRDefault="00577416">
      <w:pPr>
        <w:pStyle w:val="FootnoteText"/>
      </w:pPr>
      <w:r>
        <w:rPr>
          <w:rStyle w:val="FootnoteReference"/>
        </w:rPr>
        <w:footnoteRef/>
      </w:r>
      <w:r>
        <w:t xml:space="preserve"> </w:t>
      </w:r>
      <w:r w:rsidRPr="00577416">
        <w:t>https://whc.unesco.org/en/list/373</w:t>
      </w:r>
    </w:p>
  </w:footnote>
  <w:footnote w:id="8">
    <w:p w14:paraId="57E6EEE7" w14:textId="772DAE8D" w:rsidR="014807EB" w:rsidRDefault="014807EB" w:rsidP="014807EB">
      <w:pPr>
        <w:pStyle w:val="FootnoteText"/>
      </w:pPr>
      <w:r w:rsidRPr="014807EB">
        <w:rPr>
          <w:rStyle w:val="FootnoteReference"/>
        </w:rPr>
        <w:footnoteRef/>
      </w:r>
      <w:r>
        <w:t xml:space="preserve"> Blain, J. and Wallis, R., 2007 </w:t>
      </w:r>
    </w:p>
  </w:footnote>
  <w:footnote w:id="9">
    <w:p w14:paraId="01775BDB" w14:textId="77777777" w:rsidR="002463D0" w:rsidRDefault="002463D0">
      <w:pPr>
        <w:pStyle w:val="FootnoteText"/>
      </w:pPr>
      <w:r>
        <w:rPr>
          <w:rStyle w:val="FootnoteReference"/>
        </w:rPr>
        <w:footnoteRef/>
      </w:r>
      <w:r>
        <w:t xml:space="preserve"> Chippindale, C., 2012, pp.176</w:t>
      </w:r>
    </w:p>
  </w:footnote>
  <w:footnote w:id="10">
    <w:p w14:paraId="4090A6D8" w14:textId="709921F0" w:rsidR="00BF6AEA" w:rsidRDefault="00BF6AEA">
      <w:pPr>
        <w:pStyle w:val="FootnoteText"/>
      </w:pPr>
      <w:r>
        <w:rPr>
          <w:rStyle w:val="FootnoteReference"/>
        </w:rPr>
        <w:footnoteRef/>
      </w:r>
      <w:r>
        <w:t xml:space="preserve"> MacCannell, 1973</w:t>
      </w:r>
    </w:p>
  </w:footnote>
  <w:footnote w:id="11">
    <w:p w14:paraId="688BBB68" w14:textId="0867F1AA" w:rsidR="00BF6AEA" w:rsidRDefault="00BF6AEA">
      <w:pPr>
        <w:pStyle w:val="FootnoteText"/>
      </w:pPr>
      <w:r>
        <w:rPr>
          <w:rStyle w:val="FootnoteReference"/>
        </w:rPr>
        <w:footnoteRef/>
      </w:r>
      <w:r>
        <w:t xml:space="preserve"> Boorstin, 1961</w:t>
      </w:r>
    </w:p>
  </w:footnote>
  <w:footnote w:id="12">
    <w:p w14:paraId="0A384851" w14:textId="76E2B058" w:rsidR="00BF6AEA" w:rsidRDefault="00BF6AEA">
      <w:pPr>
        <w:pStyle w:val="FootnoteText"/>
      </w:pPr>
      <w:r>
        <w:rPr>
          <w:rStyle w:val="FootnoteReference"/>
        </w:rPr>
        <w:footnoteRef/>
      </w:r>
      <w:r>
        <w:t xml:space="preserve"> Urry, 1995</w:t>
      </w:r>
    </w:p>
  </w:footnote>
  <w:footnote w:id="13">
    <w:p w14:paraId="242FFFDE" w14:textId="77777777" w:rsidR="00B06327" w:rsidRDefault="00862106">
      <w:pPr>
        <w:pStyle w:val="FootnoteText"/>
      </w:pPr>
      <w:r>
        <w:rPr>
          <w:rStyle w:val="FootnoteReference"/>
        </w:rPr>
        <w:footnoteRef/>
      </w:r>
      <w:r>
        <w:t xml:space="preserve"> </w:t>
      </w:r>
      <w:r w:rsidRPr="00862106">
        <w:t>https://whc.unesco.org/en/list/373</w:t>
      </w:r>
    </w:p>
    <w:p w14:paraId="5EF9ACC8" w14:textId="5B7C0A6E" w:rsidR="00B06327" w:rsidRDefault="00B06327" w:rsidP="00290B3A">
      <w:pPr>
        <w:pStyle w:val="Bibliography"/>
        <w:ind w:left="720" w:hanging="720"/>
        <w:rPr>
          <w:noProof/>
        </w:rPr>
      </w:pPr>
      <w:r>
        <w:fldChar w:fldCharType="begin"/>
      </w:r>
      <w:r>
        <w:instrText xml:space="preserve"> BIBLIOGRAPHY  \l 2057 </w:instrText>
      </w:r>
      <w:r>
        <w:fldChar w:fldCharType="separate"/>
      </w:r>
    </w:p>
    <w:p w14:paraId="445C5FEC" w14:textId="38A5DDAC" w:rsidR="00862106" w:rsidRDefault="00B06327" w:rsidP="00B06327">
      <w:pPr>
        <w:pStyle w:val="FootnoteText"/>
      </w:pPr>
      <w:r>
        <w:fldChar w:fldCharType="end"/>
      </w:r>
    </w:p>
  </w:footnote>
  <w:footnote w:id="14">
    <w:p w14:paraId="581EF73C" w14:textId="26353B1E" w:rsidR="00290B3A" w:rsidRDefault="00290B3A">
      <w:pPr>
        <w:pStyle w:val="FootnoteText"/>
      </w:pPr>
      <w:r>
        <w:rPr>
          <w:rStyle w:val="FootnoteReference"/>
        </w:rPr>
        <w:footnoteRef/>
      </w:r>
      <w:r>
        <w:t xml:space="preserve"> ICOMOS, 2017, pp.10-11</w:t>
      </w:r>
    </w:p>
  </w:footnote>
  <w:footnote w:id="15">
    <w:p w14:paraId="51735F35" w14:textId="000B0E20" w:rsidR="00E63DFE" w:rsidRDefault="00E63DFE">
      <w:pPr>
        <w:pStyle w:val="FootnoteText"/>
      </w:pPr>
      <w:r>
        <w:rPr>
          <w:rStyle w:val="FootnoteReference"/>
        </w:rPr>
        <w:footnoteRef/>
      </w:r>
      <w:r>
        <w:t xml:space="preserve"> ICOMOS, 2017, pp.12</w:t>
      </w:r>
    </w:p>
  </w:footnote>
  <w:footnote w:id="16">
    <w:p w14:paraId="4506DAA3" w14:textId="096E35DF" w:rsidR="000B0EBD" w:rsidRDefault="000B0EBD">
      <w:pPr>
        <w:pStyle w:val="FootnoteText"/>
      </w:pPr>
      <w:r>
        <w:rPr>
          <w:rStyle w:val="FootnoteReference"/>
        </w:rPr>
        <w:footnoteRef/>
      </w:r>
      <w:r>
        <w:t xml:space="preserve"> </w:t>
      </w:r>
      <w:r w:rsidRPr="000B0EBD">
        <w:t>https://roadtrafficstats.uk/traffic-statistics-wiltshire-a303-winterbourne-stoke-6874</w:t>
      </w:r>
    </w:p>
  </w:footnote>
  <w:footnote w:id="17">
    <w:p w14:paraId="2281621D" w14:textId="5B3AC859" w:rsidR="00FB23EC" w:rsidRDefault="00FB23EC">
      <w:pPr>
        <w:pStyle w:val="FootnoteText"/>
      </w:pPr>
      <w:r>
        <w:rPr>
          <w:rStyle w:val="FootnoteReference"/>
        </w:rPr>
        <w:footnoteRef/>
      </w:r>
      <w:r>
        <w:t xml:space="preserve"> ICOMOS, 2019, pp.27</w:t>
      </w:r>
    </w:p>
  </w:footnote>
  <w:footnote w:id="18">
    <w:p w14:paraId="26F6D10C" w14:textId="30CAF844" w:rsidR="00B9142C" w:rsidRDefault="00B9142C">
      <w:pPr>
        <w:pStyle w:val="FootnoteText"/>
      </w:pPr>
      <w:r>
        <w:rPr>
          <w:rStyle w:val="FootnoteReference"/>
        </w:rPr>
        <w:footnoteRef/>
      </w:r>
      <w:r>
        <w:t xml:space="preserve"> Department for Transport, 2014, pp.47-89</w:t>
      </w:r>
    </w:p>
  </w:footnote>
  <w:footnote w:id="19">
    <w:p w14:paraId="6E1AA031" w14:textId="45C7D027" w:rsidR="00A04E87" w:rsidRDefault="00A04E87">
      <w:pPr>
        <w:pStyle w:val="FootnoteText"/>
      </w:pPr>
      <w:r>
        <w:rPr>
          <w:rStyle w:val="FootnoteReference"/>
        </w:rPr>
        <w:footnoteRef/>
      </w:r>
      <w:r>
        <w:t xml:space="preserve"> ICOMOS, 2017, pp.39</w:t>
      </w:r>
    </w:p>
  </w:footnote>
  <w:footnote w:id="20">
    <w:p w14:paraId="3B9FE953" w14:textId="637CC79C" w:rsidR="004751B4" w:rsidRDefault="004751B4">
      <w:pPr>
        <w:pStyle w:val="FootnoteText"/>
      </w:pPr>
      <w:r>
        <w:rPr>
          <w:rStyle w:val="FootnoteReference"/>
        </w:rPr>
        <w:footnoteRef/>
      </w:r>
      <w:r>
        <w:t xml:space="preserve"> Blain, J. and Wallis, R., 2007, pp.79</w:t>
      </w:r>
    </w:p>
  </w:footnote>
  <w:footnote w:id="21">
    <w:p w14:paraId="73F1F499" w14:textId="0C96F18C" w:rsidR="0051381E" w:rsidRDefault="0051381E">
      <w:pPr>
        <w:pStyle w:val="FootnoteText"/>
      </w:pPr>
      <w:r>
        <w:rPr>
          <w:rStyle w:val="FootnoteReference"/>
        </w:rPr>
        <w:footnoteRef/>
      </w:r>
      <w:r>
        <w:t xml:space="preserve"> Blain, J. and Wallis, R., 2007, pp.83</w:t>
      </w:r>
    </w:p>
  </w:footnote>
  <w:footnote w:id="22">
    <w:p w14:paraId="230A0850" w14:textId="4A87F3EB" w:rsidR="00EB6F30" w:rsidRDefault="00EB6F30">
      <w:pPr>
        <w:pStyle w:val="FootnoteText"/>
      </w:pPr>
      <w:r>
        <w:rPr>
          <w:rStyle w:val="FootnoteReference"/>
        </w:rPr>
        <w:footnoteRef/>
      </w:r>
      <w:r>
        <w:t xml:space="preserve"> Blain, J. and Wallis, R., 2007, pp.86</w:t>
      </w:r>
    </w:p>
  </w:footnote>
  <w:footnote w:id="23">
    <w:p w14:paraId="4431D02E" w14:textId="0EED12F7" w:rsidR="00BC4ED8" w:rsidRDefault="00BC4ED8">
      <w:pPr>
        <w:pStyle w:val="FootnoteText"/>
      </w:pPr>
      <w:r>
        <w:rPr>
          <w:rStyle w:val="FootnoteReference"/>
        </w:rPr>
        <w:footnoteRef/>
      </w:r>
      <w:r>
        <w:t xml:space="preserve"> Blain, J. and Wallis, R., 2007, pp.86</w:t>
      </w:r>
    </w:p>
  </w:footnote>
  <w:footnote w:id="24">
    <w:p w14:paraId="08199BED" w14:textId="53B4CC74" w:rsidR="00BC4ED8" w:rsidRDefault="00BC4ED8">
      <w:pPr>
        <w:pStyle w:val="FootnoteText"/>
      </w:pPr>
      <w:r>
        <w:rPr>
          <w:rStyle w:val="FootnoteReference"/>
        </w:rPr>
        <w:footnoteRef/>
      </w:r>
      <w:r>
        <w:t xml:space="preserve"> </w:t>
      </w:r>
      <w:r w:rsidRPr="00BC4ED8">
        <w:t>https://www.bbc.co.uk/news/uk-england-wiltshire-40352528</w:t>
      </w:r>
    </w:p>
  </w:footnote>
  <w:footnote w:id="25">
    <w:p w14:paraId="5DDEF22F" w14:textId="3433A958" w:rsidR="006D65F8" w:rsidRDefault="006D65F8">
      <w:pPr>
        <w:pStyle w:val="FootnoteText"/>
      </w:pPr>
      <w:r>
        <w:rPr>
          <w:rStyle w:val="FootnoteReference"/>
        </w:rPr>
        <w:footnoteRef/>
      </w:r>
      <w:r>
        <w:t xml:space="preserve"> It should be noted that the ‘sacredness’ and ‘partying’ aspects of Stonehenge are not necessarily separable. Blain and Wallis discuss how, despite the feelings of some that the party compromises preservation ethics, sacredness and the view of Stonehenge in the past, other feel it is an inherent part of the site. </w:t>
      </w:r>
    </w:p>
  </w:footnote>
  <w:footnote w:id="26">
    <w:p w14:paraId="19DF1396" w14:textId="77B5B7D2" w:rsidR="00356B4D" w:rsidRDefault="00356B4D">
      <w:pPr>
        <w:pStyle w:val="FootnoteText"/>
      </w:pPr>
      <w:r>
        <w:rPr>
          <w:rStyle w:val="FootnoteReference"/>
        </w:rPr>
        <w:footnoteRef/>
      </w:r>
      <w:r>
        <w:t xml:space="preserve"> Wainwright, 2000</w:t>
      </w:r>
    </w:p>
  </w:footnote>
  <w:footnote w:id="27">
    <w:p w14:paraId="5FEEF152" w14:textId="26D84B21" w:rsidR="00356B4D" w:rsidRDefault="00356B4D">
      <w:pPr>
        <w:pStyle w:val="FootnoteText"/>
      </w:pPr>
      <w:r>
        <w:rPr>
          <w:rStyle w:val="FootnoteReference"/>
        </w:rPr>
        <w:footnoteRef/>
      </w:r>
      <w:r>
        <w:t xml:space="preserve"> </w:t>
      </w:r>
      <w:r w:rsidRPr="00356B4D">
        <w:t>https://www.ukrivers.net/savestonehenge/deserve.html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64D20"/>
    <w:multiLevelType w:val="hybridMultilevel"/>
    <w:tmpl w:val="3878D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492AEF"/>
    <w:multiLevelType w:val="hybridMultilevel"/>
    <w:tmpl w:val="F3CEC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4F2"/>
    <w:rsid w:val="00075F19"/>
    <w:rsid w:val="000B0EBD"/>
    <w:rsid w:val="001B0E9F"/>
    <w:rsid w:val="002463D0"/>
    <w:rsid w:val="00290B3A"/>
    <w:rsid w:val="002A4B61"/>
    <w:rsid w:val="00351782"/>
    <w:rsid w:val="00356B4D"/>
    <w:rsid w:val="004467E0"/>
    <w:rsid w:val="00446B88"/>
    <w:rsid w:val="004751B4"/>
    <w:rsid w:val="00501D39"/>
    <w:rsid w:val="0051381E"/>
    <w:rsid w:val="00577416"/>
    <w:rsid w:val="00594569"/>
    <w:rsid w:val="005A0870"/>
    <w:rsid w:val="006D65F8"/>
    <w:rsid w:val="00792645"/>
    <w:rsid w:val="007A7BC7"/>
    <w:rsid w:val="007C4B1E"/>
    <w:rsid w:val="00842E72"/>
    <w:rsid w:val="00852C03"/>
    <w:rsid w:val="00862106"/>
    <w:rsid w:val="00876D09"/>
    <w:rsid w:val="008F7E76"/>
    <w:rsid w:val="009513C1"/>
    <w:rsid w:val="009F301D"/>
    <w:rsid w:val="00A04E87"/>
    <w:rsid w:val="00A130A7"/>
    <w:rsid w:val="00A760FA"/>
    <w:rsid w:val="00A9507F"/>
    <w:rsid w:val="00AC791F"/>
    <w:rsid w:val="00AE5327"/>
    <w:rsid w:val="00B03CC9"/>
    <w:rsid w:val="00B06327"/>
    <w:rsid w:val="00B77AB0"/>
    <w:rsid w:val="00B9142C"/>
    <w:rsid w:val="00BC4ED8"/>
    <w:rsid w:val="00BE6E68"/>
    <w:rsid w:val="00BF6AEA"/>
    <w:rsid w:val="00C013D3"/>
    <w:rsid w:val="00C56758"/>
    <w:rsid w:val="00CC2559"/>
    <w:rsid w:val="00D853CF"/>
    <w:rsid w:val="00DE65C2"/>
    <w:rsid w:val="00E40160"/>
    <w:rsid w:val="00E468E8"/>
    <w:rsid w:val="00E63DFE"/>
    <w:rsid w:val="00E934F2"/>
    <w:rsid w:val="00EB6F30"/>
    <w:rsid w:val="00F97FDD"/>
    <w:rsid w:val="00FA027A"/>
    <w:rsid w:val="00FB23EC"/>
    <w:rsid w:val="00FE274F"/>
    <w:rsid w:val="01480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97AB"/>
  <w15:chartTrackingRefBased/>
  <w15:docId w15:val="{0A7F8ACB-5E0D-4544-BD05-C25163C48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91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34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34F2"/>
    <w:rPr>
      <w:sz w:val="20"/>
      <w:szCs w:val="20"/>
    </w:rPr>
  </w:style>
  <w:style w:type="character" w:styleId="FootnoteReference">
    <w:name w:val="footnote reference"/>
    <w:basedOn w:val="DefaultParagraphFont"/>
    <w:uiPriority w:val="99"/>
    <w:semiHidden/>
    <w:unhideWhenUsed/>
    <w:rsid w:val="00E934F2"/>
    <w:rPr>
      <w:vertAlign w:val="superscript"/>
    </w:rPr>
  </w:style>
  <w:style w:type="character" w:styleId="Hyperlink">
    <w:name w:val="Hyperlink"/>
    <w:basedOn w:val="DefaultParagraphFont"/>
    <w:uiPriority w:val="99"/>
    <w:semiHidden/>
    <w:unhideWhenUsed/>
    <w:rsid w:val="00E934F2"/>
    <w:rPr>
      <w:color w:val="0000FF"/>
      <w:u w:val="single"/>
    </w:rPr>
  </w:style>
  <w:style w:type="paragraph" w:styleId="Bibliography">
    <w:name w:val="Bibliography"/>
    <w:basedOn w:val="Normal"/>
    <w:next w:val="Normal"/>
    <w:uiPriority w:val="37"/>
    <w:unhideWhenUsed/>
    <w:rsid w:val="002463D0"/>
  </w:style>
  <w:style w:type="paragraph" w:styleId="ListParagraph">
    <w:name w:val="List Paragraph"/>
    <w:basedOn w:val="Normal"/>
    <w:uiPriority w:val="34"/>
    <w:qFormat/>
    <w:rsid w:val="00B77AB0"/>
    <w:pPr>
      <w:ind w:left="720"/>
      <w:contextualSpacing/>
    </w:pPr>
  </w:style>
  <w:style w:type="character" w:customStyle="1" w:styleId="Heading1Char">
    <w:name w:val="Heading 1 Char"/>
    <w:basedOn w:val="DefaultParagraphFont"/>
    <w:link w:val="Heading1"/>
    <w:uiPriority w:val="9"/>
    <w:rsid w:val="00AC791F"/>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285999">
      <w:bodyDiv w:val="1"/>
      <w:marLeft w:val="0"/>
      <w:marRight w:val="0"/>
      <w:marTop w:val="0"/>
      <w:marBottom w:val="0"/>
      <w:divBdr>
        <w:top w:val="none" w:sz="0" w:space="0" w:color="auto"/>
        <w:left w:val="none" w:sz="0" w:space="0" w:color="auto"/>
        <w:bottom w:val="none" w:sz="0" w:space="0" w:color="auto"/>
        <w:right w:val="none" w:sz="0" w:space="0" w:color="auto"/>
      </w:divBdr>
    </w:div>
    <w:div w:id="1193424626">
      <w:bodyDiv w:val="1"/>
      <w:marLeft w:val="0"/>
      <w:marRight w:val="0"/>
      <w:marTop w:val="0"/>
      <w:marBottom w:val="0"/>
      <w:divBdr>
        <w:top w:val="none" w:sz="0" w:space="0" w:color="auto"/>
        <w:left w:val="none" w:sz="0" w:space="0" w:color="auto"/>
        <w:bottom w:val="none" w:sz="0" w:space="0" w:color="auto"/>
        <w:right w:val="none" w:sz="0" w:space="0" w:color="auto"/>
      </w:divBdr>
    </w:div>
    <w:div w:id="1263949897">
      <w:bodyDiv w:val="1"/>
      <w:marLeft w:val="0"/>
      <w:marRight w:val="0"/>
      <w:marTop w:val="0"/>
      <w:marBottom w:val="0"/>
      <w:divBdr>
        <w:top w:val="none" w:sz="0" w:space="0" w:color="auto"/>
        <w:left w:val="none" w:sz="0" w:space="0" w:color="auto"/>
        <w:bottom w:val="none" w:sz="0" w:space="0" w:color="auto"/>
        <w:right w:val="none" w:sz="0" w:space="0" w:color="auto"/>
      </w:divBdr>
    </w:div>
    <w:div w:id="1312097982">
      <w:bodyDiv w:val="1"/>
      <w:marLeft w:val="0"/>
      <w:marRight w:val="0"/>
      <w:marTop w:val="0"/>
      <w:marBottom w:val="0"/>
      <w:divBdr>
        <w:top w:val="none" w:sz="0" w:space="0" w:color="auto"/>
        <w:left w:val="none" w:sz="0" w:space="0" w:color="auto"/>
        <w:bottom w:val="none" w:sz="0" w:space="0" w:color="auto"/>
        <w:right w:val="none" w:sz="0" w:space="0" w:color="auto"/>
      </w:divBdr>
    </w:div>
    <w:div w:id="2037540087">
      <w:bodyDiv w:val="1"/>
      <w:marLeft w:val="0"/>
      <w:marRight w:val="0"/>
      <w:marTop w:val="0"/>
      <w:marBottom w:val="0"/>
      <w:divBdr>
        <w:top w:val="none" w:sz="0" w:space="0" w:color="auto"/>
        <w:left w:val="none" w:sz="0" w:space="0" w:color="auto"/>
        <w:bottom w:val="none" w:sz="0" w:space="0" w:color="auto"/>
        <w:right w:val="none" w:sz="0" w:space="0" w:color="auto"/>
      </w:divBdr>
    </w:div>
    <w:div w:id="208811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Numbers</a:t>
            </a:r>
            <a:r>
              <a:rPr lang="en-US" baseline="0"/>
              <a:t> of Visitors to Stonehenge </a:t>
            </a:r>
          </a:p>
          <a:p>
            <a:pPr>
              <a:defRPr/>
            </a:pPr>
            <a:r>
              <a:rPr lang="en-US" baseline="0"/>
              <a:t>between 2004 and 2018</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Visitors</c:v>
                </c:pt>
              </c:strCache>
            </c:strRef>
          </c:tx>
          <c:spPr>
            <a:ln w="28575" cap="rnd">
              <a:solidFill>
                <a:schemeClr val="accent1"/>
              </a:solidFill>
              <a:round/>
            </a:ln>
            <a:effectLst/>
          </c:spPr>
          <c:marker>
            <c:symbol val="none"/>
          </c:marker>
          <c:cat>
            <c:numRef>
              <c:f>Sheet1!$A$2:$A$16</c:f>
              <c:numCache>
                <c:formatCode>General</c:formatCode>
                <c:ptCount val="15"/>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pt idx="14">
                  <c:v>2018</c:v>
                </c:pt>
              </c:numCache>
            </c:numRef>
          </c:cat>
          <c:val>
            <c:numRef>
              <c:f>Sheet1!$B$2:$B$16</c:f>
              <c:numCache>
                <c:formatCode>General</c:formatCode>
                <c:ptCount val="15"/>
                <c:pt idx="0">
                  <c:v>817924</c:v>
                </c:pt>
                <c:pt idx="1">
                  <c:v>833617</c:v>
                </c:pt>
                <c:pt idx="2">
                  <c:v>879393</c:v>
                </c:pt>
                <c:pt idx="3">
                  <c:v>869432</c:v>
                </c:pt>
                <c:pt idx="4">
                  <c:v>883603</c:v>
                </c:pt>
                <c:pt idx="5">
                  <c:v>990705</c:v>
                </c:pt>
                <c:pt idx="6">
                  <c:v>1009973</c:v>
                </c:pt>
                <c:pt idx="7">
                  <c:v>1099656</c:v>
                </c:pt>
                <c:pt idx="8">
                  <c:v>1043756</c:v>
                </c:pt>
                <c:pt idx="9">
                  <c:v>1241296</c:v>
                </c:pt>
                <c:pt idx="10" formatCode="#,##0">
                  <c:v>1346177</c:v>
                </c:pt>
                <c:pt idx="11">
                  <c:v>1366758</c:v>
                </c:pt>
                <c:pt idx="12">
                  <c:v>1381855</c:v>
                </c:pt>
                <c:pt idx="13">
                  <c:v>1582532</c:v>
                </c:pt>
                <c:pt idx="14">
                  <c:v>1555868</c:v>
                </c:pt>
              </c:numCache>
            </c:numRef>
          </c:val>
          <c:smooth val="0"/>
          <c:extLst>
            <c:ext xmlns:c16="http://schemas.microsoft.com/office/drawing/2014/chart" uri="{C3380CC4-5D6E-409C-BE32-E72D297353CC}">
              <c16:uniqueId val="{00000000-6B1B-4CAA-AA92-5F3F3838EE3C}"/>
            </c:ext>
          </c:extLst>
        </c:ser>
        <c:dLbls>
          <c:showLegendKey val="0"/>
          <c:showVal val="0"/>
          <c:showCatName val="0"/>
          <c:showSerName val="0"/>
          <c:showPercent val="0"/>
          <c:showBubbleSize val="0"/>
        </c:dLbls>
        <c:smooth val="0"/>
        <c:axId val="543466864"/>
        <c:axId val="543468176"/>
      </c:lineChart>
      <c:dateAx>
        <c:axId val="543466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468176"/>
        <c:crosses val="autoZero"/>
        <c:auto val="0"/>
        <c:lblOffset val="100"/>
        <c:baseTimeUnit val="days"/>
      </c:dateAx>
      <c:valAx>
        <c:axId val="54346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Visitors</a:t>
                </a:r>
                <a:endParaRPr lang="en-GB"/>
              </a:p>
            </c:rich>
          </c:tx>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466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Chi12</b:Tag>
    <b:SourceType>Book</b:SourceType>
    <b:Guid>{E2FC919C-E333-4D2F-B6D6-EF29E7D42E40}</b:Guid>
    <b:Author>
      <b:Author>
        <b:NameList>
          <b:Person>
            <b:Last>Chippindale</b:Last>
            <b:First>C.</b:First>
          </b:Person>
        </b:NameList>
      </b:Author>
    </b:Author>
    <b:Title>Stonehenge Complete</b:Title>
    <b:Year>2012</b:Year>
    <b:City>London</b:City>
    <b:Publisher>Thames and Hudson Ltd.</b:Publisher>
    <b:RefOrder>1</b:RefOrder>
  </b:Source>
  <b:Source>
    <b:Tag>Boo61</b:Tag>
    <b:SourceType>Book</b:SourceType>
    <b:Guid>{53C46399-65F2-4EF9-8E93-CED7947C0961}</b:Guid>
    <b:Author>
      <b:Author>
        <b:NameList>
          <b:Person>
            <b:Last>Boorstin</b:Last>
            <b:First>D.</b:First>
          </b:Person>
        </b:NameList>
      </b:Author>
    </b:Author>
    <b:Title>The Image: A Guide to Pseudo-Events in America</b:Title>
    <b:Year>1961</b:Year>
    <b:City>New York</b:City>
    <b:Publisher>Harper and Row</b:Publisher>
    <b:RefOrder>2</b:RefOrder>
  </b:Source>
  <b:Source>
    <b:Tag>Mac73</b:Tag>
    <b:SourceType>JournalArticle</b:SourceType>
    <b:Guid>{A4C2F66F-C766-46B4-9731-0C293BE30AC2}</b:Guid>
    <b:Title>Staged Authenticity: Arrangements of Social Space in Tourist Settings</b:Title>
    <b:Year>1973</b:Year>
    <b:Author>
      <b:Author>
        <b:NameList>
          <b:Person>
            <b:Last>MacCannell</b:Last>
            <b:First>D.</b:First>
          </b:Person>
        </b:NameList>
      </b:Author>
    </b:Author>
    <b:JournalName>American Journal of Sociology</b:JournalName>
    <b:Pages>589-603</b:Pages>
    <b:RefOrder>3</b:RefOrder>
  </b:Source>
  <b:Source>
    <b:Tag>Urr95</b:Tag>
    <b:SourceType>Book</b:SourceType>
    <b:Guid>{F0BA726E-A865-43D3-A337-CD20CEE74354}</b:Guid>
    <b:Title>Consuming Places</b:Title>
    <b:Year>1995</b:Year>
    <b:Author>
      <b:Author>
        <b:NameList>
          <b:Person>
            <b:Last>Urry</b:Last>
            <b:First>J.</b:First>
          </b:Person>
        </b:NameList>
      </b:Author>
    </b:Author>
    <b:City>London</b:City>
    <b:Publisher>Routledge</b:Publisher>
    <b:RefOrder>4</b:RefOrder>
  </b:Source>
  <b:Source>
    <b:Tag>ICO17</b:Tag>
    <b:SourceType>Report</b:SourceType>
    <b:Guid>{59E684E1-723E-4B5B-8C91-3CFD555A1573}</b:Guid>
    <b:Title>Report on the joint World Heritage Centre / ICOMOS Advisory Mission to Stonehenge, Avebury and Associated Sites</b:Title>
    <b:Year>2017</b:Year>
    <b:Author>
      <b:Author>
        <b:NameList>
          <b:Person>
            <b:Last>ICOMOS</b:Last>
          </b:Person>
        </b:NameList>
      </b:Author>
    </b:Author>
    <b:RefOrder>5</b:RefOrder>
  </b:Source>
  <b:Source>
    <b:Tag>Tra14</b:Tag>
    <b:SourceType>Misc</b:SourceType>
    <b:Guid>{0F6B8541-F18E-4B84-A720-FFDC113E5F45}</b:Guid>
    <b:Author>
      <b:Author>
        <b:NameList>
          <b:Person>
            <b:Last>Transport</b:Last>
            <b:First>Department</b:First>
            <b:Middle>for</b:Middle>
          </b:Person>
        </b:NameList>
      </b:Author>
    </b:Author>
    <b:Title>National Policy Statement for National Networks</b:Title>
    <b:Year>2014</b:Year>
    <b:RefOrder>6</b:RefOrder>
  </b:Source>
</b:Sources>
</file>

<file path=customXml/itemProps1.xml><?xml version="1.0" encoding="utf-8"?>
<ds:datastoreItem xmlns:ds="http://schemas.openxmlformats.org/officeDocument/2006/customXml" ds:itemID="{6295DC70-B6F0-4C64-9663-AB6564DD1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Pages>
  <Words>2833</Words>
  <Characters>14961</Characters>
  <Application>Microsoft Office Word</Application>
  <DocSecurity>0</DocSecurity>
  <Lines>226</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Manton (1801747)</dc:creator>
  <cp:keywords/>
  <dc:description/>
  <cp:lastModifiedBy>Paul Manton (1801747)</cp:lastModifiedBy>
  <cp:revision>6</cp:revision>
  <dcterms:created xsi:type="dcterms:W3CDTF">2019-04-04T18:24:00Z</dcterms:created>
  <dcterms:modified xsi:type="dcterms:W3CDTF">2019-04-08T18:07:00Z</dcterms:modified>
</cp:coreProperties>
</file>