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2A4D4" w14:textId="424533EF" w:rsidR="00276F49" w:rsidRPr="00A15EA4" w:rsidRDefault="005F1DBD" w:rsidP="008D2AB7">
      <w:pPr>
        <w:spacing w:line="480" w:lineRule="auto"/>
        <w:jc w:val="center"/>
        <w:rPr>
          <w:rFonts w:ascii="Arial" w:hAnsi="Arial" w:cs="Arial"/>
          <w:b/>
          <w:bCs/>
          <w:u w:val="single"/>
        </w:rPr>
      </w:pPr>
      <w:r w:rsidRPr="00A15EA4">
        <w:rPr>
          <w:rFonts w:ascii="Arial" w:hAnsi="Arial" w:cs="Arial"/>
          <w:b/>
          <w:bCs/>
          <w:u w:val="single"/>
          <w:lang w:val="en-US"/>
        </w:rPr>
        <w:t xml:space="preserve">How a school develops one aspect of it’s SDP: A report that critically reflects on the actions, </w:t>
      </w:r>
      <w:proofErr w:type="gramStart"/>
      <w:r w:rsidRPr="00A15EA4">
        <w:rPr>
          <w:rFonts w:ascii="Arial" w:hAnsi="Arial" w:cs="Arial"/>
          <w:b/>
          <w:bCs/>
          <w:u w:val="single"/>
          <w:lang w:val="en-US"/>
        </w:rPr>
        <w:t>impact</w:t>
      </w:r>
      <w:proofErr w:type="gramEnd"/>
      <w:r w:rsidRPr="00A15EA4">
        <w:rPr>
          <w:rFonts w:ascii="Arial" w:hAnsi="Arial" w:cs="Arial"/>
          <w:b/>
          <w:bCs/>
          <w:u w:val="single"/>
          <w:lang w:val="en-US"/>
        </w:rPr>
        <w:t xml:space="preserve"> and evidence base </w:t>
      </w:r>
    </w:p>
    <w:p w14:paraId="47AFB61D" w14:textId="77777777" w:rsidR="00EA6703" w:rsidRPr="00A15EA4" w:rsidRDefault="00EA6703" w:rsidP="008D2AB7">
      <w:pPr>
        <w:spacing w:line="480" w:lineRule="auto"/>
        <w:rPr>
          <w:rFonts w:ascii="Arial" w:hAnsi="Arial" w:cs="Arial"/>
          <w:b/>
          <w:bCs/>
          <w:u w:val="single"/>
        </w:rPr>
      </w:pPr>
    </w:p>
    <w:p w14:paraId="07B56A20" w14:textId="2F523599" w:rsidR="00B31E0B" w:rsidRPr="00A15EA4" w:rsidRDefault="00AE0887" w:rsidP="00B31E0B">
      <w:pPr>
        <w:spacing w:line="480" w:lineRule="auto"/>
        <w:rPr>
          <w:rFonts w:ascii="Arial" w:hAnsi="Arial" w:cs="Arial"/>
        </w:rPr>
      </w:pPr>
      <w:r w:rsidRPr="00A15EA4">
        <w:rPr>
          <w:rFonts w:ascii="Arial" w:hAnsi="Arial" w:cs="Arial"/>
        </w:rPr>
        <w:t>This assignment is an investigation into the School Development Plan (SDP) of my first teaching placement school</w:t>
      </w:r>
      <w:r w:rsidR="00C9384D" w:rsidRPr="00A15EA4">
        <w:rPr>
          <w:rFonts w:ascii="Arial" w:hAnsi="Arial" w:cs="Arial"/>
        </w:rPr>
        <w:t>, which will be referred to as School X</w:t>
      </w:r>
      <w:r w:rsidRPr="00A15EA4">
        <w:rPr>
          <w:rFonts w:ascii="Arial" w:hAnsi="Arial" w:cs="Arial"/>
        </w:rPr>
        <w:t>.</w:t>
      </w:r>
      <w:r w:rsidR="00D93369" w:rsidRPr="00A15EA4">
        <w:rPr>
          <w:rFonts w:ascii="Arial" w:hAnsi="Arial" w:cs="Arial"/>
        </w:rPr>
        <w:t xml:space="preserve"> </w:t>
      </w:r>
      <w:r w:rsidR="00B31E0B" w:rsidRPr="00A15EA4">
        <w:rPr>
          <w:rFonts w:ascii="Arial" w:hAnsi="Arial" w:cs="Arial"/>
        </w:rPr>
        <w:t>The school serves a large rural area and has ten primary schools which feed into it. Its pupils mainly come from affluent backgrounds, and it has a very low proportion who receive free school meals (4%). It is a very high achieving school and received Excellent in every inspection area in its last Estyn inspection in 2019.</w:t>
      </w:r>
      <w:r w:rsidR="00315174" w:rsidRPr="00A15EA4">
        <w:rPr>
          <w:rFonts w:ascii="Arial" w:hAnsi="Arial" w:cs="Arial"/>
        </w:rPr>
        <w:t xml:space="preserve"> Until recently, the school has provided education for 11 to 18-year-olds. However, a primary school was recently constructed </w:t>
      </w:r>
      <w:r w:rsidR="00D84B4C" w:rsidRPr="00A15EA4">
        <w:rPr>
          <w:rFonts w:ascii="Arial" w:hAnsi="Arial" w:cs="Arial"/>
        </w:rPr>
        <w:t xml:space="preserve">on site </w:t>
      </w:r>
      <w:r w:rsidR="00315174" w:rsidRPr="00A15EA4">
        <w:rPr>
          <w:rFonts w:ascii="Arial" w:hAnsi="Arial" w:cs="Arial"/>
        </w:rPr>
        <w:t>in 2023, which has begun phasing in the provision for 3 to 18-year-olds.</w:t>
      </w:r>
    </w:p>
    <w:p w14:paraId="2D00E610" w14:textId="55B4F33D" w:rsidR="00D93369" w:rsidRPr="00A15EA4" w:rsidRDefault="00D93369" w:rsidP="00A15EA4">
      <w:pPr>
        <w:spacing w:line="480" w:lineRule="auto"/>
        <w:ind w:firstLine="720"/>
        <w:rPr>
          <w:rFonts w:ascii="Arial" w:hAnsi="Arial" w:cs="Arial"/>
        </w:rPr>
      </w:pPr>
      <w:r w:rsidRPr="00A15EA4">
        <w:rPr>
          <w:rFonts w:ascii="Arial" w:hAnsi="Arial" w:cs="Arial"/>
        </w:rPr>
        <w:t>The aspect of the SDP I have chosen to focus on is the aim to “Improve Pupil’s Literacy and Numeracy Skills”.</w:t>
      </w:r>
    </w:p>
    <w:p w14:paraId="5DF8F92D" w14:textId="1E606118" w:rsidR="00B31E0B" w:rsidRPr="00A15EA4" w:rsidRDefault="00B31E0B" w:rsidP="00A15EA4">
      <w:pPr>
        <w:spacing w:line="480" w:lineRule="auto"/>
        <w:ind w:firstLine="720"/>
        <w:rPr>
          <w:rFonts w:ascii="Arial" w:hAnsi="Arial" w:cs="Arial"/>
        </w:rPr>
      </w:pPr>
      <w:r w:rsidRPr="00A15EA4">
        <w:rPr>
          <w:rFonts w:ascii="Arial" w:hAnsi="Arial" w:cs="Arial"/>
        </w:rPr>
        <w:t>As a starting point, I checked the school’s website</w:t>
      </w:r>
      <w:r w:rsidR="00D84B4C" w:rsidRPr="00A15EA4">
        <w:rPr>
          <w:rFonts w:ascii="Arial" w:hAnsi="Arial" w:cs="Arial"/>
        </w:rPr>
        <w:t>,</w:t>
      </w:r>
      <w:r w:rsidRPr="00A15EA4">
        <w:rPr>
          <w:rFonts w:ascii="Arial" w:hAnsi="Arial" w:cs="Arial"/>
        </w:rPr>
        <w:t xml:space="preserve"> read the SDP that is released to the public and chose my focus are</w:t>
      </w:r>
      <w:r w:rsidR="00D84B4C" w:rsidRPr="00A15EA4">
        <w:rPr>
          <w:rFonts w:ascii="Arial" w:hAnsi="Arial" w:cs="Arial"/>
        </w:rPr>
        <w:t>a</w:t>
      </w:r>
      <w:r w:rsidRPr="00A15EA4">
        <w:rPr>
          <w:rFonts w:ascii="Arial" w:hAnsi="Arial" w:cs="Arial"/>
        </w:rPr>
        <w:t xml:space="preserve"> for further investigation. I then contacted the Senior Leadership Team Lead for my area</w:t>
      </w:r>
      <w:r w:rsidR="00463412" w:rsidRPr="00A15EA4">
        <w:rPr>
          <w:rFonts w:ascii="Arial" w:hAnsi="Arial" w:cs="Arial"/>
        </w:rPr>
        <w:t xml:space="preserve"> of focus</w:t>
      </w:r>
      <w:r w:rsidRPr="00A15EA4">
        <w:rPr>
          <w:rFonts w:ascii="Arial" w:hAnsi="Arial" w:cs="Arial"/>
        </w:rPr>
        <w:t>, who furnished me with a copy of the internal SDP for Numeracy and Literacy.</w:t>
      </w:r>
      <w:r w:rsidR="000214DD" w:rsidRPr="00A15EA4">
        <w:rPr>
          <w:rFonts w:ascii="Arial" w:hAnsi="Arial" w:cs="Arial"/>
        </w:rPr>
        <w:t xml:space="preserve"> </w:t>
      </w:r>
      <w:r w:rsidRPr="00A15EA4">
        <w:rPr>
          <w:rFonts w:ascii="Arial" w:hAnsi="Arial" w:cs="Arial"/>
        </w:rPr>
        <w:t xml:space="preserve">We then </w:t>
      </w:r>
      <w:r w:rsidR="000214DD" w:rsidRPr="00A15EA4">
        <w:rPr>
          <w:rFonts w:ascii="Arial" w:hAnsi="Arial" w:cs="Arial"/>
        </w:rPr>
        <w:t>had a meeting</w:t>
      </w:r>
      <w:r w:rsidRPr="00A15EA4">
        <w:rPr>
          <w:rFonts w:ascii="Arial" w:hAnsi="Arial" w:cs="Arial"/>
        </w:rPr>
        <w:t xml:space="preserve"> to discuss the finer points of this. This then inspired me to be vigilant of these aims in practice across the school, my department, and within my own teaching during my remaining time in this placement.</w:t>
      </w:r>
    </w:p>
    <w:p w14:paraId="070B6221" w14:textId="77777777" w:rsidR="00135979" w:rsidRPr="00A15EA4" w:rsidRDefault="00135979" w:rsidP="003173CD">
      <w:pPr>
        <w:spacing w:line="480" w:lineRule="auto"/>
        <w:rPr>
          <w:rFonts w:ascii="Arial" w:hAnsi="Arial" w:cs="Arial"/>
          <w:b/>
          <w:bCs/>
          <w:u w:val="single"/>
        </w:rPr>
      </w:pPr>
    </w:p>
    <w:p w14:paraId="2E9411BD" w14:textId="7C91F906" w:rsidR="000A34FE" w:rsidRPr="00A15EA4" w:rsidRDefault="009E37FA" w:rsidP="003173CD">
      <w:pPr>
        <w:spacing w:line="480" w:lineRule="auto"/>
        <w:rPr>
          <w:rFonts w:ascii="Arial" w:hAnsi="Arial" w:cs="Arial"/>
          <w:b/>
          <w:bCs/>
          <w:u w:val="single"/>
        </w:rPr>
      </w:pPr>
      <w:r w:rsidRPr="00A15EA4">
        <w:rPr>
          <w:rFonts w:ascii="Arial" w:hAnsi="Arial" w:cs="Arial"/>
        </w:rPr>
        <w:t>The primary objective of a school development plan should be to outline the measures that will be implemented to enhance student achievements (Welsh Government, 2014). The School Development Plan originates from regular self-</w:t>
      </w:r>
      <w:r w:rsidRPr="00A15EA4">
        <w:rPr>
          <w:rFonts w:ascii="Arial" w:hAnsi="Arial" w:cs="Arial"/>
        </w:rPr>
        <w:lastRenderedPageBreak/>
        <w:t>assessment conducted by a school. It is via this regular self-assessment that a school can begin to set out the contents of its School Development Plan (SDP). The school must initially comprehend its current position, the improvements it needs to pursue, and be considerate of prevailing national priorities (Welsh Government, 2014). The school should contemplate the influence on student achievements and the individuals involved in identifying areas of enhancement, such as stakeholders and school partners (Welsh Government, 2017).</w:t>
      </w:r>
      <w:r w:rsidRPr="00A15EA4">
        <w:rPr>
          <w:rFonts w:ascii="Arial" w:hAnsi="Arial" w:cs="Arial"/>
        </w:rPr>
        <w:t xml:space="preserve"> </w:t>
      </w:r>
    </w:p>
    <w:p w14:paraId="558DB4E7" w14:textId="03181FCB" w:rsidR="00F14A90" w:rsidRPr="00A15EA4" w:rsidRDefault="009E37FA" w:rsidP="000A34FE">
      <w:pPr>
        <w:spacing w:line="480" w:lineRule="auto"/>
        <w:ind w:firstLine="720"/>
        <w:rPr>
          <w:rFonts w:ascii="Arial" w:hAnsi="Arial" w:cs="Arial"/>
        </w:rPr>
      </w:pPr>
      <w:r w:rsidRPr="00A15EA4">
        <w:rPr>
          <w:rFonts w:ascii="Arial" w:hAnsi="Arial" w:cs="Arial"/>
        </w:rPr>
        <w:t xml:space="preserve">There has been considerable pressure </w:t>
      </w:r>
      <w:r w:rsidRPr="00A15EA4">
        <w:rPr>
          <w:rFonts w:ascii="Arial" w:hAnsi="Arial" w:cs="Arial"/>
        </w:rPr>
        <w:t>regarding</w:t>
      </w:r>
      <w:r w:rsidRPr="00A15EA4">
        <w:rPr>
          <w:rFonts w:ascii="Arial" w:hAnsi="Arial" w:cs="Arial"/>
        </w:rPr>
        <w:t xml:space="preserve"> the SDP in educational institutions and its ideal format. Certain schools had previously resorted to hiring an expert to compose the SDP on their behalf. Nonetheless, </w:t>
      </w:r>
      <w:r w:rsidR="000A34FE" w:rsidRPr="00A15EA4">
        <w:rPr>
          <w:rFonts w:ascii="Arial" w:hAnsi="Arial" w:cs="Arial"/>
        </w:rPr>
        <w:t xml:space="preserve">this approach </w:t>
      </w:r>
      <w:r w:rsidRPr="00A15EA4">
        <w:rPr>
          <w:rFonts w:ascii="Arial" w:hAnsi="Arial" w:cs="Arial"/>
        </w:rPr>
        <w:t xml:space="preserve">failed to fully capture the current state of the school and the necessary trajectory for improvement, </w:t>
      </w:r>
      <w:r w:rsidR="000A34FE" w:rsidRPr="00A15EA4">
        <w:rPr>
          <w:rFonts w:ascii="Arial" w:hAnsi="Arial" w:cs="Arial"/>
        </w:rPr>
        <w:t>lacking contribution</w:t>
      </w:r>
      <w:r w:rsidRPr="00A15EA4">
        <w:rPr>
          <w:rFonts w:ascii="Arial" w:hAnsi="Arial" w:cs="Arial"/>
        </w:rPr>
        <w:t xml:space="preserve"> to the enhancement of the school. Estyn (2019) now recognises these challenges and is </w:t>
      </w:r>
      <w:r w:rsidR="000A34FE" w:rsidRPr="00A15EA4">
        <w:rPr>
          <w:rFonts w:ascii="Arial" w:hAnsi="Arial" w:cs="Arial"/>
        </w:rPr>
        <w:t>addressing</w:t>
      </w:r>
      <w:r w:rsidRPr="00A15EA4">
        <w:rPr>
          <w:rFonts w:ascii="Arial" w:hAnsi="Arial" w:cs="Arial"/>
        </w:rPr>
        <w:t xml:space="preserve"> th</w:t>
      </w:r>
      <w:r w:rsidR="000A34FE" w:rsidRPr="00A15EA4">
        <w:rPr>
          <w:rFonts w:ascii="Arial" w:hAnsi="Arial" w:cs="Arial"/>
        </w:rPr>
        <w:t>is</w:t>
      </w:r>
      <w:r w:rsidRPr="00A15EA4">
        <w:rPr>
          <w:rFonts w:ascii="Arial" w:hAnsi="Arial" w:cs="Arial"/>
        </w:rPr>
        <w:t xml:space="preserve"> issue through a novel approach. They are encourag</w:t>
      </w:r>
      <w:r w:rsidR="000A34FE" w:rsidRPr="00A15EA4">
        <w:rPr>
          <w:rFonts w:ascii="Arial" w:hAnsi="Arial" w:cs="Arial"/>
        </w:rPr>
        <w:t>ing</w:t>
      </w:r>
      <w:r w:rsidRPr="00A15EA4">
        <w:rPr>
          <w:rFonts w:ascii="Arial" w:hAnsi="Arial" w:cs="Arial"/>
        </w:rPr>
        <w:t xml:space="preserve"> schools to place greater emphasis on their own self-assessment and introspection, while ensuring that it facilitates improvement.</w:t>
      </w:r>
    </w:p>
    <w:p w14:paraId="488CD131" w14:textId="63E3DC63" w:rsidR="00FA6E9D" w:rsidRPr="00A15EA4" w:rsidRDefault="00FA6E9D" w:rsidP="005A49A1">
      <w:pPr>
        <w:spacing w:line="480" w:lineRule="auto"/>
        <w:ind w:firstLine="720"/>
        <w:rPr>
          <w:rFonts w:ascii="Arial" w:hAnsi="Arial" w:cs="Arial"/>
        </w:rPr>
      </w:pPr>
      <w:r w:rsidRPr="00A15EA4">
        <w:rPr>
          <w:rFonts w:ascii="Arial" w:hAnsi="Arial" w:cs="Arial"/>
        </w:rPr>
        <w:t>The school development plan process model derived from the school development planning cycle of the Welsh Government (2017)</w:t>
      </w:r>
      <w:r w:rsidR="005A49A1" w:rsidRPr="00A15EA4">
        <w:rPr>
          <w:rFonts w:ascii="Arial" w:hAnsi="Arial" w:cs="Arial"/>
        </w:rPr>
        <w:t xml:space="preserve"> c</w:t>
      </w:r>
      <w:r w:rsidRPr="00A15EA4">
        <w:rPr>
          <w:rFonts w:ascii="Arial" w:hAnsi="Arial" w:cs="Arial"/>
        </w:rPr>
        <w:t xml:space="preserve">omprises of four distinct stages. </w:t>
      </w:r>
      <w:r w:rsidRPr="00A15EA4">
        <w:rPr>
          <w:rFonts w:ascii="Arial" w:hAnsi="Arial" w:cs="Arial"/>
        </w:rPr>
        <w:t>Prior to</w:t>
      </w:r>
      <w:r w:rsidRPr="00A15EA4">
        <w:rPr>
          <w:rFonts w:ascii="Arial" w:hAnsi="Arial" w:cs="Arial"/>
        </w:rPr>
        <w:t xml:space="preserve"> th</w:t>
      </w:r>
      <w:r w:rsidRPr="00A15EA4">
        <w:rPr>
          <w:rFonts w:ascii="Arial" w:hAnsi="Arial" w:cs="Arial"/>
        </w:rPr>
        <w:t>is</w:t>
      </w:r>
      <w:r w:rsidRPr="00A15EA4">
        <w:rPr>
          <w:rFonts w:ascii="Arial" w:hAnsi="Arial" w:cs="Arial"/>
        </w:rPr>
        <w:t xml:space="preserve"> process, the school must establish a clear vision of its desired accomplishments within a span of three years. The initial phase of this process involves self-assessment. During this stage, the school must engage in an honest assessment of its overall performance (Welsh Government, 2014). The self-evaluation process continues throughout the year to </w:t>
      </w:r>
      <w:r w:rsidR="005A49A1" w:rsidRPr="00A15EA4">
        <w:rPr>
          <w:rFonts w:ascii="Arial" w:hAnsi="Arial" w:cs="Arial"/>
        </w:rPr>
        <w:t>determine</w:t>
      </w:r>
      <w:r w:rsidRPr="00A15EA4">
        <w:rPr>
          <w:rFonts w:ascii="Arial" w:hAnsi="Arial" w:cs="Arial"/>
        </w:rPr>
        <w:t xml:space="preserve"> whether the school is attaining its previous targets. Based on the outcomes of the self-evaluation process, the school must identify its strengths, weaknesses, areas requiring improvement, and determine the measures necessary to make enhancements. Additionally, the </w:t>
      </w:r>
      <w:r w:rsidRPr="00A15EA4">
        <w:rPr>
          <w:rFonts w:ascii="Arial" w:hAnsi="Arial" w:cs="Arial"/>
        </w:rPr>
        <w:lastRenderedPageBreak/>
        <w:t>school must analyse pertinent data, such as eligibility for free school meals and students with additional learning needs, to support its targets for the school development plan (SDP).</w:t>
      </w:r>
    </w:p>
    <w:p w14:paraId="17E63C8D" w14:textId="6008D13F" w:rsidR="00C637F4" w:rsidRPr="00A15EA4" w:rsidRDefault="00C637F4" w:rsidP="00C637F4">
      <w:pPr>
        <w:spacing w:line="480" w:lineRule="auto"/>
        <w:ind w:firstLine="720"/>
        <w:rPr>
          <w:rFonts w:ascii="Arial" w:hAnsi="Arial" w:cs="Arial"/>
        </w:rPr>
      </w:pPr>
      <w:r w:rsidRPr="00A15EA4">
        <w:rPr>
          <w:rFonts w:ascii="Arial" w:hAnsi="Arial" w:cs="Arial"/>
        </w:rPr>
        <w:t xml:space="preserve">The strategic planning process constitutes the second stage of the model. In this critical stage, it is of utmost importance for educational institutions to involve all relevant partners and stakeholders. This inclusive approach ensures that all parties have a clear understanding of their respective responsibilities and commitments towards achieving the desired improvements. The school must establish priorities that are both challenging and realistic, as articulated by the Welsh Government (2017). Once these priorities have been established and agreed upon, the school and its partners must collaborate to develop specific targets that align with these priorities. Subsequently, the school must examine the potential need for professional development opportunities for its teachers to meet these targets, as well as the necessary resources required for implementation. Furthermore, it is </w:t>
      </w:r>
      <w:r w:rsidRPr="00A15EA4">
        <w:rPr>
          <w:rFonts w:ascii="Arial" w:hAnsi="Arial" w:cs="Arial"/>
        </w:rPr>
        <w:t>necessary</w:t>
      </w:r>
      <w:r w:rsidRPr="00A15EA4">
        <w:rPr>
          <w:rFonts w:ascii="Arial" w:hAnsi="Arial" w:cs="Arial"/>
        </w:rPr>
        <w:t xml:space="preserve"> to </w:t>
      </w:r>
      <w:r w:rsidRPr="00A15EA4">
        <w:rPr>
          <w:rFonts w:ascii="Arial" w:hAnsi="Arial" w:cs="Arial"/>
        </w:rPr>
        <w:t>analyse</w:t>
      </w:r>
      <w:r w:rsidRPr="00A15EA4">
        <w:rPr>
          <w:rFonts w:ascii="Arial" w:hAnsi="Arial" w:cs="Arial"/>
        </w:rPr>
        <w:t xml:space="preserve"> past targets that have been successfully accomplished to discern the strategies and factors that contributed to their effectiveness. This knowledge can then be utilized to inform future targets.</w:t>
      </w:r>
    </w:p>
    <w:p w14:paraId="199DB461" w14:textId="480722B0" w:rsidR="00DD7604" w:rsidRPr="00A15EA4" w:rsidRDefault="00DD7604" w:rsidP="00C637F4">
      <w:pPr>
        <w:spacing w:line="480" w:lineRule="auto"/>
        <w:ind w:firstLine="720"/>
        <w:rPr>
          <w:rFonts w:ascii="Arial" w:hAnsi="Arial" w:cs="Arial"/>
        </w:rPr>
      </w:pPr>
      <w:r w:rsidRPr="00A15EA4">
        <w:rPr>
          <w:rFonts w:ascii="Arial" w:hAnsi="Arial" w:cs="Arial"/>
        </w:rPr>
        <w:t xml:space="preserve">The third phase revolves around implementing enhancements and executing the outlined actions and strategies. The personnel must possess knowledge of the necessary actions and strategies, along with their responsibility to execute them </w:t>
      </w:r>
      <w:r w:rsidR="00DA0AB2" w:rsidRPr="00A15EA4">
        <w:rPr>
          <w:rFonts w:ascii="Arial" w:hAnsi="Arial" w:cs="Arial"/>
        </w:rPr>
        <w:t>to</w:t>
      </w:r>
      <w:r w:rsidRPr="00A15EA4">
        <w:rPr>
          <w:rFonts w:ascii="Arial" w:hAnsi="Arial" w:cs="Arial"/>
        </w:rPr>
        <w:t xml:space="preserve"> achieve the desired improvements. The significance of effective leadership during this stage cannot be overstated, as it plays a crucial role in fostering staff involvement and commitment. Estyn has discovered that exemplary leadership leads to exemplary instruction, especially when professional development caters to both </w:t>
      </w:r>
      <w:r w:rsidRPr="00A15EA4">
        <w:rPr>
          <w:rFonts w:ascii="Arial" w:hAnsi="Arial" w:cs="Arial"/>
        </w:rPr>
        <w:lastRenderedPageBreak/>
        <w:t>national improvement priorities and individual skill development (Welsh Government, 2014).</w:t>
      </w:r>
    </w:p>
    <w:p w14:paraId="7BA3363E" w14:textId="03488307" w:rsidR="00DD7604" w:rsidRPr="00A15EA4" w:rsidRDefault="00DD7604" w:rsidP="00C637F4">
      <w:pPr>
        <w:spacing w:line="480" w:lineRule="auto"/>
        <w:ind w:firstLine="720"/>
        <w:rPr>
          <w:rFonts w:ascii="Arial" w:hAnsi="Arial" w:cs="Arial"/>
        </w:rPr>
      </w:pPr>
      <w:r w:rsidRPr="00A15EA4">
        <w:rPr>
          <w:rFonts w:ascii="Arial" w:hAnsi="Arial" w:cs="Arial"/>
        </w:rPr>
        <w:t>The fourth stage encompasses a continuous evaluation of the consequences of the strategy. This evaluation should be conducted utilizing real-time records that are accessible to all relevant personnel. The duty of monitoring and revising the development plan on an annual basis or following an Estyn inspection lies with the governing body. By doing so, the school's plan will be kept current.</w:t>
      </w:r>
    </w:p>
    <w:p w14:paraId="21C8B8BB" w14:textId="7AC268DF" w:rsidR="00517E4B" w:rsidRPr="00A15EA4" w:rsidRDefault="00517E4B" w:rsidP="00DA0AB2">
      <w:pPr>
        <w:spacing w:line="480" w:lineRule="auto"/>
        <w:ind w:firstLine="720"/>
        <w:rPr>
          <w:rFonts w:ascii="Arial" w:hAnsi="Arial" w:cs="Arial"/>
        </w:rPr>
      </w:pPr>
      <w:r w:rsidRPr="00A15EA4">
        <w:rPr>
          <w:rFonts w:ascii="Arial" w:hAnsi="Arial" w:cs="Arial"/>
        </w:rPr>
        <w:t xml:space="preserve">Literacy and numeracy skills serve as foundational pillars for academic achievement and lifelong learning. In the secondary school context, proficiency in these domains is crucial for comprehending complex texts, solving mathematical problems, and engaging critically with information across disciplines. Moreover, literacy and numeracy proficiency correlate with higher graduation rates, enhanced employability, and increased socio-economic opportunities (Hanushek &amp; </w:t>
      </w:r>
      <w:proofErr w:type="spellStart"/>
      <w:r w:rsidRPr="00A15EA4">
        <w:rPr>
          <w:rFonts w:ascii="Arial" w:hAnsi="Arial" w:cs="Arial"/>
        </w:rPr>
        <w:t>Woessmann</w:t>
      </w:r>
      <w:proofErr w:type="spellEnd"/>
      <w:r w:rsidRPr="00A15EA4">
        <w:rPr>
          <w:rFonts w:ascii="Arial" w:hAnsi="Arial" w:cs="Arial"/>
        </w:rPr>
        <w:t>, 2015). Therefore, fostering literacy and numeracy competencies is imperative to equip secondary school pupils with the essential skills needed for success in higher education, the workforce, and society at large.</w:t>
      </w:r>
    </w:p>
    <w:p w14:paraId="2E7F5299" w14:textId="77777777" w:rsidR="00F51E28" w:rsidRDefault="00517E4B" w:rsidP="00F51E28">
      <w:pPr>
        <w:spacing w:line="480" w:lineRule="auto"/>
        <w:ind w:firstLine="720"/>
        <w:rPr>
          <w:rFonts w:ascii="Arial" w:hAnsi="Arial" w:cs="Arial"/>
        </w:rPr>
      </w:pPr>
      <w:r w:rsidRPr="00A15EA4">
        <w:rPr>
          <w:rFonts w:ascii="Arial" w:hAnsi="Arial" w:cs="Arial"/>
        </w:rPr>
        <w:t>Several factors influence the development of literacy and numeracy skills among secondary school pupils. These include individual characteristics, such as cognitive abilities and socio-economic background, as well as environmental factors, including instructional quality and access to resources (</w:t>
      </w:r>
      <w:proofErr w:type="spellStart"/>
      <w:r w:rsidRPr="00A15EA4">
        <w:rPr>
          <w:rFonts w:ascii="Arial" w:hAnsi="Arial" w:cs="Arial"/>
        </w:rPr>
        <w:t>Suggate</w:t>
      </w:r>
      <w:proofErr w:type="spellEnd"/>
      <w:r w:rsidRPr="00A15EA4">
        <w:rPr>
          <w:rFonts w:ascii="Arial" w:hAnsi="Arial" w:cs="Arial"/>
        </w:rPr>
        <w:t>, 2016). Additionally, motivation, self-regulation, and parental involvement play significant roles in shaping students' literacy and numeracy trajectories (Desimone et al., 2015). Understanding these multifaceted influences is crucial for designing targeted interventions to address the diverse needs of learners and promote equitable outcomes in secondary education.</w:t>
      </w:r>
    </w:p>
    <w:p w14:paraId="5B972633" w14:textId="29EE1A9A" w:rsidR="00517E4B" w:rsidRPr="00A15EA4" w:rsidRDefault="00C90B1F" w:rsidP="00F51E28">
      <w:pPr>
        <w:spacing w:line="480" w:lineRule="auto"/>
        <w:rPr>
          <w:rFonts w:ascii="Arial" w:hAnsi="Arial" w:cs="Arial"/>
        </w:rPr>
      </w:pPr>
      <w:r w:rsidRPr="00A15EA4">
        <w:rPr>
          <w:rFonts w:ascii="Arial" w:hAnsi="Arial" w:cs="Arial"/>
        </w:rPr>
        <w:lastRenderedPageBreak/>
        <w:t xml:space="preserve">Within its SDP, </w:t>
      </w:r>
      <w:r w:rsidR="00C9384D" w:rsidRPr="00A15EA4">
        <w:rPr>
          <w:rFonts w:ascii="Arial" w:hAnsi="Arial" w:cs="Arial"/>
        </w:rPr>
        <w:t xml:space="preserve">School X has laid out its </w:t>
      </w:r>
      <w:r w:rsidR="009F740F" w:rsidRPr="00A15EA4">
        <w:rPr>
          <w:rFonts w:ascii="Arial" w:hAnsi="Arial" w:cs="Arial"/>
        </w:rPr>
        <w:t xml:space="preserve">five </w:t>
      </w:r>
      <w:r w:rsidR="00C9384D" w:rsidRPr="00A15EA4">
        <w:rPr>
          <w:rFonts w:ascii="Arial" w:hAnsi="Arial" w:cs="Arial"/>
        </w:rPr>
        <w:t xml:space="preserve">main actions for improving numeracy and literacy. These </w:t>
      </w:r>
      <w:r w:rsidR="009F740F" w:rsidRPr="00A15EA4">
        <w:rPr>
          <w:rFonts w:ascii="Arial" w:hAnsi="Arial" w:cs="Arial"/>
        </w:rPr>
        <w:t>ar</w:t>
      </w:r>
      <w:r w:rsidR="00C9384D" w:rsidRPr="00A15EA4">
        <w:rPr>
          <w:rFonts w:ascii="Arial" w:hAnsi="Arial" w:cs="Arial"/>
        </w:rPr>
        <w:t>e:</w:t>
      </w:r>
    </w:p>
    <w:p w14:paraId="131E0A18" w14:textId="0845C935" w:rsidR="009A4426" w:rsidRPr="00A15EA4" w:rsidRDefault="0039651C" w:rsidP="009A4426">
      <w:pPr>
        <w:pStyle w:val="ListParagraph"/>
        <w:numPr>
          <w:ilvl w:val="0"/>
          <w:numId w:val="4"/>
        </w:numPr>
        <w:spacing w:line="480" w:lineRule="auto"/>
        <w:rPr>
          <w:rFonts w:ascii="Arial" w:hAnsi="Arial" w:cs="Arial"/>
        </w:rPr>
      </w:pPr>
      <w:r w:rsidRPr="00A15EA4">
        <w:rPr>
          <w:rFonts w:ascii="Arial" w:hAnsi="Arial" w:cs="Arial"/>
        </w:rPr>
        <w:t>O</w:t>
      </w:r>
      <w:r w:rsidR="00517E4B" w:rsidRPr="00A15EA4">
        <w:rPr>
          <w:rFonts w:ascii="Arial" w:hAnsi="Arial" w:cs="Arial"/>
        </w:rPr>
        <w:t>btain</w:t>
      </w:r>
      <w:r w:rsidRPr="00A15EA4">
        <w:rPr>
          <w:rFonts w:ascii="Arial" w:hAnsi="Arial" w:cs="Arial"/>
        </w:rPr>
        <w:t>ing</w:t>
      </w:r>
      <w:r w:rsidR="00517E4B" w:rsidRPr="00A15EA4">
        <w:rPr>
          <w:rFonts w:ascii="Arial" w:hAnsi="Arial" w:cs="Arial"/>
        </w:rPr>
        <w:t xml:space="preserve"> commitment from departments to ensure that the literacy and numeracy opportunities stemming from the Curriculum for Wales are conducive to suitable advancement and that the created resources are properly tailored to provide both support and challenge</w:t>
      </w:r>
      <w:r w:rsidR="00493CF5" w:rsidRPr="00A15EA4">
        <w:rPr>
          <w:rFonts w:ascii="Arial" w:hAnsi="Arial" w:cs="Arial"/>
        </w:rPr>
        <w:t xml:space="preserve"> (School X, 2023)</w:t>
      </w:r>
      <w:r w:rsidR="00517E4B" w:rsidRPr="00A15EA4">
        <w:rPr>
          <w:rFonts w:ascii="Arial" w:hAnsi="Arial" w:cs="Arial"/>
        </w:rPr>
        <w:t>.</w:t>
      </w:r>
    </w:p>
    <w:p w14:paraId="37D7D352" w14:textId="77777777" w:rsidR="009F740F" w:rsidRPr="00A15EA4" w:rsidRDefault="009F740F" w:rsidP="009F740F">
      <w:pPr>
        <w:spacing w:line="480" w:lineRule="auto"/>
        <w:rPr>
          <w:rFonts w:ascii="Arial" w:hAnsi="Arial" w:cs="Arial"/>
        </w:rPr>
      </w:pPr>
    </w:p>
    <w:p w14:paraId="0275F04C" w14:textId="18094CE6" w:rsidR="009A4426" w:rsidRPr="00A15EA4" w:rsidRDefault="009A4426" w:rsidP="009F740F">
      <w:pPr>
        <w:spacing w:line="480" w:lineRule="auto"/>
        <w:rPr>
          <w:rFonts w:ascii="Arial" w:hAnsi="Arial" w:cs="Arial"/>
        </w:rPr>
      </w:pPr>
      <w:r w:rsidRPr="00A15EA4">
        <w:rPr>
          <w:rFonts w:ascii="Arial" w:hAnsi="Arial" w:cs="Arial"/>
        </w:rPr>
        <w:t>Differentiated instruction involves tailoring teaching approaches and learning experiences to meet the diverse needs of students (Tomlinson, 2017). In the context of literacy and numeracy instruction, differentiation enables educators to adapt content, process, and product according to students' readiness, interests, and learning profiles. By providing personalized support and scaffolding, teachers can effectively address gaps in students' literacy and numeracy skills while challenging advanced learners to deepen their understanding (Westwood, 2018). Research suggests that differentiated instruction enhances student engagement, motivation, and achievement in secondary education (Tomlinson, 2014).</w:t>
      </w:r>
    </w:p>
    <w:p w14:paraId="01904238" w14:textId="77777777" w:rsidR="009A4426" w:rsidRPr="00A15EA4" w:rsidRDefault="009A4426" w:rsidP="009A4426">
      <w:pPr>
        <w:spacing w:line="480" w:lineRule="auto"/>
        <w:rPr>
          <w:rFonts w:ascii="Arial" w:hAnsi="Arial" w:cs="Arial"/>
        </w:rPr>
      </w:pPr>
    </w:p>
    <w:p w14:paraId="5A87D08E" w14:textId="677B7DE4" w:rsidR="00517E4B" w:rsidRPr="00A15EA4" w:rsidRDefault="00517E4B" w:rsidP="00A9437A">
      <w:pPr>
        <w:pStyle w:val="ListParagraph"/>
        <w:numPr>
          <w:ilvl w:val="0"/>
          <w:numId w:val="4"/>
        </w:numPr>
        <w:spacing w:line="480" w:lineRule="auto"/>
        <w:rPr>
          <w:rFonts w:ascii="Arial" w:hAnsi="Arial" w:cs="Arial"/>
        </w:rPr>
      </w:pPr>
      <w:r w:rsidRPr="00A15EA4">
        <w:rPr>
          <w:rFonts w:ascii="Arial" w:hAnsi="Arial" w:cs="Arial"/>
        </w:rPr>
        <w:t>Collaborat</w:t>
      </w:r>
      <w:r w:rsidR="0039651C" w:rsidRPr="00A15EA4">
        <w:rPr>
          <w:rFonts w:ascii="Arial" w:hAnsi="Arial" w:cs="Arial"/>
        </w:rPr>
        <w:t>ing</w:t>
      </w:r>
      <w:r w:rsidRPr="00A15EA4">
        <w:rPr>
          <w:rFonts w:ascii="Arial" w:hAnsi="Arial" w:cs="Arial"/>
        </w:rPr>
        <w:t xml:space="preserve"> with departments that assign distinct scores, in the context of GCSE exams and assessments, to the proficiency in literacy skills such as the accurate spelling of essential vocabulary and proficient expression</w:t>
      </w:r>
      <w:r w:rsidR="00493CF5" w:rsidRPr="00A15EA4">
        <w:rPr>
          <w:rFonts w:ascii="Arial" w:hAnsi="Arial" w:cs="Arial"/>
        </w:rPr>
        <w:t xml:space="preserve"> </w:t>
      </w:r>
      <w:r w:rsidR="00493CF5" w:rsidRPr="00A15EA4">
        <w:rPr>
          <w:rFonts w:ascii="Arial" w:hAnsi="Arial" w:cs="Arial"/>
        </w:rPr>
        <w:t>(School X, 2023)</w:t>
      </w:r>
      <w:r w:rsidRPr="00A15EA4">
        <w:rPr>
          <w:rFonts w:ascii="Arial" w:hAnsi="Arial" w:cs="Arial"/>
        </w:rPr>
        <w:t>.</w:t>
      </w:r>
    </w:p>
    <w:p w14:paraId="067B80CE" w14:textId="77777777" w:rsidR="00303C92" w:rsidRPr="00A15EA4" w:rsidRDefault="00303C92" w:rsidP="009A4426">
      <w:pPr>
        <w:spacing w:line="480" w:lineRule="auto"/>
        <w:rPr>
          <w:rFonts w:ascii="Arial" w:hAnsi="Arial" w:cs="Arial"/>
        </w:rPr>
      </w:pPr>
    </w:p>
    <w:p w14:paraId="78389EBD" w14:textId="1DB99FCC" w:rsidR="00A9437A" w:rsidRPr="00A15EA4" w:rsidRDefault="00A9437A" w:rsidP="009A4426">
      <w:pPr>
        <w:spacing w:line="480" w:lineRule="auto"/>
        <w:rPr>
          <w:rFonts w:ascii="Arial" w:hAnsi="Arial" w:cs="Arial"/>
        </w:rPr>
      </w:pPr>
      <w:r w:rsidRPr="00A15EA4">
        <w:rPr>
          <w:rFonts w:ascii="Arial" w:hAnsi="Arial" w:cs="Arial"/>
        </w:rPr>
        <w:t xml:space="preserve">Assigning distinct scores to proficiency in literacy skills offers several potential advantages. Firstly, it provides detailed feedback to students, teachers, and parents, facilitating targeted interventions to address specific areas of weakness (Education </w:t>
      </w:r>
      <w:r w:rsidRPr="00A15EA4">
        <w:rPr>
          <w:rFonts w:ascii="Arial" w:hAnsi="Arial" w:cs="Arial"/>
        </w:rPr>
        <w:lastRenderedPageBreak/>
        <w:t xml:space="preserve">Endowment Foundation, 2020). Secondly, it promotes greater accountability and transparency in assessment practices, aligning with principles of fairness and equity (Black &amp; </w:t>
      </w:r>
      <w:proofErr w:type="spellStart"/>
      <w:r w:rsidRPr="00A15EA4">
        <w:rPr>
          <w:rFonts w:ascii="Arial" w:hAnsi="Arial" w:cs="Arial"/>
        </w:rPr>
        <w:t>Wiliam</w:t>
      </w:r>
      <w:proofErr w:type="spellEnd"/>
      <w:r w:rsidRPr="00A15EA4">
        <w:rPr>
          <w:rFonts w:ascii="Arial" w:hAnsi="Arial" w:cs="Arial"/>
        </w:rPr>
        <w:t>, 2009). Finally, distinct scoring incentivizes students to prioritize literacy skills development, recognizing their importance in academic and professional success (</w:t>
      </w:r>
      <w:proofErr w:type="spellStart"/>
      <w:r w:rsidRPr="00A15EA4">
        <w:rPr>
          <w:rFonts w:ascii="Arial" w:hAnsi="Arial" w:cs="Arial"/>
        </w:rPr>
        <w:t>Lemos</w:t>
      </w:r>
      <w:proofErr w:type="spellEnd"/>
      <w:r w:rsidRPr="00A15EA4">
        <w:rPr>
          <w:rFonts w:ascii="Arial" w:hAnsi="Arial" w:cs="Arial"/>
        </w:rPr>
        <w:t xml:space="preserve"> &amp; </w:t>
      </w:r>
      <w:proofErr w:type="spellStart"/>
      <w:r w:rsidRPr="00A15EA4">
        <w:rPr>
          <w:rFonts w:ascii="Arial" w:hAnsi="Arial" w:cs="Arial"/>
        </w:rPr>
        <w:t>Verstegen</w:t>
      </w:r>
      <w:proofErr w:type="spellEnd"/>
      <w:r w:rsidRPr="00A15EA4">
        <w:rPr>
          <w:rFonts w:ascii="Arial" w:hAnsi="Arial" w:cs="Arial"/>
        </w:rPr>
        <w:t>, 2020).</w:t>
      </w:r>
    </w:p>
    <w:p w14:paraId="6A289DEB" w14:textId="357920D4" w:rsidR="00A9437A" w:rsidRPr="00A15EA4" w:rsidRDefault="00A9437A" w:rsidP="00A9437A">
      <w:pPr>
        <w:spacing w:line="480" w:lineRule="auto"/>
        <w:ind w:firstLine="720"/>
        <w:rPr>
          <w:rFonts w:ascii="Arial" w:hAnsi="Arial" w:cs="Arial"/>
        </w:rPr>
      </w:pPr>
      <w:r w:rsidRPr="00A15EA4">
        <w:rPr>
          <w:rFonts w:ascii="Arial" w:hAnsi="Arial" w:cs="Arial"/>
        </w:rPr>
        <w:t>However, t</w:t>
      </w:r>
      <w:r w:rsidRPr="00A15EA4">
        <w:rPr>
          <w:rFonts w:ascii="Arial" w:hAnsi="Arial" w:cs="Arial"/>
        </w:rPr>
        <w:t xml:space="preserve">he assessment of literacy skills, including spelling and expression, often lacks </w:t>
      </w:r>
      <w:r w:rsidRPr="00A15EA4">
        <w:rPr>
          <w:rFonts w:ascii="Arial" w:hAnsi="Arial" w:cs="Arial"/>
        </w:rPr>
        <w:t>detail</w:t>
      </w:r>
      <w:r w:rsidRPr="00A15EA4">
        <w:rPr>
          <w:rFonts w:ascii="Arial" w:hAnsi="Arial" w:cs="Arial"/>
        </w:rPr>
        <w:t xml:space="preserve"> in traditional examination systems (Smyth et al., 2017). Existing assessment practices may not adequately capture nuances in students' literacy proficiency, </w:t>
      </w:r>
      <w:r w:rsidRPr="00A15EA4">
        <w:rPr>
          <w:rFonts w:ascii="Arial" w:hAnsi="Arial" w:cs="Arial"/>
        </w:rPr>
        <w:t xml:space="preserve">potentially </w:t>
      </w:r>
      <w:r w:rsidRPr="00A15EA4">
        <w:rPr>
          <w:rFonts w:ascii="Arial" w:hAnsi="Arial" w:cs="Arial"/>
        </w:rPr>
        <w:t>hindering targeted interventions and support.</w:t>
      </w:r>
    </w:p>
    <w:p w14:paraId="3355BC03" w14:textId="6DD2BA5E" w:rsidR="00A9437A" w:rsidRPr="00A15EA4" w:rsidRDefault="00A9437A" w:rsidP="009F740F">
      <w:pPr>
        <w:spacing w:line="480" w:lineRule="auto"/>
        <w:ind w:firstLine="720"/>
        <w:rPr>
          <w:rFonts w:ascii="Arial" w:hAnsi="Arial" w:cs="Arial"/>
        </w:rPr>
      </w:pPr>
      <w:r w:rsidRPr="00A15EA4">
        <w:rPr>
          <w:rFonts w:ascii="Arial" w:hAnsi="Arial" w:cs="Arial"/>
        </w:rPr>
        <w:t>Studies suggest that targeted interventions and personalized feedback significantly enhance literacy outcomes (Hattie &amp; Timperley, 2007). For example, a meta-analysis by the Education Endowment Foundation (2020) found that feedback interventions led to substantial improvements in students' attainment in literacy-related tasks. Moreover, research indicates that explicit instruction and practice in spelling and expression contribute to enhanced literacy proficiency (Graham &amp; Santangelo, 2014).</w:t>
      </w:r>
    </w:p>
    <w:p w14:paraId="046CEF13" w14:textId="77777777" w:rsidR="00A9437A" w:rsidRPr="00A15EA4" w:rsidRDefault="00A9437A" w:rsidP="009A4426">
      <w:pPr>
        <w:spacing w:line="480" w:lineRule="auto"/>
        <w:rPr>
          <w:rFonts w:ascii="Arial" w:hAnsi="Arial" w:cs="Arial"/>
          <w:b/>
          <w:bCs/>
        </w:rPr>
      </w:pPr>
    </w:p>
    <w:p w14:paraId="24874949" w14:textId="29D68852" w:rsidR="00303C92" w:rsidRPr="00A15EA4" w:rsidRDefault="00303C92" w:rsidP="00EE01F8">
      <w:pPr>
        <w:pStyle w:val="ListParagraph"/>
        <w:numPr>
          <w:ilvl w:val="0"/>
          <w:numId w:val="4"/>
        </w:numPr>
        <w:spacing w:line="480" w:lineRule="auto"/>
        <w:rPr>
          <w:rFonts w:ascii="Arial" w:hAnsi="Arial" w:cs="Arial"/>
        </w:rPr>
      </w:pPr>
      <w:r w:rsidRPr="00A15EA4">
        <w:rPr>
          <w:rFonts w:ascii="Arial" w:hAnsi="Arial" w:cs="Arial"/>
        </w:rPr>
        <w:t>Organi</w:t>
      </w:r>
      <w:r w:rsidR="0039651C" w:rsidRPr="00A15EA4">
        <w:rPr>
          <w:rFonts w:ascii="Arial" w:hAnsi="Arial" w:cs="Arial"/>
        </w:rPr>
        <w:t>sing</w:t>
      </w:r>
      <w:r w:rsidRPr="00A15EA4">
        <w:rPr>
          <w:rFonts w:ascii="Arial" w:hAnsi="Arial" w:cs="Arial"/>
        </w:rPr>
        <w:t xml:space="preserve"> occasions, via scheduled teaching and learning gatherings, for educators from various disciplines to exchange expertise in advancing and enhancing students' proficiency in reading, writing, and mathematics</w:t>
      </w:r>
      <w:r w:rsidR="00493CF5" w:rsidRPr="00A15EA4">
        <w:rPr>
          <w:rFonts w:ascii="Arial" w:hAnsi="Arial" w:cs="Arial"/>
        </w:rPr>
        <w:t xml:space="preserve"> </w:t>
      </w:r>
      <w:r w:rsidR="00493CF5" w:rsidRPr="00A15EA4">
        <w:rPr>
          <w:rFonts w:ascii="Arial" w:hAnsi="Arial" w:cs="Arial"/>
        </w:rPr>
        <w:t>(School X, 2023)</w:t>
      </w:r>
      <w:r w:rsidRPr="00A15EA4">
        <w:rPr>
          <w:rFonts w:ascii="Arial" w:hAnsi="Arial" w:cs="Arial"/>
        </w:rPr>
        <w:t>.</w:t>
      </w:r>
    </w:p>
    <w:p w14:paraId="47769DD0" w14:textId="77777777" w:rsidR="00EE01F8" w:rsidRPr="00A15EA4" w:rsidRDefault="00EE01F8" w:rsidP="00EE01F8">
      <w:pPr>
        <w:spacing w:line="480" w:lineRule="auto"/>
        <w:rPr>
          <w:rFonts w:ascii="Arial" w:hAnsi="Arial" w:cs="Arial"/>
        </w:rPr>
      </w:pPr>
    </w:p>
    <w:p w14:paraId="62F6F964" w14:textId="48449039" w:rsidR="0039651C" w:rsidRPr="00A15EA4" w:rsidRDefault="0039651C" w:rsidP="009A4426">
      <w:pPr>
        <w:spacing w:line="480" w:lineRule="auto"/>
        <w:rPr>
          <w:rFonts w:ascii="Arial" w:hAnsi="Arial" w:cs="Arial"/>
        </w:rPr>
      </w:pPr>
      <w:r w:rsidRPr="00A15EA4">
        <w:rPr>
          <w:rFonts w:ascii="Arial" w:hAnsi="Arial" w:cs="Arial"/>
        </w:rPr>
        <w:t>High-quality teacher professional development is essential for enhancing literacy and numeracy instruction in secondary schools (</w:t>
      </w:r>
      <w:proofErr w:type="spellStart"/>
      <w:r w:rsidRPr="00A15EA4">
        <w:rPr>
          <w:rFonts w:ascii="Arial" w:hAnsi="Arial" w:cs="Arial"/>
        </w:rPr>
        <w:t>Guskey</w:t>
      </w:r>
      <w:proofErr w:type="spellEnd"/>
      <w:r w:rsidRPr="00A15EA4">
        <w:rPr>
          <w:rFonts w:ascii="Arial" w:hAnsi="Arial" w:cs="Arial"/>
        </w:rPr>
        <w:t xml:space="preserve"> &amp; Yoon, 2009). Continuous professional learning enables educators to stay abreast of research-based practices, </w:t>
      </w:r>
      <w:r w:rsidRPr="00A15EA4">
        <w:rPr>
          <w:rFonts w:ascii="Arial" w:hAnsi="Arial" w:cs="Arial"/>
        </w:rPr>
        <w:lastRenderedPageBreak/>
        <w:t>instructional strategies, and assessment techniques to support students' literacy and numeracy development (Hattie et al., 2015). Effective professional development programs incorporate opportunities for collaboration, reflection, and feedback, fostering a culture of inquiry and improvement within schools (Darling-Hammond et al., 2009). By investing in teacher professional development, educational stakeholders can cultivate a skilled and knowledgeable workforce capable of delivering high-quality instruction that meets the diverse needs of learners.</w:t>
      </w:r>
    </w:p>
    <w:p w14:paraId="7DD21D9B" w14:textId="77777777" w:rsidR="0039651C" w:rsidRPr="00A15EA4" w:rsidRDefault="0039651C" w:rsidP="009A4426">
      <w:pPr>
        <w:spacing w:line="480" w:lineRule="auto"/>
        <w:rPr>
          <w:rFonts w:ascii="Arial" w:hAnsi="Arial" w:cs="Arial"/>
        </w:rPr>
      </w:pPr>
    </w:p>
    <w:p w14:paraId="7D15596A" w14:textId="61040029" w:rsidR="00303C92" w:rsidRDefault="00303C92" w:rsidP="00EE01F8">
      <w:pPr>
        <w:pStyle w:val="ListParagraph"/>
        <w:numPr>
          <w:ilvl w:val="0"/>
          <w:numId w:val="4"/>
        </w:numPr>
        <w:spacing w:line="480" w:lineRule="auto"/>
        <w:rPr>
          <w:rFonts w:ascii="Arial" w:hAnsi="Arial" w:cs="Arial"/>
        </w:rPr>
      </w:pPr>
      <w:r w:rsidRPr="00A15EA4">
        <w:rPr>
          <w:rFonts w:ascii="Arial" w:hAnsi="Arial" w:cs="Arial"/>
        </w:rPr>
        <w:t>Advis</w:t>
      </w:r>
      <w:r w:rsidR="0039651C" w:rsidRPr="00A15EA4">
        <w:rPr>
          <w:rFonts w:ascii="Arial" w:hAnsi="Arial" w:cs="Arial"/>
        </w:rPr>
        <w:t>ing</w:t>
      </w:r>
      <w:r w:rsidRPr="00A15EA4">
        <w:rPr>
          <w:rFonts w:ascii="Arial" w:hAnsi="Arial" w:cs="Arial"/>
        </w:rPr>
        <w:t xml:space="preserve"> and </w:t>
      </w:r>
      <w:r w:rsidR="00BE29C7" w:rsidRPr="00A15EA4">
        <w:rPr>
          <w:rFonts w:ascii="Arial" w:hAnsi="Arial" w:cs="Arial"/>
        </w:rPr>
        <w:t>aid</w:t>
      </w:r>
      <w:r w:rsidR="0039651C" w:rsidRPr="00A15EA4">
        <w:rPr>
          <w:rFonts w:ascii="Arial" w:hAnsi="Arial" w:cs="Arial"/>
        </w:rPr>
        <w:t>ing</w:t>
      </w:r>
      <w:r w:rsidRPr="00A15EA4">
        <w:rPr>
          <w:rFonts w:ascii="Arial" w:hAnsi="Arial" w:cs="Arial"/>
        </w:rPr>
        <w:t xml:space="preserve"> departments in the implementation and enforcement of coherent departmental strategies aimed at promoting the advancement and enhancement of students' abilities in reading, spelling, punctuation, and sentence formation</w:t>
      </w:r>
      <w:r w:rsidR="00493CF5" w:rsidRPr="00A15EA4">
        <w:rPr>
          <w:rFonts w:ascii="Arial" w:hAnsi="Arial" w:cs="Arial"/>
        </w:rPr>
        <w:t xml:space="preserve"> </w:t>
      </w:r>
      <w:r w:rsidR="00493CF5" w:rsidRPr="00A15EA4">
        <w:rPr>
          <w:rFonts w:ascii="Arial" w:hAnsi="Arial" w:cs="Arial"/>
        </w:rPr>
        <w:t>(School X, 2023)</w:t>
      </w:r>
      <w:r w:rsidRPr="00A15EA4">
        <w:rPr>
          <w:rFonts w:ascii="Arial" w:hAnsi="Arial" w:cs="Arial"/>
        </w:rPr>
        <w:t>.</w:t>
      </w:r>
    </w:p>
    <w:p w14:paraId="751C59EE" w14:textId="77777777" w:rsidR="00F51E28" w:rsidRPr="00A72AC6" w:rsidRDefault="00F51E28" w:rsidP="00A72AC6">
      <w:pPr>
        <w:spacing w:line="480" w:lineRule="auto"/>
        <w:rPr>
          <w:rFonts w:ascii="Arial" w:hAnsi="Arial" w:cs="Arial"/>
        </w:rPr>
      </w:pPr>
    </w:p>
    <w:p w14:paraId="42C74D28" w14:textId="22B60A38" w:rsidR="00633B5F" w:rsidRPr="00A15EA4" w:rsidRDefault="00633B5F" w:rsidP="00633B5F">
      <w:pPr>
        <w:spacing w:line="480" w:lineRule="auto"/>
        <w:rPr>
          <w:rFonts w:ascii="Arial" w:hAnsi="Arial" w:cs="Arial"/>
        </w:rPr>
      </w:pPr>
      <w:r w:rsidRPr="00A15EA4">
        <w:rPr>
          <w:rFonts w:ascii="Arial" w:hAnsi="Arial" w:cs="Arial"/>
        </w:rPr>
        <w:t xml:space="preserve">Coherent departmental strategies facilitate the development of literacy skills by embedding literacy instruction within the curriculum of various disciplines (Moffett, 2018). For instance, science teachers may incorporate reading assignments that require students to </w:t>
      </w:r>
      <w:r w:rsidRPr="00A15EA4">
        <w:rPr>
          <w:rFonts w:ascii="Arial" w:hAnsi="Arial" w:cs="Arial"/>
        </w:rPr>
        <w:t>analyse</w:t>
      </w:r>
      <w:r w:rsidRPr="00A15EA4">
        <w:rPr>
          <w:rFonts w:ascii="Arial" w:hAnsi="Arial" w:cs="Arial"/>
        </w:rPr>
        <w:t xml:space="preserve"> scientific texts, thereby enhancing both content knowledge and reading comprehension skills. Similarly, history teachers can integrate writing tasks that encourage students to construct coherent arguments based on historical evidence, fostering critical thinking and literacy development.</w:t>
      </w:r>
    </w:p>
    <w:p w14:paraId="7F45B1EE" w14:textId="3FBA3951" w:rsidR="00303C92" w:rsidRPr="00A15EA4" w:rsidRDefault="00633B5F" w:rsidP="00633B5F">
      <w:pPr>
        <w:spacing w:line="480" w:lineRule="auto"/>
        <w:ind w:firstLine="360"/>
        <w:rPr>
          <w:rFonts w:ascii="Arial" w:hAnsi="Arial" w:cs="Arial"/>
        </w:rPr>
      </w:pPr>
      <w:r w:rsidRPr="00A15EA4">
        <w:rPr>
          <w:rFonts w:ascii="Arial" w:hAnsi="Arial" w:cs="Arial"/>
        </w:rPr>
        <w:t>Furthermore, coherent departmental strategies promote interdisciplinary approaches to literacy instruction, recognizing that literacy skills are transferable across subjects (Barrett et al., 2020). By emphasizing common literacy standards and instructional techniques across departments, schools can provide consistent support for students' literacy development throughout their secondary education.</w:t>
      </w:r>
    </w:p>
    <w:p w14:paraId="4DC9EAB5" w14:textId="77777777" w:rsidR="00633B5F" w:rsidRPr="00A15EA4" w:rsidRDefault="00633B5F" w:rsidP="00633B5F">
      <w:pPr>
        <w:spacing w:line="480" w:lineRule="auto"/>
        <w:ind w:firstLine="360"/>
        <w:rPr>
          <w:rFonts w:ascii="Arial" w:hAnsi="Arial" w:cs="Arial"/>
        </w:rPr>
      </w:pPr>
    </w:p>
    <w:p w14:paraId="230DE22F" w14:textId="060FF589" w:rsidR="00303C92" w:rsidRPr="00A15EA4" w:rsidRDefault="00303C92" w:rsidP="00EE01F8">
      <w:pPr>
        <w:pStyle w:val="ListParagraph"/>
        <w:numPr>
          <w:ilvl w:val="0"/>
          <w:numId w:val="4"/>
        </w:numPr>
        <w:spacing w:line="480" w:lineRule="auto"/>
        <w:rPr>
          <w:rFonts w:ascii="Arial" w:hAnsi="Arial" w:cs="Arial"/>
        </w:rPr>
      </w:pPr>
      <w:r w:rsidRPr="00A15EA4">
        <w:rPr>
          <w:rFonts w:ascii="Arial" w:hAnsi="Arial" w:cs="Arial"/>
        </w:rPr>
        <w:t>Promote and develop self-regulated learning in literacy and numeracy by training and guiding skills ambassadors to develop and lead literacy and numeracy initiatives</w:t>
      </w:r>
      <w:r w:rsidR="00493CF5" w:rsidRPr="00A15EA4">
        <w:rPr>
          <w:rFonts w:ascii="Arial" w:hAnsi="Arial" w:cs="Arial"/>
        </w:rPr>
        <w:t xml:space="preserve"> </w:t>
      </w:r>
      <w:r w:rsidR="00493CF5" w:rsidRPr="00A15EA4">
        <w:rPr>
          <w:rFonts w:ascii="Arial" w:hAnsi="Arial" w:cs="Arial"/>
        </w:rPr>
        <w:t>(School X, 2023)</w:t>
      </w:r>
      <w:r w:rsidR="00493CF5" w:rsidRPr="00A15EA4">
        <w:rPr>
          <w:rFonts w:ascii="Arial" w:hAnsi="Arial" w:cs="Arial"/>
        </w:rPr>
        <w:t>.</w:t>
      </w:r>
    </w:p>
    <w:p w14:paraId="228EAA7D" w14:textId="77777777" w:rsidR="00633B5F" w:rsidRPr="00A15EA4" w:rsidRDefault="00633B5F" w:rsidP="00633B5F">
      <w:pPr>
        <w:pStyle w:val="ListParagraph"/>
        <w:rPr>
          <w:rFonts w:ascii="Arial" w:hAnsi="Arial" w:cs="Arial"/>
        </w:rPr>
      </w:pPr>
    </w:p>
    <w:p w14:paraId="25825DF6" w14:textId="6D889FE4" w:rsidR="009F740F" w:rsidRPr="00A15EA4" w:rsidRDefault="00633B5F" w:rsidP="009F740F">
      <w:pPr>
        <w:spacing w:line="480" w:lineRule="auto"/>
        <w:rPr>
          <w:rFonts w:ascii="Arial" w:hAnsi="Arial" w:cs="Arial"/>
        </w:rPr>
      </w:pPr>
      <w:r w:rsidRPr="00A15EA4">
        <w:rPr>
          <w:rFonts w:ascii="Arial" w:hAnsi="Arial" w:cs="Arial"/>
        </w:rPr>
        <w:t xml:space="preserve">Skills ambassadors serve as peer leaders entrusted with the responsibility of guiding and mentoring their peers in various academic and extracurricular domains. By training skills ambassadors to facilitate literacy and numeracy initiatives, schools can tap into the potential of peer influence to promote self-regulated learning. According to Zimmerman's social cognitive model of self-regulation (Zimmerman, 2000), individuals are more likely to engage in self-regulated learning </w:t>
      </w:r>
      <w:r w:rsidR="000423C6" w:rsidRPr="00A15EA4">
        <w:rPr>
          <w:rFonts w:ascii="Arial" w:hAnsi="Arial" w:cs="Arial"/>
        </w:rPr>
        <w:t>behaviours</w:t>
      </w:r>
      <w:r w:rsidRPr="00A15EA4">
        <w:rPr>
          <w:rFonts w:ascii="Arial" w:hAnsi="Arial" w:cs="Arial"/>
        </w:rPr>
        <w:t xml:space="preserve"> when they perceive social support and encouragement from their peers. Skills ambassadors, through their role </w:t>
      </w:r>
      <w:r w:rsidR="00977B05" w:rsidRPr="00A15EA4">
        <w:rPr>
          <w:rFonts w:ascii="Arial" w:hAnsi="Arial" w:cs="Arial"/>
        </w:rPr>
        <w:t>modelling</w:t>
      </w:r>
      <w:r w:rsidRPr="00A15EA4">
        <w:rPr>
          <w:rFonts w:ascii="Arial" w:hAnsi="Arial" w:cs="Arial"/>
        </w:rPr>
        <w:t xml:space="preserve"> and guidance, can create a supportive environment conducive to </w:t>
      </w:r>
      <w:r w:rsidR="00977B05" w:rsidRPr="00A15EA4">
        <w:rPr>
          <w:rFonts w:ascii="Arial" w:hAnsi="Arial" w:cs="Arial"/>
        </w:rPr>
        <w:t>self-regulated learning</w:t>
      </w:r>
      <w:r w:rsidRPr="00A15EA4">
        <w:rPr>
          <w:rFonts w:ascii="Arial" w:hAnsi="Arial" w:cs="Arial"/>
        </w:rPr>
        <w:t>.</w:t>
      </w:r>
    </w:p>
    <w:p w14:paraId="766D3131" w14:textId="72CC54E5" w:rsidR="00633B5F" w:rsidRPr="00A15EA4" w:rsidRDefault="00633B5F" w:rsidP="00EB37F7">
      <w:pPr>
        <w:spacing w:line="480" w:lineRule="auto"/>
        <w:ind w:firstLine="720"/>
        <w:rPr>
          <w:rFonts w:ascii="Arial" w:hAnsi="Arial" w:cs="Arial"/>
        </w:rPr>
      </w:pPr>
      <w:r w:rsidRPr="00A15EA4">
        <w:rPr>
          <w:rFonts w:ascii="Arial" w:hAnsi="Arial" w:cs="Arial"/>
        </w:rPr>
        <w:t xml:space="preserve">Furthermore, the peer-mediated nature of skills ambassador programs ensures that interventions are delivered in a manner that is relatable and accessible to students. Ambassadors, being fellow classmates, possess </w:t>
      </w:r>
      <w:r w:rsidR="00977B05" w:rsidRPr="00A15EA4">
        <w:rPr>
          <w:rFonts w:ascii="Arial" w:hAnsi="Arial" w:cs="Arial"/>
        </w:rPr>
        <w:t>first-hand</w:t>
      </w:r>
      <w:r w:rsidRPr="00A15EA4">
        <w:rPr>
          <w:rFonts w:ascii="Arial" w:hAnsi="Arial" w:cs="Arial"/>
        </w:rPr>
        <w:t xml:space="preserve"> knowledge of the challenges and barriers faced by their peers, allowing them to tailor their support and guidance accordingly. This peer-to-peer interaction fosters a sense of camaraderie and trust, which are essential elements for promoting self-regulated learning (Bandura, 1997).</w:t>
      </w:r>
    </w:p>
    <w:p w14:paraId="797269E5" w14:textId="77777777" w:rsidR="00135979" w:rsidRPr="00A15EA4" w:rsidRDefault="00135979" w:rsidP="0009346B">
      <w:pPr>
        <w:spacing w:line="480" w:lineRule="auto"/>
        <w:rPr>
          <w:rFonts w:ascii="Arial" w:hAnsi="Arial" w:cs="Arial"/>
          <w:b/>
          <w:bCs/>
          <w:u w:val="single"/>
        </w:rPr>
      </w:pPr>
    </w:p>
    <w:p w14:paraId="05FA4CA6" w14:textId="303196C9" w:rsidR="00135979" w:rsidRPr="00A15EA4" w:rsidRDefault="001C11B3" w:rsidP="0009346B">
      <w:pPr>
        <w:spacing w:line="480" w:lineRule="auto"/>
        <w:rPr>
          <w:rFonts w:ascii="Arial" w:hAnsi="Arial" w:cs="Arial"/>
        </w:rPr>
      </w:pPr>
      <w:r w:rsidRPr="00A15EA4">
        <w:rPr>
          <w:rFonts w:ascii="Arial" w:hAnsi="Arial" w:cs="Arial"/>
        </w:rPr>
        <w:t xml:space="preserve">Upon reflection, the school is making a proactive approach to developing literacy and numeracy skills within its school development plan. </w:t>
      </w:r>
    </w:p>
    <w:p w14:paraId="1465B476" w14:textId="42E274CA" w:rsidR="00135979" w:rsidRPr="00A15EA4" w:rsidRDefault="00135979" w:rsidP="00135979">
      <w:pPr>
        <w:spacing w:line="480" w:lineRule="auto"/>
        <w:ind w:firstLine="720"/>
        <w:rPr>
          <w:rFonts w:ascii="Arial" w:hAnsi="Arial" w:cs="Arial"/>
        </w:rPr>
      </w:pPr>
      <w:r w:rsidRPr="00A15EA4">
        <w:rPr>
          <w:rFonts w:ascii="Arial" w:hAnsi="Arial" w:cs="Arial"/>
        </w:rPr>
        <w:t xml:space="preserve">Data analysis and self-evaluation is necessary to quantify the impact of any policy implementation.  For this, School X utilises standardised national Testing, </w:t>
      </w:r>
      <w:r w:rsidRPr="00A15EA4">
        <w:rPr>
          <w:rFonts w:ascii="Arial" w:hAnsi="Arial" w:cs="Arial"/>
        </w:rPr>
        <w:lastRenderedPageBreak/>
        <w:t xml:space="preserve">summative internal </w:t>
      </w:r>
      <w:r w:rsidR="00BB2EF9" w:rsidRPr="00A15EA4">
        <w:rPr>
          <w:rFonts w:ascii="Arial" w:hAnsi="Arial" w:cs="Arial"/>
        </w:rPr>
        <w:t>assessments,</w:t>
      </w:r>
      <w:r w:rsidRPr="00A15EA4">
        <w:rPr>
          <w:rFonts w:ascii="Arial" w:hAnsi="Arial" w:cs="Arial"/>
        </w:rPr>
        <w:t xml:space="preserve"> and formative </w:t>
      </w:r>
      <w:r w:rsidRPr="00A15EA4">
        <w:rPr>
          <w:rFonts w:ascii="Arial" w:hAnsi="Arial" w:cs="Arial"/>
        </w:rPr>
        <w:t>assessments</w:t>
      </w:r>
      <w:r w:rsidRPr="00A15EA4">
        <w:rPr>
          <w:rFonts w:ascii="Arial" w:hAnsi="Arial" w:cs="Arial"/>
        </w:rPr>
        <w:t xml:space="preserve"> such as Internal Book Scrutiny to monitor the school’s progress. All the data mentioned is then complied through regular reviews. One in January 2024, when progress report 1 is released and another in May 2024 when progress report 2 will be published.</w:t>
      </w:r>
    </w:p>
    <w:p w14:paraId="2069525C" w14:textId="6E5B21C4" w:rsidR="0009346B" w:rsidRPr="00A15EA4" w:rsidRDefault="0009346B" w:rsidP="00135979">
      <w:pPr>
        <w:spacing w:line="480" w:lineRule="auto"/>
        <w:ind w:firstLine="720"/>
        <w:rPr>
          <w:rFonts w:ascii="Arial" w:hAnsi="Arial" w:cs="Arial"/>
        </w:rPr>
      </w:pPr>
      <w:r w:rsidRPr="00A15EA4">
        <w:rPr>
          <w:rFonts w:ascii="Arial" w:hAnsi="Arial" w:cs="Arial"/>
        </w:rPr>
        <w:t xml:space="preserve">Engaging with stakeholders is paramount when making any SDP successful. </w:t>
      </w:r>
      <w:r w:rsidR="000D2BB9" w:rsidRPr="00A15EA4">
        <w:rPr>
          <w:rFonts w:ascii="Arial" w:hAnsi="Arial" w:cs="Arial"/>
        </w:rPr>
        <w:t xml:space="preserve">School X’s SDP has a large focus on the roles of both the staff and the students. </w:t>
      </w:r>
      <w:r w:rsidRPr="00A15EA4">
        <w:rPr>
          <w:rFonts w:ascii="Arial" w:hAnsi="Arial" w:cs="Arial"/>
        </w:rPr>
        <w:t>The school utilises student voice well</w:t>
      </w:r>
      <w:r w:rsidR="000D2BB9" w:rsidRPr="00A15EA4">
        <w:rPr>
          <w:rFonts w:ascii="Arial" w:hAnsi="Arial" w:cs="Arial"/>
        </w:rPr>
        <w:t xml:space="preserve"> by appointing</w:t>
      </w:r>
      <w:r w:rsidR="00DA0AB2" w:rsidRPr="00A15EA4">
        <w:rPr>
          <w:rFonts w:ascii="Arial" w:hAnsi="Arial" w:cs="Arial"/>
        </w:rPr>
        <w:t xml:space="preserve"> more</w:t>
      </w:r>
      <w:r w:rsidRPr="00A15EA4">
        <w:rPr>
          <w:rFonts w:ascii="Arial" w:hAnsi="Arial" w:cs="Arial"/>
        </w:rPr>
        <w:t xml:space="preserve"> able and talented (MAT) students as ‘Skills Ambassadors’ to assist their peers learning from the ground up. </w:t>
      </w:r>
    </w:p>
    <w:p w14:paraId="31ADCB0C" w14:textId="77777777" w:rsidR="001C11B3" w:rsidRPr="00A15EA4" w:rsidRDefault="000D2BB9" w:rsidP="001C11B3">
      <w:pPr>
        <w:spacing w:line="480" w:lineRule="auto"/>
        <w:rPr>
          <w:rFonts w:ascii="Arial" w:hAnsi="Arial" w:cs="Arial"/>
        </w:rPr>
      </w:pPr>
      <w:r w:rsidRPr="00A15EA4">
        <w:rPr>
          <w:rFonts w:ascii="Arial" w:hAnsi="Arial" w:cs="Arial"/>
        </w:rPr>
        <w:t>However, there is no mention of parental engagement within the chosen area of the SDP</w:t>
      </w:r>
      <w:r w:rsidR="0009346B" w:rsidRPr="00A15EA4">
        <w:rPr>
          <w:rFonts w:ascii="Arial" w:hAnsi="Arial" w:cs="Arial"/>
        </w:rPr>
        <w:t>.</w:t>
      </w:r>
    </w:p>
    <w:p w14:paraId="24F08862" w14:textId="5188B476" w:rsidR="0009346B" w:rsidRPr="00A15EA4" w:rsidRDefault="0009346B" w:rsidP="001C11B3">
      <w:pPr>
        <w:spacing w:line="480" w:lineRule="auto"/>
        <w:ind w:firstLine="720"/>
        <w:rPr>
          <w:rFonts w:ascii="Arial" w:hAnsi="Arial" w:cs="Arial"/>
        </w:rPr>
      </w:pPr>
      <w:r w:rsidRPr="00A15EA4">
        <w:rPr>
          <w:rFonts w:ascii="Arial" w:hAnsi="Arial" w:cs="Arial"/>
        </w:rPr>
        <w:t>Collaborative partnerships between schools and families promote a positive learning environment and reinforce the importance of literacy and numeracy skills outside the classroom (</w:t>
      </w:r>
      <w:proofErr w:type="spellStart"/>
      <w:r w:rsidRPr="00A15EA4">
        <w:rPr>
          <w:rFonts w:ascii="Arial" w:hAnsi="Arial" w:cs="Arial"/>
        </w:rPr>
        <w:t>Sénéchal</w:t>
      </w:r>
      <w:proofErr w:type="spellEnd"/>
      <w:r w:rsidRPr="00A15EA4">
        <w:rPr>
          <w:rFonts w:ascii="Arial" w:hAnsi="Arial" w:cs="Arial"/>
        </w:rPr>
        <w:t xml:space="preserve"> &amp; LeFevre, 2002). Parental engagement activities, such as workshops, family literacy nights, and home-school communication initiatives, empower parents to become active participants in their children's education (Epstein et al., 2009). Moreover, parental involvement correlates with improved academic outcomes, higher student motivation, and enhanced socio-emotional well-being (Fan &amp; Chen, 2001). By fostering strong connections between home and school, educators can leverage the support of parents to promote literacy and numeracy success among secondary school pupils.</w:t>
      </w:r>
    </w:p>
    <w:p w14:paraId="033FAC9B" w14:textId="1D694ECC" w:rsidR="000D2BB9" w:rsidRPr="00A15EA4" w:rsidRDefault="00CE4706" w:rsidP="000D2BB9">
      <w:pPr>
        <w:spacing w:line="480" w:lineRule="auto"/>
        <w:ind w:firstLine="720"/>
        <w:rPr>
          <w:rFonts w:ascii="Arial" w:hAnsi="Arial" w:cs="Arial"/>
        </w:rPr>
      </w:pPr>
      <w:r w:rsidRPr="00A15EA4">
        <w:rPr>
          <w:rFonts w:ascii="Arial" w:hAnsi="Arial" w:cs="Arial"/>
        </w:rPr>
        <w:t>The</w:t>
      </w:r>
      <w:r w:rsidR="00286590" w:rsidRPr="00A15EA4">
        <w:rPr>
          <w:rFonts w:ascii="Arial" w:hAnsi="Arial" w:cs="Arial"/>
        </w:rPr>
        <w:t xml:space="preserve"> SDP seems to overlook t</w:t>
      </w:r>
      <w:r w:rsidR="000D2BB9" w:rsidRPr="00A15EA4">
        <w:rPr>
          <w:rFonts w:ascii="Arial" w:hAnsi="Arial" w:cs="Arial"/>
        </w:rPr>
        <w:t xml:space="preserve">he integration of technology </w:t>
      </w:r>
      <w:r w:rsidR="00BB2EF9" w:rsidRPr="00A15EA4">
        <w:rPr>
          <w:rFonts w:ascii="Arial" w:hAnsi="Arial" w:cs="Arial"/>
        </w:rPr>
        <w:t>to</w:t>
      </w:r>
      <w:r w:rsidR="00286590" w:rsidRPr="00A15EA4">
        <w:rPr>
          <w:rFonts w:ascii="Arial" w:hAnsi="Arial" w:cs="Arial"/>
        </w:rPr>
        <w:t xml:space="preserve"> </w:t>
      </w:r>
      <w:r w:rsidR="000D2BB9" w:rsidRPr="00A15EA4">
        <w:rPr>
          <w:rFonts w:ascii="Arial" w:hAnsi="Arial" w:cs="Arial"/>
        </w:rPr>
        <w:t>offer</w:t>
      </w:r>
      <w:r w:rsidR="00286590" w:rsidRPr="00A15EA4">
        <w:rPr>
          <w:rFonts w:ascii="Arial" w:hAnsi="Arial" w:cs="Arial"/>
        </w:rPr>
        <w:t xml:space="preserve"> </w:t>
      </w:r>
      <w:r w:rsidR="000D2BB9" w:rsidRPr="00A15EA4">
        <w:rPr>
          <w:rFonts w:ascii="Arial" w:hAnsi="Arial" w:cs="Arial"/>
        </w:rPr>
        <w:t xml:space="preserve">innovative opportunities to enhance literacy and numeracy instruction in secondary schools (Mouza &amp; Lavigne, 2017). Educational technologies, such as digital learning platforms, multimedia resources, and interactive simulations, provide interactive and engaging experiences for students to develop essential skills in reading, writing, and </w:t>
      </w:r>
      <w:r w:rsidR="000D2BB9" w:rsidRPr="00A15EA4">
        <w:rPr>
          <w:rFonts w:ascii="Arial" w:hAnsi="Arial" w:cs="Arial"/>
        </w:rPr>
        <w:lastRenderedPageBreak/>
        <w:t>mathematics (Hilton et al., 2016). Moreover, technology facilitates personalized learning experiences, adaptive feedback, and data-driven decision-making, empowering educators to address individual learning needs effectively (</w:t>
      </w:r>
      <w:proofErr w:type="spellStart"/>
      <w:r w:rsidR="000D2BB9" w:rsidRPr="00A15EA4">
        <w:rPr>
          <w:rFonts w:ascii="Arial" w:hAnsi="Arial" w:cs="Arial"/>
        </w:rPr>
        <w:t>Bebell</w:t>
      </w:r>
      <w:proofErr w:type="spellEnd"/>
      <w:r w:rsidR="000D2BB9" w:rsidRPr="00A15EA4">
        <w:rPr>
          <w:rFonts w:ascii="Arial" w:hAnsi="Arial" w:cs="Arial"/>
        </w:rPr>
        <w:t xml:space="preserve"> &amp; Kay, 2010). By leveraging technology effectively, secondary schools can create immersive learning environments that promote critical thinking, collaboration, and creativity (Mishra &amp; Koehler, 2006).</w:t>
      </w:r>
    </w:p>
    <w:p w14:paraId="68EDC390" w14:textId="77777777" w:rsidR="00C90B1F" w:rsidRPr="00A15EA4" w:rsidRDefault="00C90B1F" w:rsidP="000D2BB9">
      <w:pPr>
        <w:spacing w:line="480" w:lineRule="auto"/>
        <w:ind w:firstLine="360"/>
        <w:rPr>
          <w:rFonts w:ascii="Arial" w:hAnsi="Arial" w:cs="Arial"/>
        </w:rPr>
      </w:pPr>
      <w:r w:rsidRPr="00A15EA4">
        <w:rPr>
          <w:rFonts w:ascii="Arial" w:hAnsi="Arial" w:cs="Arial"/>
        </w:rPr>
        <w:t xml:space="preserve">Although the school has extensive access to computers across the site, there was once an intention to equip every pupil with a digital tablet. From my discussions with the Senior Leadership Team Lead, it has been established that the cost of upgrading the school’s </w:t>
      </w:r>
      <w:proofErr w:type="spellStart"/>
      <w:r w:rsidRPr="00A15EA4">
        <w:rPr>
          <w:rFonts w:ascii="Arial" w:hAnsi="Arial" w:cs="Arial"/>
        </w:rPr>
        <w:t>wifi</w:t>
      </w:r>
      <w:proofErr w:type="spellEnd"/>
      <w:r w:rsidRPr="00A15EA4">
        <w:rPr>
          <w:rFonts w:ascii="Arial" w:hAnsi="Arial" w:cs="Arial"/>
        </w:rPr>
        <w:t xml:space="preserve"> system to facilitate this would not be cost effective.</w:t>
      </w:r>
    </w:p>
    <w:p w14:paraId="0C9CF85F" w14:textId="00A9043E" w:rsidR="00C90B1F" w:rsidRPr="00A15EA4" w:rsidRDefault="00C90B1F" w:rsidP="000D2BB9">
      <w:pPr>
        <w:spacing w:line="480" w:lineRule="auto"/>
        <w:ind w:firstLine="360"/>
        <w:rPr>
          <w:rFonts w:ascii="Arial" w:hAnsi="Arial" w:cs="Arial"/>
        </w:rPr>
      </w:pPr>
      <w:r w:rsidRPr="00A15EA4">
        <w:rPr>
          <w:rFonts w:ascii="Arial" w:hAnsi="Arial" w:cs="Arial"/>
        </w:rPr>
        <w:t>The main point that is reiterated throughout the SDP seems to be the cross curricular approach to literacy and numeracy within an authentic learning context. I have experienced this in the Design Technology department across the delivery of its multiple subjects. Costing exercises are widely utilised. In textiles and product design, the pupils need to consider the costs of materials, labour and other costs when making and designing their products. In Food Technology, I recently did a theory lesson which involved calculation the cost of the ingredients of the curry the students made in the following lesson.</w:t>
      </w:r>
      <w:r w:rsidR="00296D8B" w:rsidRPr="00A15EA4">
        <w:rPr>
          <w:rFonts w:ascii="Arial" w:hAnsi="Arial" w:cs="Arial"/>
        </w:rPr>
        <w:t xml:space="preserve"> Students are encouraged to read where possible, and sequence writing exercises are used to display project comprehension. The department uses the schoolwide marking correction code for literacy, insuring continuity when assessing this skill.</w:t>
      </w:r>
    </w:p>
    <w:p w14:paraId="56AC03FB" w14:textId="1DDAEAC0" w:rsidR="002D7610" w:rsidRPr="00A15EA4" w:rsidRDefault="00315174" w:rsidP="00B51368">
      <w:pPr>
        <w:spacing w:line="480" w:lineRule="auto"/>
        <w:ind w:firstLine="720"/>
        <w:rPr>
          <w:rFonts w:ascii="Arial" w:hAnsi="Arial" w:cs="Arial"/>
        </w:rPr>
      </w:pPr>
      <w:r w:rsidRPr="00A15EA4">
        <w:rPr>
          <w:rFonts w:ascii="Arial" w:hAnsi="Arial" w:cs="Arial"/>
        </w:rPr>
        <w:t>The school’s recent addition of a primary school gives them more power to shape learners’ skill set from an earlier age and really build solid Numeracy and Literacy foundations.</w:t>
      </w:r>
    </w:p>
    <w:p w14:paraId="2F7B81DC" w14:textId="77777777" w:rsidR="00135979" w:rsidRPr="00A15EA4" w:rsidRDefault="00135979" w:rsidP="00754A4C">
      <w:pPr>
        <w:spacing w:line="480" w:lineRule="auto"/>
        <w:rPr>
          <w:rFonts w:ascii="Arial" w:hAnsi="Arial" w:cs="Arial"/>
          <w:b/>
          <w:bCs/>
          <w:u w:val="single"/>
        </w:rPr>
      </w:pPr>
    </w:p>
    <w:p w14:paraId="6ADFA2FE" w14:textId="64C688D0" w:rsidR="00BA765C" w:rsidRPr="00A15EA4" w:rsidRDefault="00BA765C" w:rsidP="00754A4C">
      <w:pPr>
        <w:spacing w:line="480" w:lineRule="auto"/>
        <w:rPr>
          <w:rFonts w:ascii="Arial" w:hAnsi="Arial" w:cs="Arial"/>
        </w:rPr>
      </w:pPr>
      <w:r w:rsidRPr="00A15EA4">
        <w:rPr>
          <w:rFonts w:ascii="Arial" w:hAnsi="Arial" w:cs="Arial"/>
        </w:rPr>
        <w:lastRenderedPageBreak/>
        <w:t>Through this investigation into School Development Planning, I have gained a much broader knowledge of schools as organisations.</w:t>
      </w:r>
    </w:p>
    <w:p w14:paraId="18EA3306" w14:textId="23400A80" w:rsidR="00E0520F" w:rsidRPr="00A15EA4" w:rsidRDefault="00D02416" w:rsidP="00754A4C">
      <w:pPr>
        <w:spacing w:line="480" w:lineRule="auto"/>
        <w:rPr>
          <w:rFonts w:ascii="Arial" w:hAnsi="Arial" w:cs="Arial"/>
        </w:rPr>
      </w:pPr>
      <w:r w:rsidRPr="00A15EA4">
        <w:rPr>
          <w:rFonts w:ascii="Arial" w:hAnsi="Arial" w:cs="Arial"/>
        </w:rPr>
        <w:t xml:space="preserve">Teaching is not a profession that starts and ends with the teacher. </w:t>
      </w:r>
      <w:r w:rsidR="005D3AB7" w:rsidRPr="00A15EA4">
        <w:rPr>
          <w:rFonts w:ascii="Arial" w:hAnsi="Arial" w:cs="Arial"/>
        </w:rPr>
        <w:t xml:space="preserve">I have learned that </w:t>
      </w:r>
      <w:r w:rsidRPr="00A15EA4">
        <w:rPr>
          <w:rFonts w:ascii="Arial" w:hAnsi="Arial" w:cs="Arial"/>
        </w:rPr>
        <w:t xml:space="preserve">as a teacher, I play a small, but key component in a larger organisation. Which in turn has a national responsibility, global </w:t>
      </w:r>
      <w:r w:rsidR="00BA765C" w:rsidRPr="00A15EA4">
        <w:rPr>
          <w:rFonts w:ascii="Arial" w:hAnsi="Arial" w:cs="Arial"/>
        </w:rPr>
        <w:t>aim,</w:t>
      </w:r>
      <w:r w:rsidRPr="00A15EA4">
        <w:rPr>
          <w:rFonts w:ascii="Arial" w:hAnsi="Arial" w:cs="Arial"/>
        </w:rPr>
        <w:t xml:space="preserve"> and higher purpose.</w:t>
      </w:r>
    </w:p>
    <w:p w14:paraId="2286F0C7" w14:textId="54A451F1" w:rsidR="00C51399" w:rsidRPr="00A15EA4" w:rsidRDefault="00C51399" w:rsidP="00B51368">
      <w:pPr>
        <w:spacing w:line="480" w:lineRule="auto"/>
        <w:ind w:firstLine="720"/>
        <w:rPr>
          <w:rFonts w:ascii="Arial" w:hAnsi="Arial" w:cs="Arial"/>
        </w:rPr>
      </w:pPr>
      <w:r w:rsidRPr="00A15EA4">
        <w:rPr>
          <w:rFonts w:ascii="Arial" w:hAnsi="Arial" w:cs="Arial"/>
          <w:shd w:val="clear" w:color="auto" w:fill="FFFFFF"/>
        </w:rPr>
        <w:t>Improving literacy and numeracy levels among secondary school pupils requires a multifaceted approach that addresses the diverse needs of learners and engages various stakeholders. By implementing effective strategies and interventions, educators can create inclusive learning environments that foster the development of essential skills for academic success and lifelong learning. Through differentiated instruction, technology integration, teacher professional development,</w:t>
      </w:r>
      <w:r w:rsidR="00B51368" w:rsidRPr="00A15EA4">
        <w:rPr>
          <w:rFonts w:ascii="Arial" w:hAnsi="Arial" w:cs="Arial"/>
          <w:shd w:val="clear" w:color="auto" w:fill="FFFFFF"/>
        </w:rPr>
        <w:t xml:space="preserve"> </w:t>
      </w:r>
      <w:r w:rsidRPr="00A15EA4">
        <w:rPr>
          <w:rFonts w:ascii="Arial" w:hAnsi="Arial" w:cs="Arial"/>
          <w:shd w:val="clear" w:color="auto" w:fill="FFFFFF"/>
        </w:rPr>
        <w:t xml:space="preserve">parental involvement, </w:t>
      </w:r>
      <w:r w:rsidR="00B51368" w:rsidRPr="00A15EA4">
        <w:rPr>
          <w:rFonts w:ascii="Arial" w:hAnsi="Arial" w:cs="Arial"/>
          <w:shd w:val="clear" w:color="auto" w:fill="FFFFFF"/>
        </w:rPr>
        <w:t xml:space="preserve">and a cohesive departmental approach </w:t>
      </w:r>
      <w:r w:rsidRPr="00A15EA4">
        <w:rPr>
          <w:rFonts w:ascii="Arial" w:hAnsi="Arial" w:cs="Arial"/>
          <w:shd w:val="clear" w:color="auto" w:fill="FFFFFF"/>
        </w:rPr>
        <w:t>secondary schools can empower students to become proficient readers, critical thinkers, and confident problem solvers. By prioritizing literacy and numeracy, educational stakeholders can equip the next generation with the skills and competencies needed to thrive in an ever-changing world.</w:t>
      </w:r>
    </w:p>
    <w:p w14:paraId="78E08CED" w14:textId="77777777" w:rsidR="00BA765C" w:rsidRPr="00435D4D" w:rsidRDefault="00BA765C" w:rsidP="00754A4C">
      <w:pPr>
        <w:spacing w:line="480" w:lineRule="auto"/>
        <w:rPr>
          <w:rFonts w:ascii="Arial" w:hAnsi="Arial" w:cs="Arial"/>
        </w:rPr>
      </w:pPr>
    </w:p>
    <w:p w14:paraId="100D48E9" w14:textId="790BF895" w:rsidR="00DB7964" w:rsidRPr="00A15EA4" w:rsidRDefault="00DB7964" w:rsidP="00435D4D">
      <w:pPr>
        <w:spacing w:line="480" w:lineRule="auto"/>
        <w:rPr>
          <w:rFonts w:ascii="Arial" w:hAnsi="Arial" w:cs="Arial"/>
          <w:b/>
          <w:bCs/>
          <w:u w:val="single"/>
        </w:rPr>
      </w:pPr>
      <w:r w:rsidRPr="00A15EA4">
        <w:rPr>
          <w:rFonts w:ascii="Arial" w:hAnsi="Arial" w:cs="Arial"/>
          <w:b/>
          <w:bCs/>
          <w:u w:val="single"/>
        </w:rPr>
        <w:t>Reference List</w:t>
      </w:r>
    </w:p>
    <w:p w14:paraId="04BB5C40" w14:textId="2FF2CAB1" w:rsidR="00EB37F7" w:rsidRPr="00A15EA4" w:rsidRDefault="00EB37F7" w:rsidP="0044664C">
      <w:pPr>
        <w:spacing w:line="480" w:lineRule="auto"/>
        <w:rPr>
          <w:rFonts w:ascii="Arial" w:hAnsi="Arial" w:cs="Arial"/>
        </w:rPr>
      </w:pPr>
      <w:r w:rsidRPr="00A15EA4">
        <w:rPr>
          <w:rFonts w:ascii="Arial" w:hAnsi="Arial" w:cs="Arial"/>
        </w:rPr>
        <w:t>Bandura, A. (1997). Self-efficacy: The exercise of control. W H Freeman/Times Books/ Henry Holt &amp; Co.</w:t>
      </w:r>
    </w:p>
    <w:p w14:paraId="700286B4" w14:textId="77777777" w:rsidR="00EB37F7" w:rsidRPr="00A15EA4" w:rsidRDefault="00EB37F7" w:rsidP="0044664C">
      <w:pPr>
        <w:spacing w:line="480" w:lineRule="auto"/>
        <w:rPr>
          <w:rFonts w:ascii="Arial" w:hAnsi="Arial" w:cs="Arial"/>
        </w:rPr>
      </w:pPr>
    </w:p>
    <w:p w14:paraId="6FCED6B8" w14:textId="22CEBBAC" w:rsidR="00633B5F" w:rsidRPr="00A15EA4" w:rsidRDefault="00633B5F" w:rsidP="0044664C">
      <w:pPr>
        <w:spacing w:line="480" w:lineRule="auto"/>
        <w:rPr>
          <w:rFonts w:ascii="Arial" w:hAnsi="Arial" w:cs="Arial"/>
        </w:rPr>
      </w:pPr>
      <w:r w:rsidRPr="00A15EA4">
        <w:rPr>
          <w:rFonts w:ascii="Arial" w:hAnsi="Arial" w:cs="Arial"/>
        </w:rPr>
        <w:t>Barrett, G., McGregor, D., &amp; Harley, K. (2020). Literacy across learning: A review of policy and practice. Scottish Educational Review, 52(1), 66-79.</w:t>
      </w:r>
    </w:p>
    <w:p w14:paraId="268924F4" w14:textId="77777777" w:rsidR="00633B5F" w:rsidRPr="00A15EA4" w:rsidRDefault="00633B5F" w:rsidP="0044664C">
      <w:pPr>
        <w:spacing w:line="480" w:lineRule="auto"/>
        <w:rPr>
          <w:rFonts w:ascii="Arial" w:hAnsi="Arial" w:cs="Arial"/>
        </w:rPr>
      </w:pPr>
    </w:p>
    <w:p w14:paraId="1102A340" w14:textId="6D105491" w:rsidR="0044664C" w:rsidRPr="00A15EA4" w:rsidRDefault="0044664C" w:rsidP="0044664C">
      <w:pPr>
        <w:spacing w:line="480" w:lineRule="auto"/>
        <w:rPr>
          <w:rFonts w:ascii="Arial" w:hAnsi="Arial" w:cs="Arial"/>
        </w:rPr>
      </w:pPr>
      <w:proofErr w:type="spellStart"/>
      <w:r w:rsidRPr="00A15EA4">
        <w:rPr>
          <w:rFonts w:ascii="Arial" w:hAnsi="Arial" w:cs="Arial"/>
        </w:rPr>
        <w:lastRenderedPageBreak/>
        <w:t>Bebell</w:t>
      </w:r>
      <w:proofErr w:type="spellEnd"/>
      <w:r w:rsidRPr="00A15EA4">
        <w:rPr>
          <w:rFonts w:ascii="Arial" w:hAnsi="Arial" w:cs="Arial"/>
        </w:rPr>
        <w:t>, D., &amp; Kay, R. (2010). One to one computing: A summary of the quantitative results from the Berkshire wireless learning initiative. Journal of Technology, Learning, and Assessment, 9(2), 5–33.</w:t>
      </w:r>
    </w:p>
    <w:p w14:paraId="01E1F4C1" w14:textId="77777777" w:rsidR="00FE6CE5" w:rsidRPr="00A15EA4" w:rsidRDefault="00FE6CE5" w:rsidP="0044664C">
      <w:pPr>
        <w:spacing w:line="480" w:lineRule="auto"/>
        <w:rPr>
          <w:rFonts w:ascii="Arial" w:hAnsi="Arial" w:cs="Arial"/>
        </w:rPr>
      </w:pPr>
    </w:p>
    <w:p w14:paraId="7C40E25B" w14:textId="7CFAD6E9" w:rsidR="00FE6CE5" w:rsidRPr="00A15EA4" w:rsidRDefault="00FE6CE5" w:rsidP="0044664C">
      <w:pPr>
        <w:spacing w:line="480" w:lineRule="auto"/>
        <w:rPr>
          <w:rFonts w:ascii="Arial" w:hAnsi="Arial" w:cs="Arial"/>
        </w:rPr>
      </w:pPr>
      <w:r w:rsidRPr="00A15EA4">
        <w:rPr>
          <w:rFonts w:ascii="Arial" w:hAnsi="Arial" w:cs="Arial"/>
        </w:rPr>
        <w:t xml:space="preserve">Black, P., &amp; </w:t>
      </w:r>
      <w:proofErr w:type="spellStart"/>
      <w:r w:rsidRPr="00A15EA4">
        <w:rPr>
          <w:rFonts w:ascii="Arial" w:hAnsi="Arial" w:cs="Arial"/>
        </w:rPr>
        <w:t>Wiliam</w:t>
      </w:r>
      <w:proofErr w:type="spellEnd"/>
      <w:r w:rsidRPr="00A15EA4">
        <w:rPr>
          <w:rFonts w:ascii="Arial" w:hAnsi="Arial" w:cs="Arial"/>
        </w:rPr>
        <w:t>, D. (2009). Developing the theory of formative assessment. Educational Assessment, Evaluation and Accountability, 21(1), 5-31.</w:t>
      </w:r>
    </w:p>
    <w:p w14:paraId="2D3D89D2" w14:textId="77777777" w:rsidR="0044664C" w:rsidRPr="00A15EA4" w:rsidRDefault="0044664C" w:rsidP="0044664C">
      <w:pPr>
        <w:spacing w:line="480" w:lineRule="auto"/>
        <w:rPr>
          <w:rFonts w:ascii="Arial" w:hAnsi="Arial" w:cs="Arial"/>
        </w:rPr>
      </w:pPr>
    </w:p>
    <w:p w14:paraId="2CDD0047" w14:textId="77777777" w:rsidR="0044664C" w:rsidRPr="00A15EA4" w:rsidRDefault="0044664C" w:rsidP="0044664C">
      <w:pPr>
        <w:spacing w:line="480" w:lineRule="auto"/>
        <w:rPr>
          <w:rFonts w:ascii="Arial" w:hAnsi="Arial" w:cs="Arial"/>
        </w:rPr>
      </w:pPr>
      <w:r w:rsidRPr="00A15EA4">
        <w:rPr>
          <w:rFonts w:ascii="Arial" w:hAnsi="Arial" w:cs="Arial"/>
        </w:rPr>
        <w:t xml:space="preserve">Darling-Hammond, L., Wei, R. C., Andree, A., Richardson, N., &amp; </w:t>
      </w:r>
      <w:proofErr w:type="spellStart"/>
      <w:r w:rsidRPr="00A15EA4">
        <w:rPr>
          <w:rFonts w:ascii="Arial" w:hAnsi="Arial" w:cs="Arial"/>
        </w:rPr>
        <w:t>Orphanos</w:t>
      </w:r>
      <w:proofErr w:type="spellEnd"/>
      <w:r w:rsidRPr="00A15EA4">
        <w:rPr>
          <w:rFonts w:ascii="Arial" w:hAnsi="Arial" w:cs="Arial"/>
        </w:rPr>
        <w:t>, S. (2009). Professional learning in the learning profession: A status report on teacher development in the United States and abroad. National Staff Development Council.</w:t>
      </w:r>
    </w:p>
    <w:p w14:paraId="1ED7E967" w14:textId="77777777" w:rsidR="0044664C" w:rsidRPr="00A15EA4" w:rsidRDefault="0044664C" w:rsidP="0044664C">
      <w:pPr>
        <w:spacing w:line="480" w:lineRule="auto"/>
        <w:rPr>
          <w:rFonts w:ascii="Arial" w:hAnsi="Arial" w:cs="Arial"/>
        </w:rPr>
      </w:pPr>
    </w:p>
    <w:p w14:paraId="5C21E018" w14:textId="77777777" w:rsidR="0044664C" w:rsidRPr="00A15EA4" w:rsidRDefault="0044664C" w:rsidP="0044664C">
      <w:pPr>
        <w:spacing w:line="480" w:lineRule="auto"/>
        <w:rPr>
          <w:rFonts w:ascii="Arial" w:hAnsi="Arial" w:cs="Arial"/>
        </w:rPr>
      </w:pPr>
      <w:r w:rsidRPr="00A15EA4">
        <w:rPr>
          <w:rFonts w:ascii="Arial" w:hAnsi="Arial" w:cs="Arial"/>
        </w:rPr>
        <w:t>Desimone, L. M., Smith, T. M., &amp; Phillips, K. J. R. (2015). Does policy influence mathematics and science teachers' participation in professional development? Teachers College Record, 117(4), 1–46.</w:t>
      </w:r>
    </w:p>
    <w:p w14:paraId="1A9EE418" w14:textId="77777777" w:rsidR="0044664C" w:rsidRPr="00A15EA4" w:rsidRDefault="0044664C" w:rsidP="0044664C">
      <w:pPr>
        <w:spacing w:line="480" w:lineRule="auto"/>
        <w:rPr>
          <w:rFonts w:ascii="Arial" w:hAnsi="Arial" w:cs="Arial"/>
        </w:rPr>
      </w:pPr>
    </w:p>
    <w:p w14:paraId="4AC8C4A0" w14:textId="1A432B87" w:rsidR="00FE6CE5" w:rsidRPr="00A15EA4" w:rsidRDefault="00FE6CE5" w:rsidP="0044664C">
      <w:pPr>
        <w:spacing w:line="480" w:lineRule="auto"/>
        <w:rPr>
          <w:rFonts w:ascii="Arial" w:hAnsi="Arial" w:cs="Arial"/>
        </w:rPr>
      </w:pPr>
      <w:r w:rsidRPr="00A15EA4">
        <w:rPr>
          <w:rFonts w:ascii="Arial" w:hAnsi="Arial" w:cs="Arial"/>
        </w:rPr>
        <w:t xml:space="preserve">Education Endowment Foundation. (2020). Feedback. Retrieved from </w:t>
      </w:r>
      <w:proofErr w:type="gramStart"/>
      <w:r w:rsidRPr="00A15EA4">
        <w:rPr>
          <w:rFonts w:ascii="Arial" w:hAnsi="Arial" w:cs="Arial"/>
        </w:rPr>
        <w:t>https://educationendowmentfoundation.org.uk/evidence-summaries/teaching-learning-toolkit/feedback/</w:t>
      </w:r>
      <w:proofErr w:type="gramEnd"/>
    </w:p>
    <w:p w14:paraId="67287A9E" w14:textId="77777777" w:rsidR="00FE6CE5" w:rsidRPr="00A15EA4" w:rsidRDefault="00FE6CE5" w:rsidP="0044664C">
      <w:pPr>
        <w:spacing w:line="480" w:lineRule="auto"/>
        <w:rPr>
          <w:rFonts w:ascii="Arial" w:hAnsi="Arial" w:cs="Arial"/>
        </w:rPr>
      </w:pPr>
    </w:p>
    <w:p w14:paraId="5CA12B5B" w14:textId="77777777" w:rsidR="0044664C" w:rsidRPr="00A15EA4" w:rsidRDefault="0044664C" w:rsidP="0044664C">
      <w:pPr>
        <w:spacing w:line="480" w:lineRule="auto"/>
        <w:rPr>
          <w:rFonts w:ascii="Arial" w:hAnsi="Arial" w:cs="Arial"/>
        </w:rPr>
      </w:pPr>
      <w:r w:rsidRPr="00A15EA4">
        <w:rPr>
          <w:rFonts w:ascii="Arial" w:hAnsi="Arial" w:cs="Arial"/>
        </w:rPr>
        <w:t xml:space="preserve">Epstein, J. L., Sanders, M. G., Simon, B. S., Salinas, K. C., </w:t>
      </w:r>
      <w:proofErr w:type="spellStart"/>
      <w:r w:rsidRPr="00A15EA4">
        <w:rPr>
          <w:rFonts w:ascii="Arial" w:hAnsi="Arial" w:cs="Arial"/>
        </w:rPr>
        <w:t>Jansorn</w:t>
      </w:r>
      <w:proofErr w:type="spellEnd"/>
      <w:r w:rsidRPr="00A15EA4">
        <w:rPr>
          <w:rFonts w:ascii="Arial" w:hAnsi="Arial" w:cs="Arial"/>
        </w:rPr>
        <w:t xml:space="preserve">, N. R., &amp; Van </w:t>
      </w:r>
      <w:proofErr w:type="spellStart"/>
      <w:r w:rsidRPr="00A15EA4">
        <w:rPr>
          <w:rFonts w:ascii="Arial" w:hAnsi="Arial" w:cs="Arial"/>
        </w:rPr>
        <w:t>Voorhis</w:t>
      </w:r>
      <w:proofErr w:type="spellEnd"/>
      <w:r w:rsidRPr="00A15EA4">
        <w:rPr>
          <w:rFonts w:ascii="Arial" w:hAnsi="Arial" w:cs="Arial"/>
        </w:rPr>
        <w:t>, F. L. (2009). School, family, and community partnerships: Your handbook for action (3rd ed.). Corwin Press.</w:t>
      </w:r>
    </w:p>
    <w:p w14:paraId="2E093C91" w14:textId="77777777" w:rsidR="0044664C" w:rsidRPr="00A15EA4" w:rsidRDefault="0044664C" w:rsidP="0044664C">
      <w:pPr>
        <w:spacing w:line="480" w:lineRule="auto"/>
        <w:rPr>
          <w:rFonts w:ascii="Arial" w:hAnsi="Arial" w:cs="Arial"/>
        </w:rPr>
      </w:pPr>
    </w:p>
    <w:p w14:paraId="57142A39" w14:textId="291C03D6" w:rsidR="00FB5709" w:rsidRPr="00A15EA4" w:rsidRDefault="00FB5709" w:rsidP="0044664C">
      <w:pPr>
        <w:spacing w:line="480" w:lineRule="auto"/>
        <w:rPr>
          <w:rFonts w:ascii="Arial" w:hAnsi="Arial" w:cs="Arial"/>
        </w:rPr>
      </w:pPr>
      <w:r w:rsidRPr="00A15EA4">
        <w:rPr>
          <w:rFonts w:ascii="Arial" w:hAnsi="Arial" w:cs="Arial"/>
        </w:rPr>
        <w:t xml:space="preserve">Estyn (2019). A new approach to self-evaluation reports – but what does it mean for schools? | Estyn. [online] www.estyn.gov.wales. Available at: </w:t>
      </w:r>
      <w:r w:rsidRPr="00A15EA4">
        <w:rPr>
          <w:rFonts w:ascii="Arial" w:hAnsi="Arial" w:cs="Arial"/>
        </w:rPr>
        <w:lastRenderedPageBreak/>
        <w:t>https://www.estyn.gov.wales/blog/new-approach-self-evaluation-reports-what-does-it-mean-schools.</w:t>
      </w:r>
    </w:p>
    <w:p w14:paraId="35A4A565" w14:textId="77777777" w:rsidR="00FB5709" w:rsidRPr="00A15EA4" w:rsidRDefault="00FB5709" w:rsidP="0044664C">
      <w:pPr>
        <w:spacing w:line="480" w:lineRule="auto"/>
        <w:rPr>
          <w:rFonts w:ascii="Arial" w:hAnsi="Arial" w:cs="Arial"/>
        </w:rPr>
      </w:pPr>
    </w:p>
    <w:p w14:paraId="33655FD7" w14:textId="77777777" w:rsidR="0044664C" w:rsidRPr="00A15EA4" w:rsidRDefault="0044664C" w:rsidP="0044664C">
      <w:pPr>
        <w:spacing w:line="480" w:lineRule="auto"/>
        <w:rPr>
          <w:rFonts w:ascii="Arial" w:hAnsi="Arial" w:cs="Arial"/>
        </w:rPr>
      </w:pPr>
      <w:r w:rsidRPr="00A15EA4">
        <w:rPr>
          <w:rFonts w:ascii="Arial" w:hAnsi="Arial" w:cs="Arial"/>
        </w:rPr>
        <w:t>Fan, X., &amp; Chen, M. (2001). Parental involvement and students' academic achievement: A meta-analysis. Educational Psychology Review, 13(1), 1–22.</w:t>
      </w:r>
    </w:p>
    <w:p w14:paraId="531A9ACA" w14:textId="77777777" w:rsidR="0044664C" w:rsidRPr="00A15EA4" w:rsidRDefault="0044664C" w:rsidP="0044664C">
      <w:pPr>
        <w:spacing w:line="480" w:lineRule="auto"/>
        <w:rPr>
          <w:rFonts w:ascii="Arial" w:hAnsi="Arial" w:cs="Arial"/>
        </w:rPr>
      </w:pPr>
    </w:p>
    <w:p w14:paraId="2A382849" w14:textId="54F1D303" w:rsidR="00FE6CE5" w:rsidRPr="00A15EA4" w:rsidRDefault="00FE6CE5" w:rsidP="0044664C">
      <w:pPr>
        <w:spacing w:line="480" w:lineRule="auto"/>
        <w:rPr>
          <w:rFonts w:ascii="Arial" w:hAnsi="Arial" w:cs="Arial"/>
        </w:rPr>
      </w:pPr>
      <w:r w:rsidRPr="00A15EA4">
        <w:rPr>
          <w:rFonts w:ascii="Arial" w:hAnsi="Arial" w:cs="Arial"/>
        </w:rPr>
        <w:t>Graham, S., &amp; Santangelo, T. (2014). Does spelling instruction make students better spellers, readers, and writers? A meta-analytic review. Reading &amp; Writing Quarterly, 30(3), 319-336.</w:t>
      </w:r>
    </w:p>
    <w:p w14:paraId="6E1B27F0" w14:textId="77777777" w:rsidR="00FE6CE5" w:rsidRPr="00A15EA4" w:rsidRDefault="00FE6CE5" w:rsidP="0044664C">
      <w:pPr>
        <w:spacing w:line="480" w:lineRule="auto"/>
        <w:rPr>
          <w:rFonts w:ascii="Arial" w:hAnsi="Arial" w:cs="Arial"/>
        </w:rPr>
      </w:pPr>
    </w:p>
    <w:p w14:paraId="3EB10F80" w14:textId="77777777" w:rsidR="0044664C" w:rsidRPr="00A15EA4" w:rsidRDefault="0044664C" w:rsidP="0044664C">
      <w:pPr>
        <w:spacing w:line="480" w:lineRule="auto"/>
        <w:rPr>
          <w:rFonts w:ascii="Arial" w:hAnsi="Arial" w:cs="Arial"/>
        </w:rPr>
      </w:pPr>
      <w:proofErr w:type="spellStart"/>
      <w:r w:rsidRPr="00A15EA4">
        <w:rPr>
          <w:rFonts w:ascii="Arial" w:hAnsi="Arial" w:cs="Arial"/>
        </w:rPr>
        <w:t>Guskey</w:t>
      </w:r>
      <w:proofErr w:type="spellEnd"/>
      <w:r w:rsidRPr="00A15EA4">
        <w:rPr>
          <w:rFonts w:ascii="Arial" w:hAnsi="Arial" w:cs="Arial"/>
        </w:rPr>
        <w:t xml:space="preserve">, T. R., &amp; Yoon, K. S. (2009). What works in professional development? Phi Delta </w:t>
      </w:r>
      <w:proofErr w:type="spellStart"/>
      <w:r w:rsidRPr="00A15EA4">
        <w:rPr>
          <w:rFonts w:ascii="Arial" w:hAnsi="Arial" w:cs="Arial"/>
        </w:rPr>
        <w:t>Kappan</w:t>
      </w:r>
      <w:proofErr w:type="spellEnd"/>
      <w:r w:rsidRPr="00A15EA4">
        <w:rPr>
          <w:rFonts w:ascii="Arial" w:hAnsi="Arial" w:cs="Arial"/>
        </w:rPr>
        <w:t>, 90(7), 495–500.</w:t>
      </w:r>
    </w:p>
    <w:p w14:paraId="6BC1DACE" w14:textId="77777777" w:rsidR="00EB37F7" w:rsidRPr="00A15EA4" w:rsidRDefault="00EB37F7" w:rsidP="0044664C">
      <w:pPr>
        <w:spacing w:line="480" w:lineRule="auto"/>
        <w:rPr>
          <w:rFonts w:ascii="Arial" w:hAnsi="Arial" w:cs="Arial"/>
        </w:rPr>
      </w:pPr>
    </w:p>
    <w:p w14:paraId="56C5A424" w14:textId="77777777" w:rsidR="0044664C" w:rsidRPr="00A15EA4" w:rsidRDefault="0044664C" w:rsidP="0044664C">
      <w:pPr>
        <w:spacing w:line="480" w:lineRule="auto"/>
        <w:rPr>
          <w:rFonts w:ascii="Arial" w:hAnsi="Arial" w:cs="Arial"/>
        </w:rPr>
      </w:pPr>
      <w:r w:rsidRPr="00A15EA4">
        <w:rPr>
          <w:rFonts w:ascii="Arial" w:hAnsi="Arial" w:cs="Arial"/>
        </w:rPr>
        <w:t xml:space="preserve">Hanushek, E. A., &amp; </w:t>
      </w:r>
      <w:proofErr w:type="spellStart"/>
      <w:r w:rsidRPr="00A15EA4">
        <w:rPr>
          <w:rFonts w:ascii="Arial" w:hAnsi="Arial" w:cs="Arial"/>
        </w:rPr>
        <w:t>Woessmann</w:t>
      </w:r>
      <w:proofErr w:type="spellEnd"/>
      <w:r w:rsidRPr="00A15EA4">
        <w:rPr>
          <w:rFonts w:ascii="Arial" w:hAnsi="Arial" w:cs="Arial"/>
        </w:rPr>
        <w:t>, L. (2015). The knowledge capital of nations: Education and the economics of growth. MIT Press.</w:t>
      </w:r>
    </w:p>
    <w:p w14:paraId="7736E50C" w14:textId="77777777" w:rsidR="0044664C" w:rsidRPr="00A15EA4" w:rsidRDefault="0044664C" w:rsidP="0044664C">
      <w:pPr>
        <w:spacing w:line="480" w:lineRule="auto"/>
        <w:rPr>
          <w:rFonts w:ascii="Arial" w:hAnsi="Arial" w:cs="Arial"/>
        </w:rPr>
      </w:pPr>
    </w:p>
    <w:p w14:paraId="51D3A009" w14:textId="7A952D93" w:rsidR="00FE6CE5" w:rsidRPr="00A15EA4" w:rsidRDefault="00FE6CE5" w:rsidP="0044664C">
      <w:pPr>
        <w:spacing w:line="480" w:lineRule="auto"/>
        <w:rPr>
          <w:rFonts w:ascii="Arial" w:hAnsi="Arial" w:cs="Arial"/>
        </w:rPr>
      </w:pPr>
      <w:r w:rsidRPr="00A15EA4">
        <w:rPr>
          <w:rFonts w:ascii="Arial" w:hAnsi="Arial" w:cs="Arial"/>
        </w:rPr>
        <w:t>Hattie, J., &amp; Timperley, H. (2007). The power of feedback. Review of Educational Research, 77(1), 81-112.</w:t>
      </w:r>
    </w:p>
    <w:p w14:paraId="6650B3A3" w14:textId="77777777" w:rsidR="00FE6CE5" w:rsidRPr="00A15EA4" w:rsidRDefault="00FE6CE5" w:rsidP="0044664C">
      <w:pPr>
        <w:spacing w:line="480" w:lineRule="auto"/>
        <w:rPr>
          <w:rFonts w:ascii="Arial" w:hAnsi="Arial" w:cs="Arial"/>
        </w:rPr>
      </w:pPr>
    </w:p>
    <w:p w14:paraId="0FFDF3C0" w14:textId="0EFE6E21" w:rsidR="0044664C" w:rsidRPr="00A15EA4" w:rsidRDefault="0044664C" w:rsidP="0044664C">
      <w:pPr>
        <w:spacing w:line="480" w:lineRule="auto"/>
        <w:rPr>
          <w:rFonts w:ascii="Arial" w:hAnsi="Arial" w:cs="Arial"/>
        </w:rPr>
      </w:pPr>
      <w:r w:rsidRPr="00A15EA4">
        <w:rPr>
          <w:rFonts w:ascii="Arial" w:hAnsi="Arial" w:cs="Arial"/>
        </w:rPr>
        <w:t>Hattie, J., Fisher, D., &amp; Frey, N. (2015). Visible learning for mathematics: What works best to optimize student learning. Corwin Press.</w:t>
      </w:r>
    </w:p>
    <w:p w14:paraId="1C7CBFEE" w14:textId="77777777" w:rsidR="0044664C" w:rsidRPr="00A15EA4" w:rsidRDefault="0044664C" w:rsidP="0044664C">
      <w:pPr>
        <w:spacing w:line="480" w:lineRule="auto"/>
        <w:rPr>
          <w:rFonts w:ascii="Arial" w:hAnsi="Arial" w:cs="Arial"/>
        </w:rPr>
      </w:pPr>
    </w:p>
    <w:p w14:paraId="78DBC342" w14:textId="77777777" w:rsidR="0044664C" w:rsidRPr="00A15EA4" w:rsidRDefault="0044664C" w:rsidP="0044664C">
      <w:pPr>
        <w:spacing w:line="480" w:lineRule="auto"/>
        <w:rPr>
          <w:rFonts w:ascii="Arial" w:hAnsi="Arial" w:cs="Arial"/>
        </w:rPr>
      </w:pPr>
      <w:r w:rsidRPr="00A15EA4">
        <w:rPr>
          <w:rFonts w:ascii="Arial" w:hAnsi="Arial" w:cs="Arial"/>
        </w:rPr>
        <w:t>Hilton, J., Graham, C., Rich, P., &amp; Wiley, D. (2016). Using online technologies to improve student engagement and learning. In Handbook of Research on Educational Communications and Technology (pp. 781–794). Springer.</w:t>
      </w:r>
    </w:p>
    <w:p w14:paraId="21DEA4DA" w14:textId="77777777" w:rsidR="0044664C" w:rsidRPr="00A15EA4" w:rsidRDefault="0044664C" w:rsidP="0044664C">
      <w:pPr>
        <w:spacing w:line="480" w:lineRule="auto"/>
        <w:rPr>
          <w:rFonts w:ascii="Arial" w:hAnsi="Arial" w:cs="Arial"/>
        </w:rPr>
      </w:pPr>
    </w:p>
    <w:p w14:paraId="1BC8EEFD" w14:textId="77777777" w:rsidR="00FE6CE5" w:rsidRPr="00A15EA4" w:rsidRDefault="00FE6CE5" w:rsidP="00FE6CE5">
      <w:pPr>
        <w:spacing w:line="480" w:lineRule="auto"/>
        <w:rPr>
          <w:rFonts w:ascii="Arial" w:hAnsi="Arial" w:cs="Arial"/>
        </w:rPr>
      </w:pPr>
      <w:proofErr w:type="spellStart"/>
      <w:r w:rsidRPr="00A15EA4">
        <w:rPr>
          <w:rFonts w:ascii="Arial" w:hAnsi="Arial" w:cs="Arial"/>
        </w:rPr>
        <w:t>Lemos</w:t>
      </w:r>
      <w:proofErr w:type="spellEnd"/>
      <w:r w:rsidRPr="00A15EA4">
        <w:rPr>
          <w:rFonts w:ascii="Arial" w:hAnsi="Arial" w:cs="Arial"/>
        </w:rPr>
        <w:t xml:space="preserve">, M. S., &amp; </w:t>
      </w:r>
      <w:proofErr w:type="spellStart"/>
      <w:r w:rsidRPr="00A15EA4">
        <w:rPr>
          <w:rFonts w:ascii="Arial" w:hAnsi="Arial" w:cs="Arial"/>
        </w:rPr>
        <w:t>Verstegen</w:t>
      </w:r>
      <w:proofErr w:type="spellEnd"/>
      <w:r w:rsidRPr="00A15EA4">
        <w:rPr>
          <w:rFonts w:ascii="Arial" w:hAnsi="Arial" w:cs="Arial"/>
        </w:rPr>
        <w:t>, D. M. L. (2020). Assessment and learning: A systematic review of research findings on feedback practices. Assessment in Education: Principles, Policy &amp; Practice, 27(2), 187-215.</w:t>
      </w:r>
    </w:p>
    <w:p w14:paraId="21141DD3" w14:textId="77777777" w:rsidR="00FE6CE5" w:rsidRPr="00A15EA4" w:rsidRDefault="00FE6CE5" w:rsidP="0044664C">
      <w:pPr>
        <w:spacing w:line="480" w:lineRule="auto"/>
        <w:rPr>
          <w:rFonts w:ascii="Arial" w:hAnsi="Arial" w:cs="Arial"/>
        </w:rPr>
      </w:pPr>
    </w:p>
    <w:p w14:paraId="75670BFE" w14:textId="77777777" w:rsidR="0044664C" w:rsidRPr="00A15EA4" w:rsidRDefault="0044664C" w:rsidP="0044664C">
      <w:pPr>
        <w:spacing w:line="480" w:lineRule="auto"/>
        <w:rPr>
          <w:rFonts w:ascii="Arial" w:hAnsi="Arial" w:cs="Arial"/>
        </w:rPr>
      </w:pPr>
      <w:r w:rsidRPr="00A15EA4">
        <w:rPr>
          <w:rFonts w:ascii="Arial" w:hAnsi="Arial" w:cs="Arial"/>
        </w:rPr>
        <w:t>Mishra, P., &amp; Koehler, M. J. (2006). Technological pedagogical content knowledge: A framework for teacher knowledge. Teachers College Record, 108(6), 1017–1054.</w:t>
      </w:r>
    </w:p>
    <w:p w14:paraId="5769DA8B" w14:textId="77777777" w:rsidR="00633B5F" w:rsidRPr="00A15EA4" w:rsidRDefault="00633B5F" w:rsidP="0044664C">
      <w:pPr>
        <w:spacing w:line="480" w:lineRule="auto"/>
        <w:rPr>
          <w:rFonts w:ascii="Arial" w:hAnsi="Arial" w:cs="Arial"/>
        </w:rPr>
      </w:pPr>
    </w:p>
    <w:p w14:paraId="663A9DC3" w14:textId="7C09374B" w:rsidR="00633B5F" w:rsidRPr="00A15EA4" w:rsidRDefault="00633B5F" w:rsidP="0044664C">
      <w:pPr>
        <w:spacing w:line="480" w:lineRule="auto"/>
        <w:rPr>
          <w:rFonts w:ascii="Arial" w:hAnsi="Arial" w:cs="Arial"/>
        </w:rPr>
      </w:pPr>
      <w:r w:rsidRPr="00A15EA4">
        <w:rPr>
          <w:rFonts w:ascii="Arial" w:hAnsi="Arial" w:cs="Arial"/>
        </w:rPr>
        <w:t>Moffett, J. (2018). Embedding literacy across the curriculum: An exploratory study of secondary school teachers' views and classroom practices. British Educational Research Journal, 44(6), 1063-1084.</w:t>
      </w:r>
    </w:p>
    <w:p w14:paraId="6967E193" w14:textId="77777777" w:rsidR="00633B5F" w:rsidRPr="00A15EA4" w:rsidRDefault="00633B5F" w:rsidP="0044664C">
      <w:pPr>
        <w:spacing w:line="480" w:lineRule="auto"/>
        <w:rPr>
          <w:rFonts w:ascii="Arial" w:hAnsi="Arial" w:cs="Arial"/>
        </w:rPr>
      </w:pPr>
    </w:p>
    <w:p w14:paraId="081DE0F8" w14:textId="71C338D3" w:rsidR="0044664C" w:rsidRPr="00A15EA4" w:rsidRDefault="0044664C" w:rsidP="0044664C">
      <w:pPr>
        <w:spacing w:line="480" w:lineRule="auto"/>
        <w:rPr>
          <w:rFonts w:ascii="Arial" w:hAnsi="Arial" w:cs="Arial"/>
        </w:rPr>
      </w:pPr>
      <w:r w:rsidRPr="00A15EA4">
        <w:rPr>
          <w:rFonts w:ascii="Arial" w:hAnsi="Arial" w:cs="Arial"/>
        </w:rPr>
        <w:t>Mouza, C., &amp; Lavigne, N. C. (2017). Emerging practices in literacy and technology integration. In Handbook of Research on Reading Comprehension (pp. 335–354). Routledge.</w:t>
      </w:r>
    </w:p>
    <w:p w14:paraId="7D4C3D7E" w14:textId="77777777" w:rsidR="0044664C" w:rsidRPr="00A15EA4" w:rsidRDefault="0044664C" w:rsidP="0044664C">
      <w:pPr>
        <w:spacing w:line="480" w:lineRule="auto"/>
        <w:rPr>
          <w:rFonts w:ascii="Arial" w:hAnsi="Arial" w:cs="Arial"/>
        </w:rPr>
      </w:pPr>
    </w:p>
    <w:p w14:paraId="4916BD27" w14:textId="1AFEFE3F" w:rsidR="000423C6" w:rsidRPr="00A15EA4" w:rsidRDefault="000423C6" w:rsidP="0044664C">
      <w:pPr>
        <w:spacing w:line="480" w:lineRule="auto"/>
        <w:rPr>
          <w:rFonts w:ascii="Arial" w:hAnsi="Arial" w:cs="Arial"/>
        </w:rPr>
      </w:pPr>
      <w:r w:rsidRPr="00A15EA4">
        <w:rPr>
          <w:rFonts w:ascii="Arial" w:hAnsi="Arial" w:cs="Arial"/>
        </w:rPr>
        <w:t>School X (2023) Strategic Improvement Plan [</w:t>
      </w:r>
      <w:proofErr w:type="gramStart"/>
      <w:r w:rsidRPr="00A15EA4">
        <w:rPr>
          <w:rFonts w:ascii="Arial" w:hAnsi="Arial" w:cs="Arial"/>
        </w:rPr>
        <w:t>online</w:t>
      </w:r>
      <w:proofErr w:type="gramEnd"/>
      <w:r w:rsidRPr="00A15EA4">
        <w:rPr>
          <w:rFonts w:ascii="Arial" w:hAnsi="Arial" w:cs="Arial"/>
        </w:rPr>
        <w:t xml:space="preserve">] Available at: </w:t>
      </w:r>
      <w:r w:rsidRPr="00A15EA4">
        <w:rPr>
          <w:rFonts w:ascii="Arial" w:hAnsi="Arial" w:cs="Arial"/>
        </w:rPr>
        <w:t>https://www.</w:t>
      </w:r>
      <w:r w:rsidRPr="00A15EA4">
        <w:rPr>
          <w:rFonts w:ascii="Arial" w:hAnsi="Arial" w:cs="Arial"/>
        </w:rPr>
        <w:t>xxxxxxxxx</w:t>
      </w:r>
      <w:r w:rsidRPr="00A15EA4">
        <w:rPr>
          <w:rFonts w:ascii="Arial" w:hAnsi="Arial" w:cs="Arial"/>
        </w:rPr>
        <w:t>comprehensiveschool.co.uk/admin/ckfinder/userfiles/files/</w:t>
      </w:r>
      <w:r w:rsidRPr="00A15EA4">
        <w:rPr>
          <w:rFonts w:ascii="Arial" w:hAnsi="Arial" w:cs="Arial"/>
        </w:rPr>
        <w:t>xxxxxxxxx</w:t>
      </w:r>
      <w:r w:rsidRPr="00A15EA4">
        <w:rPr>
          <w:rFonts w:ascii="Arial" w:hAnsi="Arial" w:cs="Arial"/>
        </w:rPr>
        <w:t>%20School%20SIP%20Big%20Picture%20%20and%20detail%202023%20August%2031%202023.docx.pdf</w:t>
      </w:r>
    </w:p>
    <w:p w14:paraId="56A655A0" w14:textId="77777777" w:rsidR="00EB37F7" w:rsidRPr="00A15EA4" w:rsidRDefault="00EB37F7" w:rsidP="0044664C">
      <w:pPr>
        <w:spacing w:line="480" w:lineRule="auto"/>
        <w:rPr>
          <w:rFonts w:ascii="Arial" w:hAnsi="Arial" w:cs="Arial"/>
        </w:rPr>
      </w:pPr>
    </w:p>
    <w:p w14:paraId="70DFFBD6" w14:textId="77777777" w:rsidR="0044664C" w:rsidRPr="00A15EA4" w:rsidRDefault="0044664C" w:rsidP="0044664C">
      <w:pPr>
        <w:spacing w:line="480" w:lineRule="auto"/>
        <w:rPr>
          <w:rFonts w:ascii="Arial" w:hAnsi="Arial" w:cs="Arial"/>
        </w:rPr>
      </w:pPr>
      <w:proofErr w:type="spellStart"/>
      <w:r w:rsidRPr="00A15EA4">
        <w:rPr>
          <w:rFonts w:ascii="Arial" w:hAnsi="Arial" w:cs="Arial"/>
        </w:rPr>
        <w:t>Sénéchal</w:t>
      </w:r>
      <w:proofErr w:type="spellEnd"/>
      <w:r w:rsidRPr="00A15EA4">
        <w:rPr>
          <w:rFonts w:ascii="Arial" w:hAnsi="Arial" w:cs="Arial"/>
        </w:rPr>
        <w:t>, M., &amp; LeFevre, J. (2002). Parental involvement in the development of children's reading skill: A five-year longitudinal study. Child Development, 73(2), 445–460.</w:t>
      </w:r>
    </w:p>
    <w:p w14:paraId="5BCD44B1" w14:textId="77777777" w:rsidR="0044664C" w:rsidRPr="00A15EA4" w:rsidRDefault="0044664C" w:rsidP="0044664C">
      <w:pPr>
        <w:spacing w:line="480" w:lineRule="auto"/>
        <w:rPr>
          <w:rFonts w:ascii="Arial" w:hAnsi="Arial" w:cs="Arial"/>
        </w:rPr>
      </w:pPr>
    </w:p>
    <w:p w14:paraId="6790F8E2" w14:textId="4F150A7C" w:rsidR="009F740F" w:rsidRPr="00A15EA4" w:rsidRDefault="009F740F" w:rsidP="0044664C">
      <w:pPr>
        <w:spacing w:line="480" w:lineRule="auto"/>
        <w:rPr>
          <w:rFonts w:ascii="Arial" w:hAnsi="Arial" w:cs="Arial"/>
        </w:rPr>
      </w:pPr>
      <w:r w:rsidRPr="00A15EA4">
        <w:rPr>
          <w:rFonts w:ascii="Arial" w:hAnsi="Arial" w:cs="Arial"/>
        </w:rPr>
        <w:lastRenderedPageBreak/>
        <w:t xml:space="preserve">Smyth, E., Hannan, S., Newman, M., &amp; </w:t>
      </w:r>
      <w:proofErr w:type="spellStart"/>
      <w:r w:rsidRPr="00A15EA4">
        <w:rPr>
          <w:rFonts w:ascii="Arial" w:hAnsi="Arial" w:cs="Arial"/>
        </w:rPr>
        <w:t>Muijs</w:t>
      </w:r>
      <w:proofErr w:type="spellEnd"/>
      <w:r w:rsidRPr="00A15EA4">
        <w:rPr>
          <w:rFonts w:ascii="Arial" w:hAnsi="Arial" w:cs="Arial"/>
        </w:rPr>
        <w:t>, D. (2017). Evaluation of the National Literacy and Numeracy Frameworks: Year 2 Report. Cardiff: Welsh Government.</w:t>
      </w:r>
    </w:p>
    <w:p w14:paraId="6FB6B598" w14:textId="77777777" w:rsidR="009F740F" w:rsidRPr="00A15EA4" w:rsidRDefault="009F740F" w:rsidP="0044664C">
      <w:pPr>
        <w:spacing w:line="480" w:lineRule="auto"/>
        <w:rPr>
          <w:rFonts w:ascii="Arial" w:hAnsi="Arial" w:cs="Arial"/>
        </w:rPr>
      </w:pPr>
    </w:p>
    <w:p w14:paraId="6CD10F31" w14:textId="77777777" w:rsidR="0044664C" w:rsidRPr="00A15EA4" w:rsidRDefault="0044664C" w:rsidP="0044664C">
      <w:pPr>
        <w:spacing w:line="480" w:lineRule="auto"/>
        <w:rPr>
          <w:rFonts w:ascii="Arial" w:hAnsi="Arial" w:cs="Arial"/>
        </w:rPr>
      </w:pPr>
      <w:proofErr w:type="spellStart"/>
      <w:r w:rsidRPr="00A15EA4">
        <w:rPr>
          <w:rFonts w:ascii="Arial" w:hAnsi="Arial" w:cs="Arial"/>
        </w:rPr>
        <w:t>Suggate</w:t>
      </w:r>
      <w:proofErr w:type="spellEnd"/>
      <w:r w:rsidRPr="00A15EA4">
        <w:rPr>
          <w:rFonts w:ascii="Arial" w:hAnsi="Arial" w:cs="Arial"/>
        </w:rPr>
        <w:t>, S. P. (2016). Why what we teach depends on when: Grade and age relationships with children's understanding of arithmetic concepts. Child Development, 87(5), 1461–1476.</w:t>
      </w:r>
    </w:p>
    <w:p w14:paraId="2B40C349" w14:textId="77777777" w:rsidR="0044664C" w:rsidRPr="00A15EA4" w:rsidRDefault="0044664C" w:rsidP="0044664C">
      <w:pPr>
        <w:spacing w:line="480" w:lineRule="auto"/>
        <w:rPr>
          <w:rFonts w:ascii="Arial" w:hAnsi="Arial" w:cs="Arial"/>
        </w:rPr>
      </w:pPr>
    </w:p>
    <w:p w14:paraId="6E90A45A" w14:textId="77777777" w:rsidR="0044664C" w:rsidRPr="00A15EA4" w:rsidRDefault="0044664C" w:rsidP="0044664C">
      <w:pPr>
        <w:spacing w:line="480" w:lineRule="auto"/>
        <w:rPr>
          <w:rFonts w:ascii="Arial" w:hAnsi="Arial" w:cs="Arial"/>
        </w:rPr>
      </w:pPr>
      <w:r w:rsidRPr="00A15EA4">
        <w:rPr>
          <w:rFonts w:ascii="Arial" w:hAnsi="Arial" w:cs="Arial"/>
        </w:rPr>
        <w:t>Tomlinson, C. A. (2014). The differentiated classroom: Responding to the needs of all learners. ASCD.</w:t>
      </w:r>
    </w:p>
    <w:p w14:paraId="3DFE12EC" w14:textId="77777777" w:rsidR="0044664C" w:rsidRPr="00A15EA4" w:rsidRDefault="0044664C" w:rsidP="0044664C">
      <w:pPr>
        <w:spacing w:line="480" w:lineRule="auto"/>
        <w:rPr>
          <w:rFonts w:ascii="Arial" w:hAnsi="Arial" w:cs="Arial"/>
        </w:rPr>
      </w:pPr>
    </w:p>
    <w:p w14:paraId="5728B5BC" w14:textId="77777777" w:rsidR="0044664C" w:rsidRPr="00A15EA4" w:rsidRDefault="0044664C" w:rsidP="0044664C">
      <w:pPr>
        <w:spacing w:line="480" w:lineRule="auto"/>
        <w:rPr>
          <w:rFonts w:ascii="Arial" w:hAnsi="Arial" w:cs="Arial"/>
        </w:rPr>
      </w:pPr>
      <w:r w:rsidRPr="00A15EA4">
        <w:rPr>
          <w:rFonts w:ascii="Arial" w:hAnsi="Arial" w:cs="Arial"/>
        </w:rPr>
        <w:t>Tomlinson, C. A. (2017). How to differentiate instruction in academically diverse classrooms. ASCD.</w:t>
      </w:r>
    </w:p>
    <w:p w14:paraId="758FE4F3" w14:textId="77777777" w:rsidR="006A2B7F" w:rsidRPr="00A15EA4" w:rsidRDefault="006A2B7F" w:rsidP="0044664C">
      <w:pPr>
        <w:spacing w:line="480" w:lineRule="auto"/>
        <w:rPr>
          <w:rFonts w:ascii="Arial" w:hAnsi="Arial" w:cs="Arial"/>
        </w:rPr>
      </w:pPr>
    </w:p>
    <w:p w14:paraId="6CFA08D9" w14:textId="7368311B" w:rsidR="009F740F" w:rsidRPr="00A15EA4" w:rsidRDefault="00C94705" w:rsidP="009F740F">
      <w:pPr>
        <w:spacing w:line="480" w:lineRule="auto"/>
        <w:rPr>
          <w:rFonts w:ascii="Arial" w:hAnsi="Arial" w:cs="Arial"/>
        </w:rPr>
      </w:pPr>
      <w:r w:rsidRPr="00A15EA4">
        <w:rPr>
          <w:rFonts w:ascii="Arial" w:hAnsi="Arial" w:cs="Arial"/>
        </w:rPr>
        <w:t>Welsh Government (2014). School development plans Guidance. [online] Available at: https://www.gov.wales/sites/default/files/publications/2018-03/school-development-plans.pdf.</w:t>
      </w:r>
    </w:p>
    <w:p w14:paraId="1F250D3D" w14:textId="77777777" w:rsidR="009F740F" w:rsidRPr="00A15EA4" w:rsidRDefault="009F740F" w:rsidP="009F740F">
      <w:pPr>
        <w:spacing w:line="480" w:lineRule="auto"/>
        <w:rPr>
          <w:rFonts w:ascii="Arial" w:hAnsi="Arial" w:cs="Arial"/>
        </w:rPr>
      </w:pPr>
    </w:p>
    <w:p w14:paraId="6B799D39" w14:textId="77777777" w:rsidR="009F740F" w:rsidRPr="00A15EA4" w:rsidRDefault="009F740F" w:rsidP="009F740F">
      <w:pPr>
        <w:spacing w:line="480" w:lineRule="auto"/>
        <w:rPr>
          <w:rFonts w:ascii="Arial" w:hAnsi="Arial" w:cs="Arial"/>
        </w:rPr>
      </w:pPr>
      <w:r w:rsidRPr="00A15EA4">
        <w:rPr>
          <w:rFonts w:ascii="Arial" w:hAnsi="Arial" w:cs="Arial"/>
        </w:rPr>
        <w:t>Welsh Government. (2015). Successful Futures: Independent Review of Curriculum and Assessment Arrangements in Wales. Cardiff: Welsh Government.</w:t>
      </w:r>
    </w:p>
    <w:p w14:paraId="4FAA0E58" w14:textId="77777777" w:rsidR="00C94705" w:rsidRPr="00A15EA4" w:rsidRDefault="00C94705" w:rsidP="0044664C">
      <w:pPr>
        <w:spacing w:line="480" w:lineRule="auto"/>
        <w:rPr>
          <w:rFonts w:ascii="Arial" w:hAnsi="Arial" w:cs="Arial"/>
        </w:rPr>
      </w:pPr>
    </w:p>
    <w:p w14:paraId="51F0A90D" w14:textId="3A53F811" w:rsidR="00925503" w:rsidRPr="00A15EA4" w:rsidRDefault="00925503" w:rsidP="0044664C">
      <w:pPr>
        <w:spacing w:line="480" w:lineRule="auto"/>
        <w:rPr>
          <w:rFonts w:ascii="Arial" w:hAnsi="Arial" w:cs="Arial"/>
        </w:rPr>
      </w:pPr>
      <w:r w:rsidRPr="00A15EA4">
        <w:rPr>
          <w:rFonts w:ascii="Arial" w:hAnsi="Arial" w:cs="Arial"/>
        </w:rPr>
        <w:t xml:space="preserve">Welsh Government (2017). Education in Wales: Our national mission. [online] </w:t>
      </w:r>
      <w:proofErr w:type="spellStart"/>
      <w:proofErr w:type="gramStart"/>
      <w:r w:rsidRPr="00A15EA4">
        <w:rPr>
          <w:rFonts w:ascii="Arial" w:hAnsi="Arial" w:cs="Arial"/>
        </w:rPr>
        <w:t>gov.wales</w:t>
      </w:r>
      <w:proofErr w:type="spellEnd"/>
      <w:proofErr w:type="gramEnd"/>
      <w:r w:rsidRPr="00A15EA4">
        <w:rPr>
          <w:rFonts w:ascii="Arial" w:hAnsi="Arial" w:cs="Arial"/>
        </w:rPr>
        <w:t>. Available at: https://www.gov.wales/sites/default/files/publications/2018-03/education-in-wales-our-national-mission.pdf</w:t>
      </w:r>
    </w:p>
    <w:p w14:paraId="078AB6C3" w14:textId="77777777" w:rsidR="00EB37F7" w:rsidRPr="00A15EA4" w:rsidRDefault="00EB37F7" w:rsidP="0044664C">
      <w:pPr>
        <w:spacing w:line="480" w:lineRule="auto"/>
        <w:rPr>
          <w:rFonts w:ascii="Arial" w:hAnsi="Arial" w:cs="Arial"/>
        </w:rPr>
      </w:pPr>
    </w:p>
    <w:p w14:paraId="17F5B592" w14:textId="42606836" w:rsidR="0044664C" w:rsidRPr="00A15EA4" w:rsidRDefault="0044664C" w:rsidP="0044664C">
      <w:pPr>
        <w:spacing w:line="480" w:lineRule="auto"/>
        <w:rPr>
          <w:rFonts w:ascii="Arial" w:hAnsi="Arial" w:cs="Arial"/>
        </w:rPr>
      </w:pPr>
      <w:r w:rsidRPr="00A15EA4">
        <w:rPr>
          <w:rFonts w:ascii="Arial" w:hAnsi="Arial" w:cs="Arial"/>
        </w:rPr>
        <w:lastRenderedPageBreak/>
        <w:t>Westwood, P. (2018). What teachers need to know about differentiation. ACER Press.</w:t>
      </w:r>
    </w:p>
    <w:p w14:paraId="23586C79" w14:textId="77777777" w:rsidR="00FE6CE5" w:rsidRPr="00A15EA4" w:rsidRDefault="00FE6CE5" w:rsidP="00FE6CE5">
      <w:pPr>
        <w:spacing w:line="480" w:lineRule="auto"/>
        <w:rPr>
          <w:rFonts w:ascii="Arial" w:hAnsi="Arial" w:cs="Arial"/>
        </w:rPr>
      </w:pPr>
    </w:p>
    <w:p w14:paraId="37D91196" w14:textId="3C71B8DD" w:rsidR="00754A4C" w:rsidRPr="00A15EA4" w:rsidRDefault="00EB37F7" w:rsidP="007D08B6">
      <w:pPr>
        <w:spacing w:line="480" w:lineRule="auto"/>
        <w:rPr>
          <w:rFonts w:ascii="Arial" w:hAnsi="Arial" w:cs="Arial"/>
        </w:rPr>
      </w:pPr>
      <w:r w:rsidRPr="00A15EA4">
        <w:rPr>
          <w:rFonts w:ascii="Arial" w:hAnsi="Arial" w:cs="Arial"/>
        </w:rPr>
        <w:t>Zimmerman, B. J. (2000). Attaining self-regulation: A social cognitive perspective. Handbook of self-regulation, 13-39.</w:t>
      </w:r>
    </w:p>
    <w:sectPr w:rsidR="00754A4C" w:rsidRPr="00A15EA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FBA64" w14:textId="77777777" w:rsidR="005E0A55" w:rsidRDefault="005E0A55" w:rsidP="00304733">
      <w:r>
        <w:separator/>
      </w:r>
    </w:p>
  </w:endnote>
  <w:endnote w:type="continuationSeparator" w:id="0">
    <w:p w14:paraId="27197710" w14:textId="77777777" w:rsidR="005E0A55" w:rsidRDefault="005E0A55" w:rsidP="00304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539C9" w14:textId="77777777" w:rsidR="005E0A55" w:rsidRDefault="005E0A55" w:rsidP="00304733">
      <w:r>
        <w:separator/>
      </w:r>
    </w:p>
  </w:footnote>
  <w:footnote w:type="continuationSeparator" w:id="0">
    <w:p w14:paraId="23B990F3" w14:textId="77777777" w:rsidR="005E0A55" w:rsidRDefault="005E0A55" w:rsidP="003047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345DA" w14:textId="270A85C2" w:rsidR="00304733" w:rsidRDefault="00304733" w:rsidP="00304733">
    <w:pPr>
      <w:pStyle w:val="Header"/>
      <w:jc w:val="right"/>
    </w:pPr>
    <w:r>
      <w:t>Student Number: 2305919</w:t>
    </w:r>
  </w:p>
  <w:p w14:paraId="2C932200" w14:textId="77777777" w:rsidR="00304733" w:rsidRDefault="003047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320"/>
    <w:multiLevelType w:val="hybridMultilevel"/>
    <w:tmpl w:val="628AD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F0332"/>
    <w:multiLevelType w:val="hybridMultilevel"/>
    <w:tmpl w:val="786A17A0"/>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2" w15:restartNumberingAfterBreak="0">
    <w:nsid w:val="5EBC26EF"/>
    <w:multiLevelType w:val="hybridMultilevel"/>
    <w:tmpl w:val="1FC8B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6244F3"/>
    <w:multiLevelType w:val="hybridMultilevel"/>
    <w:tmpl w:val="FBB01C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7997671">
    <w:abstractNumId w:val="1"/>
  </w:num>
  <w:num w:numId="2" w16cid:durableId="1353218818">
    <w:abstractNumId w:val="2"/>
  </w:num>
  <w:num w:numId="3" w16cid:durableId="2055167">
    <w:abstractNumId w:val="0"/>
  </w:num>
  <w:num w:numId="4" w16cid:durableId="211352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49"/>
    <w:rsid w:val="000214DD"/>
    <w:rsid w:val="00024177"/>
    <w:rsid w:val="00026793"/>
    <w:rsid w:val="00041CAB"/>
    <w:rsid w:val="000423C6"/>
    <w:rsid w:val="00044FD4"/>
    <w:rsid w:val="000914BE"/>
    <w:rsid w:val="0009346B"/>
    <w:rsid w:val="00093DB7"/>
    <w:rsid w:val="000A34FE"/>
    <w:rsid w:val="000A4721"/>
    <w:rsid w:val="000C29FA"/>
    <w:rsid w:val="000C2D66"/>
    <w:rsid w:val="000D1AF2"/>
    <w:rsid w:val="000D2BB9"/>
    <w:rsid w:val="000D4C3B"/>
    <w:rsid w:val="000D5C74"/>
    <w:rsid w:val="000D6AC2"/>
    <w:rsid w:val="000E4D17"/>
    <w:rsid w:val="000F046A"/>
    <w:rsid w:val="000F3042"/>
    <w:rsid w:val="00106C7A"/>
    <w:rsid w:val="001107C8"/>
    <w:rsid w:val="00121D3C"/>
    <w:rsid w:val="001353C8"/>
    <w:rsid w:val="00135979"/>
    <w:rsid w:val="001360EC"/>
    <w:rsid w:val="0013747E"/>
    <w:rsid w:val="00145008"/>
    <w:rsid w:val="00146A89"/>
    <w:rsid w:val="00167A88"/>
    <w:rsid w:val="001B5F96"/>
    <w:rsid w:val="001C085E"/>
    <w:rsid w:val="001C11B3"/>
    <w:rsid w:val="001D5F95"/>
    <w:rsid w:val="001D6154"/>
    <w:rsid w:val="001D77C1"/>
    <w:rsid w:val="001E1C26"/>
    <w:rsid w:val="001E559E"/>
    <w:rsid w:val="001F6886"/>
    <w:rsid w:val="00220E2E"/>
    <w:rsid w:val="00233D8D"/>
    <w:rsid w:val="00245AAA"/>
    <w:rsid w:val="002639C8"/>
    <w:rsid w:val="0026775A"/>
    <w:rsid w:val="00272153"/>
    <w:rsid w:val="00276F49"/>
    <w:rsid w:val="00286590"/>
    <w:rsid w:val="00295EA3"/>
    <w:rsid w:val="00296D8B"/>
    <w:rsid w:val="002A671A"/>
    <w:rsid w:val="002B0FF4"/>
    <w:rsid w:val="002C1D66"/>
    <w:rsid w:val="002C316C"/>
    <w:rsid w:val="002D7610"/>
    <w:rsid w:val="002D778A"/>
    <w:rsid w:val="002E528B"/>
    <w:rsid w:val="002F3815"/>
    <w:rsid w:val="002F5A68"/>
    <w:rsid w:val="00303C92"/>
    <w:rsid w:val="00304733"/>
    <w:rsid w:val="00315174"/>
    <w:rsid w:val="003173CD"/>
    <w:rsid w:val="00327212"/>
    <w:rsid w:val="00333E16"/>
    <w:rsid w:val="0036434C"/>
    <w:rsid w:val="0036493C"/>
    <w:rsid w:val="00373A7C"/>
    <w:rsid w:val="0039651C"/>
    <w:rsid w:val="003970FF"/>
    <w:rsid w:val="003A1259"/>
    <w:rsid w:val="003A5870"/>
    <w:rsid w:val="00400F26"/>
    <w:rsid w:val="00404954"/>
    <w:rsid w:val="0041364B"/>
    <w:rsid w:val="004211A8"/>
    <w:rsid w:val="00421A85"/>
    <w:rsid w:val="00426B57"/>
    <w:rsid w:val="00430A88"/>
    <w:rsid w:val="00435D4D"/>
    <w:rsid w:val="0044664C"/>
    <w:rsid w:val="0045208C"/>
    <w:rsid w:val="004612A4"/>
    <w:rsid w:val="0046303F"/>
    <w:rsid w:val="00463412"/>
    <w:rsid w:val="004821E1"/>
    <w:rsid w:val="0048775F"/>
    <w:rsid w:val="00490DCF"/>
    <w:rsid w:val="00492ACF"/>
    <w:rsid w:val="00492B6E"/>
    <w:rsid w:val="00493CF5"/>
    <w:rsid w:val="004B2BBD"/>
    <w:rsid w:val="004B4496"/>
    <w:rsid w:val="004C04F7"/>
    <w:rsid w:val="004E1FD1"/>
    <w:rsid w:val="004F021F"/>
    <w:rsid w:val="00514D0A"/>
    <w:rsid w:val="00517E4B"/>
    <w:rsid w:val="00535C43"/>
    <w:rsid w:val="005635CB"/>
    <w:rsid w:val="00566CD5"/>
    <w:rsid w:val="00572D27"/>
    <w:rsid w:val="005A0A4C"/>
    <w:rsid w:val="005A49A1"/>
    <w:rsid w:val="005B0773"/>
    <w:rsid w:val="005B549F"/>
    <w:rsid w:val="005D3AB7"/>
    <w:rsid w:val="005D64E9"/>
    <w:rsid w:val="005E0A55"/>
    <w:rsid w:val="005E1ADA"/>
    <w:rsid w:val="005E6A86"/>
    <w:rsid w:val="005F1DBD"/>
    <w:rsid w:val="00603554"/>
    <w:rsid w:val="0060437F"/>
    <w:rsid w:val="00605C66"/>
    <w:rsid w:val="00615029"/>
    <w:rsid w:val="00623701"/>
    <w:rsid w:val="006251AB"/>
    <w:rsid w:val="00633B5F"/>
    <w:rsid w:val="00650FAD"/>
    <w:rsid w:val="00651379"/>
    <w:rsid w:val="00671B86"/>
    <w:rsid w:val="00681BB1"/>
    <w:rsid w:val="00683430"/>
    <w:rsid w:val="006857A7"/>
    <w:rsid w:val="006A2B7F"/>
    <w:rsid w:val="006A7736"/>
    <w:rsid w:val="006B5658"/>
    <w:rsid w:val="006B6F1F"/>
    <w:rsid w:val="006C24E4"/>
    <w:rsid w:val="006D557C"/>
    <w:rsid w:val="006E31A6"/>
    <w:rsid w:val="006E3A94"/>
    <w:rsid w:val="006E4A8D"/>
    <w:rsid w:val="006F30EE"/>
    <w:rsid w:val="007079D6"/>
    <w:rsid w:val="00717B67"/>
    <w:rsid w:val="0073271A"/>
    <w:rsid w:val="00743936"/>
    <w:rsid w:val="00750C8A"/>
    <w:rsid w:val="007544C8"/>
    <w:rsid w:val="00754A4C"/>
    <w:rsid w:val="00761F8C"/>
    <w:rsid w:val="007B05E9"/>
    <w:rsid w:val="007B0942"/>
    <w:rsid w:val="007B1C59"/>
    <w:rsid w:val="007D08B6"/>
    <w:rsid w:val="007F3EB2"/>
    <w:rsid w:val="007F7089"/>
    <w:rsid w:val="008131CF"/>
    <w:rsid w:val="008220B4"/>
    <w:rsid w:val="00845211"/>
    <w:rsid w:val="008631E3"/>
    <w:rsid w:val="00864008"/>
    <w:rsid w:val="00873067"/>
    <w:rsid w:val="008839AF"/>
    <w:rsid w:val="008960EA"/>
    <w:rsid w:val="00896BBD"/>
    <w:rsid w:val="008D2AB7"/>
    <w:rsid w:val="008D55A2"/>
    <w:rsid w:val="008E19D2"/>
    <w:rsid w:val="008E3F27"/>
    <w:rsid w:val="008E46C2"/>
    <w:rsid w:val="008E73E1"/>
    <w:rsid w:val="008E7F31"/>
    <w:rsid w:val="008F74B9"/>
    <w:rsid w:val="008F74C9"/>
    <w:rsid w:val="009002EA"/>
    <w:rsid w:val="00906C75"/>
    <w:rsid w:val="00925503"/>
    <w:rsid w:val="009258D4"/>
    <w:rsid w:val="0095570A"/>
    <w:rsid w:val="0096538D"/>
    <w:rsid w:val="00967756"/>
    <w:rsid w:val="00977B05"/>
    <w:rsid w:val="00983C66"/>
    <w:rsid w:val="00984AC4"/>
    <w:rsid w:val="00993C43"/>
    <w:rsid w:val="00995E85"/>
    <w:rsid w:val="009A4426"/>
    <w:rsid w:val="009D33DB"/>
    <w:rsid w:val="009E37FA"/>
    <w:rsid w:val="009E71CC"/>
    <w:rsid w:val="009F036B"/>
    <w:rsid w:val="009F740F"/>
    <w:rsid w:val="00A03E00"/>
    <w:rsid w:val="00A11005"/>
    <w:rsid w:val="00A15EA4"/>
    <w:rsid w:val="00A20252"/>
    <w:rsid w:val="00A20C7A"/>
    <w:rsid w:val="00A23704"/>
    <w:rsid w:val="00A25967"/>
    <w:rsid w:val="00A403E2"/>
    <w:rsid w:val="00A72AC6"/>
    <w:rsid w:val="00A80B99"/>
    <w:rsid w:val="00A86C17"/>
    <w:rsid w:val="00A92E1C"/>
    <w:rsid w:val="00A9437A"/>
    <w:rsid w:val="00AB15B7"/>
    <w:rsid w:val="00AB235B"/>
    <w:rsid w:val="00AC6CCF"/>
    <w:rsid w:val="00AD1280"/>
    <w:rsid w:val="00AD3F0B"/>
    <w:rsid w:val="00AD6DE5"/>
    <w:rsid w:val="00AE0887"/>
    <w:rsid w:val="00AE49A6"/>
    <w:rsid w:val="00B11D7A"/>
    <w:rsid w:val="00B25CF7"/>
    <w:rsid w:val="00B315C8"/>
    <w:rsid w:val="00B31E0B"/>
    <w:rsid w:val="00B436FF"/>
    <w:rsid w:val="00B51368"/>
    <w:rsid w:val="00B61388"/>
    <w:rsid w:val="00B642F2"/>
    <w:rsid w:val="00B66542"/>
    <w:rsid w:val="00B92FB3"/>
    <w:rsid w:val="00B96C41"/>
    <w:rsid w:val="00BA54C8"/>
    <w:rsid w:val="00BA765C"/>
    <w:rsid w:val="00BB2EF9"/>
    <w:rsid w:val="00BB35A9"/>
    <w:rsid w:val="00BB3F4A"/>
    <w:rsid w:val="00BD52D7"/>
    <w:rsid w:val="00BE0250"/>
    <w:rsid w:val="00BE29C7"/>
    <w:rsid w:val="00BF7497"/>
    <w:rsid w:val="00BF7F96"/>
    <w:rsid w:val="00C1266C"/>
    <w:rsid w:val="00C14E4D"/>
    <w:rsid w:val="00C161BE"/>
    <w:rsid w:val="00C24C10"/>
    <w:rsid w:val="00C4691B"/>
    <w:rsid w:val="00C51399"/>
    <w:rsid w:val="00C52956"/>
    <w:rsid w:val="00C637F4"/>
    <w:rsid w:val="00C64E3E"/>
    <w:rsid w:val="00C65A6A"/>
    <w:rsid w:val="00C73856"/>
    <w:rsid w:val="00C90B1F"/>
    <w:rsid w:val="00C9384D"/>
    <w:rsid w:val="00C94705"/>
    <w:rsid w:val="00C956FB"/>
    <w:rsid w:val="00CD4AB4"/>
    <w:rsid w:val="00CD5F5A"/>
    <w:rsid w:val="00CE00CB"/>
    <w:rsid w:val="00CE03B0"/>
    <w:rsid w:val="00CE2000"/>
    <w:rsid w:val="00CE2A1D"/>
    <w:rsid w:val="00CE2D81"/>
    <w:rsid w:val="00CE4706"/>
    <w:rsid w:val="00CF3446"/>
    <w:rsid w:val="00CF7804"/>
    <w:rsid w:val="00D02416"/>
    <w:rsid w:val="00D04DFC"/>
    <w:rsid w:val="00D112EA"/>
    <w:rsid w:val="00D44900"/>
    <w:rsid w:val="00D44C3C"/>
    <w:rsid w:val="00D6127F"/>
    <w:rsid w:val="00D62C8C"/>
    <w:rsid w:val="00D67C34"/>
    <w:rsid w:val="00D81E34"/>
    <w:rsid w:val="00D84B4C"/>
    <w:rsid w:val="00D93369"/>
    <w:rsid w:val="00DA0AB2"/>
    <w:rsid w:val="00DA3B50"/>
    <w:rsid w:val="00DA7A47"/>
    <w:rsid w:val="00DB1822"/>
    <w:rsid w:val="00DB7964"/>
    <w:rsid w:val="00DC05D5"/>
    <w:rsid w:val="00DC0852"/>
    <w:rsid w:val="00DD5597"/>
    <w:rsid w:val="00DD7604"/>
    <w:rsid w:val="00E00CF8"/>
    <w:rsid w:val="00E0520F"/>
    <w:rsid w:val="00E2109F"/>
    <w:rsid w:val="00E21B8D"/>
    <w:rsid w:val="00E267FD"/>
    <w:rsid w:val="00E34B00"/>
    <w:rsid w:val="00E504C9"/>
    <w:rsid w:val="00E52A22"/>
    <w:rsid w:val="00E5445C"/>
    <w:rsid w:val="00E57FF4"/>
    <w:rsid w:val="00E63D62"/>
    <w:rsid w:val="00E83A93"/>
    <w:rsid w:val="00E91AB6"/>
    <w:rsid w:val="00E92011"/>
    <w:rsid w:val="00E955E0"/>
    <w:rsid w:val="00EA6703"/>
    <w:rsid w:val="00EB37F7"/>
    <w:rsid w:val="00EB416C"/>
    <w:rsid w:val="00ED5C12"/>
    <w:rsid w:val="00EE01F8"/>
    <w:rsid w:val="00EF1CFE"/>
    <w:rsid w:val="00F00391"/>
    <w:rsid w:val="00F0369E"/>
    <w:rsid w:val="00F037F1"/>
    <w:rsid w:val="00F120A5"/>
    <w:rsid w:val="00F14A90"/>
    <w:rsid w:val="00F20E08"/>
    <w:rsid w:val="00F34456"/>
    <w:rsid w:val="00F454E4"/>
    <w:rsid w:val="00F46AF3"/>
    <w:rsid w:val="00F50170"/>
    <w:rsid w:val="00F51E28"/>
    <w:rsid w:val="00F54E7B"/>
    <w:rsid w:val="00F7487B"/>
    <w:rsid w:val="00FA6E9D"/>
    <w:rsid w:val="00FB5709"/>
    <w:rsid w:val="00FB75CD"/>
    <w:rsid w:val="00FC7591"/>
    <w:rsid w:val="00FD4551"/>
    <w:rsid w:val="00FE6CE5"/>
    <w:rsid w:val="00FE7CD0"/>
    <w:rsid w:val="00FF3795"/>
    <w:rsid w:val="00FF5619"/>
    <w:rsid w:val="00FF7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F0BBB"/>
  <w15:chartTrackingRefBased/>
  <w15:docId w15:val="{4B1BDC58-99B7-B64C-9C85-ED2FA333F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7C"/>
  </w:style>
  <w:style w:type="paragraph" w:styleId="Heading1">
    <w:name w:val="heading 1"/>
    <w:basedOn w:val="Normal"/>
    <w:link w:val="Heading1Char"/>
    <w:uiPriority w:val="9"/>
    <w:qFormat/>
    <w:rsid w:val="008960E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754A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54A4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3D6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4612A4"/>
    <w:pPr>
      <w:ind w:left="720"/>
      <w:contextualSpacing/>
    </w:pPr>
  </w:style>
  <w:style w:type="paragraph" w:styleId="Header">
    <w:name w:val="header"/>
    <w:basedOn w:val="Normal"/>
    <w:link w:val="HeaderChar"/>
    <w:uiPriority w:val="99"/>
    <w:unhideWhenUsed/>
    <w:rsid w:val="00304733"/>
    <w:pPr>
      <w:tabs>
        <w:tab w:val="center" w:pos="4513"/>
        <w:tab w:val="right" w:pos="9026"/>
      </w:tabs>
    </w:pPr>
  </w:style>
  <w:style w:type="character" w:customStyle="1" w:styleId="HeaderChar">
    <w:name w:val="Header Char"/>
    <w:basedOn w:val="DefaultParagraphFont"/>
    <w:link w:val="Header"/>
    <w:uiPriority w:val="99"/>
    <w:rsid w:val="00304733"/>
  </w:style>
  <w:style w:type="paragraph" w:styleId="Footer">
    <w:name w:val="footer"/>
    <w:basedOn w:val="Normal"/>
    <w:link w:val="FooterChar"/>
    <w:uiPriority w:val="99"/>
    <w:unhideWhenUsed/>
    <w:rsid w:val="00304733"/>
    <w:pPr>
      <w:tabs>
        <w:tab w:val="center" w:pos="4513"/>
        <w:tab w:val="right" w:pos="9026"/>
      </w:tabs>
    </w:pPr>
  </w:style>
  <w:style w:type="character" w:customStyle="1" w:styleId="FooterChar">
    <w:name w:val="Footer Char"/>
    <w:basedOn w:val="DefaultParagraphFont"/>
    <w:link w:val="Footer"/>
    <w:uiPriority w:val="99"/>
    <w:rsid w:val="00304733"/>
  </w:style>
  <w:style w:type="character" w:customStyle="1" w:styleId="Heading1Char">
    <w:name w:val="Heading 1 Char"/>
    <w:basedOn w:val="DefaultParagraphFont"/>
    <w:link w:val="Heading1"/>
    <w:uiPriority w:val="9"/>
    <w:rsid w:val="008960EA"/>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E21B8D"/>
    <w:rPr>
      <w:color w:val="0000FF"/>
      <w:u w:val="single"/>
    </w:rPr>
  </w:style>
  <w:style w:type="character" w:styleId="Strong">
    <w:name w:val="Strong"/>
    <w:basedOn w:val="DefaultParagraphFont"/>
    <w:uiPriority w:val="22"/>
    <w:qFormat/>
    <w:rsid w:val="00490DCF"/>
    <w:rPr>
      <w:b/>
      <w:bCs/>
    </w:rPr>
  </w:style>
  <w:style w:type="character" w:customStyle="1" w:styleId="Heading2Char">
    <w:name w:val="Heading 2 Char"/>
    <w:basedOn w:val="DefaultParagraphFont"/>
    <w:link w:val="Heading2"/>
    <w:uiPriority w:val="9"/>
    <w:semiHidden/>
    <w:rsid w:val="00754A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54A4C"/>
    <w:rPr>
      <w:rFonts w:asciiTheme="majorHAnsi" w:eastAsiaTheme="majorEastAsia" w:hAnsiTheme="majorHAnsi" w:cstheme="majorBidi"/>
      <w:color w:val="1F3763" w:themeColor="accent1" w:themeShade="7F"/>
    </w:rPr>
  </w:style>
  <w:style w:type="paragraph" w:customStyle="1" w:styleId="BodyA">
    <w:name w:val="Body A"/>
    <w:rsid w:val="00754A4C"/>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val="en-US" w:eastAsia="en-GB"/>
      <w14:textOutline w14:w="12700" w14:cap="flat" w14:cmpd="sng" w14:algn="ctr">
        <w14:noFill/>
        <w14:prstDash w14:val="solid"/>
        <w14:miter w14:lim="400000"/>
      </w14:textOutline>
      <w14:ligatures w14:val="none"/>
    </w:rPr>
  </w:style>
  <w:style w:type="character" w:styleId="UnresolvedMention">
    <w:name w:val="Unresolved Mention"/>
    <w:basedOn w:val="DefaultParagraphFont"/>
    <w:uiPriority w:val="99"/>
    <w:semiHidden/>
    <w:unhideWhenUsed/>
    <w:rsid w:val="00C94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21098">
      <w:bodyDiv w:val="1"/>
      <w:marLeft w:val="0"/>
      <w:marRight w:val="0"/>
      <w:marTop w:val="0"/>
      <w:marBottom w:val="0"/>
      <w:divBdr>
        <w:top w:val="none" w:sz="0" w:space="0" w:color="auto"/>
        <w:left w:val="none" w:sz="0" w:space="0" w:color="auto"/>
        <w:bottom w:val="none" w:sz="0" w:space="0" w:color="auto"/>
        <w:right w:val="none" w:sz="0" w:space="0" w:color="auto"/>
      </w:divBdr>
    </w:div>
    <w:div w:id="280497181">
      <w:bodyDiv w:val="1"/>
      <w:marLeft w:val="0"/>
      <w:marRight w:val="0"/>
      <w:marTop w:val="0"/>
      <w:marBottom w:val="0"/>
      <w:divBdr>
        <w:top w:val="none" w:sz="0" w:space="0" w:color="auto"/>
        <w:left w:val="none" w:sz="0" w:space="0" w:color="auto"/>
        <w:bottom w:val="none" w:sz="0" w:space="0" w:color="auto"/>
        <w:right w:val="none" w:sz="0" w:space="0" w:color="auto"/>
      </w:divBdr>
    </w:div>
    <w:div w:id="320162153">
      <w:bodyDiv w:val="1"/>
      <w:marLeft w:val="0"/>
      <w:marRight w:val="0"/>
      <w:marTop w:val="0"/>
      <w:marBottom w:val="0"/>
      <w:divBdr>
        <w:top w:val="none" w:sz="0" w:space="0" w:color="auto"/>
        <w:left w:val="none" w:sz="0" w:space="0" w:color="auto"/>
        <w:bottom w:val="none" w:sz="0" w:space="0" w:color="auto"/>
        <w:right w:val="none" w:sz="0" w:space="0" w:color="auto"/>
      </w:divBdr>
    </w:div>
    <w:div w:id="349378530">
      <w:bodyDiv w:val="1"/>
      <w:marLeft w:val="0"/>
      <w:marRight w:val="0"/>
      <w:marTop w:val="0"/>
      <w:marBottom w:val="0"/>
      <w:divBdr>
        <w:top w:val="none" w:sz="0" w:space="0" w:color="auto"/>
        <w:left w:val="none" w:sz="0" w:space="0" w:color="auto"/>
        <w:bottom w:val="none" w:sz="0" w:space="0" w:color="auto"/>
        <w:right w:val="none" w:sz="0" w:space="0" w:color="auto"/>
      </w:divBdr>
    </w:div>
    <w:div w:id="398598266">
      <w:bodyDiv w:val="1"/>
      <w:marLeft w:val="0"/>
      <w:marRight w:val="0"/>
      <w:marTop w:val="0"/>
      <w:marBottom w:val="0"/>
      <w:divBdr>
        <w:top w:val="none" w:sz="0" w:space="0" w:color="auto"/>
        <w:left w:val="none" w:sz="0" w:space="0" w:color="auto"/>
        <w:bottom w:val="none" w:sz="0" w:space="0" w:color="auto"/>
        <w:right w:val="none" w:sz="0" w:space="0" w:color="auto"/>
      </w:divBdr>
      <w:divsChild>
        <w:div w:id="1215577783">
          <w:marLeft w:val="0"/>
          <w:marRight w:val="0"/>
          <w:marTop w:val="0"/>
          <w:marBottom w:val="0"/>
          <w:divBdr>
            <w:top w:val="none" w:sz="0" w:space="0" w:color="auto"/>
            <w:left w:val="none" w:sz="0" w:space="0" w:color="auto"/>
            <w:bottom w:val="none" w:sz="0" w:space="0" w:color="auto"/>
            <w:right w:val="none" w:sz="0" w:space="0" w:color="auto"/>
          </w:divBdr>
        </w:div>
      </w:divsChild>
    </w:div>
    <w:div w:id="421730415">
      <w:bodyDiv w:val="1"/>
      <w:marLeft w:val="0"/>
      <w:marRight w:val="0"/>
      <w:marTop w:val="0"/>
      <w:marBottom w:val="0"/>
      <w:divBdr>
        <w:top w:val="none" w:sz="0" w:space="0" w:color="auto"/>
        <w:left w:val="none" w:sz="0" w:space="0" w:color="auto"/>
        <w:bottom w:val="none" w:sz="0" w:space="0" w:color="auto"/>
        <w:right w:val="none" w:sz="0" w:space="0" w:color="auto"/>
      </w:divBdr>
    </w:div>
    <w:div w:id="523908496">
      <w:bodyDiv w:val="1"/>
      <w:marLeft w:val="0"/>
      <w:marRight w:val="0"/>
      <w:marTop w:val="0"/>
      <w:marBottom w:val="0"/>
      <w:divBdr>
        <w:top w:val="none" w:sz="0" w:space="0" w:color="auto"/>
        <w:left w:val="none" w:sz="0" w:space="0" w:color="auto"/>
        <w:bottom w:val="none" w:sz="0" w:space="0" w:color="auto"/>
        <w:right w:val="none" w:sz="0" w:space="0" w:color="auto"/>
      </w:divBdr>
    </w:div>
    <w:div w:id="575018026">
      <w:bodyDiv w:val="1"/>
      <w:marLeft w:val="0"/>
      <w:marRight w:val="0"/>
      <w:marTop w:val="0"/>
      <w:marBottom w:val="0"/>
      <w:divBdr>
        <w:top w:val="none" w:sz="0" w:space="0" w:color="auto"/>
        <w:left w:val="none" w:sz="0" w:space="0" w:color="auto"/>
        <w:bottom w:val="none" w:sz="0" w:space="0" w:color="auto"/>
        <w:right w:val="none" w:sz="0" w:space="0" w:color="auto"/>
      </w:divBdr>
    </w:div>
    <w:div w:id="600072018">
      <w:bodyDiv w:val="1"/>
      <w:marLeft w:val="0"/>
      <w:marRight w:val="0"/>
      <w:marTop w:val="0"/>
      <w:marBottom w:val="0"/>
      <w:divBdr>
        <w:top w:val="none" w:sz="0" w:space="0" w:color="auto"/>
        <w:left w:val="none" w:sz="0" w:space="0" w:color="auto"/>
        <w:bottom w:val="none" w:sz="0" w:space="0" w:color="auto"/>
        <w:right w:val="none" w:sz="0" w:space="0" w:color="auto"/>
      </w:divBdr>
      <w:divsChild>
        <w:div w:id="592785512">
          <w:marLeft w:val="0"/>
          <w:marRight w:val="0"/>
          <w:marTop w:val="0"/>
          <w:marBottom w:val="0"/>
          <w:divBdr>
            <w:top w:val="none" w:sz="0" w:space="0" w:color="auto"/>
            <w:left w:val="none" w:sz="0" w:space="0" w:color="auto"/>
            <w:bottom w:val="none" w:sz="0" w:space="0" w:color="auto"/>
            <w:right w:val="none" w:sz="0" w:space="0" w:color="auto"/>
          </w:divBdr>
        </w:div>
      </w:divsChild>
    </w:div>
    <w:div w:id="608585087">
      <w:bodyDiv w:val="1"/>
      <w:marLeft w:val="0"/>
      <w:marRight w:val="0"/>
      <w:marTop w:val="0"/>
      <w:marBottom w:val="0"/>
      <w:divBdr>
        <w:top w:val="none" w:sz="0" w:space="0" w:color="auto"/>
        <w:left w:val="none" w:sz="0" w:space="0" w:color="auto"/>
        <w:bottom w:val="none" w:sz="0" w:space="0" w:color="auto"/>
        <w:right w:val="none" w:sz="0" w:space="0" w:color="auto"/>
      </w:divBdr>
      <w:divsChild>
        <w:div w:id="153030171">
          <w:marLeft w:val="0"/>
          <w:marRight w:val="0"/>
          <w:marTop w:val="0"/>
          <w:marBottom w:val="0"/>
          <w:divBdr>
            <w:top w:val="single" w:sz="2" w:space="0" w:color="E3E3E3"/>
            <w:left w:val="single" w:sz="2" w:space="0" w:color="E3E3E3"/>
            <w:bottom w:val="single" w:sz="2" w:space="0" w:color="E3E3E3"/>
            <w:right w:val="single" w:sz="2" w:space="0" w:color="E3E3E3"/>
          </w:divBdr>
          <w:divsChild>
            <w:div w:id="1812868429">
              <w:marLeft w:val="0"/>
              <w:marRight w:val="0"/>
              <w:marTop w:val="0"/>
              <w:marBottom w:val="0"/>
              <w:divBdr>
                <w:top w:val="single" w:sz="2" w:space="0" w:color="E3E3E3"/>
                <w:left w:val="single" w:sz="2" w:space="0" w:color="E3E3E3"/>
                <w:bottom w:val="single" w:sz="2" w:space="0" w:color="E3E3E3"/>
                <w:right w:val="single" w:sz="2" w:space="0" w:color="E3E3E3"/>
              </w:divBdr>
              <w:divsChild>
                <w:div w:id="760490783">
                  <w:marLeft w:val="0"/>
                  <w:marRight w:val="0"/>
                  <w:marTop w:val="0"/>
                  <w:marBottom w:val="0"/>
                  <w:divBdr>
                    <w:top w:val="single" w:sz="2" w:space="0" w:color="E3E3E3"/>
                    <w:left w:val="single" w:sz="2" w:space="0" w:color="E3E3E3"/>
                    <w:bottom w:val="single" w:sz="2" w:space="0" w:color="E3E3E3"/>
                    <w:right w:val="single" w:sz="2" w:space="0" w:color="E3E3E3"/>
                  </w:divBdr>
                  <w:divsChild>
                    <w:div w:id="1031109411">
                      <w:marLeft w:val="0"/>
                      <w:marRight w:val="0"/>
                      <w:marTop w:val="0"/>
                      <w:marBottom w:val="0"/>
                      <w:divBdr>
                        <w:top w:val="single" w:sz="2" w:space="0" w:color="E3E3E3"/>
                        <w:left w:val="single" w:sz="2" w:space="0" w:color="E3E3E3"/>
                        <w:bottom w:val="single" w:sz="2" w:space="0" w:color="E3E3E3"/>
                        <w:right w:val="single" w:sz="2" w:space="0" w:color="E3E3E3"/>
                      </w:divBdr>
                      <w:divsChild>
                        <w:div w:id="1932471694">
                          <w:marLeft w:val="0"/>
                          <w:marRight w:val="0"/>
                          <w:marTop w:val="0"/>
                          <w:marBottom w:val="0"/>
                          <w:divBdr>
                            <w:top w:val="single" w:sz="2" w:space="0" w:color="E3E3E3"/>
                            <w:left w:val="single" w:sz="2" w:space="0" w:color="E3E3E3"/>
                            <w:bottom w:val="single" w:sz="2" w:space="0" w:color="E3E3E3"/>
                            <w:right w:val="single" w:sz="2" w:space="0" w:color="E3E3E3"/>
                          </w:divBdr>
                          <w:divsChild>
                            <w:div w:id="744109783">
                              <w:marLeft w:val="0"/>
                              <w:marRight w:val="0"/>
                              <w:marTop w:val="100"/>
                              <w:marBottom w:val="100"/>
                              <w:divBdr>
                                <w:top w:val="single" w:sz="2" w:space="0" w:color="E3E3E3"/>
                                <w:left w:val="single" w:sz="2" w:space="0" w:color="E3E3E3"/>
                                <w:bottom w:val="single" w:sz="2" w:space="0" w:color="E3E3E3"/>
                                <w:right w:val="single" w:sz="2" w:space="0" w:color="E3E3E3"/>
                              </w:divBdr>
                              <w:divsChild>
                                <w:div w:id="326906511">
                                  <w:marLeft w:val="0"/>
                                  <w:marRight w:val="0"/>
                                  <w:marTop w:val="0"/>
                                  <w:marBottom w:val="0"/>
                                  <w:divBdr>
                                    <w:top w:val="single" w:sz="2" w:space="0" w:color="E3E3E3"/>
                                    <w:left w:val="single" w:sz="2" w:space="0" w:color="E3E3E3"/>
                                    <w:bottom w:val="single" w:sz="2" w:space="0" w:color="E3E3E3"/>
                                    <w:right w:val="single" w:sz="2" w:space="0" w:color="E3E3E3"/>
                                  </w:divBdr>
                                  <w:divsChild>
                                    <w:div w:id="1322003182">
                                      <w:marLeft w:val="0"/>
                                      <w:marRight w:val="0"/>
                                      <w:marTop w:val="0"/>
                                      <w:marBottom w:val="0"/>
                                      <w:divBdr>
                                        <w:top w:val="single" w:sz="2" w:space="0" w:color="E3E3E3"/>
                                        <w:left w:val="single" w:sz="2" w:space="0" w:color="E3E3E3"/>
                                        <w:bottom w:val="single" w:sz="2" w:space="0" w:color="E3E3E3"/>
                                        <w:right w:val="single" w:sz="2" w:space="0" w:color="E3E3E3"/>
                                      </w:divBdr>
                                      <w:divsChild>
                                        <w:div w:id="1061976815">
                                          <w:marLeft w:val="0"/>
                                          <w:marRight w:val="0"/>
                                          <w:marTop w:val="0"/>
                                          <w:marBottom w:val="0"/>
                                          <w:divBdr>
                                            <w:top w:val="single" w:sz="2" w:space="0" w:color="E3E3E3"/>
                                            <w:left w:val="single" w:sz="2" w:space="0" w:color="E3E3E3"/>
                                            <w:bottom w:val="single" w:sz="2" w:space="0" w:color="E3E3E3"/>
                                            <w:right w:val="single" w:sz="2" w:space="0" w:color="E3E3E3"/>
                                          </w:divBdr>
                                          <w:divsChild>
                                            <w:div w:id="1459688861">
                                              <w:marLeft w:val="0"/>
                                              <w:marRight w:val="0"/>
                                              <w:marTop w:val="0"/>
                                              <w:marBottom w:val="0"/>
                                              <w:divBdr>
                                                <w:top w:val="single" w:sz="2" w:space="0" w:color="E3E3E3"/>
                                                <w:left w:val="single" w:sz="2" w:space="0" w:color="E3E3E3"/>
                                                <w:bottom w:val="single" w:sz="2" w:space="0" w:color="E3E3E3"/>
                                                <w:right w:val="single" w:sz="2" w:space="0" w:color="E3E3E3"/>
                                              </w:divBdr>
                                              <w:divsChild>
                                                <w:div w:id="986864565">
                                                  <w:marLeft w:val="0"/>
                                                  <w:marRight w:val="0"/>
                                                  <w:marTop w:val="0"/>
                                                  <w:marBottom w:val="0"/>
                                                  <w:divBdr>
                                                    <w:top w:val="single" w:sz="2" w:space="0" w:color="E3E3E3"/>
                                                    <w:left w:val="single" w:sz="2" w:space="0" w:color="E3E3E3"/>
                                                    <w:bottom w:val="single" w:sz="2" w:space="0" w:color="E3E3E3"/>
                                                    <w:right w:val="single" w:sz="2" w:space="0" w:color="E3E3E3"/>
                                                  </w:divBdr>
                                                  <w:divsChild>
                                                    <w:div w:id="1918125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69140">
          <w:marLeft w:val="0"/>
          <w:marRight w:val="0"/>
          <w:marTop w:val="0"/>
          <w:marBottom w:val="0"/>
          <w:divBdr>
            <w:top w:val="none" w:sz="0" w:space="0" w:color="auto"/>
            <w:left w:val="none" w:sz="0" w:space="0" w:color="auto"/>
            <w:bottom w:val="none" w:sz="0" w:space="0" w:color="auto"/>
            <w:right w:val="none" w:sz="0" w:space="0" w:color="auto"/>
          </w:divBdr>
          <w:divsChild>
            <w:div w:id="1870751698">
              <w:marLeft w:val="0"/>
              <w:marRight w:val="0"/>
              <w:marTop w:val="0"/>
              <w:marBottom w:val="0"/>
              <w:divBdr>
                <w:top w:val="single" w:sz="2" w:space="0" w:color="E3E3E3"/>
                <w:left w:val="single" w:sz="2" w:space="0" w:color="E3E3E3"/>
                <w:bottom w:val="single" w:sz="2" w:space="0" w:color="E3E3E3"/>
                <w:right w:val="single" w:sz="2" w:space="0" w:color="E3E3E3"/>
              </w:divBdr>
              <w:divsChild>
                <w:div w:id="9660140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689722815">
      <w:bodyDiv w:val="1"/>
      <w:marLeft w:val="0"/>
      <w:marRight w:val="0"/>
      <w:marTop w:val="0"/>
      <w:marBottom w:val="0"/>
      <w:divBdr>
        <w:top w:val="none" w:sz="0" w:space="0" w:color="auto"/>
        <w:left w:val="none" w:sz="0" w:space="0" w:color="auto"/>
        <w:bottom w:val="none" w:sz="0" w:space="0" w:color="auto"/>
        <w:right w:val="none" w:sz="0" w:space="0" w:color="auto"/>
      </w:divBdr>
    </w:div>
    <w:div w:id="719591286">
      <w:bodyDiv w:val="1"/>
      <w:marLeft w:val="0"/>
      <w:marRight w:val="0"/>
      <w:marTop w:val="0"/>
      <w:marBottom w:val="0"/>
      <w:divBdr>
        <w:top w:val="none" w:sz="0" w:space="0" w:color="auto"/>
        <w:left w:val="none" w:sz="0" w:space="0" w:color="auto"/>
        <w:bottom w:val="none" w:sz="0" w:space="0" w:color="auto"/>
        <w:right w:val="none" w:sz="0" w:space="0" w:color="auto"/>
      </w:divBdr>
      <w:divsChild>
        <w:div w:id="648873295">
          <w:marLeft w:val="0"/>
          <w:marRight w:val="0"/>
          <w:marTop w:val="0"/>
          <w:marBottom w:val="0"/>
          <w:divBdr>
            <w:top w:val="none" w:sz="0" w:space="0" w:color="auto"/>
            <w:left w:val="none" w:sz="0" w:space="0" w:color="auto"/>
            <w:bottom w:val="none" w:sz="0" w:space="0" w:color="auto"/>
            <w:right w:val="none" w:sz="0" w:space="0" w:color="auto"/>
          </w:divBdr>
        </w:div>
      </w:divsChild>
    </w:div>
    <w:div w:id="974217741">
      <w:bodyDiv w:val="1"/>
      <w:marLeft w:val="0"/>
      <w:marRight w:val="0"/>
      <w:marTop w:val="0"/>
      <w:marBottom w:val="0"/>
      <w:divBdr>
        <w:top w:val="none" w:sz="0" w:space="0" w:color="auto"/>
        <w:left w:val="none" w:sz="0" w:space="0" w:color="auto"/>
        <w:bottom w:val="none" w:sz="0" w:space="0" w:color="auto"/>
        <w:right w:val="none" w:sz="0" w:space="0" w:color="auto"/>
      </w:divBdr>
    </w:div>
    <w:div w:id="1148471552">
      <w:bodyDiv w:val="1"/>
      <w:marLeft w:val="0"/>
      <w:marRight w:val="0"/>
      <w:marTop w:val="0"/>
      <w:marBottom w:val="0"/>
      <w:divBdr>
        <w:top w:val="none" w:sz="0" w:space="0" w:color="auto"/>
        <w:left w:val="none" w:sz="0" w:space="0" w:color="auto"/>
        <w:bottom w:val="none" w:sz="0" w:space="0" w:color="auto"/>
        <w:right w:val="none" w:sz="0" w:space="0" w:color="auto"/>
      </w:divBdr>
      <w:divsChild>
        <w:div w:id="1153330118">
          <w:marLeft w:val="0"/>
          <w:marRight w:val="0"/>
          <w:marTop w:val="0"/>
          <w:marBottom w:val="0"/>
          <w:divBdr>
            <w:top w:val="none" w:sz="0" w:space="0" w:color="auto"/>
            <w:left w:val="none" w:sz="0" w:space="0" w:color="auto"/>
            <w:bottom w:val="none" w:sz="0" w:space="0" w:color="auto"/>
            <w:right w:val="none" w:sz="0" w:space="0" w:color="auto"/>
          </w:divBdr>
        </w:div>
      </w:divsChild>
    </w:div>
    <w:div w:id="1207838712">
      <w:bodyDiv w:val="1"/>
      <w:marLeft w:val="0"/>
      <w:marRight w:val="0"/>
      <w:marTop w:val="0"/>
      <w:marBottom w:val="0"/>
      <w:divBdr>
        <w:top w:val="none" w:sz="0" w:space="0" w:color="auto"/>
        <w:left w:val="none" w:sz="0" w:space="0" w:color="auto"/>
        <w:bottom w:val="none" w:sz="0" w:space="0" w:color="auto"/>
        <w:right w:val="none" w:sz="0" w:space="0" w:color="auto"/>
      </w:divBdr>
    </w:div>
    <w:div w:id="1667586369">
      <w:bodyDiv w:val="1"/>
      <w:marLeft w:val="0"/>
      <w:marRight w:val="0"/>
      <w:marTop w:val="0"/>
      <w:marBottom w:val="0"/>
      <w:divBdr>
        <w:top w:val="none" w:sz="0" w:space="0" w:color="auto"/>
        <w:left w:val="none" w:sz="0" w:space="0" w:color="auto"/>
        <w:bottom w:val="none" w:sz="0" w:space="0" w:color="auto"/>
        <w:right w:val="none" w:sz="0" w:space="0" w:color="auto"/>
      </w:divBdr>
    </w:div>
    <w:div w:id="1683585316">
      <w:bodyDiv w:val="1"/>
      <w:marLeft w:val="0"/>
      <w:marRight w:val="0"/>
      <w:marTop w:val="0"/>
      <w:marBottom w:val="0"/>
      <w:divBdr>
        <w:top w:val="none" w:sz="0" w:space="0" w:color="auto"/>
        <w:left w:val="none" w:sz="0" w:space="0" w:color="auto"/>
        <w:bottom w:val="none" w:sz="0" w:space="0" w:color="auto"/>
        <w:right w:val="none" w:sz="0" w:space="0" w:color="auto"/>
      </w:divBdr>
    </w:div>
    <w:div w:id="1732541326">
      <w:bodyDiv w:val="1"/>
      <w:marLeft w:val="0"/>
      <w:marRight w:val="0"/>
      <w:marTop w:val="0"/>
      <w:marBottom w:val="0"/>
      <w:divBdr>
        <w:top w:val="none" w:sz="0" w:space="0" w:color="auto"/>
        <w:left w:val="none" w:sz="0" w:space="0" w:color="auto"/>
        <w:bottom w:val="none" w:sz="0" w:space="0" w:color="auto"/>
        <w:right w:val="none" w:sz="0" w:space="0" w:color="auto"/>
      </w:divBdr>
    </w:div>
    <w:div w:id="1890263369">
      <w:bodyDiv w:val="1"/>
      <w:marLeft w:val="0"/>
      <w:marRight w:val="0"/>
      <w:marTop w:val="0"/>
      <w:marBottom w:val="0"/>
      <w:divBdr>
        <w:top w:val="none" w:sz="0" w:space="0" w:color="auto"/>
        <w:left w:val="none" w:sz="0" w:space="0" w:color="auto"/>
        <w:bottom w:val="none" w:sz="0" w:space="0" w:color="auto"/>
        <w:right w:val="none" w:sz="0" w:space="0" w:color="auto"/>
      </w:divBdr>
    </w:div>
    <w:div w:id="2005932926">
      <w:bodyDiv w:val="1"/>
      <w:marLeft w:val="0"/>
      <w:marRight w:val="0"/>
      <w:marTop w:val="0"/>
      <w:marBottom w:val="0"/>
      <w:divBdr>
        <w:top w:val="none" w:sz="0" w:space="0" w:color="auto"/>
        <w:left w:val="none" w:sz="0" w:space="0" w:color="auto"/>
        <w:bottom w:val="none" w:sz="0" w:space="0" w:color="auto"/>
        <w:right w:val="none" w:sz="0" w:space="0" w:color="auto"/>
      </w:divBdr>
    </w:div>
    <w:div w:id="212646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E794-3161-2542-B06D-7E02B4402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2005</TotalTime>
  <Pages>16</Pages>
  <Words>3594</Words>
  <Characters>20488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Hiett (2305919)</dc:creator>
  <cp:keywords/>
  <dc:description/>
  <cp:lastModifiedBy>Paul Hiett (2305919)</cp:lastModifiedBy>
  <cp:revision>341</cp:revision>
  <dcterms:created xsi:type="dcterms:W3CDTF">2023-10-02T14:42:00Z</dcterms:created>
  <dcterms:modified xsi:type="dcterms:W3CDTF">2024-03-04T21:39:00Z</dcterms:modified>
</cp:coreProperties>
</file>