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168C" w:rsidRDefault="006052B2" w:rsidP="001B68B3">
      <w:pPr>
        <w:spacing w:line="360" w:lineRule="auto"/>
      </w:pPr>
      <w:r>
        <w:t>Assessment Three: Dating Exercise</w:t>
      </w:r>
    </w:p>
    <w:p w:rsidR="006052B2" w:rsidRDefault="006052B2" w:rsidP="001B68B3">
      <w:pPr>
        <w:spacing w:line="360" w:lineRule="auto"/>
      </w:pPr>
      <w:r>
        <w:t xml:space="preserve">Natalie </w:t>
      </w:r>
      <w:proofErr w:type="spellStart"/>
      <w:r>
        <w:t>Grueninger</w:t>
      </w:r>
      <w:proofErr w:type="spellEnd"/>
    </w:p>
    <w:p w:rsidR="006052B2" w:rsidRDefault="006052B2" w:rsidP="001B68B3">
      <w:pPr>
        <w:spacing w:line="360" w:lineRule="auto"/>
      </w:pPr>
    </w:p>
    <w:p w:rsidR="00243484" w:rsidRDefault="00243484" w:rsidP="001B68B3">
      <w:pPr>
        <w:pStyle w:val="ListParagraph"/>
        <w:numPr>
          <w:ilvl w:val="0"/>
          <w:numId w:val="1"/>
        </w:numPr>
        <w:spacing w:line="360" w:lineRule="auto"/>
      </w:pPr>
      <w:r>
        <w:t>Memorandum that the Thursday after the Assumption of the Blessed Virgin Mary in the 8</w:t>
      </w:r>
      <w:r w:rsidRPr="00243484">
        <w:rPr>
          <w:vertAlign w:val="superscript"/>
        </w:rPr>
        <w:t>th</w:t>
      </w:r>
      <w:r>
        <w:t xml:space="preserve"> year of King Richard II the abbot of Byland was accused in the wapentake court held at Pickering.</w:t>
      </w:r>
    </w:p>
    <w:p w:rsidR="003C64A6" w:rsidRDefault="003C64A6" w:rsidP="001B68B3">
      <w:pPr>
        <w:pStyle w:val="ListParagraph"/>
        <w:spacing w:line="360" w:lineRule="auto"/>
      </w:pPr>
    </w:p>
    <w:p w:rsidR="003C64A6" w:rsidRDefault="00CE45B0" w:rsidP="001B68B3">
      <w:pPr>
        <w:pStyle w:val="ListParagraph"/>
        <w:spacing w:line="360" w:lineRule="auto"/>
      </w:pPr>
      <w:r>
        <w:t xml:space="preserve">Richard II ruled from 22 June 1377 to 29 September 1399. </w:t>
      </w:r>
      <w:r w:rsidR="001C7C4C">
        <w:t>Therefore, the 8</w:t>
      </w:r>
      <w:r w:rsidR="001C7C4C" w:rsidRPr="001C7C4C">
        <w:rPr>
          <w:vertAlign w:val="superscript"/>
        </w:rPr>
        <w:t>th</w:t>
      </w:r>
      <w:r w:rsidR="001C7C4C">
        <w:t xml:space="preserve"> year of his reign began on 22 June 1384 and ended on 21 June 1385.</w:t>
      </w:r>
      <w:r w:rsidR="001C7C4C" w:rsidRPr="001C7C4C">
        <w:rPr>
          <w:vertAlign w:val="superscript"/>
        </w:rPr>
        <w:t>1</w:t>
      </w:r>
      <w:r w:rsidR="00E119E4">
        <w:rPr>
          <w:vertAlign w:val="superscript"/>
        </w:rPr>
        <w:t xml:space="preserve"> </w:t>
      </w:r>
      <w:r w:rsidR="00E119E4">
        <w:t xml:space="preserve">The Assumption of the Blessed Virgin Mary </w:t>
      </w:r>
      <w:r w:rsidR="008235C5">
        <w:t>is celebrated on 15 August</w:t>
      </w:r>
      <w:r w:rsidR="001258A2">
        <w:t>,</w:t>
      </w:r>
      <w:r w:rsidR="008235C5" w:rsidRPr="008235C5">
        <w:rPr>
          <w:vertAlign w:val="superscript"/>
        </w:rPr>
        <w:t>2</w:t>
      </w:r>
      <w:r w:rsidR="001258A2">
        <w:rPr>
          <w:vertAlign w:val="superscript"/>
        </w:rPr>
        <w:t xml:space="preserve"> </w:t>
      </w:r>
      <w:r w:rsidR="001258A2">
        <w:t xml:space="preserve">so this can only refer to the year 1384. On this particular year, it fell on a </w:t>
      </w:r>
      <w:r w:rsidR="009E65BB">
        <w:t>Monday</w:t>
      </w:r>
      <w:r w:rsidR="001258A2">
        <w:t xml:space="preserve"> and so the Thursday after is 1</w:t>
      </w:r>
      <w:r w:rsidR="009E65BB">
        <w:t>8</w:t>
      </w:r>
      <w:r w:rsidR="001258A2">
        <w:t xml:space="preserve"> August.</w:t>
      </w:r>
      <w:r w:rsidR="00A276CA" w:rsidRPr="00A276CA">
        <w:rPr>
          <w:vertAlign w:val="superscript"/>
        </w:rPr>
        <w:t>3</w:t>
      </w:r>
      <w:r w:rsidR="001258A2">
        <w:t xml:space="preserve"> </w:t>
      </w:r>
    </w:p>
    <w:p w:rsidR="0004252A" w:rsidRDefault="0004252A" w:rsidP="001B68B3">
      <w:pPr>
        <w:pStyle w:val="ListParagraph"/>
        <w:spacing w:line="360" w:lineRule="auto"/>
      </w:pPr>
    </w:p>
    <w:p w:rsidR="0004252A" w:rsidRDefault="0004252A" w:rsidP="001B68B3">
      <w:pPr>
        <w:pStyle w:val="ListParagraph"/>
        <w:numPr>
          <w:ilvl w:val="0"/>
          <w:numId w:val="1"/>
        </w:numPr>
        <w:spacing w:line="360" w:lineRule="auto"/>
      </w:pPr>
      <w:r>
        <w:t xml:space="preserve">Confirmation by Bishop </w:t>
      </w:r>
      <w:proofErr w:type="spellStart"/>
      <w:r>
        <w:t>Anian</w:t>
      </w:r>
      <w:proofErr w:type="spellEnd"/>
      <w:r>
        <w:t xml:space="preserve"> of St Asaph of the charters for Shrewsbury Abbey issued by his predecessors Bishops Reiner, Abraham, and Hugh. Given at Shrewsbury the day after St Mary Magdalene in the first year of his pontificate. </w:t>
      </w:r>
    </w:p>
    <w:p w:rsidR="00B07277" w:rsidRDefault="00B07277" w:rsidP="001B68B3">
      <w:pPr>
        <w:spacing w:line="360" w:lineRule="auto"/>
      </w:pPr>
    </w:p>
    <w:p w:rsidR="0004252A" w:rsidRDefault="00B07277" w:rsidP="001B68B3">
      <w:pPr>
        <w:spacing w:line="360" w:lineRule="auto"/>
        <w:ind w:left="720"/>
      </w:pPr>
      <w:r>
        <w:t xml:space="preserve">According to the Dictionary of Welsh Biography, </w:t>
      </w:r>
      <w:proofErr w:type="spellStart"/>
      <w:r w:rsidR="00823096">
        <w:t>Anian</w:t>
      </w:r>
      <w:proofErr w:type="spellEnd"/>
      <w:r w:rsidR="00823096">
        <w:t xml:space="preserve"> I was consecrated </w:t>
      </w:r>
      <w:r w:rsidR="00932D8C">
        <w:t>in</w:t>
      </w:r>
      <w:r w:rsidR="00823096">
        <w:t xml:space="preserve"> November 1249, so the ‘first year of his pontificate’ </w:t>
      </w:r>
      <w:r w:rsidR="00AB6FFF">
        <w:t>ended in</w:t>
      </w:r>
      <w:r w:rsidR="00823096">
        <w:t xml:space="preserve"> </w:t>
      </w:r>
      <w:r w:rsidR="00547F7F">
        <w:t>November</w:t>
      </w:r>
      <w:r w:rsidR="00823096">
        <w:t xml:space="preserve"> 1250.</w:t>
      </w:r>
      <w:r w:rsidR="00801C9A">
        <w:rPr>
          <w:vertAlign w:val="superscript"/>
        </w:rPr>
        <w:t>4</w:t>
      </w:r>
      <w:r w:rsidR="005E4E0C">
        <w:rPr>
          <w:vertAlign w:val="superscript"/>
        </w:rPr>
        <w:t xml:space="preserve"> </w:t>
      </w:r>
      <w:r w:rsidR="005E4E0C">
        <w:t xml:space="preserve">His </w:t>
      </w:r>
      <w:r w:rsidR="00095C0A">
        <w:t xml:space="preserve">direct </w:t>
      </w:r>
      <w:r w:rsidR="005E4E0C">
        <w:t xml:space="preserve">predecessor was </w:t>
      </w:r>
      <w:r w:rsidR="005E4E0C" w:rsidRPr="005E4E0C">
        <w:t xml:space="preserve">Hywel ab </w:t>
      </w:r>
      <w:proofErr w:type="spellStart"/>
      <w:r w:rsidR="005E4E0C" w:rsidRPr="005E4E0C">
        <w:t>Ednyfed</w:t>
      </w:r>
      <w:proofErr w:type="spellEnd"/>
      <w:r w:rsidR="00095C0A">
        <w:t xml:space="preserve">, who </w:t>
      </w:r>
      <w:r w:rsidR="005E4E0C" w:rsidRPr="005E4E0C">
        <w:t>died</w:t>
      </w:r>
      <w:r w:rsidR="00095C0A">
        <w:t xml:space="preserve"> in</w:t>
      </w:r>
      <w:r w:rsidR="005E4E0C" w:rsidRPr="005E4E0C">
        <w:t xml:space="preserve"> 1247</w:t>
      </w:r>
      <w:r w:rsidR="00095C0A">
        <w:t>. Reiner, Abraham, and Hugh, who are all mentioned in the document, were in office between 1186 and 1240.</w:t>
      </w:r>
      <w:r w:rsidR="00801C9A">
        <w:rPr>
          <w:vertAlign w:val="superscript"/>
        </w:rPr>
        <w:t>5</w:t>
      </w:r>
      <w:r w:rsidR="00F333DC">
        <w:rPr>
          <w:vertAlign w:val="superscript"/>
        </w:rPr>
        <w:t xml:space="preserve"> </w:t>
      </w:r>
      <w:r>
        <w:t>The feast of St Mary Magdalene is celebrated on 22 July</w:t>
      </w:r>
      <w:r w:rsidR="00F333DC">
        <w:t>,</w:t>
      </w:r>
      <w:r w:rsidR="00801C9A">
        <w:rPr>
          <w:vertAlign w:val="superscript"/>
        </w:rPr>
        <w:t>6</w:t>
      </w:r>
      <w:r w:rsidR="00F333DC">
        <w:t xml:space="preserve"> so the date referred to is 23 July 1250. </w:t>
      </w:r>
    </w:p>
    <w:p w:rsidR="00B647A2" w:rsidRDefault="00B647A2" w:rsidP="001B68B3">
      <w:pPr>
        <w:spacing w:line="360" w:lineRule="auto"/>
        <w:ind w:left="720"/>
      </w:pPr>
    </w:p>
    <w:p w:rsidR="00B647A2" w:rsidRDefault="00B647A2" w:rsidP="001B68B3">
      <w:pPr>
        <w:pStyle w:val="ListParagraph"/>
        <w:numPr>
          <w:ilvl w:val="0"/>
          <w:numId w:val="1"/>
        </w:numPr>
        <w:spacing w:line="360" w:lineRule="auto"/>
      </w:pPr>
      <w:r>
        <w:t>Downham: court held on Thursday the day after Ash Wednesday in the fourth year of the reign of King Edward and the first year of the episcopate of John de Ketene [</w:t>
      </w:r>
      <w:proofErr w:type="spellStart"/>
      <w:r>
        <w:t>Ketton</w:t>
      </w:r>
      <w:proofErr w:type="spellEnd"/>
      <w:r>
        <w:t xml:space="preserve">]. </w:t>
      </w:r>
    </w:p>
    <w:p w:rsidR="00522915" w:rsidRDefault="00522915" w:rsidP="001B68B3">
      <w:pPr>
        <w:spacing w:line="360" w:lineRule="auto"/>
      </w:pPr>
    </w:p>
    <w:p w:rsidR="00084D56" w:rsidRDefault="001F69AF" w:rsidP="001B68B3">
      <w:pPr>
        <w:spacing w:line="360" w:lineRule="auto"/>
        <w:ind w:left="720"/>
      </w:pPr>
      <w:r>
        <w:t>There were a number of King Edwards in the medieval period, but if the ‘John de Ketene’ mentioned is the Bishop of Ely who was consecrated in September 1310, then the Edward must be Edward II</w:t>
      </w:r>
      <w:r w:rsidR="00277773">
        <w:t>.</w:t>
      </w:r>
      <w:r w:rsidR="00801C9A">
        <w:rPr>
          <w:vertAlign w:val="superscript"/>
        </w:rPr>
        <w:t>7</w:t>
      </w:r>
      <w:r>
        <w:rPr>
          <w:vertAlign w:val="superscript"/>
        </w:rPr>
        <w:t xml:space="preserve"> </w:t>
      </w:r>
      <w:r>
        <w:t xml:space="preserve">The fourth regnal year of Edward II began on 8 </w:t>
      </w:r>
      <w:r>
        <w:lastRenderedPageBreak/>
        <w:t>July 1310 and ended on 7 July 1311.</w:t>
      </w:r>
      <w:r w:rsidR="00801C9A">
        <w:rPr>
          <w:vertAlign w:val="superscript"/>
        </w:rPr>
        <w:t>8</w:t>
      </w:r>
      <w:r w:rsidR="00201075">
        <w:rPr>
          <w:vertAlign w:val="superscript"/>
        </w:rPr>
        <w:t xml:space="preserve"> </w:t>
      </w:r>
      <w:r w:rsidR="001F3E80">
        <w:t xml:space="preserve">The Ash Wednesday referred to must then belong to </w:t>
      </w:r>
      <w:r w:rsidR="00180A4C">
        <w:t xml:space="preserve">1310 ‘Old Style’ </w:t>
      </w:r>
      <w:r w:rsidR="00861E83">
        <w:t>or</w:t>
      </w:r>
      <w:r w:rsidR="00180A4C">
        <w:t xml:space="preserve"> </w:t>
      </w:r>
      <w:r w:rsidR="00BF0BE9">
        <w:t>1311</w:t>
      </w:r>
      <w:r w:rsidR="00180A4C">
        <w:t xml:space="preserve"> ‘New Style’</w:t>
      </w:r>
      <w:r w:rsidR="00BF0BE9">
        <w:t>.</w:t>
      </w:r>
      <w:r w:rsidR="00180A4C">
        <w:t xml:space="preserve"> </w:t>
      </w:r>
    </w:p>
    <w:p w:rsidR="00522915" w:rsidRDefault="00180A4C" w:rsidP="001B68B3">
      <w:pPr>
        <w:spacing w:line="360" w:lineRule="auto"/>
        <w:ind w:left="720"/>
      </w:pPr>
      <w:r>
        <w:t>In a ‘Handbook of Dates for Students’, 1310 O.S</w:t>
      </w:r>
      <w:r w:rsidR="00AD61DD">
        <w:t>.</w:t>
      </w:r>
      <w:r>
        <w:t xml:space="preserve"> is included in Table 29. Ash Wednesday fell on Wednesday 4 March, therefore the Thursday mentioned in the document is presumably Thursday 5 March.</w:t>
      </w:r>
      <w:r w:rsidR="00647EFC">
        <w:t xml:space="preserve"> </w:t>
      </w:r>
      <w:r w:rsidR="00AC697F">
        <w:t>I</w:t>
      </w:r>
      <w:r w:rsidR="00647EFC">
        <w:t>f, however, the table for 1311 is applied, Ash Wednesday</w:t>
      </w:r>
      <w:r w:rsidR="00AC697F">
        <w:t xml:space="preserve"> fell on Wednesday 24 February, therefore the Thursday mentioned in the document </w:t>
      </w:r>
      <w:r w:rsidR="00647EFC">
        <w:t>would be</w:t>
      </w:r>
      <w:r w:rsidR="00AC697F">
        <w:t xml:space="preserve"> 25 February.</w:t>
      </w:r>
      <w:r w:rsidR="00801C9A">
        <w:rPr>
          <w:vertAlign w:val="superscript"/>
        </w:rPr>
        <w:t>9</w:t>
      </w:r>
      <w:r w:rsidR="009E65BB">
        <w:rPr>
          <w:vertAlign w:val="superscript"/>
        </w:rPr>
        <w:t xml:space="preserve"> </w:t>
      </w:r>
      <w:r w:rsidR="001F3E80">
        <w:t xml:space="preserve"> </w:t>
      </w:r>
    </w:p>
    <w:p w:rsidR="006940A2" w:rsidRDefault="006940A2" w:rsidP="001B68B3">
      <w:pPr>
        <w:spacing w:line="360" w:lineRule="auto"/>
      </w:pPr>
    </w:p>
    <w:p w:rsidR="008B207E" w:rsidRDefault="00AF38DF" w:rsidP="00AF38DF">
      <w:pPr>
        <w:pStyle w:val="ListParagraph"/>
        <w:numPr>
          <w:ilvl w:val="0"/>
          <w:numId w:val="1"/>
        </w:numPr>
        <w:spacing w:line="360" w:lineRule="auto"/>
      </w:pPr>
      <w:r>
        <w:t xml:space="preserve">I estimate that this final </w:t>
      </w:r>
      <w:r w:rsidR="00E1204B">
        <w:t>document</w:t>
      </w:r>
      <w:r>
        <w:t xml:space="preserve"> was issued</w:t>
      </w:r>
      <w:r w:rsidR="001A6718">
        <w:t xml:space="preserve"> </w:t>
      </w:r>
      <w:r>
        <w:t xml:space="preserve">in </w:t>
      </w:r>
      <w:r w:rsidR="001A6718">
        <w:t>c.1121, in the reign of Henry I, and</w:t>
      </w:r>
      <w:r>
        <w:t xml:space="preserve"> not long after the death of Geoffrey </w:t>
      </w:r>
      <w:proofErr w:type="spellStart"/>
      <w:r>
        <w:t>Ridel</w:t>
      </w:r>
      <w:proofErr w:type="spellEnd"/>
      <w:r w:rsidR="001A6718">
        <w:t xml:space="preserve">. The latter was </w:t>
      </w:r>
      <w:proofErr w:type="gramStart"/>
      <w:r w:rsidR="001A6718">
        <w:t>onboard</w:t>
      </w:r>
      <w:proofErr w:type="gramEnd"/>
      <w:r w:rsidR="001A6718">
        <w:t xml:space="preserve"> the </w:t>
      </w:r>
      <w:r w:rsidR="001A6718" w:rsidRPr="001A6718">
        <w:rPr>
          <w:i/>
          <w:iCs/>
        </w:rPr>
        <w:t>White Ship</w:t>
      </w:r>
      <w:r w:rsidR="001A6718">
        <w:t xml:space="preserve"> when it s</w:t>
      </w:r>
      <w:r w:rsidR="00801F2F">
        <w:t>ank</w:t>
      </w:r>
      <w:r w:rsidR="001A6718">
        <w:t xml:space="preserve"> in the English Channel on 25 November 1120</w:t>
      </w:r>
      <w:r w:rsidR="00E1204B">
        <w:t xml:space="preserve"> and this charter essentially establishes a marriage alliance between the </w:t>
      </w:r>
      <w:proofErr w:type="spellStart"/>
      <w:r w:rsidR="00E1204B">
        <w:t>Ridel</w:t>
      </w:r>
      <w:proofErr w:type="spellEnd"/>
      <w:r w:rsidR="00E1204B">
        <w:t xml:space="preserve"> and Basset families</w:t>
      </w:r>
      <w:r w:rsidR="001A6718">
        <w:t>. I reached this conclusion by researching the biographies of many of the people mentioned in the document. The main source</w:t>
      </w:r>
      <w:r w:rsidR="00E1204B">
        <w:t>s</w:t>
      </w:r>
      <w:r w:rsidR="001A6718">
        <w:t xml:space="preserve"> I used w</w:t>
      </w:r>
      <w:r w:rsidR="00E1204B">
        <w:t>ere</w:t>
      </w:r>
      <w:r w:rsidR="001A6718">
        <w:t xml:space="preserve"> the </w:t>
      </w:r>
      <w:r w:rsidR="001A6718" w:rsidRPr="001A6718">
        <w:rPr>
          <w:i/>
          <w:iCs/>
        </w:rPr>
        <w:t>Oxford Dictionary of National Biography</w:t>
      </w:r>
      <w:r w:rsidR="00801C9A" w:rsidRPr="00C751AC">
        <w:rPr>
          <w:vertAlign w:val="superscript"/>
        </w:rPr>
        <w:t>10</w:t>
      </w:r>
      <w:r w:rsidR="00E1204B">
        <w:t>and a thesis on the Basset family.</w:t>
      </w:r>
      <w:r w:rsidR="00AA3FA4" w:rsidRPr="00AA3FA4">
        <w:rPr>
          <w:vertAlign w:val="superscript"/>
        </w:rPr>
        <w:t>1</w:t>
      </w:r>
      <w:r w:rsidR="00801C9A">
        <w:rPr>
          <w:vertAlign w:val="superscript"/>
        </w:rPr>
        <w:t>1</w:t>
      </w:r>
    </w:p>
    <w:p w:rsidR="008B5381" w:rsidRDefault="00E70BBE" w:rsidP="00E70BBE">
      <w:pPr>
        <w:spacing w:line="360" w:lineRule="auto"/>
        <w:ind w:left="720"/>
      </w:pPr>
      <w:r>
        <w:t xml:space="preserve">In the course of my research, I discovered that </w:t>
      </w:r>
      <w:r w:rsidR="008B207E">
        <w:t>Richard Basset (d. in or before 1144) was one of Henry I’s justices. He married Matilda, the daughter of</w:t>
      </w:r>
      <w:r>
        <w:t xml:space="preserve"> the aforementioned Geoffrey </w:t>
      </w:r>
      <w:proofErr w:type="spellStart"/>
      <w:r>
        <w:t>Ridel</w:t>
      </w:r>
      <w:proofErr w:type="spellEnd"/>
      <w:r>
        <w:t xml:space="preserve">, </w:t>
      </w:r>
      <w:r w:rsidR="009B2A55">
        <w:t>after the latter’s death in</w:t>
      </w:r>
      <w:r w:rsidR="008B207E">
        <w:t xml:space="preserve"> 1120. According to the ‘Oxford Dictionary of National Biography’, the marriage took place </w:t>
      </w:r>
      <w:r w:rsidR="008B207E" w:rsidRPr="008B207E">
        <w:t>between November 1120 and April 1123</w:t>
      </w:r>
      <w:r w:rsidR="008B207E">
        <w:t>.</w:t>
      </w:r>
      <w:r w:rsidR="005C604F">
        <w:t xml:space="preserve"> Th</w:t>
      </w:r>
      <w:r w:rsidR="00E917F6">
        <w:t>is</w:t>
      </w:r>
      <w:r w:rsidR="005C604F">
        <w:t xml:space="preserve"> </w:t>
      </w:r>
      <w:r w:rsidR="00875C5E">
        <w:t>document</w:t>
      </w:r>
      <w:r w:rsidR="005C604F">
        <w:t xml:space="preserve">, therefore, must </w:t>
      </w:r>
      <w:r w:rsidR="00875C5E">
        <w:t>have been issued by Henry I before the</w:t>
      </w:r>
      <w:r w:rsidR="005C604F">
        <w:t xml:space="preserve"> couple’s marriage.</w:t>
      </w:r>
      <w:r w:rsidR="008B207E">
        <w:t xml:space="preserve"> The historical record also confirms that Basset was given custody of Geoffrey’s lands and the wardship of his son, Robert, as outlined in the </w:t>
      </w:r>
      <w:r w:rsidR="00F25880">
        <w:t>charter</w:t>
      </w:r>
      <w:r w:rsidR="008B207E">
        <w:t xml:space="preserve">. </w:t>
      </w:r>
      <w:r w:rsidR="00A306D8">
        <w:t xml:space="preserve">There is also mention of one </w:t>
      </w:r>
      <w:proofErr w:type="spellStart"/>
      <w:r w:rsidR="00A306D8">
        <w:t>Geva</w:t>
      </w:r>
      <w:proofErr w:type="spellEnd"/>
      <w:r w:rsidR="00A306D8">
        <w:t xml:space="preserve">, who is </w:t>
      </w:r>
      <w:r>
        <w:t>described as</w:t>
      </w:r>
      <w:r w:rsidR="00A306D8">
        <w:t xml:space="preserve"> the mother of Robert. This also matches the historical record.</w:t>
      </w:r>
      <w:r w:rsidR="00106AAC">
        <w:t xml:space="preserve"> </w:t>
      </w:r>
      <w:proofErr w:type="spellStart"/>
      <w:r w:rsidR="00106AAC">
        <w:t>Geva</w:t>
      </w:r>
      <w:proofErr w:type="spellEnd"/>
      <w:r w:rsidR="00106AAC">
        <w:t xml:space="preserve"> was a daughter</w:t>
      </w:r>
      <w:r w:rsidR="001542FF">
        <w:t>, probably illegitimate,</w:t>
      </w:r>
      <w:r w:rsidR="00106AAC">
        <w:t xml:space="preserve"> of Hugh, earl of Chester, and so this fits the statement made about Robert’s kin being </w:t>
      </w:r>
      <w:proofErr w:type="spellStart"/>
      <w:r w:rsidR="00106AAC">
        <w:t>Rannulf</w:t>
      </w:r>
      <w:proofErr w:type="spellEnd"/>
      <w:r w:rsidR="00106AAC">
        <w:t>, earl of Chester</w:t>
      </w:r>
      <w:r w:rsidR="008B5381">
        <w:t>.</w:t>
      </w:r>
    </w:p>
    <w:p w:rsidR="008B207E" w:rsidRDefault="008B5381" w:rsidP="001B68B3">
      <w:pPr>
        <w:spacing w:line="360" w:lineRule="auto"/>
        <w:ind w:left="720"/>
      </w:pPr>
      <w:proofErr w:type="spellStart"/>
      <w:r>
        <w:t>Rannulf</w:t>
      </w:r>
      <w:proofErr w:type="spellEnd"/>
      <w:r>
        <w:t xml:space="preserve"> </w:t>
      </w:r>
      <w:r w:rsidRPr="008B5381">
        <w:t xml:space="preserve">le </w:t>
      </w:r>
      <w:proofErr w:type="spellStart"/>
      <w:r w:rsidRPr="008B5381">
        <w:t>Meschin</w:t>
      </w:r>
      <w:proofErr w:type="spellEnd"/>
      <w:r w:rsidRPr="008B5381">
        <w:t>, third earl of Chester</w:t>
      </w:r>
      <w:r>
        <w:t xml:space="preserve">, is mentioned by name four </w:t>
      </w:r>
      <w:r w:rsidR="00FC241F">
        <w:t>times</w:t>
      </w:r>
      <w:r>
        <w:t xml:space="preserve">. He did indeed have a brother by the name of William and a stepson also named William who are both </w:t>
      </w:r>
      <w:r w:rsidR="00FC241F">
        <w:t>named</w:t>
      </w:r>
      <w:r w:rsidR="00E70BBE">
        <w:t xml:space="preserve"> as witnesses</w:t>
      </w:r>
      <w:r w:rsidR="0019747B">
        <w:t>. The latter was the son of the earl’s wife</w:t>
      </w:r>
      <w:r w:rsidR="004C39C6">
        <w:t>,</w:t>
      </w:r>
      <w:r w:rsidR="0019747B">
        <w:t xml:space="preserve"> Lucy</w:t>
      </w:r>
      <w:r w:rsidR="004C39C6">
        <w:t>,</w:t>
      </w:r>
      <w:r w:rsidR="0019747B">
        <w:t xml:space="preserve"> by her second husband. </w:t>
      </w:r>
      <w:proofErr w:type="spellStart"/>
      <w:r w:rsidR="004C39C6">
        <w:t>Rannulf</w:t>
      </w:r>
      <w:proofErr w:type="spellEnd"/>
      <w:r w:rsidR="004C39C6">
        <w:t xml:space="preserve"> le </w:t>
      </w:r>
      <w:proofErr w:type="spellStart"/>
      <w:r w:rsidR="000E6F89">
        <w:t>M</w:t>
      </w:r>
      <w:r w:rsidR="004C39C6">
        <w:t>eschin</w:t>
      </w:r>
      <w:proofErr w:type="spellEnd"/>
      <w:r w:rsidR="004C39C6">
        <w:t xml:space="preserve"> died in 1129.</w:t>
      </w:r>
      <w:r w:rsidR="00544BC7">
        <w:t xml:space="preserve"> </w:t>
      </w:r>
      <w:r w:rsidR="008253A9">
        <w:t>The Ralph Basset mentioned was Richard Basset’s father. He was one of the most important justices of the 1110s and 1120s</w:t>
      </w:r>
      <w:r w:rsidR="009603E1">
        <w:t xml:space="preserve"> and</w:t>
      </w:r>
      <w:r w:rsidR="00106AAC">
        <w:t xml:space="preserve"> died in c.1127.</w:t>
      </w:r>
      <w:r w:rsidR="00DF50C5">
        <w:t xml:space="preserve"> </w:t>
      </w:r>
    </w:p>
    <w:p w:rsidR="00446F5F" w:rsidRDefault="00446F5F" w:rsidP="001B0FD9">
      <w:pPr>
        <w:spacing w:line="360" w:lineRule="auto"/>
        <w:ind w:left="720"/>
      </w:pPr>
      <w:r>
        <w:lastRenderedPageBreak/>
        <w:t xml:space="preserve">Many of the other witnesses listed </w:t>
      </w:r>
      <w:r w:rsidR="005A2EDC">
        <w:t>were</w:t>
      </w:r>
      <w:r>
        <w:t xml:space="preserve"> prominent members of Henry I’s court </w:t>
      </w:r>
      <w:r w:rsidR="005A2EDC">
        <w:t>in the early 1120s and include</w:t>
      </w:r>
      <w:r w:rsidR="00B511FE">
        <w:t>s</w:t>
      </w:r>
      <w:r w:rsidR="005A2EDC">
        <w:t xml:space="preserve"> Simon dean of Lincoln, the earls of Leicester and Northampton, Geoffrey de Clinton</w:t>
      </w:r>
      <w:r w:rsidR="003A7F48">
        <w:t xml:space="preserve">, and the brothers Nigel and William </w:t>
      </w:r>
      <w:proofErr w:type="spellStart"/>
      <w:r w:rsidR="003A7F48">
        <w:t>d’Aubigny</w:t>
      </w:r>
      <w:proofErr w:type="spellEnd"/>
      <w:r w:rsidR="003A7F48">
        <w:t xml:space="preserve"> (also known as </w:t>
      </w:r>
      <w:proofErr w:type="spellStart"/>
      <w:r w:rsidR="003A7F48">
        <w:t>Albini</w:t>
      </w:r>
      <w:proofErr w:type="spellEnd"/>
      <w:r w:rsidR="003A7F48">
        <w:t xml:space="preserve">). </w:t>
      </w:r>
    </w:p>
    <w:p w:rsidR="00106505" w:rsidRDefault="00106505" w:rsidP="00B511FE"/>
    <w:p w:rsidR="001C7C4C" w:rsidRPr="00B00959" w:rsidRDefault="00272DDB" w:rsidP="003C64A6">
      <w:pPr>
        <w:pStyle w:val="ListParagraph"/>
        <w:rPr>
          <w:sz w:val="20"/>
          <w:szCs w:val="20"/>
        </w:rPr>
      </w:pPr>
      <w:r w:rsidRPr="00B00959">
        <w:rPr>
          <w:sz w:val="20"/>
          <w:szCs w:val="20"/>
        </w:rPr>
        <w:t>Notes</w:t>
      </w:r>
    </w:p>
    <w:p w:rsidR="0004252A" w:rsidRPr="00B00959" w:rsidRDefault="001C7C4C" w:rsidP="00823096">
      <w:pPr>
        <w:pStyle w:val="ListParagraph"/>
        <w:numPr>
          <w:ilvl w:val="0"/>
          <w:numId w:val="2"/>
        </w:numPr>
        <w:rPr>
          <w:sz w:val="20"/>
          <w:szCs w:val="20"/>
        </w:rPr>
      </w:pPr>
      <w:r w:rsidRPr="00B01E57">
        <w:rPr>
          <w:i/>
          <w:iCs/>
          <w:sz w:val="20"/>
          <w:szCs w:val="20"/>
        </w:rPr>
        <w:t>A Handbook of Dates: For Students of British History</w:t>
      </w:r>
      <w:r w:rsidR="009A369A" w:rsidRPr="00B00959">
        <w:rPr>
          <w:sz w:val="20"/>
          <w:szCs w:val="20"/>
        </w:rPr>
        <w:t>,</w:t>
      </w:r>
      <w:r w:rsidR="00B01E57">
        <w:rPr>
          <w:sz w:val="20"/>
          <w:szCs w:val="20"/>
        </w:rPr>
        <w:t xml:space="preserve"> ed. by Christopher Robert Cheney, (London, Offices of the Royal Historical Society, 1961),</w:t>
      </w:r>
      <w:r w:rsidR="009A369A" w:rsidRPr="00B00959">
        <w:rPr>
          <w:sz w:val="20"/>
          <w:szCs w:val="20"/>
        </w:rPr>
        <w:t xml:space="preserve"> p.</w:t>
      </w:r>
      <w:r w:rsidR="007F3C98">
        <w:rPr>
          <w:sz w:val="20"/>
          <w:szCs w:val="20"/>
        </w:rPr>
        <w:t xml:space="preserve"> </w:t>
      </w:r>
      <w:r w:rsidR="009A369A" w:rsidRPr="00B00959">
        <w:rPr>
          <w:sz w:val="20"/>
          <w:szCs w:val="20"/>
        </w:rPr>
        <w:t>21.</w:t>
      </w:r>
    </w:p>
    <w:p w:rsidR="00852FE2" w:rsidRDefault="00852FE2" w:rsidP="00852FE2">
      <w:pPr>
        <w:pStyle w:val="ListParagraph"/>
        <w:numPr>
          <w:ilvl w:val="0"/>
          <w:numId w:val="2"/>
        </w:numPr>
        <w:rPr>
          <w:sz w:val="20"/>
          <w:szCs w:val="20"/>
        </w:rPr>
      </w:pPr>
      <w:r w:rsidRPr="00B01E57">
        <w:rPr>
          <w:i/>
          <w:iCs/>
          <w:sz w:val="20"/>
          <w:szCs w:val="20"/>
        </w:rPr>
        <w:t>A Handbook of Dates: For Students of British History</w:t>
      </w:r>
      <w:r w:rsidRPr="00B00959">
        <w:rPr>
          <w:sz w:val="20"/>
          <w:szCs w:val="20"/>
        </w:rPr>
        <w:t>,</w:t>
      </w:r>
      <w:r>
        <w:rPr>
          <w:sz w:val="20"/>
          <w:szCs w:val="20"/>
        </w:rPr>
        <w:t xml:space="preserve"> ed. by Christopher Robert Cheney, </w:t>
      </w:r>
      <w:r w:rsidRPr="00B00959">
        <w:rPr>
          <w:sz w:val="20"/>
          <w:szCs w:val="20"/>
        </w:rPr>
        <w:t>p.</w:t>
      </w:r>
      <w:r w:rsidR="007F3C98">
        <w:rPr>
          <w:sz w:val="20"/>
          <w:szCs w:val="20"/>
        </w:rPr>
        <w:t xml:space="preserve"> </w:t>
      </w:r>
      <w:r w:rsidRPr="00B00959">
        <w:rPr>
          <w:sz w:val="20"/>
          <w:szCs w:val="20"/>
        </w:rPr>
        <w:t>21.</w:t>
      </w:r>
    </w:p>
    <w:p w:rsidR="00A276CA" w:rsidRPr="00A276CA" w:rsidRDefault="00A276CA" w:rsidP="00852FE2">
      <w:pPr>
        <w:pStyle w:val="ListParagraph"/>
        <w:numPr>
          <w:ilvl w:val="0"/>
          <w:numId w:val="2"/>
        </w:numPr>
        <w:rPr>
          <w:sz w:val="20"/>
          <w:szCs w:val="20"/>
        </w:rPr>
      </w:pPr>
      <w:r w:rsidRPr="00A276CA">
        <w:rPr>
          <w:sz w:val="20"/>
          <w:szCs w:val="20"/>
        </w:rPr>
        <w:t>‘A Medieval English Calendar’</w:t>
      </w:r>
      <w:r>
        <w:rPr>
          <w:sz w:val="20"/>
          <w:szCs w:val="20"/>
        </w:rPr>
        <w:t>,</w:t>
      </w:r>
      <w:r w:rsidR="00E01AEF">
        <w:rPr>
          <w:sz w:val="20"/>
          <w:szCs w:val="20"/>
        </w:rPr>
        <w:t xml:space="preserve"> &lt;</w:t>
      </w:r>
      <w:hyperlink r:id="rId5" w:history="1">
        <w:r w:rsidR="00E01AEF" w:rsidRPr="00870843">
          <w:rPr>
            <w:rStyle w:val="Hyperlink"/>
            <w:sz w:val="20"/>
            <w:szCs w:val="20"/>
          </w:rPr>
          <w:t>https://www.medievalgenealogy.org.uk/cal/medcal.shtml</w:t>
        </w:r>
      </w:hyperlink>
      <w:r>
        <w:rPr>
          <w:sz w:val="20"/>
          <w:szCs w:val="20"/>
        </w:rPr>
        <w:t>&gt; [accessed 22 November 2025]</w:t>
      </w:r>
    </w:p>
    <w:p w:rsidR="00DE07E5" w:rsidRPr="00DE07E5" w:rsidRDefault="00DE07E5" w:rsidP="00DE07E5">
      <w:pPr>
        <w:pStyle w:val="ListParagraph"/>
        <w:numPr>
          <w:ilvl w:val="0"/>
          <w:numId w:val="2"/>
        </w:numPr>
        <w:rPr>
          <w:color w:val="000000" w:themeColor="text1"/>
          <w:sz w:val="20"/>
          <w:szCs w:val="20"/>
        </w:rPr>
      </w:pPr>
      <w:r>
        <w:rPr>
          <w:sz w:val="20"/>
          <w:szCs w:val="20"/>
        </w:rPr>
        <w:t>John Edward Lloyd, ‘</w:t>
      </w:r>
      <w:r w:rsidRPr="00B00959">
        <w:rPr>
          <w:sz w:val="20"/>
          <w:szCs w:val="20"/>
        </w:rPr>
        <w:t>ANIAN I (died 1266), bishop of St Asaph</w:t>
      </w:r>
      <w:r>
        <w:rPr>
          <w:sz w:val="20"/>
          <w:szCs w:val="20"/>
        </w:rPr>
        <w:t>’, Dictionary of Welsh Biography, 1959 &lt;</w:t>
      </w:r>
      <w:hyperlink r:id="rId6" w:history="1">
        <w:r w:rsidRPr="00B00959">
          <w:rPr>
            <w:rStyle w:val="Hyperlink"/>
            <w:sz w:val="20"/>
            <w:szCs w:val="20"/>
          </w:rPr>
          <w:t>https://biography.wales/article/s-ANIA-NI0-1266</w:t>
        </w:r>
      </w:hyperlink>
      <w:r w:rsidRPr="00DE07E5">
        <w:rPr>
          <w:rStyle w:val="Hyperlink"/>
          <w:color w:val="000000" w:themeColor="text1"/>
          <w:sz w:val="20"/>
          <w:szCs w:val="20"/>
        </w:rPr>
        <w:t>&gt; [accessed</w:t>
      </w:r>
      <w:r>
        <w:rPr>
          <w:rStyle w:val="Hyperlink"/>
          <w:color w:val="000000" w:themeColor="text1"/>
          <w:sz w:val="20"/>
          <w:szCs w:val="20"/>
        </w:rPr>
        <w:t xml:space="preserve"> 22 November 2025]</w:t>
      </w:r>
      <w:r w:rsidRPr="00DE07E5">
        <w:rPr>
          <w:color w:val="000000" w:themeColor="text1"/>
          <w:sz w:val="20"/>
          <w:szCs w:val="20"/>
        </w:rPr>
        <w:t xml:space="preserve"> </w:t>
      </w:r>
    </w:p>
    <w:p w:rsidR="00095C0A" w:rsidRPr="00B00959" w:rsidRDefault="00382B3D" w:rsidP="008235C5">
      <w:pPr>
        <w:pStyle w:val="ListParagraph"/>
        <w:numPr>
          <w:ilvl w:val="0"/>
          <w:numId w:val="2"/>
        </w:numPr>
        <w:rPr>
          <w:sz w:val="20"/>
          <w:szCs w:val="20"/>
        </w:rPr>
      </w:pPr>
      <w:r>
        <w:rPr>
          <w:sz w:val="20"/>
          <w:szCs w:val="20"/>
        </w:rPr>
        <w:t xml:space="preserve">David Richard Thomas, </w:t>
      </w:r>
      <w:r w:rsidR="00095C0A" w:rsidRPr="00382B3D">
        <w:rPr>
          <w:i/>
          <w:iCs/>
          <w:sz w:val="20"/>
          <w:szCs w:val="20"/>
        </w:rPr>
        <w:t>A history of the diocese of St. Asaph, general, cathedral, and parochial</w:t>
      </w:r>
      <w:r>
        <w:rPr>
          <w:sz w:val="20"/>
          <w:szCs w:val="20"/>
        </w:rPr>
        <w:t>, (London: James Parker, 1874),</w:t>
      </w:r>
      <w:r w:rsidR="00095C0A" w:rsidRPr="00B00959">
        <w:rPr>
          <w:sz w:val="20"/>
          <w:szCs w:val="20"/>
        </w:rPr>
        <w:t xml:space="preserve"> </w:t>
      </w:r>
      <w:r>
        <w:rPr>
          <w:sz w:val="20"/>
          <w:szCs w:val="20"/>
        </w:rPr>
        <w:t>p</w:t>
      </w:r>
      <w:r w:rsidR="00095C0A" w:rsidRPr="00B00959">
        <w:rPr>
          <w:sz w:val="20"/>
          <w:szCs w:val="20"/>
        </w:rPr>
        <w:t>.</w:t>
      </w:r>
      <w:r w:rsidR="007F3C98">
        <w:rPr>
          <w:sz w:val="20"/>
          <w:szCs w:val="20"/>
        </w:rPr>
        <w:t xml:space="preserve"> </w:t>
      </w:r>
      <w:r w:rsidR="00095C0A" w:rsidRPr="00B00959">
        <w:rPr>
          <w:sz w:val="20"/>
          <w:szCs w:val="20"/>
        </w:rPr>
        <w:t>221.</w:t>
      </w:r>
    </w:p>
    <w:p w:rsidR="008B7FA4" w:rsidRPr="00B00959" w:rsidRDefault="008B7FA4" w:rsidP="008B7FA4">
      <w:pPr>
        <w:pStyle w:val="ListParagraph"/>
        <w:numPr>
          <w:ilvl w:val="0"/>
          <w:numId w:val="2"/>
        </w:numPr>
        <w:rPr>
          <w:sz w:val="20"/>
          <w:szCs w:val="20"/>
        </w:rPr>
      </w:pPr>
      <w:r w:rsidRPr="00B01E57">
        <w:rPr>
          <w:i/>
          <w:iCs/>
          <w:sz w:val="20"/>
          <w:szCs w:val="20"/>
        </w:rPr>
        <w:t>A Handbook of Dates: For Students of British History</w:t>
      </w:r>
      <w:r w:rsidRPr="00B00959">
        <w:rPr>
          <w:sz w:val="20"/>
          <w:szCs w:val="20"/>
        </w:rPr>
        <w:t>,</w:t>
      </w:r>
      <w:r>
        <w:rPr>
          <w:sz w:val="20"/>
          <w:szCs w:val="20"/>
        </w:rPr>
        <w:t xml:space="preserve"> ed. by Christopher Robert Cheney, </w:t>
      </w:r>
      <w:r w:rsidRPr="00B00959">
        <w:rPr>
          <w:sz w:val="20"/>
          <w:szCs w:val="20"/>
        </w:rPr>
        <w:t>p.</w:t>
      </w:r>
      <w:r w:rsidR="007F3C98">
        <w:rPr>
          <w:sz w:val="20"/>
          <w:szCs w:val="20"/>
        </w:rPr>
        <w:t xml:space="preserve"> </w:t>
      </w:r>
      <w:r>
        <w:rPr>
          <w:sz w:val="20"/>
          <w:szCs w:val="20"/>
        </w:rPr>
        <w:t>55</w:t>
      </w:r>
      <w:r w:rsidRPr="00B00959">
        <w:rPr>
          <w:sz w:val="20"/>
          <w:szCs w:val="20"/>
        </w:rPr>
        <w:t>.</w:t>
      </w:r>
    </w:p>
    <w:p w:rsidR="006C5F8B" w:rsidRPr="00B00959" w:rsidRDefault="00E95BDD" w:rsidP="003D503C">
      <w:pPr>
        <w:pStyle w:val="ListParagraph"/>
        <w:numPr>
          <w:ilvl w:val="0"/>
          <w:numId w:val="2"/>
        </w:numPr>
        <w:rPr>
          <w:sz w:val="20"/>
          <w:szCs w:val="20"/>
        </w:rPr>
      </w:pPr>
      <w:r w:rsidRPr="00AA6799">
        <w:rPr>
          <w:i/>
          <w:iCs/>
          <w:sz w:val="20"/>
          <w:szCs w:val="20"/>
        </w:rPr>
        <w:t>Handbook of British Chronology</w:t>
      </w:r>
      <w:r w:rsidR="006C5F8B" w:rsidRPr="00B00959">
        <w:rPr>
          <w:sz w:val="20"/>
          <w:szCs w:val="20"/>
        </w:rPr>
        <w:t>,</w:t>
      </w:r>
      <w:r w:rsidR="00AA6799">
        <w:rPr>
          <w:sz w:val="20"/>
          <w:szCs w:val="20"/>
        </w:rPr>
        <w:t xml:space="preserve"> ed. by E. B. </w:t>
      </w:r>
      <w:proofErr w:type="spellStart"/>
      <w:r w:rsidR="00AA6799">
        <w:rPr>
          <w:sz w:val="20"/>
          <w:szCs w:val="20"/>
        </w:rPr>
        <w:t>Fryde</w:t>
      </w:r>
      <w:proofErr w:type="spellEnd"/>
      <w:r w:rsidR="00AA6799">
        <w:rPr>
          <w:sz w:val="20"/>
          <w:szCs w:val="20"/>
        </w:rPr>
        <w:t>, D. E. Greenway, S. Porter and I. Roy, 3</w:t>
      </w:r>
      <w:r w:rsidR="00AA6799" w:rsidRPr="00910234">
        <w:rPr>
          <w:sz w:val="20"/>
          <w:szCs w:val="20"/>
        </w:rPr>
        <w:t>rd</w:t>
      </w:r>
      <w:r w:rsidR="00AA6799">
        <w:rPr>
          <w:sz w:val="20"/>
          <w:szCs w:val="20"/>
        </w:rPr>
        <w:t xml:space="preserve"> edition (London: Offices of the Royal Historical Society, 1986),</w:t>
      </w:r>
      <w:r w:rsidR="006C5F8B" w:rsidRPr="00B00959">
        <w:rPr>
          <w:sz w:val="20"/>
          <w:szCs w:val="20"/>
        </w:rPr>
        <w:t xml:space="preserve"> p. 244. </w:t>
      </w:r>
    </w:p>
    <w:p w:rsidR="00294A73" w:rsidRPr="00B00959" w:rsidRDefault="00294A73" w:rsidP="00294A73">
      <w:pPr>
        <w:pStyle w:val="ListParagraph"/>
        <w:numPr>
          <w:ilvl w:val="0"/>
          <w:numId w:val="2"/>
        </w:numPr>
        <w:rPr>
          <w:sz w:val="20"/>
          <w:szCs w:val="20"/>
        </w:rPr>
      </w:pPr>
      <w:r w:rsidRPr="00B01E57">
        <w:rPr>
          <w:i/>
          <w:iCs/>
          <w:sz w:val="20"/>
          <w:szCs w:val="20"/>
        </w:rPr>
        <w:t>A Handbook of Dates: For Students of British History</w:t>
      </w:r>
      <w:r w:rsidRPr="00B00959">
        <w:rPr>
          <w:sz w:val="20"/>
          <w:szCs w:val="20"/>
        </w:rPr>
        <w:t>,</w:t>
      </w:r>
      <w:r>
        <w:rPr>
          <w:sz w:val="20"/>
          <w:szCs w:val="20"/>
        </w:rPr>
        <w:t xml:space="preserve"> ed. by Christopher Robert Cheney,</w:t>
      </w:r>
      <w:r w:rsidRPr="00B00959">
        <w:rPr>
          <w:sz w:val="20"/>
          <w:szCs w:val="20"/>
        </w:rPr>
        <w:t xml:space="preserve"> p.</w:t>
      </w:r>
      <w:r w:rsidR="007F3C98">
        <w:rPr>
          <w:sz w:val="20"/>
          <w:szCs w:val="20"/>
        </w:rPr>
        <w:t xml:space="preserve"> </w:t>
      </w:r>
      <w:r w:rsidRPr="00B00959">
        <w:rPr>
          <w:sz w:val="20"/>
          <w:szCs w:val="20"/>
        </w:rPr>
        <w:t>2</w:t>
      </w:r>
      <w:r>
        <w:rPr>
          <w:sz w:val="20"/>
          <w:szCs w:val="20"/>
        </w:rPr>
        <w:t>0</w:t>
      </w:r>
      <w:r w:rsidRPr="00B00959">
        <w:rPr>
          <w:sz w:val="20"/>
          <w:szCs w:val="20"/>
        </w:rPr>
        <w:t>.</w:t>
      </w:r>
    </w:p>
    <w:p w:rsidR="00BE4EA6" w:rsidRDefault="00BE4EA6" w:rsidP="00BE4EA6">
      <w:pPr>
        <w:pStyle w:val="ListParagraph"/>
        <w:numPr>
          <w:ilvl w:val="0"/>
          <w:numId w:val="2"/>
        </w:numPr>
        <w:rPr>
          <w:sz w:val="20"/>
          <w:szCs w:val="20"/>
        </w:rPr>
      </w:pPr>
      <w:r w:rsidRPr="00B01E57">
        <w:rPr>
          <w:i/>
          <w:iCs/>
          <w:sz w:val="20"/>
          <w:szCs w:val="20"/>
        </w:rPr>
        <w:t>A Handbook of Dates: For Students of British History</w:t>
      </w:r>
      <w:r w:rsidRPr="00B00959">
        <w:rPr>
          <w:sz w:val="20"/>
          <w:szCs w:val="20"/>
        </w:rPr>
        <w:t>,</w:t>
      </w:r>
      <w:r>
        <w:rPr>
          <w:sz w:val="20"/>
          <w:szCs w:val="20"/>
        </w:rPr>
        <w:t xml:space="preserve"> ed. by Christopher Robert Cheney,</w:t>
      </w:r>
      <w:r w:rsidRPr="00B00959">
        <w:rPr>
          <w:sz w:val="20"/>
          <w:szCs w:val="20"/>
        </w:rPr>
        <w:t xml:space="preserve"> p.</w:t>
      </w:r>
      <w:r w:rsidR="007F3C98">
        <w:rPr>
          <w:sz w:val="20"/>
          <w:szCs w:val="20"/>
        </w:rPr>
        <w:t xml:space="preserve"> </w:t>
      </w:r>
      <w:r>
        <w:rPr>
          <w:sz w:val="20"/>
          <w:szCs w:val="20"/>
        </w:rPr>
        <w:t>140</w:t>
      </w:r>
      <w:r w:rsidRPr="00B00959">
        <w:rPr>
          <w:sz w:val="20"/>
          <w:szCs w:val="20"/>
        </w:rPr>
        <w:t>.</w:t>
      </w:r>
    </w:p>
    <w:p w:rsidR="00AA3FA4" w:rsidRPr="00AA3FA4" w:rsidRDefault="00AA3FA4" w:rsidP="00C74789">
      <w:pPr>
        <w:pStyle w:val="ListParagraph"/>
        <w:numPr>
          <w:ilvl w:val="0"/>
          <w:numId w:val="2"/>
        </w:numPr>
        <w:rPr>
          <w:sz w:val="20"/>
          <w:szCs w:val="20"/>
        </w:rPr>
      </w:pPr>
      <w:r w:rsidRPr="00AA3FA4">
        <w:rPr>
          <w:sz w:val="20"/>
          <w:szCs w:val="20"/>
        </w:rPr>
        <w:t xml:space="preserve">Oxford Dictionary of National Biography, </w:t>
      </w:r>
      <w:hyperlink r:id="rId7" w:history="1">
        <w:r w:rsidRPr="00870843">
          <w:rPr>
            <w:rStyle w:val="Hyperlink"/>
            <w:sz w:val="20"/>
            <w:szCs w:val="20"/>
          </w:rPr>
          <w:t>https://www.oxforddnb.com</w:t>
        </w:r>
      </w:hyperlink>
      <w:r>
        <w:rPr>
          <w:sz w:val="20"/>
          <w:szCs w:val="20"/>
        </w:rPr>
        <w:t xml:space="preserve"> [accessed 22 November 2025]</w:t>
      </w:r>
    </w:p>
    <w:p w:rsidR="00AA3FA4" w:rsidRPr="00B00959" w:rsidRDefault="00B07439" w:rsidP="00BE4EA6">
      <w:pPr>
        <w:pStyle w:val="ListParagraph"/>
        <w:numPr>
          <w:ilvl w:val="0"/>
          <w:numId w:val="2"/>
        </w:numPr>
        <w:rPr>
          <w:sz w:val="20"/>
          <w:szCs w:val="20"/>
        </w:rPr>
      </w:pPr>
      <w:r>
        <w:rPr>
          <w:sz w:val="20"/>
          <w:szCs w:val="20"/>
        </w:rPr>
        <w:t xml:space="preserve">Rachel Hazell, ‘The Basset Family: Marriage Connections and Socio-Political Networks in Medieval Staffordshire and Beyond’, (unpublished </w:t>
      </w:r>
      <w:proofErr w:type="spellStart"/>
      <w:r>
        <w:rPr>
          <w:sz w:val="20"/>
          <w:szCs w:val="20"/>
        </w:rPr>
        <w:t>masters</w:t>
      </w:r>
      <w:proofErr w:type="spellEnd"/>
      <w:r>
        <w:rPr>
          <w:sz w:val="20"/>
          <w:szCs w:val="20"/>
        </w:rPr>
        <w:t xml:space="preserve"> thesis, University of Missouri Kansas City, 2011), MO Space Institutional Repository, &lt;</w:t>
      </w:r>
      <w:r w:rsidRPr="00B07439">
        <w:t xml:space="preserve"> </w:t>
      </w:r>
      <w:hyperlink r:id="rId8" w:history="1">
        <w:r w:rsidRPr="00870843">
          <w:rPr>
            <w:rStyle w:val="Hyperlink"/>
            <w:sz w:val="20"/>
            <w:szCs w:val="20"/>
          </w:rPr>
          <w:t>https://mospace.umsystem.edu/xmlui/bitstream/handle/10355/45935/HazellBasFamMar.pdf?sequence=1</w:t>
        </w:r>
      </w:hyperlink>
      <w:r>
        <w:rPr>
          <w:sz w:val="20"/>
          <w:szCs w:val="20"/>
        </w:rPr>
        <w:t>&gt; [accessed 22 November 2025]</w:t>
      </w:r>
    </w:p>
    <w:p w:rsidR="00562E52" w:rsidRDefault="00562E52" w:rsidP="00562E52">
      <w:pPr>
        <w:pStyle w:val="ListParagraph"/>
        <w:ind w:left="1080"/>
        <w:rPr>
          <w:sz w:val="20"/>
          <w:szCs w:val="20"/>
        </w:rPr>
      </w:pPr>
    </w:p>
    <w:p w:rsidR="00562E52" w:rsidRDefault="00562E52" w:rsidP="00562E52">
      <w:pPr>
        <w:ind w:left="720"/>
        <w:rPr>
          <w:sz w:val="20"/>
          <w:szCs w:val="20"/>
        </w:rPr>
      </w:pPr>
      <w:r>
        <w:rPr>
          <w:sz w:val="20"/>
          <w:szCs w:val="20"/>
        </w:rPr>
        <w:t>Bibliography</w:t>
      </w:r>
    </w:p>
    <w:p w:rsidR="00562E52" w:rsidRDefault="00562E52" w:rsidP="00562E52">
      <w:pPr>
        <w:ind w:left="720"/>
        <w:rPr>
          <w:sz w:val="20"/>
          <w:szCs w:val="20"/>
        </w:rPr>
      </w:pPr>
    </w:p>
    <w:p w:rsidR="00E01AEF" w:rsidRPr="00E01AEF" w:rsidRDefault="00E01AEF" w:rsidP="00E01AEF">
      <w:pPr>
        <w:ind w:left="720"/>
        <w:rPr>
          <w:sz w:val="20"/>
          <w:szCs w:val="20"/>
        </w:rPr>
      </w:pPr>
      <w:r w:rsidRPr="00E01AEF">
        <w:rPr>
          <w:sz w:val="20"/>
          <w:szCs w:val="20"/>
        </w:rPr>
        <w:t>‘A Medieval English Calendar’, &lt;</w:t>
      </w:r>
      <w:hyperlink r:id="rId9" w:history="1">
        <w:r w:rsidRPr="00E01AEF">
          <w:rPr>
            <w:rStyle w:val="Hyperlink"/>
            <w:sz w:val="20"/>
            <w:szCs w:val="20"/>
          </w:rPr>
          <w:t>https://www.medievalgenealogy.org.uk/cal/medcal.shtml</w:t>
        </w:r>
      </w:hyperlink>
      <w:r w:rsidRPr="00E01AEF">
        <w:rPr>
          <w:sz w:val="20"/>
          <w:szCs w:val="20"/>
        </w:rPr>
        <w:t>&gt; [accessed 22 November 2025]</w:t>
      </w:r>
    </w:p>
    <w:p w:rsidR="00E01AEF" w:rsidRDefault="00E01AEF" w:rsidP="00E01AEF">
      <w:pPr>
        <w:rPr>
          <w:sz w:val="20"/>
          <w:szCs w:val="20"/>
        </w:rPr>
      </w:pPr>
    </w:p>
    <w:p w:rsidR="00562E52" w:rsidRDefault="00562E52" w:rsidP="00562E52">
      <w:pPr>
        <w:ind w:left="720"/>
        <w:rPr>
          <w:sz w:val="20"/>
          <w:szCs w:val="20"/>
        </w:rPr>
      </w:pPr>
      <w:r>
        <w:rPr>
          <w:sz w:val="20"/>
          <w:szCs w:val="20"/>
        </w:rPr>
        <w:t>Cheney, C. R.,</w:t>
      </w:r>
      <w:r w:rsidR="00AC08C8">
        <w:rPr>
          <w:sz w:val="20"/>
          <w:szCs w:val="20"/>
        </w:rPr>
        <w:t xml:space="preserve"> ed,</w:t>
      </w:r>
      <w:r>
        <w:rPr>
          <w:sz w:val="20"/>
          <w:szCs w:val="20"/>
        </w:rPr>
        <w:t xml:space="preserve"> </w:t>
      </w:r>
      <w:r w:rsidRPr="00562E52">
        <w:rPr>
          <w:i/>
          <w:iCs/>
          <w:sz w:val="20"/>
          <w:szCs w:val="20"/>
        </w:rPr>
        <w:t>A Handbook of Dates: For Students of British History</w:t>
      </w:r>
      <w:r>
        <w:rPr>
          <w:sz w:val="20"/>
          <w:szCs w:val="20"/>
        </w:rPr>
        <w:t xml:space="preserve"> (London, Offices of the Royal Historical Society, 1961)</w:t>
      </w:r>
    </w:p>
    <w:p w:rsidR="00753B4C" w:rsidRDefault="00753B4C" w:rsidP="00562E52">
      <w:pPr>
        <w:ind w:left="720"/>
        <w:rPr>
          <w:sz w:val="20"/>
          <w:szCs w:val="20"/>
        </w:rPr>
      </w:pPr>
    </w:p>
    <w:p w:rsidR="00753B4C" w:rsidRDefault="00753B4C" w:rsidP="00562E52">
      <w:pPr>
        <w:ind w:left="720"/>
        <w:rPr>
          <w:i/>
          <w:iCs/>
          <w:sz w:val="20"/>
          <w:szCs w:val="20"/>
        </w:rPr>
      </w:pPr>
      <w:proofErr w:type="spellStart"/>
      <w:r>
        <w:rPr>
          <w:sz w:val="20"/>
          <w:szCs w:val="20"/>
        </w:rPr>
        <w:t>Fryde</w:t>
      </w:r>
      <w:proofErr w:type="spellEnd"/>
      <w:r>
        <w:rPr>
          <w:sz w:val="20"/>
          <w:szCs w:val="20"/>
        </w:rPr>
        <w:t>, E. B, Greenway, D. E., Porter, S. and Roy, I. eds, 3</w:t>
      </w:r>
      <w:r w:rsidRPr="00753B4C">
        <w:rPr>
          <w:sz w:val="20"/>
          <w:szCs w:val="20"/>
        </w:rPr>
        <w:t>rd</w:t>
      </w:r>
      <w:r>
        <w:rPr>
          <w:sz w:val="20"/>
          <w:szCs w:val="20"/>
        </w:rPr>
        <w:t xml:space="preserve"> edition, </w:t>
      </w:r>
      <w:r w:rsidRPr="00AA6799">
        <w:rPr>
          <w:i/>
          <w:iCs/>
          <w:sz w:val="20"/>
          <w:szCs w:val="20"/>
        </w:rPr>
        <w:t>Handbook of British Chronology</w:t>
      </w:r>
      <w:r>
        <w:rPr>
          <w:i/>
          <w:iCs/>
          <w:sz w:val="20"/>
          <w:szCs w:val="20"/>
        </w:rPr>
        <w:t xml:space="preserve">, </w:t>
      </w:r>
      <w:r>
        <w:rPr>
          <w:sz w:val="20"/>
          <w:szCs w:val="20"/>
        </w:rPr>
        <w:t>(London: Offices of the Royal Historical Society, 1986)</w:t>
      </w:r>
      <w:r>
        <w:rPr>
          <w:i/>
          <w:iCs/>
          <w:sz w:val="20"/>
          <w:szCs w:val="20"/>
        </w:rPr>
        <w:t xml:space="preserve"> </w:t>
      </w:r>
    </w:p>
    <w:p w:rsidR="00824853" w:rsidRDefault="00824853" w:rsidP="00562E52">
      <w:pPr>
        <w:ind w:left="720"/>
        <w:rPr>
          <w:i/>
          <w:iCs/>
          <w:sz w:val="20"/>
          <w:szCs w:val="20"/>
        </w:rPr>
      </w:pPr>
    </w:p>
    <w:p w:rsidR="00824853" w:rsidRPr="00BB372E" w:rsidRDefault="00824853" w:rsidP="00BB372E">
      <w:pPr>
        <w:ind w:left="720"/>
        <w:rPr>
          <w:sz w:val="20"/>
          <w:szCs w:val="20"/>
        </w:rPr>
      </w:pPr>
      <w:r>
        <w:rPr>
          <w:sz w:val="20"/>
          <w:szCs w:val="20"/>
        </w:rPr>
        <w:t>Hazell, R.</w:t>
      </w:r>
      <w:r w:rsidRPr="00824853">
        <w:rPr>
          <w:sz w:val="20"/>
          <w:szCs w:val="20"/>
        </w:rPr>
        <w:t xml:space="preserve">, ‘The Basset Family: Marriage Connections and Socio-Political Networks in Medieval Staffordshire and Beyond’, (unpublished </w:t>
      </w:r>
      <w:proofErr w:type="spellStart"/>
      <w:r w:rsidRPr="00824853">
        <w:rPr>
          <w:sz w:val="20"/>
          <w:szCs w:val="20"/>
        </w:rPr>
        <w:t>masters</w:t>
      </w:r>
      <w:proofErr w:type="spellEnd"/>
      <w:r w:rsidRPr="00824853">
        <w:rPr>
          <w:sz w:val="20"/>
          <w:szCs w:val="20"/>
        </w:rPr>
        <w:t xml:space="preserve"> thesis, University of Missouri Kansas City, 2011), MO Space Institutional Repository, &lt;</w:t>
      </w:r>
      <w:r w:rsidRPr="00B07439">
        <w:t xml:space="preserve"> </w:t>
      </w:r>
      <w:hyperlink r:id="rId10" w:history="1">
        <w:r w:rsidRPr="00824853">
          <w:rPr>
            <w:rStyle w:val="Hyperlink"/>
            <w:sz w:val="20"/>
            <w:szCs w:val="20"/>
          </w:rPr>
          <w:t>https://mospace.umsystem.edu/xmlui/bitstream/handle/10355/45935/HazellBasFamMar.pdf?sequence=1</w:t>
        </w:r>
      </w:hyperlink>
      <w:r w:rsidRPr="00824853">
        <w:rPr>
          <w:sz w:val="20"/>
          <w:szCs w:val="20"/>
        </w:rPr>
        <w:t>&gt; [accessed 22 November 2025]</w:t>
      </w:r>
    </w:p>
    <w:p w:rsidR="00DF23D2" w:rsidRDefault="00DF23D2" w:rsidP="00562E52">
      <w:pPr>
        <w:ind w:left="720"/>
        <w:rPr>
          <w:i/>
          <w:iCs/>
          <w:sz w:val="20"/>
          <w:szCs w:val="20"/>
        </w:rPr>
      </w:pPr>
    </w:p>
    <w:p w:rsidR="00DF23D2" w:rsidRDefault="00DF23D2" w:rsidP="00DF23D2">
      <w:pPr>
        <w:ind w:left="720"/>
        <w:rPr>
          <w:color w:val="000000" w:themeColor="text1"/>
          <w:sz w:val="20"/>
          <w:szCs w:val="20"/>
        </w:rPr>
      </w:pPr>
      <w:r w:rsidRPr="00DF23D2">
        <w:rPr>
          <w:sz w:val="20"/>
          <w:szCs w:val="20"/>
        </w:rPr>
        <w:t>Lloyd, J. E., ‘ANIAN I (died 1266), bishop of St Asaph’, Dictionary of Welsh Biography, 1959 &lt;</w:t>
      </w:r>
      <w:hyperlink r:id="rId11" w:history="1">
        <w:r w:rsidRPr="00DF23D2">
          <w:rPr>
            <w:rStyle w:val="Hyperlink"/>
            <w:sz w:val="20"/>
            <w:szCs w:val="20"/>
          </w:rPr>
          <w:t>https://biography.wales/article/s-ANIA-NI0-1266</w:t>
        </w:r>
      </w:hyperlink>
      <w:r w:rsidRPr="00DF23D2">
        <w:rPr>
          <w:rStyle w:val="Hyperlink"/>
          <w:color w:val="000000" w:themeColor="text1"/>
          <w:sz w:val="20"/>
          <w:szCs w:val="20"/>
        </w:rPr>
        <w:t>&gt; [accessed 22 November 2025]</w:t>
      </w:r>
      <w:r w:rsidRPr="00DF23D2">
        <w:rPr>
          <w:color w:val="000000" w:themeColor="text1"/>
          <w:sz w:val="20"/>
          <w:szCs w:val="20"/>
        </w:rPr>
        <w:t xml:space="preserve"> </w:t>
      </w:r>
    </w:p>
    <w:p w:rsidR="0070173D" w:rsidRDefault="0070173D" w:rsidP="00DF23D2">
      <w:pPr>
        <w:ind w:left="720"/>
        <w:rPr>
          <w:color w:val="000000" w:themeColor="text1"/>
          <w:sz w:val="20"/>
          <w:szCs w:val="20"/>
        </w:rPr>
      </w:pPr>
    </w:p>
    <w:p w:rsidR="0070173D" w:rsidRPr="0070173D" w:rsidRDefault="0070173D" w:rsidP="0070173D">
      <w:pPr>
        <w:ind w:firstLine="720"/>
        <w:rPr>
          <w:sz w:val="20"/>
          <w:szCs w:val="20"/>
        </w:rPr>
      </w:pPr>
      <w:r w:rsidRPr="0070173D">
        <w:rPr>
          <w:sz w:val="20"/>
          <w:szCs w:val="20"/>
        </w:rPr>
        <w:t xml:space="preserve">Oxford Dictionary of National Biography, </w:t>
      </w:r>
      <w:hyperlink r:id="rId12" w:history="1">
        <w:r w:rsidRPr="0070173D">
          <w:rPr>
            <w:rStyle w:val="Hyperlink"/>
            <w:sz w:val="20"/>
            <w:szCs w:val="20"/>
          </w:rPr>
          <w:t>https://www.oxforddnb.com</w:t>
        </w:r>
      </w:hyperlink>
      <w:r w:rsidRPr="0070173D">
        <w:rPr>
          <w:sz w:val="20"/>
          <w:szCs w:val="20"/>
        </w:rPr>
        <w:t xml:space="preserve"> [accessed 22 November 2025]</w:t>
      </w:r>
    </w:p>
    <w:p w:rsidR="00753B4C" w:rsidRDefault="00753B4C" w:rsidP="00DF23D2">
      <w:pPr>
        <w:rPr>
          <w:sz w:val="20"/>
          <w:szCs w:val="20"/>
        </w:rPr>
      </w:pPr>
    </w:p>
    <w:p w:rsidR="007F3C98" w:rsidRPr="007F3C98" w:rsidRDefault="007F3C98" w:rsidP="007F3C98">
      <w:pPr>
        <w:ind w:left="720"/>
        <w:rPr>
          <w:sz w:val="20"/>
          <w:szCs w:val="20"/>
        </w:rPr>
      </w:pPr>
      <w:r w:rsidRPr="007F3C98">
        <w:rPr>
          <w:sz w:val="20"/>
          <w:szCs w:val="20"/>
        </w:rPr>
        <w:t>Thomas,</w:t>
      </w:r>
      <w:r>
        <w:rPr>
          <w:sz w:val="20"/>
          <w:szCs w:val="20"/>
        </w:rPr>
        <w:t xml:space="preserve"> D. R.,</w:t>
      </w:r>
      <w:r w:rsidRPr="007F3C98">
        <w:rPr>
          <w:sz w:val="20"/>
          <w:szCs w:val="20"/>
        </w:rPr>
        <w:t xml:space="preserve"> </w:t>
      </w:r>
      <w:r w:rsidRPr="007F3C98">
        <w:rPr>
          <w:i/>
          <w:iCs/>
          <w:sz w:val="20"/>
          <w:szCs w:val="20"/>
        </w:rPr>
        <w:t>A history of the diocese of St. Asaph, general, cathedral, and parochial</w:t>
      </w:r>
      <w:r w:rsidRPr="007F3C98">
        <w:rPr>
          <w:sz w:val="20"/>
          <w:szCs w:val="20"/>
        </w:rPr>
        <w:t>, (London: James Parker, 1874)</w:t>
      </w:r>
    </w:p>
    <w:p w:rsidR="00DE07E5" w:rsidRDefault="00DE07E5" w:rsidP="006C5F8B"/>
    <w:sectPr w:rsidR="00DE07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95D6F"/>
    <w:multiLevelType w:val="hybridMultilevel"/>
    <w:tmpl w:val="61020AAA"/>
    <w:lvl w:ilvl="0" w:tplc="7BB689BC">
      <w:start w:val="1"/>
      <w:numFmt w:val="decimal"/>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A431099"/>
    <w:multiLevelType w:val="hybridMultilevel"/>
    <w:tmpl w:val="3D741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5691746">
    <w:abstractNumId w:val="1"/>
  </w:num>
  <w:num w:numId="2" w16cid:durableId="1481775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B2"/>
    <w:rsid w:val="00010596"/>
    <w:rsid w:val="0004252A"/>
    <w:rsid w:val="00071713"/>
    <w:rsid w:val="00084D56"/>
    <w:rsid w:val="00095C0A"/>
    <w:rsid w:val="000E1F8C"/>
    <w:rsid w:val="000E6F89"/>
    <w:rsid w:val="00106505"/>
    <w:rsid w:val="00106AAC"/>
    <w:rsid w:val="001258A2"/>
    <w:rsid w:val="00147C20"/>
    <w:rsid w:val="001542FF"/>
    <w:rsid w:val="00180A4C"/>
    <w:rsid w:val="0019747B"/>
    <w:rsid w:val="001A4708"/>
    <w:rsid w:val="001A6718"/>
    <w:rsid w:val="001B0FD9"/>
    <w:rsid w:val="001B68B3"/>
    <w:rsid w:val="001C7C4C"/>
    <w:rsid w:val="001F3E80"/>
    <w:rsid w:val="001F69AF"/>
    <w:rsid w:val="00201075"/>
    <w:rsid w:val="00202EF3"/>
    <w:rsid w:val="00243484"/>
    <w:rsid w:val="00272DDB"/>
    <w:rsid w:val="00277773"/>
    <w:rsid w:val="00294A73"/>
    <w:rsid w:val="00323B7D"/>
    <w:rsid w:val="00363BAE"/>
    <w:rsid w:val="00370963"/>
    <w:rsid w:val="00382B3D"/>
    <w:rsid w:val="003A7F48"/>
    <w:rsid w:val="003C64A6"/>
    <w:rsid w:val="003D503C"/>
    <w:rsid w:val="00406738"/>
    <w:rsid w:val="00446F5F"/>
    <w:rsid w:val="004C39C6"/>
    <w:rsid w:val="00522915"/>
    <w:rsid w:val="00544BC7"/>
    <w:rsid w:val="00547F7F"/>
    <w:rsid w:val="00562E52"/>
    <w:rsid w:val="005A2EDC"/>
    <w:rsid w:val="005C604F"/>
    <w:rsid w:val="005D778E"/>
    <w:rsid w:val="005E4E0C"/>
    <w:rsid w:val="006052B2"/>
    <w:rsid w:val="00610348"/>
    <w:rsid w:val="00647EFC"/>
    <w:rsid w:val="006940A2"/>
    <w:rsid w:val="006C5F8B"/>
    <w:rsid w:val="006E2E47"/>
    <w:rsid w:val="0070173D"/>
    <w:rsid w:val="00704480"/>
    <w:rsid w:val="00753B4C"/>
    <w:rsid w:val="00794318"/>
    <w:rsid w:val="007F3C98"/>
    <w:rsid w:val="00801C9A"/>
    <w:rsid w:val="00801F2F"/>
    <w:rsid w:val="00823096"/>
    <w:rsid w:val="008235C5"/>
    <w:rsid w:val="00824853"/>
    <w:rsid w:val="008253A9"/>
    <w:rsid w:val="00841604"/>
    <w:rsid w:val="00852FE2"/>
    <w:rsid w:val="00861E83"/>
    <w:rsid w:val="00875C5E"/>
    <w:rsid w:val="008B207E"/>
    <w:rsid w:val="008B5381"/>
    <w:rsid w:val="008B7FA4"/>
    <w:rsid w:val="00910234"/>
    <w:rsid w:val="00932D8C"/>
    <w:rsid w:val="009603E1"/>
    <w:rsid w:val="00984D14"/>
    <w:rsid w:val="009A369A"/>
    <w:rsid w:val="009B2A55"/>
    <w:rsid w:val="009E65BB"/>
    <w:rsid w:val="009F168C"/>
    <w:rsid w:val="00A276CA"/>
    <w:rsid w:val="00A306D8"/>
    <w:rsid w:val="00A548FE"/>
    <w:rsid w:val="00A97D2D"/>
    <w:rsid w:val="00AA3FA4"/>
    <w:rsid w:val="00AA6799"/>
    <w:rsid w:val="00AB6FFF"/>
    <w:rsid w:val="00AC08C8"/>
    <w:rsid w:val="00AC697F"/>
    <w:rsid w:val="00AD61DD"/>
    <w:rsid w:val="00AD6653"/>
    <w:rsid w:val="00AF38DF"/>
    <w:rsid w:val="00B00959"/>
    <w:rsid w:val="00B01E57"/>
    <w:rsid w:val="00B07277"/>
    <w:rsid w:val="00B07439"/>
    <w:rsid w:val="00B511FE"/>
    <w:rsid w:val="00B647A2"/>
    <w:rsid w:val="00B75D21"/>
    <w:rsid w:val="00BB372E"/>
    <w:rsid w:val="00BE4EA6"/>
    <w:rsid w:val="00BF0BE9"/>
    <w:rsid w:val="00BF3A41"/>
    <w:rsid w:val="00C751AC"/>
    <w:rsid w:val="00CE45B0"/>
    <w:rsid w:val="00CE64E7"/>
    <w:rsid w:val="00D606C5"/>
    <w:rsid w:val="00DB7995"/>
    <w:rsid w:val="00DE07E5"/>
    <w:rsid w:val="00DF23D2"/>
    <w:rsid w:val="00DF50C5"/>
    <w:rsid w:val="00E008D9"/>
    <w:rsid w:val="00E01AEF"/>
    <w:rsid w:val="00E119E4"/>
    <w:rsid w:val="00E1204B"/>
    <w:rsid w:val="00E70BBE"/>
    <w:rsid w:val="00E917F6"/>
    <w:rsid w:val="00E95BDD"/>
    <w:rsid w:val="00F25880"/>
    <w:rsid w:val="00F333DC"/>
    <w:rsid w:val="00FC241F"/>
    <w:rsid w:val="00FD1B6E"/>
    <w:rsid w:val="00FD20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41F1001C"/>
  <w15:chartTrackingRefBased/>
  <w15:docId w15:val="{6FF4CC92-A67A-E940-A1F7-827E155C1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484"/>
    <w:pPr>
      <w:ind w:left="720"/>
      <w:contextualSpacing/>
    </w:pPr>
  </w:style>
  <w:style w:type="character" w:styleId="Hyperlink">
    <w:name w:val="Hyperlink"/>
    <w:basedOn w:val="DefaultParagraphFont"/>
    <w:uiPriority w:val="99"/>
    <w:unhideWhenUsed/>
    <w:rsid w:val="00095C0A"/>
    <w:rPr>
      <w:color w:val="0563C1" w:themeColor="hyperlink"/>
      <w:u w:val="single"/>
    </w:rPr>
  </w:style>
  <w:style w:type="character" w:styleId="UnresolvedMention">
    <w:name w:val="Unresolved Mention"/>
    <w:basedOn w:val="DefaultParagraphFont"/>
    <w:uiPriority w:val="99"/>
    <w:semiHidden/>
    <w:unhideWhenUsed/>
    <w:rsid w:val="00095C0A"/>
    <w:rPr>
      <w:color w:val="605E5C"/>
      <w:shd w:val="clear" w:color="auto" w:fill="E1DFDD"/>
    </w:rPr>
  </w:style>
  <w:style w:type="character" w:styleId="FollowedHyperlink">
    <w:name w:val="FollowedHyperlink"/>
    <w:basedOn w:val="DefaultParagraphFont"/>
    <w:uiPriority w:val="99"/>
    <w:semiHidden/>
    <w:unhideWhenUsed/>
    <w:rsid w:val="00DE07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7266">
      <w:bodyDiv w:val="1"/>
      <w:marLeft w:val="0"/>
      <w:marRight w:val="0"/>
      <w:marTop w:val="0"/>
      <w:marBottom w:val="0"/>
      <w:divBdr>
        <w:top w:val="none" w:sz="0" w:space="0" w:color="auto"/>
        <w:left w:val="none" w:sz="0" w:space="0" w:color="auto"/>
        <w:bottom w:val="none" w:sz="0" w:space="0" w:color="auto"/>
        <w:right w:val="none" w:sz="0" w:space="0" w:color="auto"/>
      </w:divBdr>
      <w:divsChild>
        <w:div w:id="2090149952">
          <w:marLeft w:val="0"/>
          <w:marRight w:val="0"/>
          <w:marTop w:val="0"/>
          <w:marBottom w:val="0"/>
          <w:divBdr>
            <w:top w:val="none" w:sz="0" w:space="0" w:color="auto"/>
            <w:left w:val="none" w:sz="0" w:space="0" w:color="auto"/>
            <w:bottom w:val="none" w:sz="0" w:space="0" w:color="auto"/>
            <w:right w:val="none" w:sz="0" w:space="0" w:color="auto"/>
          </w:divBdr>
          <w:divsChild>
            <w:div w:id="774251666">
              <w:marLeft w:val="0"/>
              <w:marRight w:val="0"/>
              <w:marTop w:val="0"/>
              <w:marBottom w:val="0"/>
              <w:divBdr>
                <w:top w:val="none" w:sz="0" w:space="0" w:color="auto"/>
                <w:left w:val="none" w:sz="0" w:space="0" w:color="auto"/>
                <w:bottom w:val="none" w:sz="0" w:space="0" w:color="auto"/>
                <w:right w:val="none" w:sz="0" w:space="0" w:color="auto"/>
              </w:divBdr>
              <w:divsChild>
                <w:div w:id="29695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space.umsystem.edu/xmlui/bitstream/handle/10355/45935/HazellBasFamMar.pdf?sequence=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xforddnb.com" TargetMode="External"/><Relationship Id="rId12" Type="http://schemas.openxmlformats.org/officeDocument/2006/relationships/hyperlink" Target="https://www.oxforddn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ography.wales/article/s-ANIA-NI0-1266" TargetMode="External"/><Relationship Id="rId11" Type="http://schemas.openxmlformats.org/officeDocument/2006/relationships/hyperlink" Target="https://biography.wales/article/s-ANIA-NI0-1266" TargetMode="External"/><Relationship Id="rId5" Type="http://schemas.openxmlformats.org/officeDocument/2006/relationships/hyperlink" Target="https://www.medievalgenealogy.org.uk/cal/medcal.shtml" TargetMode="External"/><Relationship Id="rId10" Type="http://schemas.openxmlformats.org/officeDocument/2006/relationships/hyperlink" Target="https://mospace.umsystem.edu/xmlui/bitstream/handle/10355/45935/HazellBasFamMar.pdf?sequence=1" TargetMode="External"/><Relationship Id="rId4" Type="http://schemas.openxmlformats.org/officeDocument/2006/relationships/webSettings" Target="webSettings.xml"/><Relationship Id="rId9" Type="http://schemas.openxmlformats.org/officeDocument/2006/relationships/hyperlink" Target="https://www.medievalgenealogy.org.uk/cal/medcal.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1128</Words>
  <Characters>6434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122</cp:revision>
  <dcterms:created xsi:type="dcterms:W3CDTF">2025-11-22T02:14:00Z</dcterms:created>
  <dcterms:modified xsi:type="dcterms:W3CDTF">2025-11-27T01:49:00Z</dcterms:modified>
</cp:coreProperties>
</file>