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F15EC3B" w:rsidR="00986B43" w:rsidRPr="00382413" w:rsidRDefault="00986B43" w:rsidP="005D3F07">
            <w:pPr>
              <w:overflowPunct/>
              <w:autoSpaceDE/>
              <w:autoSpaceDN/>
              <w:adjustRightInd/>
              <w:ind w:right="-957"/>
              <w:textAlignment w:val="auto"/>
              <w:rPr>
                <w:rFonts w:ascii="Times New Roman" w:hAnsi="Times New Roman" w:cs="Times New Roman"/>
                <w:b/>
                <w:color w:val="auto"/>
                <w:sz w:val="44"/>
                <w:szCs w:val="44"/>
              </w:rPr>
            </w:pPr>
            <w:r w:rsidRPr="00382413">
              <w:rPr>
                <w:rFonts w:ascii="Times New Roman" w:hAnsi="Times New Roman" w:cs="Times New Roman"/>
                <w:b/>
                <w:color w:val="auto"/>
                <w:sz w:val="44"/>
                <w:szCs w:val="44"/>
              </w:rPr>
              <w:t>Learner’s name:</w:t>
            </w:r>
            <w:r w:rsidR="00247265" w:rsidRPr="00382413">
              <w:rPr>
                <w:rFonts w:ascii="Times New Roman" w:hAnsi="Times New Roman" w:cs="Times New Roman"/>
                <w:b/>
                <w:color w:val="auto"/>
                <w:sz w:val="44"/>
                <w:szCs w:val="44"/>
              </w:rPr>
              <w:t xml:space="preserve"> </w:t>
            </w:r>
            <w:r w:rsidR="00382413" w:rsidRPr="00382413">
              <w:rPr>
                <w:rFonts w:ascii="Times New Roman" w:hAnsi="Times New Roman" w:cs="Times New Roman"/>
                <w:b/>
                <w:color w:val="auto"/>
                <w:sz w:val="44"/>
                <w:szCs w:val="44"/>
              </w:rPr>
              <w:t>Bethan Stubley</w:t>
            </w:r>
          </w:p>
          <w:p w14:paraId="0B6CD0DB" w14:textId="689515B5" w:rsidR="009C337F" w:rsidRPr="00382413" w:rsidRDefault="009C337F" w:rsidP="005D3F07">
            <w:pPr>
              <w:overflowPunct/>
              <w:autoSpaceDE/>
              <w:autoSpaceDN/>
              <w:adjustRightInd/>
              <w:ind w:right="-957"/>
              <w:textAlignment w:val="auto"/>
              <w:rPr>
                <w:rFonts w:ascii="Times New Roman" w:hAnsi="Times New Roman" w:cs="Times New Roman"/>
                <w:b/>
                <w:color w:val="auto"/>
                <w:sz w:val="44"/>
                <w:szCs w:val="44"/>
              </w:rPr>
            </w:pPr>
          </w:p>
          <w:p w14:paraId="3A6EAAC7" w14:textId="6B78808C" w:rsidR="009C337F" w:rsidRPr="00382413" w:rsidRDefault="009C337F" w:rsidP="005D3F07">
            <w:pPr>
              <w:overflowPunct/>
              <w:autoSpaceDE/>
              <w:autoSpaceDN/>
              <w:adjustRightInd/>
              <w:ind w:right="-957"/>
              <w:textAlignment w:val="auto"/>
              <w:rPr>
                <w:rFonts w:ascii="Times New Roman" w:hAnsi="Times New Roman" w:cs="Times New Roman"/>
                <w:b/>
                <w:color w:val="auto"/>
                <w:sz w:val="44"/>
                <w:szCs w:val="44"/>
              </w:rPr>
            </w:pPr>
            <w:r w:rsidRPr="00382413">
              <w:rPr>
                <w:rFonts w:ascii="Times New Roman" w:hAnsi="Times New Roman" w:cs="Times New Roman"/>
                <w:b/>
                <w:color w:val="auto"/>
                <w:sz w:val="44"/>
                <w:szCs w:val="44"/>
              </w:rPr>
              <w:t xml:space="preserve">Email </w:t>
            </w:r>
            <w:proofErr w:type="gramStart"/>
            <w:r w:rsidRPr="00382413">
              <w:rPr>
                <w:rFonts w:ascii="Times New Roman" w:hAnsi="Times New Roman" w:cs="Times New Roman"/>
                <w:b/>
                <w:color w:val="auto"/>
                <w:sz w:val="44"/>
                <w:szCs w:val="44"/>
              </w:rPr>
              <w:t>address:</w:t>
            </w:r>
            <w:r w:rsidR="00382413" w:rsidRPr="00382413">
              <w:rPr>
                <w:rFonts w:ascii="Times New Roman" w:hAnsi="Times New Roman" w:cs="Times New Roman"/>
                <w:b/>
                <w:color w:val="auto"/>
                <w:sz w:val="44"/>
                <w:szCs w:val="44"/>
              </w:rPr>
              <w:t>Bethan.Stubley2@wales.nhs.uk</w:t>
            </w:r>
            <w:proofErr w:type="gramEnd"/>
          </w:p>
          <w:p w14:paraId="22E38809" w14:textId="77777777" w:rsidR="00986B43" w:rsidRPr="00382413" w:rsidRDefault="00986B43" w:rsidP="005D3F07">
            <w:pPr>
              <w:overflowPunct/>
              <w:autoSpaceDE/>
              <w:autoSpaceDN/>
              <w:adjustRightInd/>
              <w:ind w:right="-957"/>
              <w:textAlignment w:val="auto"/>
              <w:rPr>
                <w:rFonts w:ascii="Times New Roman" w:hAnsi="Times New Roman" w:cs="Times New Roman"/>
                <w:b/>
                <w:color w:val="auto"/>
                <w:sz w:val="44"/>
                <w:szCs w:val="44"/>
              </w:rPr>
            </w:pPr>
          </w:p>
          <w:p w14:paraId="0DE696B2" w14:textId="744E068A" w:rsidR="00F927A1" w:rsidRPr="00382413" w:rsidRDefault="0085230E" w:rsidP="005D3F07">
            <w:pPr>
              <w:overflowPunct/>
              <w:autoSpaceDE/>
              <w:autoSpaceDN/>
              <w:adjustRightInd/>
              <w:ind w:right="-957"/>
              <w:textAlignment w:val="auto"/>
              <w:rPr>
                <w:rFonts w:ascii="Times New Roman" w:hAnsi="Times New Roman" w:cs="Times New Roman"/>
                <w:b/>
                <w:color w:val="auto"/>
                <w:sz w:val="44"/>
                <w:szCs w:val="44"/>
              </w:rPr>
            </w:pPr>
            <w:r w:rsidRPr="00382413">
              <w:rPr>
                <w:rFonts w:ascii="Times New Roman" w:hAnsi="Times New Roman" w:cs="Times New Roman"/>
                <w:b/>
                <w:color w:val="auto"/>
                <w:sz w:val="44"/>
                <w:szCs w:val="44"/>
              </w:rPr>
              <w:t>Learner’s University Registration</w:t>
            </w:r>
            <w:r w:rsidR="00F927A1" w:rsidRPr="00382413">
              <w:rPr>
                <w:rFonts w:ascii="Times New Roman" w:hAnsi="Times New Roman" w:cs="Times New Roman"/>
                <w:b/>
                <w:color w:val="auto"/>
                <w:sz w:val="44"/>
                <w:szCs w:val="44"/>
              </w:rPr>
              <w:t xml:space="preserve"> Number:</w:t>
            </w:r>
            <w:r w:rsidR="00382413" w:rsidRPr="00382413">
              <w:rPr>
                <w:rFonts w:ascii="Times New Roman" w:hAnsi="Times New Roman" w:cs="Times New Roman"/>
                <w:b/>
                <w:bCs/>
                <w:sz w:val="44"/>
                <w:szCs w:val="44"/>
              </w:rPr>
              <w:t xml:space="preserve"> 2239441</w:t>
            </w:r>
          </w:p>
          <w:p w14:paraId="622FD17A" w14:textId="77777777" w:rsidR="0085230E" w:rsidRPr="00382413" w:rsidRDefault="0085230E" w:rsidP="005D3F07">
            <w:pPr>
              <w:overflowPunct/>
              <w:autoSpaceDE/>
              <w:autoSpaceDN/>
              <w:adjustRightInd/>
              <w:ind w:right="-957"/>
              <w:textAlignment w:val="auto"/>
              <w:rPr>
                <w:rFonts w:ascii="Times New Roman" w:hAnsi="Times New Roman" w:cs="Times New Roman"/>
                <w:b/>
                <w:color w:val="auto"/>
                <w:sz w:val="44"/>
                <w:szCs w:val="44"/>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382413">
              <w:rPr>
                <w:rFonts w:ascii="Times New Roman" w:hAnsi="Times New Roman" w:cs="Times New Roman"/>
                <w:b/>
                <w:color w:val="auto"/>
                <w:sz w:val="44"/>
                <w:szCs w:val="44"/>
              </w:rPr>
              <w:t xml:space="preserve">Cohort: </w:t>
            </w:r>
            <w:r w:rsidR="00B037B0" w:rsidRPr="00382413">
              <w:rPr>
                <w:rFonts w:ascii="Times New Roman" w:hAnsi="Times New Roman" w:cs="Times New Roman"/>
                <w:b/>
                <w:color w:val="auto"/>
                <w:sz w:val="44"/>
                <w:szCs w:val="44"/>
              </w:rPr>
              <w:t>21</w:t>
            </w:r>
            <w:r w:rsidR="00AE6231" w:rsidRPr="00382413">
              <w:rPr>
                <w:rFonts w:ascii="Times New Roman" w:hAnsi="Times New Roman" w:cs="Times New Roman"/>
                <w:b/>
                <w:color w:val="auto"/>
                <w:sz w:val="44"/>
                <w:szCs w:val="44"/>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69D6F0A6" w14:textId="696F23E9" w:rsidR="00382413" w:rsidRPr="00B52910" w:rsidRDefault="00382413" w:rsidP="00382413">
            <w:pPr>
              <w:rPr>
                <w:bCs/>
                <w:sz w:val="22"/>
                <w:szCs w:val="22"/>
              </w:rPr>
            </w:pPr>
            <w:r w:rsidRPr="00B52910">
              <w:rPr>
                <w:bCs/>
                <w:sz w:val="22"/>
                <w:szCs w:val="22"/>
              </w:rPr>
              <w:t>Person 2 is a female in her thirties, who has been alcohol dependant most of her adult life. Currently she lives in a tenancy support living setting. This support aspect is to support individuals to be able to move forward into independent tenancy, rather than personal support. Person 2 has lived in Wales throughout her adult life but as a child lived in England. Person 2 is not able to speak Welsh, this is not unusual in the area. As currently within the census statistics only 20 percent of adults speak Welsh (Welsh Government, 2021). I am able to speak Welsh and live outside of this county and it is evident on a daily basis of the difference in the number of Welsh speakers with 58% in my area (Welsh Government,</w:t>
            </w:r>
            <w:r w:rsidR="005E1BE4">
              <w:rPr>
                <w:bCs/>
                <w:sz w:val="22"/>
                <w:szCs w:val="22"/>
              </w:rPr>
              <w:t xml:space="preserve"> </w:t>
            </w:r>
            <w:r w:rsidRPr="00B52910">
              <w:rPr>
                <w:bCs/>
                <w:sz w:val="22"/>
                <w:szCs w:val="22"/>
              </w:rPr>
              <w:t xml:space="preserve">2021). Whilst I would not call myself a fluent Welsh speaker due to my confidence the opportunity to speak Welsh and grow confidence is greater from a county that have more Welsh speakers, whatever level of their ability. This highlights that it is even more imperative that I am active in providing a service through the Welsh language in an area of low numbers of Welsh speakers so that the minority are not oppressed when accessing services (Active offer, 2014; The Welsh Language Act, 1993).     </w:t>
            </w:r>
          </w:p>
          <w:p w14:paraId="3D6D6072" w14:textId="0F6D2952" w:rsidR="00382413" w:rsidRPr="00B52910" w:rsidRDefault="00382413" w:rsidP="00382413">
            <w:pPr>
              <w:rPr>
                <w:bCs/>
                <w:sz w:val="22"/>
                <w:szCs w:val="22"/>
              </w:rPr>
            </w:pPr>
            <w:r w:rsidRPr="00B52910">
              <w:rPr>
                <w:bCs/>
                <w:sz w:val="22"/>
                <w:szCs w:val="22"/>
              </w:rPr>
              <w:t xml:space="preserve">  </w:t>
            </w:r>
          </w:p>
          <w:p w14:paraId="4552AABF" w14:textId="2A1A81FD" w:rsidR="00382413" w:rsidRPr="00B52910" w:rsidRDefault="00382413" w:rsidP="00382413">
            <w:pPr>
              <w:rPr>
                <w:sz w:val="22"/>
                <w:szCs w:val="22"/>
              </w:rPr>
            </w:pPr>
            <w:r w:rsidRPr="00B52910">
              <w:rPr>
                <w:sz w:val="22"/>
                <w:szCs w:val="22"/>
              </w:rPr>
              <w:t xml:space="preserve">Person 2 as a child experienced physical and psychological abuse from her parents, alcohol dependency was also a factor for them. Person 2 would excel in school and enjoyed learning. However, as she progressed into her teens she experiences severe anxiety, alongside the abuse this negatively affected her social interactions with peers, and she would focus further into her education which provided an escape from the difficulties she faced. Person 2 is extremely intelligent, and became very talented in her field of work. Later on, in her adulthood person 2 found that alcohol was a relief to the anxiety and to forget the abuse and the relationship with her parents. Skolnick states individuals who experience difficulties with addiction use substances to psychological pain they are experiencing. Furthermore, that individuals who continue to return to substances have experiences deeper losses in early life and unable to express this loss. This loss can continue when </w:t>
            </w:r>
            <w:r w:rsidRPr="00B52910">
              <w:rPr>
                <w:sz w:val="22"/>
                <w:szCs w:val="22"/>
              </w:rPr>
              <w:lastRenderedPageBreak/>
              <w:t xml:space="preserve">using substances where there can be loss of and not limited to employment, peers and family.  </w:t>
            </w:r>
            <w:r w:rsidR="00B52910" w:rsidRPr="00B52910">
              <w:rPr>
                <w:sz w:val="22"/>
                <w:szCs w:val="22"/>
              </w:rPr>
              <w:t>However, the</w:t>
            </w:r>
            <w:r w:rsidRPr="00B52910">
              <w:rPr>
                <w:sz w:val="22"/>
                <w:szCs w:val="22"/>
              </w:rPr>
              <w:t xml:space="preserve"> transition into recovery can be the beginning of many losses where an individual can feel extremely vulnerable from the loss of their identity.    </w:t>
            </w:r>
          </w:p>
          <w:p w14:paraId="2819BC13" w14:textId="32C4DCAD" w:rsidR="00382413" w:rsidRPr="00B52910" w:rsidRDefault="00382413" w:rsidP="00382413">
            <w:pPr>
              <w:rPr>
                <w:sz w:val="22"/>
                <w:szCs w:val="22"/>
              </w:rPr>
            </w:pPr>
            <w:r w:rsidRPr="00B52910">
              <w:rPr>
                <w:sz w:val="22"/>
                <w:szCs w:val="22"/>
              </w:rPr>
              <w:t xml:space="preserve">   </w:t>
            </w:r>
          </w:p>
          <w:p w14:paraId="7E50E364" w14:textId="77777777" w:rsidR="00382413" w:rsidRPr="00B52910" w:rsidRDefault="00382413" w:rsidP="00382413">
            <w:pPr>
              <w:rPr>
                <w:sz w:val="22"/>
                <w:szCs w:val="22"/>
              </w:rPr>
            </w:pPr>
            <w:r w:rsidRPr="00B52910">
              <w:rPr>
                <w:sz w:val="22"/>
                <w:szCs w:val="22"/>
              </w:rPr>
              <w:t xml:space="preserve">When person 2 was in hospital she was referred to the substance misuse service (SMS) by the alcohol liaison team (ALN). Person 2 had been supported previously by the SMS team, and was currently being supported by the local authority. However, there had been a significant risk alert made following a physical attack on a professional in the SMS team previously. Due to this my mentor who had a significant amount of knowledge on the matter supported myself to arrange a Multi-Agency Team meeting to coordinate a risk assessment. </w:t>
            </w:r>
          </w:p>
          <w:p w14:paraId="4CD810BC" w14:textId="77777777" w:rsidR="00382413" w:rsidRPr="00B52910" w:rsidRDefault="00382413" w:rsidP="00382413">
            <w:pPr>
              <w:pBdr>
                <w:top w:val="single" w:sz="2" w:space="0" w:color="E5E7EB"/>
                <w:left w:val="single" w:sz="2" w:space="0" w:color="E5E7EB"/>
                <w:bottom w:val="single" w:sz="2" w:space="0" w:color="E5E7EB"/>
                <w:right w:val="single" w:sz="2" w:space="0" w:color="E5E7EB"/>
              </w:pBdr>
              <w:spacing w:before="100" w:beforeAutospacing="1" w:after="100" w:afterAutospacing="1"/>
              <w:rPr>
                <w:sz w:val="22"/>
                <w:szCs w:val="22"/>
              </w:rPr>
            </w:pPr>
            <w:r w:rsidRPr="00B52910">
              <w:rPr>
                <w:sz w:val="22"/>
                <w:szCs w:val="22"/>
              </w:rPr>
              <w:t>As I was aware we would be discussing person 2 and a concern of self-neglect. Self-neglect described by Social Care Institute of Excellence (2024) as a lack of self-care to extent that threatens personal health and safety, inability to avoid harm as a result of self-neglect. Inability to seek help or access services to meet health and social care needs, inability or willingness to manage one’s personal affairs and neglectful of personal hygiene, health and or surroundings.</w:t>
            </w:r>
          </w:p>
          <w:p w14:paraId="5ADBDC09" w14:textId="38A3532C" w:rsidR="00382413" w:rsidRPr="00B52910" w:rsidRDefault="00382413" w:rsidP="00382413">
            <w:pPr>
              <w:rPr>
                <w:sz w:val="22"/>
                <w:szCs w:val="22"/>
              </w:rPr>
            </w:pPr>
            <w:r w:rsidRPr="00B52910">
              <w:rPr>
                <w:sz w:val="22"/>
                <w:szCs w:val="22"/>
              </w:rPr>
              <w:t>I made myself aware of The Wales Safeguarding Procedures (2019) and the relevant procedures in our area (</w:t>
            </w:r>
            <w:proofErr w:type="spellStart"/>
            <w:r w:rsidRPr="00B52910">
              <w:rPr>
                <w:sz w:val="22"/>
                <w:szCs w:val="22"/>
              </w:rPr>
              <w:t>xxxxx</w:t>
            </w:r>
            <w:proofErr w:type="spellEnd"/>
            <w:r w:rsidRPr="00B52910">
              <w:rPr>
                <w:sz w:val="22"/>
                <w:szCs w:val="22"/>
              </w:rPr>
              <w:t xml:space="preserve"> Safeguarding board, 2016). The Wales Safeguarding Procedures (2019) are a significant principle within The Social Services Wellbeing (Wales) Act (2014). This ensures that all professionals practice within legislation, and the Working Together to Keep People Safe Guidance (Welsh Government, 2022). I have found the procedures easy to access through the app, and this creates a confidence in decision making.  Safeguarding. Furthermore, I was aware that the placement was becoming extremely concerned that person 2s care and support needs meant that person 2 was unable to protect herself from herself or others and at risk of experiencing abuse or neglect (Social Care Wales, 2020)  </w:t>
            </w:r>
          </w:p>
          <w:p w14:paraId="6CBA9201" w14:textId="77777777" w:rsidR="00382413" w:rsidRPr="00B52910" w:rsidRDefault="00382413" w:rsidP="00382413">
            <w:pPr>
              <w:rPr>
                <w:sz w:val="22"/>
                <w:szCs w:val="22"/>
              </w:rPr>
            </w:pPr>
          </w:p>
          <w:p w14:paraId="3F952B2C" w14:textId="7FFB368B" w:rsidR="00382413" w:rsidRPr="00B52910" w:rsidRDefault="00382413" w:rsidP="00382413">
            <w:pPr>
              <w:rPr>
                <w:sz w:val="22"/>
                <w:szCs w:val="22"/>
              </w:rPr>
            </w:pPr>
            <w:r w:rsidRPr="00B52910">
              <w:rPr>
                <w:sz w:val="22"/>
                <w:szCs w:val="22"/>
              </w:rPr>
              <w:t>Within the meeting it was discussed that person 2 had assaulted a local authority professional in a car on a dual carriage way. The professional had felt that within their team they had minimised the risk through not transporting person 2 again and as a result no further concerns had been raised. Furthermore, that person 2 had assaulted and been convicted of Grievous bodily harm, following an assault on a neighbour within the last 18 months. However, due to the relationship that had been built over a long period they didn’t feel that the concerns raised by our service were currently a concern. Activity Theory (</w:t>
            </w:r>
            <w:proofErr w:type="spellStart"/>
            <w:r w:rsidRPr="00B52910">
              <w:rPr>
                <w:sz w:val="22"/>
                <w:szCs w:val="22"/>
              </w:rPr>
              <w:t>Engestrom</w:t>
            </w:r>
            <w:proofErr w:type="spellEnd"/>
            <w:r w:rsidRPr="00B52910">
              <w:rPr>
                <w:sz w:val="22"/>
                <w:szCs w:val="22"/>
              </w:rPr>
              <w:t>, 1999) explains this conflict as necessary, and inevitable when roles are redefined, and redistributed. That conflict should be debated openly, which I felt all teams did within the meeting, and whilst it can be uncomfortable. Coming together with different knowledge and expertise to pursue a common goal of maintaining safety for all involved whilst supporting person 2 was a necessity (</w:t>
            </w:r>
            <w:proofErr w:type="spellStart"/>
            <w:r w:rsidRPr="00B52910">
              <w:rPr>
                <w:sz w:val="22"/>
                <w:szCs w:val="22"/>
              </w:rPr>
              <w:t>Engestrom</w:t>
            </w:r>
            <w:proofErr w:type="spellEnd"/>
            <w:r w:rsidRPr="00B52910">
              <w:rPr>
                <w:sz w:val="22"/>
                <w:szCs w:val="22"/>
              </w:rPr>
              <w:t>, 2001).</w:t>
            </w:r>
          </w:p>
          <w:p w14:paraId="63687026" w14:textId="77777777" w:rsidR="00382413" w:rsidRPr="00B52910" w:rsidRDefault="00382413" w:rsidP="00382413">
            <w:pPr>
              <w:rPr>
                <w:sz w:val="22"/>
                <w:szCs w:val="22"/>
              </w:rPr>
            </w:pPr>
          </w:p>
          <w:p w14:paraId="58A62068" w14:textId="07369F2F" w:rsidR="00382413" w:rsidRPr="00B52910" w:rsidRDefault="00382413" w:rsidP="00382413">
            <w:pPr>
              <w:rPr>
                <w:sz w:val="22"/>
                <w:szCs w:val="22"/>
              </w:rPr>
            </w:pPr>
            <w:r w:rsidRPr="00B52910">
              <w:rPr>
                <w:sz w:val="22"/>
                <w:szCs w:val="22"/>
              </w:rPr>
              <w:t xml:space="preserve">This continued level of violence was a concern to us as a team, and we discussed the management plan we felt would be appropriate. This included only seeing person 2 in pairs, this would include a member of Local authority staff, as person 2 was not familiar with myself. Local Authority felt that having a room within the placement may work better due to Person 2’s physical needs and feeling more at ease there and we agreed to this. Furthermore, it would have been helpful to have person 2 part of this planning process. However, person 2 was physically unwell in hospital at the time of the meeting, and it was felt that this would be extremely overwhelming for her to be a part of at the time. Due to this and wanting to make sure person 2 voice was heard as in line with The Social Services Wellbeing (Wales) Act (2014). Person 2s wishes were supported by a local Authority professional to advocate her wishes and feeling throughout the meeting. </w:t>
            </w:r>
          </w:p>
          <w:p w14:paraId="5585903C" w14:textId="77777777" w:rsidR="00382413" w:rsidRPr="00B52910" w:rsidRDefault="00382413" w:rsidP="00382413">
            <w:pPr>
              <w:rPr>
                <w:sz w:val="22"/>
                <w:szCs w:val="22"/>
              </w:rPr>
            </w:pPr>
          </w:p>
          <w:p w14:paraId="7836256C" w14:textId="3128DACD" w:rsidR="00382413" w:rsidRPr="00B52910" w:rsidRDefault="00382413" w:rsidP="00382413">
            <w:pPr>
              <w:rPr>
                <w:sz w:val="22"/>
                <w:szCs w:val="22"/>
              </w:rPr>
            </w:pPr>
            <w:r w:rsidRPr="00B52910">
              <w:rPr>
                <w:sz w:val="22"/>
                <w:szCs w:val="22"/>
              </w:rPr>
              <w:t xml:space="preserve">The meeting then went on to discuss concerns of self-neglect, it had been highlighted by the placement that person 2 was not eating, or partaking in a daily self-care routine. Placing herself at </w:t>
            </w:r>
            <w:r w:rsidRPr="00B52910">
              <w:rPr>
                <w:sz w:val="22"/>
                <w:szCs w:val="22"/>
              </w:rPr>
              <w:lastRenderedPageBreak/>
              <w:t>great risk from others in the placement and vulnerable to abuse. This was felt to be due to alcohol misuse and that due to her physical health concerns that they could not manage the level of care needed safely within the placement. Local authority discussed they felt that the physical health needs and risks identified by the placement were in relation to excessive alcohol use. As a service, myself and my mentor agreed that alcohol was the main factor in the self-neglect, risk of abuse and person 2s vulnerability. However, we would need to consider person 2s capacity, and currently there were no factors that would indicate we should consider anything other than she has capacity (Mental Capacity Act, 2005). We felt that Local Authority who had been supporting person 2 for a significant amount of time and were the lead agency (The Wales Safeguarding procedures, 2019) should take the lead in this.</w:t>
            </w:r>
            <w:r w:rsidRPr="00B52910">
              <w:rPr>
                <w:color w:val="FF0000"/>
                <w:sz w:val="22"/>
                <w:szCs w:val="22"/>
              </w:rPr>
              <w:t xml:space="preserve"> </w:t>
            </w:r>
            <w:r w:rsidRPr="00B52910">
              <w:rPr>
                <w:sz w:val="22"/>
                <w:szCs w:val="22"/>
              </w:rPr>
              <w:t xml:space="preserve">There was a reluctance from Local Authority on this due to the main factor of alcohol misuse. However, we discussed the barriers faced by our service in being the lead agency. As a service we had not assessed person 2 to ascertain if she would meet the criteria for our service, we would need to follow our policy and procedures. </w:t>
            </w:r>
            <w:r w:rsidRPr="00B52910">
              <w:rPr>
                <w:b/>
                <w:bCs/>
                <w:color w:val="FF0000"/>
                <w:sz w:val="22"/>
                <w:szCs w:val="22"/>
              </w:rPr>
              <w:t xml:space="preserve"> </w:t>
            </w:r>
            <w:r w:rsidRPr="00B52910">
              <w:rPr>
                <w:sz w:val="22"/>
                <w:szCs w:val="22"/>
              </w:rPr>
              <w:t>Furthermore, that our service is a voluntary service and we would need person 2s consent, we work with individuals to ascertain their treatment plan. This was agreed by the majority and Local Authority would lead and act on the self-neglect protocol.</w:t>
            </w:r>
          </w:p>
          <w:p w14:paraId="075EA525" w14:textId="77777777" w:rsidR="00382413" w:rsidRPr="00B52910" w:rsidRDefault="00382413" w:rsidP="00382413">
            <w:pPr>
              <w:rPr>
                <w:b/>
                <w:bCs/>
                <w:color w:val="FF0000"/>
                <w:sz w:val="22"/>
                <w:szCs w:val="22"/>
              </w:rPr>
            </w:pPr>
          </w:p>
          <w:p w14:paraId="504692CD" w14:textId="2A42177A" w:rsidR="00382413" w:rsidRPr="00B52910" w:rsidRDefault="00382413" w:rsidP="00382413">
            <w:pPr>
              <w:rPr>
                <w:b/>
                <w:bCs/>
                <w:color w:val="000000" w:themeColor="text1"/>
                <w:sz w:val="22"/>
                <w:szCs w:val="22"/>
              </w:rPr>
            </w:pPr>
            <w:r w:rsidRPr="00B52910">
              <w:rPr>
                <w:color w:val="000000" w:themeColor="text1"/>
                <w:sz w:val="22"/>
                <w:szCs w:val="22"/>
              </w:rPr>
              <w:t>Following this meeting a concern was raised by Local Authority that as a service we had discriminated person 2, and used Bias against her in regards to her previous attack on a professional in the team. Tversky and Kahneman (1973) describe this as “the tendency to judge the probability or frequency of an event by the number of examples of the event that can be easily be brought to mind” (Kirkman and Melrose, 2014).</w:t>
            </w:r>
            <w:r w:rsidRPr="00B52910">
              <w:rPr>
                <w:b/>
                <w:bCs/>
                <w:color w:val="000000" w:themeColor="text1"/>
                <w:sz w:val="22"/>
                <w:szCs w:val="22"/>
              </w:rPr>
              <w:t xml:space="preserve"> </w:t>
            </w:r>
            <w:r w:rsidRPr="00B52910">
              <w:rPr>
                <w:color w:val="000000" w:themeColor="text1"/>
                <w:sz w:val="22"/>
                <w:szCs w:val="22"/>
              </w:rPr>
              <w:t>However, following the information shared within the meeting the probability of risk was felt to be too high to overlook. This was discussed with our Violence and Aggression Officer, who had been part of all decision making as part of health and safety measures within the organisation,</w:t>
            </w:r>
            <w:r w:rsidRPr="00B52910">
              <w:rPr>
                <w:color w:val="FF0000"/>
                <w:sz w:val="22"/>
                <w:szCs w:val="22"/>
              </w:rPr>
              <w:t xml:space="preserve"> </w:t>
            </w:r>
            <w:r w:rsidRPr="00B52910">
              <w:rPr>
                <w:color w:val="000000" w:themeColor="text1"/>
                <w:sz w:val="22"/>
                <w:szCs w:val="22"/>
              </w:rPr>
              <w:t>and a decision was made that we seek further support from higher management. The decided was then made that they would assess person 2 to acknowledge the complaint and provide person 2 with a fair assessment plan without judgement.</w:t>
            </w:r>
            <w:r w:rsidRPr="00B52910">
              <w:rPr>
                <w:b/>
                <w:bCs/>
                <w:color w:val="000000" w:themeColor="text1"/>
                <w:sz w:val="22"/>
                <w:szCs w:val="22"/>
              </w:rPr>
              <w:t xml:space="preserve"> </w:t>
            </w:r>
          </w:p>
          <w:p w14:paraId="448B5AD8" w14:textId="77777777" w:rsidR="00382413" w:rsidRPr="00B52910" w:rsidRDefault="00382413" w:rsidP="00382413">
            <w:pPr>
              <w:rPr>
                <w:b/>
                <w:bCs/>
                <w:color w:val="000000" w:themeColor="text1"/>
                <w:sz w:val="22"/>
                <w:szCs w:val="22"/>
              </w:rPr>
            </w:pPr>
          </w:p>
          <w:p w14:paraId="3E7A91F9" w14:textId="7FAAADB4" w:rsidR="00382413" w:rsidRPr="00B52910" w:rsidRDefault="00382413" w:rsidP="00382413">
            <w:pPr>
              <w:rPr>
                <w:color w:val="000000" w:themeColor="text1"/>
                <w:sz w:val="22"/>
                <w:szCs w:val="22"/>
              </w:rPr>
            </w:pPr>
            <w:r w:rsidRPr="00B52910">
              <w:rPr>
                <w:color w:val="000000" w:themeColor="text1"/>
                <w:sz w:val="22"/>
                <w:szCs w:val="22"/>
              </w:rPr>
              <w:t xml:space="preserve">Person 2 following an assessment from higher management and a team medic, a plan was made for person 2 to continue working alongside two professionals, one being myself and one being local authority professional who person 2 had a positive working relationship with. Person 2 was to consider medication for cravings and rehabilitation settings and detox. Furthermore, myself to consider support from the Community mental health team (CMHT). However, person 2 due to her physical health would become very ill quickly following drinking. Person 2 had expressed that she had no desire to stop drinking to ALNs and would become very difficult to manage within hospital. Due to this it became difficult to ascertain my role within the care plan. I discussed with the Local Authority team who had become vital in providing information, when best for me to be present, and for the local authority to feel supported by the SMS team by providing </w:t>
            </w:r>
            <w:r w:rsidRPr="00B52910">
              <w:rPr>
                <w:sz w:val="22"/>
                <w:szCs w:val="22"/>
              </w:rPr>
              <w:t>knowledge and tools in harm reduction advice that could be provide to person 2 through other professionals. If we could coordinate a care planning meeting to</w:t>
            </w:r>
            <w:r w:rsidRPr="00B52910">
              <w:rPr>
                <w:color w:val="000000" w:themeColor="text1"/>
                <w:sz w:val="22"/>
                <w:szCs w:val="22"/>
              </w:rPr>
              <w:t xml:space="preserve"> ascertain person 2s wishes and feeling and how best we could support her as a team going forward. </w:t>
            </w:r>
          </w:p>
          <w:p w14:paraId="51D6C2B5" w14:textId="77777777" w:rsidR="00382413" w:rsidRPr="00B52910" w:rsidRDefault="00382413" w:rsidP="00382413">
            <w:pPr>
              <w:rPr>
                <w:color w:val="000000" w:themeColor="text1"/>
                <w:sz w:val="22"/>
                <w:szCs w:val="22"/>
              </w:rPr>
            </w:pPr>
          </w:p>
          <w:p w14:paraId="7F3ECC94" w14:textId="0E8DD3E4" w:rsidR="00382413" w:rsidRPr="00B52910" w:rsidRDefault="00382413" w:rsidP="00382413">
            <w:pPr>
              <w:rPr>
                <w:color w:val="000000" w:themeColor="text1"/>
                <w:sz w:val="22"/>
                <w:szCs w:val="22"/>
              </w:rPr>
            </w:pPr>
            <w:r w:rsidRPr="00B52910">
              <w:rPr>
                <w:color w:val="000000" w:themeColor="text1"/>
                <w:sz w:val="22"/>
                <w:szCs w:val="22"/>
              </w:rPr>
              <w:t xml:space="preserve">Local Authority expressed that Person 2 had discussed that she was unsure of my role and the role of the placement, Person 2 had felt frustrated with the placement as they had expressed that person 2’s physical health needs were becoming unmanageable for them and having to do half hourly checks would not be continued following her discharge from hospital. However, as a team they had come to see her to welcome her back and she felt that this was an unnecessary check. Due to this a decision was made to have myself, local authority and the placement with person 2 collaborate a care plan for her to understand her wishes and feelings (The Social Services Wellbeing (Wales) Act, 2014) whilst providing support to the placement and to discuss risk management with person 2 honestly and holistically. </w:t>
            </w:r>
          </w:p>
          <w:p w14:paraId="72068860" w14:textId="77777777" w:rsidR="00382413" w:rsidRPr="00B52910" w:rsidRDefault="00382413" w:rsidP="00382413">
            <w:pPr>
              <w:rPr>
                <w:color w:val="000000" w:themeColor="text1"/>
                <w:sz w:val="22"/>
                <w:szCs w:val="22"/>
              </w:rPr>
            </w:pPr>
          </w:p>
          <w:p w14:paraId="273B42C7" w14:textId="548FA2F1" w:rsidR="00382413" w:rsidRPr="00B52910" w:rsidRDefault="00382413" w:rsidP="00382413">
            <w:pPr>
              <w:rPr>
                <w:color w:val="000000" w:themeColor="text1"/>
                <w:sz w:val="22"/>
                <w:szCs w:val="22"/>
              </w:rPr>
            </w:pPr>
            <w:r w:rsidRPr="00B52910">
              <w:rPr>
                <w:color w:val="000000" w:themeColor="text1"/>
                <w:sz w:val="22"/>
                <w:szCs w:val="22"/>
              </w:rPr>
              <w:lastRenderedPageBreak/>
              <w:t xml:space="preserve">Person 2 expressed within the meeting, that she was making the decision with capacity and understood the risk to her physical health but she would like medication that the General Practice professional was unwilling to provide due to her physical health even if this had implications, and shorten her life expectance. Together we discussed we could revisit this with her general practice professional however, the SMS medic could not prescribe any medication in this regard as it relates to physical health. A discussion between the placement regarding the welfare checks was had and a decision made that person 2 would express when her physical health was declining and in collaboration would seek medical support. Person 2 would also not decline medical intervention going forward. </w:t>
            </w:r>
          </w:p>
          <w:p w14:paraId="256AD583" w14:textId="77777777" w:rsidR="00382413" w:rsidRPr="00B52910" w:rsidRDefault="00382413" w:rsidP="00382413">
            <w:pPr>
              <w:rPr>
                <w:color w:val="000000" w:themeColor="text1"/>
                <w:sz w:val="22"/>
                <w:szCs w:val="22"/>
              </w:rPr>
            </w:pPr>
          </w:p>
          <w:p w14:paraId="277D8D42" w14:textId="64DE1E1E" w:rsidR="00382413" w:rsidRPr="00B52910" w:rsidRDefault="00382413" w:rsidP="00382413">
            <w:pPr>
              <w:rPr>
                <w:color w:val="000000" w:themeColor="text1"/>
                <w:sz w:val="22"/>
                <w:szCs w:val="22"/>
              </w:rPr>
            </w:pPr>
            <w:r w:rsidRPr="00B52910">
              <w:rPr>
                <w:color w:val="000000" w:themeColor="text1"/>
                <w:sz w:val="22"/>
                <w:szCs w:val="22"/>
              </w:rPr>
              <w:t>Person 2 wanted to know what I could provide as a service. Currently person 2 felt that medication for cravings would be a personal failure, that rehab and detox was not an option, and that group work would not be an option due to her anxiety. I discussed that this is the treatment we offer as a service but also as a keyworker I could provide a one-to-one basis for the group work, and whilst this was not ideal due to not experiencing other individuals’ reflection on recovery, I would be happy to do this. The Recovery model (Carpenter, 2002), can highlight this through providing an individual with self-resilience, personal responsibility, self-determination and where hopefulness is at the core. Where hope is created through others around them that have experienced similar experiences and that recovery will occur (Carpenter, 2002. Person 2 agreed and felt currently this would be supportive of her abstinence following discharge from hospital the previous day.</w:t>
            </w:r>
          </w:p>
          <w:p w14:paraId="38364BED" w14:textId="77777777" w:rsidR="00382413" w:rsidRPr="00B52910" w:rsidRDefault="00382413" w:rsidP="00382413">
            <w:pPr>
              <w:rPr>
                <w:color w:val="000000" w:themeColor="text1"/>
                <w:sz w:val="22"/>
                <w:szCs w:val="22"/>
              </w:rPr>
            </w:pPr>
          </w:p>
          <w:p w14:paraId="16A0E2F6" w14:textId="7E516415" w:rsidR="00382413" w:rsidRPr="00B52910" w:rsidRDefault="00382413" w:rsidP="00382413">
            <w:pPr>
              <w:rPr>
                <w:color w:val="000000" w:themeColor="text1"/>
                <w:sz w:val="22"/>
                <w:szCs w:val="22"/>
              </w:rPr>
            </w:pPr>
            <w:r w:rsidRPr="00B52910">
              <w:rPr>
                <w:color w:val="000000" w:themeColor="text1"/>
                <w:sz w:val="22"/>
                <w:szCs w:val="22"/>
              </w:rPr>
              <w:t>During this time of speaking to person 2 it was evident that she was finding this time extremely vulnerable and difficult. I was aware I needed to use a soft tone, and provide areas of silence. Person 2 could then have opportunities to process what was being said and to reply. Silences can feel uneasy at first but I have through my practice developed skills in this area. This is through remembering that communication as a skill is a mixture of verbal and non-verbal actions, which are important in developing positive relationships (Thompson, 2015). Whilst providing empowerment to person 2 and myself to work in an anti-oppressive manner (</w:t>
            </w:r>
            <w:proofErr w:type="spellStart"/>
            <w:r w:rsidRPr="00B52910">
              <w:rPr>
                <w:color w:val="000000" w:themeColor="text1"/>
                <w:sz w:val="22"/>
                <w:szCs w:val="22"/>
              </w:rPr>
              <w:t>Dominelli</w:t>
            </w:r>
            <w:proofErr w:type="spellEnd"/>
            <w:r w:rsidRPr="00B52910">
              <w:rPr>
                <w:color w:val="000000" w:themeColor="text1"/>
                <w:sz w:val="22"/>
                <w:szCs w:val="22"/>
              </w:rPr>
              <w:t xml:space="preserve">, 2004). Furthermore, provides person 2 with more control of her outcomes and in delivering real opportunities to be heard (The Social Services Wellbeing (Wales) Act, 2014). </w:t>
            </w:r>
          </w:p>
          <w:p w14:paraId="1379653B" w14:textId="77777777" w:rsidR="00382413" w:rsidRPr="00B52910" w:rsidRDefault="00382413" w:rsidP="00382413">
            <w:pPr>
              <w:rPr>
                <w:color w:val="000000" w:themeColor="text1"/>
                <w:sz w:val="22"/>
                <w:szCs w:val="22"/>
              </w:rPr>
            </w:pPr>
          </w:p>
          <w:p w14:paraId="352FC3DF" w14:textId="7C1DC704" w:rsidR="00382413" w:rsidRPr="00B52910" w:rsidRDefault="00382413" w:rsidP="00382413">
            <w:pPr>
              <w:rPr>
                <w:sz w:val="22"/>
                <w:szCs w:val="22"/>
              </w:rPr>
            </w:pPr>
            <w:r w:rsidRPr="00B52910">
              <w:rPr>
                <w:color w:val="000000" w:themeColor="text1"/>
                <w:sz w:val="22"/>
                <w:szCs w:val="22"/>
              </w:rPr>
              <w:t xml:space="preserve">Moreover, throughout the session with person 2 I use the Cycle of Change model </w:t>
            </w:r>
            <w:r w:rsidRPr="00B52910">
              <w:rPr>
                <w:sz w:val="22"/>
                <w:szCs w:val="22"/>
              </w:rPr>
              <w:t>(</w:t>
            </w:r>
            <w:proofErr w:type="spellStart"/>
            <w:r w:rsidRPr="00B52910">
              <w:rPr>
                <w:sz w:val="22"/>
                <w:szCs w:val="22"/>
              </w:rPr>
              <w:t>Proschaka</w:t>
            </w:r>
            <w:proofErr w:type="spellEnd"/>
            <w:r w:rsidRPr="00B52910">
              <w:rPr>
                <w:sz w:val="22"/>
                <w:szCs w:val="22"/>
              </w:rPr>
              <w:t xml:space="preserve"> and Di</w:t>
            </w:r>
            <w:r w:rsidR="00B52910" w:rsidRPr="00B52910">
              <w:rPr>
                <w:sz w:val="22"/>
                <w:szCs w:val="22"/>
              </w:rPr>
              <w:t>C</w:t>
            </w:r>
            <w:r w:rsidRPr="00B52910">
              <w:rPr>
                <w:sz w:val="22"/>
                <w:szCs w:val="22"/>
              </w:rPr>
              <w:t xml:space="preserve">lemente, 1983) in doing so as a professional in SMS I am able to understand person 2s potential to make positive changes around her alcohol misuse. The theory suggests I play a supporting role I nudging person 2 towards changing her alcohol misuse. However, this change must come from person 2.  The model is made of six distinctive stages and person 2 can move around with fluidity at any time. The model can be based on interpretations that the professional makes on the individual at the time, and must be considered with caution and acknowledgment of bias. However, if used correctly alongside motivational interviewing communication techniques (Miller and Rollnick, 2013) with a clear focus on strengths then positive outcomes can be sought for individuals. Person 2 was currently within the Action stage as she was abstinent. Without significant support and building on her outcomes. However, the possibility of returning to a preparation stage was high. I discussed this openly and honestly with person 2, as she had no previous preparation for this abstinence and this would be very overwhelming for her. A plan was made that person 2 would have opportunities to access the library and go shopping with a professional to minimise risk. That person 2 would consider her friendship group and their impact on her outcomes long term, whilst acknowledging that we would respect her wishes and choices. I also discussed harm reduction in great length with person 2 as she had significant physical health needs that relate to her alcohol use and the use of alcohol would be detrimental to her health (Harm Reduction model, 2022). Furthermore, we would arrange for person 2 to seek medical advice from a general practitioner to explore the difficulties around pain management.     </w:t>
            </w:r>
          </w:p>
          <w:p w14:paraId="651EF429" w14:textId="77777777" w:rsidR="00382413" w:rsidRPr="00B52910" w:rsidRDefault="00382413" w:rsidP="00382413">
            <w:pPr>
              <w:rPr>
                <w:color w:val="000000" w:themeColor="text1"/>
                <w:sz w:val="22"/>
                <w:szCs w:val="22"/>
              </w:rPr>
            </w:pPr>
          </w:p>
          <w:p w14:paraId="047A06F3" w14:textId="213B7A99" w:rsidR="00382413" w:rsidRPr="00B52910" w:rsidRDefault="00382413" w:rsidP="00382413">
            <w:pPr>
              <w:rPr>
                <w:color w:val="000000" w:themeColor="text1"/>
                <w:sz w:val="22"/>
                <w:szCs w:val="22"/>
              </w:rPr>
            </w:pPr>
            <w:r w:rsidRPr="00B52910">
              <w:rPr>
                <w:color w:val="000000" w:themeColor="text1"/>
                <w:sz w:val="22"/>
                <w:szCs w:val="22"/>
              </w:rPr>
              <w:t xml:space="preserve">Unfortunately, </w:t>
            </w:r>
            <w:r w:rsidRPr="00B52910">
              <w:rPr>
                <w:sz w:val="22"/>
                <w:szCs w:val="22"/>
              </w:rPr>
              <w:t>Person 2 returned to hospital following this session, and had expressed she would not like her medical status or interventions discussed with any service.</w:t>
            </w:r>
            <w:r w:rsidRPr="00B52910">
              <w:rPr>
                <w:b/>
                <w:bCs/>
                <w:sz w:val="22"/>
                <w:szCs w:val="22"/>
              </w:rPr>
              <w:t xml:space="preserve"> </w:t>
            </w:r>
            <w:r w:rsidRPr="00B52910">
              <w:rPr>
                <w:sz w:val="22"/>
                <w:szCs w:val="22"/>
              </w:rPr>
              <w:t>Due to the service being within the NHS this can be difficult to manage as the information is available to the medics and to keyworkers when individuals are admitted to hospital.</w:t>
            </w:r>
            <w:r w:rsidRPr="00B52910">
              <w:rPr>
                <w:color w:val="000000" w:themeColor="text1"/>
                <w:sz w:val="22"/>
                <w:szCs w:val="22"/>
              </w:rPr>
              <w:t xml:space="preserve"> This sharing of information within the NHS relates to managing risk, treatment plans and safeguarding person 2. ALNs were open and honest with person 2 that information is shared with SMS and respected person 2s wishes and feelings at this time. However, discussed the importance of sharing specific information and seeking consent as best practice (Data Protection Act, 2018) and this complies with the confidentiality policy within the organisation.</w:t>
            </w:r>
          </w:p>
          <w:p w14:paraId="01DAFCCD" w14:textId="77777777" w:rsidR="00382413" w:rsidRPr="00B52910" w:rsidRDefault="00382413" w:rsidP="00382413">
            <w:pPr>
              <w:rPr>
                <w:color w:val="000000" w:themeColor="text1"/>
                <w:sz w:val="22"/>
                <w:szCs w:val="22"/>
              </w:rPr>
            </w:pPr>
          </w:p>
          <w:p w14:paraId="58694FF3" w14:textId="36EDC2A1" w:rsidR="00382413" w:rsidRPr="00B52910" w:rsidRDefault="00382413" w:rsidP="00382413">
            <w:pPr>
              <w:rPr>
                <w:sz w:val="22"/>
                <w:szCs w:val="22"/>
              </w:rPr>
            </w:pPr>
            <w:r w:rsidRPr="00B52910">
              <w:rPr>
                <w:color w:val="000000" w:themeColor="text1"/>
                <w:sz w:val="22"/>
                <w:szCs w:val="22"/>
              </w:rPr>
              <w:t xml:space="preserve">Person 2 was later discharged from hospital and concerns were raised from local authority professionals that the placement had become extremely concerned about person 2. That person 2 had not wanted to see them or local authority. Local authority and myself sought consent to enter the room but person 2 refused. The concern was raised that person 2 had not been taking her medication as prescribed and had been using excessive amounts of alcohol. Due to the concerns relating to person 2s physical health and continued alcohol misuse, I was placed in difficult position.  </w:t>
            </w:r>
            <w:r w:rsidRPr="00B52910">
              <w:rPr>
                <w:sz w:val="22"/>
                <w:szCs w:val="22"/>
              </w:rPr>
              <w:t xml:space="preserve">Person 2 has the right within the Convention of human rights to a private </w:t>
            </w:r>
            <w:r w:rsidRPr="00B52910">
              <w:rPr>
                <w:color w:val="000000" w:themeColor="text1"/>
                <w:sz w:val="22"/>
                <w:szCs w:val="22"/>
              </w:rPr>
              <w:t>life (Convention of Human Rights Act, 1948) Furthermore, this also is incorporated with UK wide legislation suc</w:t>
            </w:r>
            <w:r w:rsidRPr="00B52910">
              <w:rPr>
                <w:sz w:val="22"/>
                <w:szCs w:val="22"/>
              </w:rPr>
              <w:t xml:space="preserve">h as the Human Rights Act (UK Government, 1998). However, all rights can be considered but not actioned upon if the safeguarding concern is higher than the right. However, this should be in proportionate and not excessive to the circumstance (Human Rights Act, 1998). My concern was that this was a Friday, and due to the limited support, that could be offered by placement staff where they could only knock and ask if person 2 was okay, as they did not have the authority to enter the room without consent. Person 2 had previously not answered staff and they had believed she was asleep. Due to the nature of her last admission and concerns she could be left without being seen, and could need medical intervention I made the professional judgment, as part of my professional code of practice </w:t>
            </w:r>
            <w:r w:rsidRPr="00B52910">
              <w:rPr>
                <w:color w:val="000000" w:themeColor="text1"/>
                <w:sz w:val="22"/>
                <w:szCs w:val="22"/>
              </w:rPr>
              <w:t xml:space="preserve">(Social Care Wales, 2017) </w:t>
            </w:r>
            <w:r w:rsidRPr="00B52910">
              <w:rPr>
                <w:sz w:val="22"/>
                <w:szCs w:val="22"/>
              </w:rPr>
              <w:t>to share this information. Person 2 has a right to make unwise decisions (Mental Capacity Act, 2005) however, I must ensure her decision making and behaviour does not place herself or others at harm</w:t>
            </w:r>
            <w:r w:rsidRPr="00B52910">
              <w:rPr>
                <w:color w:val="000000" w:themeColor="text1"/>
                <w:sz w:val="22"/>
                <w:szCs w:val="22"/>
              </w:rPr>
              <w:t xml:space="preserve"> (Social Care Wales, 2017) </w:t>
            </w:r>
            <w:r w:rsidRPr="00B52910">
              <w:rPr>
                <w:sz w:val="22"/>
                <w:szCs w:val="22"/>
              </w:rPr>
              <w:t xml:space="preserve">This is also a legal duty within Safeguarding </w:t>
            </w:r>
            <w:r w:rsidRPr="00B52910">
              <w:rPr>
                <w:color w:val="000000" w:themeColor="text1"/>
                <w:sz w:val="22"/>
                <w:szCs w:val="22"/>
              </w:rPr>
              <w:t xml:space="preserve">legislation (The Wales Safeguarding Procedures 2019; Data Protection Act, 2018). In </w:t>
            </w:r>
            <w:r w:rsidRPr="00B52910">
              <w:rPr>
                <w:sz w:val="22"/>
                <w:szCs w:val="22"/>
              </w:rPr>
              <w:t>sharing this information, it could be a factor in the care delivered to safeguard person 2 over the weekend. Following sharing this information a decision was made by Local authority to provide extra staffing to the placement so that person 2 was seen regularly throughout the weekend.</w:t>
            </w:r>
          </w:p>
          <w:p w14:paraId="5A507899" w14:textId="77777777" w:rsidR="00382413" w:rsidRPr="00B52910" w:rsidRDefault="00382413" w:rsidP="00382413">
            <w:pPr>
              <w:rPr>
                <w:sz w:val="22"/>
                <w:szCs w:val="22"/>
              </w:rPr>
            </w:pPr>
          </w:p>
          <w:p w14:paraId="5B2CF58B" w14:textId="5C2F64D1" w:rsidR="00382413" w:rsidRPr="00B52910" w:rsidRDefault="00382413" w:rsidP="00382413">
            <w:pPr>
              <w:rPr>
                <w:color w:val="000000" w:themeColor="text1"/>
                <w:sz w:val="22"/>
                <w:szCs w:val="22"/>
              </w:rPr>
            </w:pPr>
            <w:r w:rsidRPr="00B52910">
              <w:rPr>
                <w:sz w:val="22"/>
                <w:szCs w:val="22"/>
              </w:rPr>
              <w:t xml:space="preserve">When I returned to work, I was informed by local authority that person 2 had needed medical intervention due to drinking excessively. </w:t>
            </w:r>
            <w:r w:rsidRPr="00B52910">
              <w:rPr>
                <w:color w:val="000000" w:themeColor="text1"/>
                <w:sz w:val="22"/>
                <w:szCs w:val="22"/>
              </w:rPr>
              <w:t xml:space="preserve">Person 2 stated she was in a lot of pain and due to her physical health needs she was unable to get the medication she feels will alleviate this pain and alcohol helps with this. At times person 2 who has capacity (Mental Capacity Act, 2005) leaves the hospital against medical advice. However, on this occasion person 2 was experiencing withdrawal symptoms which escalated to delirium and was trying to leave the hospital. The hospital staff sought advice and support and felt that a Deprivation of Liberty (DOLs) would be within the best interest for person 2 and the least restrictive at this time (Mental Capacity Act, 2005). DOLs is not as understood within safeguarding and. However, it demonstrates that professionals understand individuals’ rights and are promoting and acting upon them. This framework is set out in law (Mental Capacity Act, 2005; Human Rights Act, 1998; disability discrimination Act, 1995 and 2005; Equality Act, 2010), and as professionals we should be promoting and protecting rights and best interests (Social Care Institute of excellence, 2020).   </w:t>
            </w:r>
          </w:p>
          <w:p w14:paraId="3BF16649" w14:textId="77777777" w:rsidR="00382413" w:rsidRPr="00B52910" w:rsidRDefault="00382413" w:rsidP="00382413">
            <w:pPr>
              <w:rPr>
                <w:color w:val="000000" w:themeColor="text1"/>
                <w:sz w:val="22"/>
                <w:szCs w:val="22"/>
              </w:rPr>
            </w:pPr>
          </w:p>
          <w:p w14:paraId="66D4AE49" w14:textId="3F8906CF" w:rsidR="00382413" w:rsidRPr="00B52910" w:rsidRDefault="00382413" w:rsidP="00382413">
            <w:pPr>
              <w:rPr>
                <w:color w:val="000000" w:themeColor="text1"/>
                <w:sz w:val="22"/>
                <w:szCs w:val="22"/>
              </w:rPr>
            </w:pPr>
            <w:r w:rsidRPr="00B52910">
              <w:rPr>
                <w:color w:val="000000" w:themeColor="text1"/>
                <w:sz w:val="22"/>
                <w:szCs w:val="22"/>
              </w:rPr>
              <w:t xml:space="preserve">During this time, I continued to liaise with hospital professionals but did not make contact directly with person 2. Due to person 2 not engage within any support I could offer previous to this admission </w:t>
            </w:r>
            <w:r w:rsidRPr="00B52910">
              <w:rPr>
                <w:color w:val="000000" w:themeColor="text1"/>
                <w:sz w:val="22"/>
                <w:szCs w:val="22"/>
              </w:rPr>
              <w:lastRenderedPageBreak/>
              <w:t xml:space="preserve">for some time. I felt that currently we could not ascertain her wishes and outcomes in her treatment plan from our service, whilst also being an inappropriate use of power. However, this was reassessed within a few days and person 2 was supported to make decisions that support her care and outcomes in regards to her treatment within hospital (Mental Capacity Act, 2005) through a discharge planning meeting before being discharged to the placement. The placement was extremely concerned in regards to person 2s needs and care and they expressed they could no longer support person 2. Person 2 is currently being supported by Local Authority to find another placement, that can support person 2 needs collaboratively. However, continues to have minimal engagement with myself and continues to express her desire to use alcohol. This has resulted in myself respecting this decision and supporting Local Authority in providing harm reduction advice. I provide person 2 with opportunities to engage in support that I can offer, but I have also sought support from the medical team as to what support we can offer going forward. </w:t>
            </w:r>
          </w:p>
          <w:p w14:paraId="06D7045A" w14:textId="77777777" w:rsidR="00382413" w:rsidRPr="00B52910" w:rsidRDefault="00382413" w:rsidP="00382413">
            <w:pPr>
              <w:rPr>
                <w:color w:val="000000" w:themeColor="text1"/>
                <w:sz w:val="22"/>
                <w:szCs w:val="22"/>
              </w:rPr>
            </w:pPr>
          </w:p>
          <w:p w14:paraId="082F09BA" w14:textId="2D5563BF" w:rsidR="00382413" w:rsidRPr="00B52910" w:rsidRDefault="00382413" w:rsidP="00382413">
            <w:pPr>
              <w:rPr>
                <w:sz w:val="22"/>
                <w:szCs w:val="22"/>
              </w:rPr>
            </w:pPr>
            <w:r w:rsidRPr="00B52910">
              <w:rPr>
                <w:sz w:val="22"/>
                <w:szCs w:val="22"/>
              </w:rPr>
              <w:t xml:space="preserve">In using Gibbs reflective cycle (1988) of the safeguarding process, and my practice. The Wales Safeguarding Procedures are clear in my role in safeguarding person 2, and having them available with such ease on </w:t>
            </w:r>
            <w:proofErr w:type="gramStart"/>
            <w:r w:rsidRPr="00B52910">
              <w:rPr>
                <w:sz w:val="22"/>
                <w:szCs w:val="22"/>
              </w:rPr>
              <w:t>a</w:t>
            </w:r>
            <w:proofErr w:type="gramEnd"/>
            <w:r w:rsidRPr="00B52910">
              <w:rPr>
                <w:sz w:val="22"/>
                <w:szCs w:val="22"/>
              </w:rPr>
              <w:t xml:space="preserve"> app supports me as a professional within my decision making. Furthermore, gives me confidence when working collaboratively with other agencies when conflict of outcomes occurs. I can identify that I have always worker in a person-centred manor and have been confident that I place the individual at the centre of their care. However, I had not appreciated how complex this could be when considering person 2 making unwise decisions that are directly harming herself. Furthermore, managing other agencies expectations of my role and confidently expressing my limitations when person 2 is expressing her wishes are to continue to drink excessively with capacity, and places barriers to the support that is offered by all agencies. However, I am confident to express my limitations and have expressed that I would like further support from the medical team in SMS in relation to the physical health needs. The support of my mentor has been invaluable, who has been a social worker in the team for a number of years with great knowledge in this type of complexity. As at times I can be concerned that due to person 2s disengagement I am not gaining her voice and outcomes to her care (The Social services and Well-being (Wales) Act, 2014). As well as the team meeting, as a multi-agency team we have a number of different </w:t>
            </w:r>
            <w:proofErr w:type="gramStart"/>
            <w:r w:rsidRPr="00B52910">
              <w:rPr>
                <w:sz w:val="22"/>
                <w:szCs w:val="22"/>
              </w:rPr>
              <w:t>skill</w:t>
            </w:r>
            <w:proofErr w:type="gramEnd"/>
            <w:r w:rsidRPr="00B52910">
              <w:rPr>
                <w:sz w:val="22"/>
                <w:szCs w:val="22"/>
              </w:rPr>
              <w:t xml:space="preserve"> sets that we all value in providing knowledge on the appropriate action to take in such situations, and I continue to discuss person 2 within this forum, as well as management support through supervision. </w:t>
            </w:r>
          </w:p>
          <w:p w14:paraId="3FE06942" w14:textId="77777777" w:rsidR="00382413" w:rsidRDefault="00382413" w:rsidP="00382413"/>
          <w:p w14:paraId="0F94EAEE" w14:textId="77777777" w:rsidR="00382413" w:rsidRPr="00B52910" w:rsidRDefault="00382413" w:rsidP="00382413">
            <w:pPr>
              <w:rPr>
                <w:sz w:val="22"/>
                <w:szCs w:val="22"/>
              </w:rPr>
            </w:pPr>
            <w:r>
              <w:t xml:space="preserve"> </w:t>
            </w:r>
            <w:r w:rsidRPr="00B52910">
              <w:rPr>
                <w:sz w:val="22"/>
                <w:szCs w:val="22"/>
              </w:rPr>
              <w:t xml:space="preserve">Whilst at times working alongside other agencies that have different outcomes and knowledge sets can be difficult (Parrot, 2006). Through building a collaborative approach I have valued the Local Authority team support, and without their support I would be concerned that we would not be able to provide harm reduction advice as a minimum to person 2, and the risk could be even greater than they currently are. I believe this positive collaborative working has been due to the professionals from local authority, and myself continuing to be proactive in updating and acknowledging all agencies limitations. Whilst at every position acknowledging person 2s wishes and feelings. Being open and honest regarding risk and considering her capacity in making decisions, respecting these decisions (Social Care Wales, 2017) with an empathetic support in the harm reduction advice we offer her.       </w:t>
            </w:r>
          </w:p>
          <w:p w14:paraId="5F057571" w14:textId="77777777" w:rsidR="00382413" w:rsidRDefault="00382413" w:rsidP="00382413">
            <w:pPr>
              <w:rPr>
                <w:b/>
                <w:bCs/>
              </w:rPr>
            </w:pPr>
          </w:p>
          <w:p w14:paraId="6F7746BE" w14:textId="77777777" w:rsidR="00382413" w:rsidRDefault="00382413" w:rsidP="00382413">
            <w:r>
              <w:t>3884 words</w:t>
            </w:r>
          </w:p>
          <w:p w14:paraId="20370495" w14:textId="79B79501" w:rsidR="00D3203C" w:rsidRPr="00382413" w:rsidRDefault="00D3203C" w:rsidP="00FF7EBB">
            <w:pPr>
              <w:jc w:val="both"/>
              <w:rPr>
                <w:iCs/>
                <w:sz w:val="22"/>
                <w:szCs w:val="22"/>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26A2F8" w14:textId="77777777" w:rsidR="00A7181F" w:rsidRDefault="00A7181F">
      <w:r>
        <w:separator/>
      </w:r>
    </w:p>
  </w:endnote>
  <w:endnote w:type="continuationSeparator" w:id="0">
    <w:p w14:paraId="2C29FB13" w14:textId="77777777" w:rsidR="00A7181F" w:rsidRDefault="00A718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8FBAF" w14:textId="77777777" w:rsidR="00A7181F" w:rsidRDefault="00A7181F">
      <w:r>
        <w:separator/>
      </w:r>
    </w:p>
  </w:footnote>
  <w:footnote w:type="continuationSeparator" w:id="0">
    <w:p w14:paraId="31446597" w14:textId="77777777" w:rsidR="00A7181F" w:rsidRDefault="00A718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FA500E"/>
    <w:multiLevelType w:val="multilevel"/>
    <w:tmpl w:val="CA9A0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6C4719E"/>
    <w:multiLevelType w:val="multilevel"/>
    <w:tmpl w:val="39B08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6794F88"/>
    <w:multiLevelType w:val="hybridMultilevel"/>
    <w:tmpl w:val="D1D432A6"/>
    <w:lvl w:ilvl="0" w:tplc="852677E6">
      <w:start w:val="1"/>
      <w:numFmt w:val="bullet"/>
      <w:lvlText w:val=""/>
      <w:lvlJc w:val="left"/>
      <w:pPr>
        <w:tabs>
          <w:tab w:val="num" w:pos="720"/>
        </w:tabs>
        <w:ind w:left="720" w:hanging="360"/>
      </w:pPr>
      <w:rPr>
        <w:rFonts w:ascii="Wingdings 3" w:hAnsi="Wingdings 3" w:hint="default"/>
      </w:rPr>
    </w:lvl>
    <w:lvl w:ilvl="1" w:tplc="11EE32B4" w:tentative="1">
      <w:start w:val="1"/>
      <w:numFmt w:val="bullet"/>
      <w:lvlText w:val=""/>
      <w:lvlJc w:val="left"/>
      <w:pPr>
        <w:tabs>
          <w:tab w:val="num" w:pos="1440"/>
        </w:tabs>
        <w:ind w:left="1440" w:hanging="360"/>
      </w:pPr>
      <w:rPr>
        <w:rFonts w:ascii="Wingdings 3" w:hAnsi="Wingdings 3" w:hint="default"/>
      </w:rPr>
    </w:lvl>
    <w:lvl w:ilvl="2" w:tplc="7D7A1AF2" w:tentative="1">
      <w:start w:val="1"/>
      <w:numFmt w:val="bullet"/>
      <w:lvlText w:val=""/>
      <w:lvlJc w:val="left"/>
      <w:pPr>
        <w:tabs>
          <w:tab w:val="num" w:pos="2160"/>
        </w:tabs>
        <w:ind w:left="2160" w:hanging="360"/>
      </w:pPr>
      <w:rPr>
        <w:rFonts w:ascii="Wingdings 3" w:hAnsi="Wingdings 3" w:hint="default"/>
      </w:rPr>
    </w:lvl>
    <w:lvl w:ilvl="3" w:tplc="0A445500" w:tentative="1">
      <w:start w:val="1"/>
      <w:numFmt w:val="bullet"/>
      <w:lvlText w:val=""/>
      <w:lvlJc w:val="left"/>
      <w:pPr>
        <w:tabs>
          <w:tab w:val="num" w:pos="2880"/>
        </w:tabs>
        <w:ind w:left="2880" w:hanging="360"/>
      </w:pPr>
      <w:rPr>
        <w:rFonts w:ascii="Wingdings 3" w:hAnsi="Wingdings 3" w:hint="default"/>
      </w:rPr>
    </w:lvl>
    <w:lvl w:ilvl="4" w:tplc="3B269D74" w:tentative="1">
      <w:start w:val="1"/>
      <w:numFmt w:val="bullet"/>
      <w:lvlText w:val=""/>
      <w:lvlJc w:val="left"/>
      <w:pPr>
        <w:tabs>
          <w:tab w:val="num" w:pos="3600"/>
        </w:tabs>
        <w:ind w:left="3600" w:hanging="360"/>
      </w:pPr>
      <w:rPr>
        <w:rFonts w:ascii="Wingdings 3" w:hAnsi="Wingdings 3" w:hint="default"/>
      </w:rPr>
    </w:lvl>
    <w:lvl w:ilvl="5" w:tplc="D3C001E6" w:tentative="1">
      <w:start w:val="1"/>
      <w:numFmt w:val="bullet"/>
      <w:lvlText w:val=""/>
      <w:lvlJc w:val="left"/>
      <w:pPr>
        <w:tabs>
          <w:tab w:val="num" w:pos="4320"/>
        </w:tabs>
        <w:ind w:left="4320" w:hanging="360"/>
      </w:pPr>
      <w:rPr>
        <w:rFonts w:ascii="Wingdings 3" w:hAnsi="Wingdings 3" w:hint="default"/>
      </w:rPr>
    </w:lvl>
    <w:lvl w:ilvl="6" w:tplc="0DBAE858" w:tentative="1">
      <w:start w:val="1"/>
      <w:numFmt w:val="bullet"/>
      <w:lvlText w:val=""/>
      <w:lvlJc w:val="left"/>
      <w:pPr>
        <w:tabs>
          <w:tab w:val="num" w:pos="5040"/>
        </w:tabs>
        <w:ind w:left="5040" w:hanging="360"/>
      </w:pPr>
      <w:rPr>
        <w:rFonts w:ascii="Wingdings 3" w:hAnsi="Wingdings 3" w:hint="default"/>
      </w:rPr>
    </w:lvl>
    <w:lvl w:ilvl="7" w:tplc="285EEA30" w:tentative="1">
      <w:start w:val="1"/>
      <w:numFmt w:val="bullet"/>
      <w:lvlText w:val=""/>
      <w:lvlJc w:val="left"/>
      <w:pPr>
        <w:tabs>
          <w:tab w:val="num" w:pos="5760"/>
        </w:tabs>
        <w:ind w:left="5760" w:hanging="360"/>
      </w:pPr>
      <w:rPr>
        <w:rFonts w:ascii="Wingdings 3" w:hAnsi="Wingdings 3" w:hint="default"/>
      </w:rPr>
    </w:lvl>
    <w:lvl w:ilvl="8" w:tplc="CF487E60" w:tentative="1">
      <w:start w:val="1"/>
      <w:numFmt w:val="bullet"/>
      <w:lvlText w:val=""/>
      <w:lvlJc w:val="left"/>
      <w:pPr>
        <w:tabs>
          <w:tab w:val="num" w:pos="6480"/>
        </w:tabs>
        <w:ind w:left="6480" w:hanging="360"/>
      </w:pPr>
      <w:rPr>
        <w:rFonts w:ascii="Wingdings 3" w:hAnsi="Wingdings 3" w:hint="default"/>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0120604"/>
    <w:multiLevelType w:val="multilevel"/>
    <w:tmpl w:val="08307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5113443"/>
    <w:multiLevelType w:val="hybridMultilevel"/>
    <w:tmpl w:val="76701E0E"/>
    <w:lvl w:ilvl="0" w:tplc="89726702">
      <w:start w:val="1"/>
      <w:numFmt w:val="bullet"/>
      <w:lvlText w:val=""/>
      <w:lvlJc w:val="left"/>
      <w:pPr>
        <w:tabs>
          <w:tab w:val="num" w:pos="720"/>
        </w:tabs>
        <w:ind w:left="720" w:hanging="360"/>
      </w:pPr>
      <w:rPr>
        <w:rFonts w:ascii="Wingdings 3" w:hAnsi="Wingdings 3" w:hint="default"/>
      </w:rPr>
    </w:lvl>
    <w:lvl w:ilvl="1" w:tplc="5224B0E6">
      <w:start w:val="1"/>
      <w:numFmt w:val="bullet"/>
      <w:lvlText w:val=""/>
      <w:lvlJc w:val="left"/>
      <w:pPr>
        <w:tabs>
          <w:tab w:val="num" w:pos="1440"/>
        </w:tabs>
        <w:ind w:left="1440" w:hanging="360"/>
      </w:pPr>
      <w:rPr>
        <w:rFonts w:ascii="Wingdings 3" w:hAnsi="Wingdings 3" w:hint="default"/>
      </w:rPr>
    </w:lvl>
    <w:lvl w:ilvl="2" w:tplc="077EDD34" w:tentative="1">
      <w:start w:val="1"/>
      <w:numFmt w:val="bullet"/>
      <w:lvlText w:val=""/>
      <w:lvlJc w:val="left"/>
      <w:pPr>
        <w:tabs>
          <w:tab w:val="num" w:pos="2160"/>
        </w:tabs>
        <w:ind w:left="2160" w:hanging="360"/>
      </w:pPr>
      <w:rPr>
        <w:rFonts w:ascii="Wingdings 3" w:hAnsi="Wingdings 3" w:hint="default"/>
      </w:rPr>
    </w:lvl>
    <w:lvl w:ilvl="3" w:tplc="A948A3A4" w:tentative="1">
      <w:start w:val="1"/>
      <w:numFmt w:val="bullet"/>
      <w:lvlText w:val=""/>
      <w:lvlJc w:val="left"/>
      <w:pPr>
        <w:tabs>
          <w:tab w:val="num" w:pos="2880"/>
        </w:tabs>
        <w:ind w:left="2880" w:hanging="360"/>
      </w:pPr>
      <w:rPr>
        <w:rFonts w:ascii="Wingdings 3" w:hAnsi="Wingdings 3" w:hint="default"/>
      </w:rPr>
    </w:lvl>
    <w:lvl w:ilvl="4" w:tplc="4D008170" w:tentative="1">
      <w:start w:val="1"/>
      <w:numFmt w:val="bullet"/>
      <w:lvlText w:val=""/>
      <w:lvlJc w:val="left"/>
      <w:pPr>
        <w:tabs>
          <w:tab w:val="num" w:pos="3600"/>
        </w:tabs>
        <w:ind w:left="3600" w:hanging="360"/>
      </w:pPr>
      <w:rPr>
        <w:rFonts w:ascii="Wingdings 3" w:hAnsi="Wingdings 3" w:hint="default"/>
      </w:rPr>
    </w:lvl>
    <w:lvl w:ilvl="5" w:tplc="463851A2" w:tentative="1">
      <w:start w:val="1"/>
      <w:numFmt w:val="bullet"/>
      <w:lvlText w:val=""/>
      <w:lvlJc w:val="left"/>
      <w:pPr>
        <w:tabs>
          <w:tab w:val="num" w:pos="4320"/>
        </w:tabs>
        <w:ind w:left="4320" w:hanging="360"/>
      </w:pPr>
      <w:rPr>
        <w:rFonts w:ascii="Wingdings 3" w:hAnsi="Wingdings 3" w:hint="default"/>
      </w:rPr>
    </w:lvl>
    <w:lvl w:ilvl="6" w:tplc="055C0042" w:tentative="1">
      <w:start w:val="1"/>
      <w:numFmt w:val="bullet"/>
      <w:lvlText w:val=""/>
      <w:lvlJc w:val="left"/>
      <w:pPr>
        <w:tabs>
          <w:tab w:val="num" w:pos="5040"/>
        </w:tabs>
        <w:ind w:left="5040" w:hanging="360"/>
      </w:pPr>
      <w:rPr>
        <w:rFonts w:ascii="Wingdings 3" w:hAnsi="Wingdings 3" w:hint="default"/>
      </w:rPr>
    </w:lvl>
    <w:lvl w:ilvl="7" w:tplc="23783ACC" w:tentative="1">
      <w:start w:val="1"/>
      <w:numFmt w:val="bullet"/>
      <w:lvlText w:val=""/>
      <w:lvlJc w:val="left"/>
      <w:pPr>
        <w:tabs>
          <w:tab w:val="num" w:pos="5760"/>
        </w:tabs>
        <w:ind w:left="5760" w:hanging="360"/>
      </w:pPr>
      <w:rPr>
        <w:rFonts w:ascii="Wingdings 3" w:hAnsi="Wingdings 3" w:hint="default"/>
      </w:rPr>
    </w:lvl>
    <w:lvl w:ilvl="8" w:tplc="F3DCD20C" w:tentative="1">
      <w:start w:val="1"/>
      <w:numFmt w:val="bullet"/>
      <w:lvlText w:val=""/>
      <w:lvlJc w:val="left"/>
      <w:pPr>
        <w:tabs>
          <w:tab w:val="num" w:pos="6480"/>
        </w:tabs>
        <w:ind w:left="6480" w:hanging="360"/>
      </w:pPr>
      <w:rPr>
        <w:rFonts w:ascii="Wingdings 3" w:hAnsi="Wingdings 3" w:hint="default"/>
      </w:rPr>
    </w:lvl>
  </w:abstractNum>
  <w:abstractNum w:abstractNumId="38"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5873615"/>
    <w:multiLevelType w:val="hybridMultilevel"/>
    <w:tmpl w:val="092C3C1C"/>
    <w:lvl w:ilvl="0" w:tplc="51885B0E">
      <w:start w:val="1"/>
      <w:numFmt w:val="bullet"/>
      <w:lvlText w:val=""/>
      <w:lvlJc w:val="left"/>
      <w:pPr>
        <w:tabs>
          <w:tab w:val="num" w:pos="720"/>
        </w:tabs>
        <w:ind w:left="720" w:hanging="360"/>
      </w:pPr>
      <w:rPr>
        <w:rFonts w:ascii="Wingdings" w:hAnsi="Wingdings" w:hint="default"/>
      </w:rPr>
    </w:lvl>
    <w:lvl w:ilvl="1" w:tplc="C2F238AE" w:tentative="1">
      <w:start w:val="1"/>
      <w:numFmt w:val="bullet"/>
      <w:lvlText w:val=""/>
      <w:lvlJc w:val="left"/>
      <w:pPr>
        <w:tabs>
          <w:tab w:val="num" w:pos="1440"/>
        </w:tabs>
        <w:ind w:left="1440" w:hanging="360"/>
      </w:pPr>
      <w:rPr>
        <w:rFonts w:ascii="Wingdings" w:hAnsi="Wingdings" w:hint="default"/>
      </w:rPr>
    </w:lvl>
    <w:lvl w:ilvl="2" w:tplc="FA08BEE4" w:tentative="1">
      <w:start w:val="1"/>
      <w:numFmt w:val="bullet"/>
      <w:lvlText w:val=""/>
      <w:lvlJc w:val="left"/>
      <w:pPr>
        <w:tabs>
          <w:tab w:val="num" w:pos="2160"/>
        </w:tabs>
        <w:ind w:left="2160" w:hanging="360"/>
      </w:pPr>
      <w:rPr>
        <w:rFonts w:ascii="Wingdings" w:hAnsi="Wingdings" w:hint="default"/>
      </w:rPr>
    </w:lvl>
    <w:lvl w:ilvl="3" w:tplc="C64CFFDA" w:tentative="1">
      <w:start w:val="1"/>
      <w:numFmt w:val="bullet"/>
      <w:lvlText w:val=""/>
      <w:lvlJc w:val="left"/>
      <w:pPr>
        <w:tabs>
          <w:tab w:val="num" w:pos="2880"/>
        </w:tabs>
        <w:ind w:left="2880" w:hanging="360"/>
      </w:pPr>
      <w:rPr>
        <w:rFonts w:ascii="Wingdings" w:hAnsi="Wingdings" w:hint="default"/>
      </w:rPr>
    </w:lvl>
    <w:lvl w:ilvl="4" w:tplc="DF3A50B0" w:tentative="1">
      <w:start w:val="1"/>
      <w:numFmt w:val="bullet"/>
      <w:lvlText w:val=""/>
      <w:lvlJc w:val="left"/>
      <w:pPr>
        <w:tabs>
          <w:tab w:val="num" w:pos="3600"/>
        </w:tabs>
        <w:ind w:left="3600" w:hanging="360"/>
      </w:pPr>
      <w:rPr>
        <w:rFonts w:ascii="Wingdings" w:hAnsi="Wingdings" w:hint="default"/>
      </w:rPr>
    </w:lvl>
    <w:lvl w:ilvl="5" w:tplc="DB8AF1BC" w:tentative="1">
      <w:start w:val="1"/>
      <w:numFmt w:val="bullet"/>
      <w:lvlText w:val=""/>
      <w:lvlJc w:val="left"/>
      <w:pPr>
        <w:tabs>
          <w:tab w:val="num" w:pos="4320"/>
        </w:tabs>
        <w:ind w:left="4320" w:hanging="360"/>
      </w:pPr>
      <w:rPr>
        <w:rFonts w:ascii="Wingdings" w:hAnsi="Wingdings" w:hint="default"/>
      </w:rPr>
    </w:lvl>
    <w:lvl w:ilvl="6" w:tplc="5AE44CBE" w:tentative="1">
      <w:start w:val="1"/>
      <w:numFmt w:val="bullet"/>
      <w:lvlText w:val=""/>
      <w:lvlJc w:val="left"/>
      <w:pPr>
        <w:tabs>
          <w:tab w:val="num" w:pos="5040"/>
        </w:tabs>
        <w:ind w:left="5040" w:hanging="360"/>
      </w:pPr>
      <w:rPr>
        <w:rFonts w:ascii="Wingdings" w:hAnsi="Wingdings" w:hint="default"/>
      </w:rPr>
    </w:lvl>
    <w:lvl w:ilvl="7" w:tplc="65700870" w:tentative="1">
      <w:start w:val="1"/>
      <w:numFmt w:val="bullet"/>
      <w:lvlText w:val=""/>
      <w:lvlJc w:val="left"/>
      <w:pPr>
        <w:tabs>
          <w:tab w:val="num" w:pos="5760"/>
        </w:tabs>
        <w:ind w:left="5760" w:hanging="360"/>
      </w:pPr>
      <w:rPr>
        <w:rFonts w:ascii="Wingdings" w:hAnsi="Wingdings" w:hint="default"/>
      </w:rPr>
    </w:lvl>
    <w:lvl w:ilvl="8" w:tplc="1428C34E"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9"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4"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4"/>
  </w:num>
  <w:num w:numId="3">
    <w:abstractNumId w:val="51"/>
  </w:num>
  <w:num w:numId="4">
    <w:abstractNumId w:val="53"/>
  </w:num>
  <w:num w:numId="5">
    <w:abstractNumId w:val="39"/>
  </w:num>
  <w:num w:numId="6">
    <w:abstractNumId w:val="36"/>
  </w:num>
  <w:num w:numId="7">
    <w:abstractNumId w:val="32"/>
  </w:num>
  <w:num w:numId="8">
    <w:abstractNumId w:val="33"/>
  </w:num>
  <w:num w:numId="9">
    <w:abstractNumId w:val="11"/>
  </w:num>
  <w:num w:numId="10">
    <w:abstractNumId w:val="38"/>
  </w:num>
  <w:num w:numId="11">
    <w:abstractNumId w:val="18"/>
  </w:num>
  <w:num w:numId="12">
    <w:abstractNumId w:val="17"/>
  </w:num>
  <w:num w:numId="13">
    <w:abstractNumId w:val="29"/>
  </w:num>
  <w:num w:numId="14">
    <w:abstractNumId w:val="9"/>
  </w:num>
  <w:num w:numId="15">
    <w:abstractNumId w:val="28"/>
  </w:num>
  <w:num w:numId="16">
    <w:abstractNumId w:val="16"/>
  </w:num>
  <w:num w:numId="17">
    <w:abstractNumId w:val="14"/>
  </w:num>
  <w:num w:numId="1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5"/>
  </w:num>
  <w:num w:numId="20">
    <w:abstractNumId w:val="19"/>
  </w:num>
  <w:num w:numId="21">
    <w:abstractNumId w:val="15"/>
  </w:num>
  <w:num w:numId="22">
    <w:abstractNumId w:val="12"/>
  </w:num>
  <w:num w:numId="23">
    <w:abstractNumId w:val="30"/>
  </w:num>
  <w:num w:numId="24">
    <w:abstractNumId w:val="20"/>
  </w:num>
  <w:num w:numId="25">
    <w:abstractNumId w:val="47"/>
  </w:num>
  <w:num w:numId="26">
    <w:abstractNumId w:val="40"/>
  </w:num>
  <w:num w:numId="27">
    <w:abstractNumId w:val="46"/>
  </w:num>
  <w:num w:numId="28">
    <w:abstractNumId w:val="22"/>
  </w:num>
  <w:num w:numId="29">
    <w:abstractNumId w:val="49"/>
  </w:num>
  <w:num w:numId="30">
    <w:abstractNumId w:val="34"/>
  </w:num>
  <w:num w:numId="31">
    <w:abstractNumId w:val="13"/>
  </w:num>
  <w:num w:numId="32">
    <w:abstractNumId w:val="50"/>
  </w:num>
  <w:num w:numId="33">
    <w:abstractNumId w:val="45"/>
  </w:num>
  <w:num w:numId="34">
    <w:abstractNumId w:val="6"/>
  </w:num>
  <w:num w:numId="35">
    <w:abstractNumId w:val="52"/>
  </w:num>
  <w:num w:numId="36">
    <w:abstractNumId w:val="48"/>
  </w:num>
  <w:num w:numId="37">
    <w:abstractNumId w:val="42"/>
  </w:num>
  <w:num w:numId="38">
    <w:abstractNumId w:val="43"/>
  </w:num>
  <w:num w:numId="39">
    <w:abstractNumId w:val="4"/>
  </w:num>
  <w:num w:numId="40">
    <w:abstractNumId w:val="7"/>
  </w:num>
  <w:num w:numId="41">
    <w:abstractNumId w:val="27"/>
  </w:num>
  <w:num w:numId="42">
    <w:abstractNumId w:val="8"/>
  </w:num>
  <w:num w:numId="43">
    <w:abstractNumId w:val="3"/>
  </w:num>
  <w:num w:numId="44">
    <w:abstractNumId w:val="44"/>
  </w:num>
  <w:num w:numId="45">
    <w:abstractNumId w:val="0"/>
  </w:num>
  <w:num w:numId="46">
    <w:abstractNumId w:val="15"/>
  </w:num>
  <w:num w:numId="47">
    <w:abstractNumId w:val="54"/>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30"/>
  </w:num>
  <w:num w:numId="51">
    <w:abstractNumId w:val="26"/>
  </w:num>
  <w:num w:numId="52">
    <w:abstractNumId w:val="23"/>
  </w:num>
  <w:num w:numId="53">
    <w:abstractNumId w:val="2"/>
  </w:num>
  <w:num w:numId="54">
    <w:abstractNumId w:val="37"/>
  </w:num>
  <w:num w:numId="55">
    <w:abstractNumId w:val="41"/>
  </w:num>
  <w:num w:numId="56">
    <w:abstractNumId w:val="31"/>
  </w:num>
  <w:num w:numId="57">
    <w:abstractNumId w:val="21"/>
  </w:num>
  <w:num w:numId="58">
    <w:abstractNumId w:val="35"/>
  </w:num>
  <w:num w:numId="59">
    <w:abstractNumId w:val="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413"/>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E1BE4"/>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181F"/>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2910"/>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340E"/>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UnresolvedMention1">
    <w:name w:val="Unresolved Mention1"/>
    <w:basedOn w:val="DefaultParagraphFont"/>
    <w:uiPriority w:val="99"/>
    <w:semiHidden/>
    <w:unhideWhenUsed/>
    <w:rsid w:val="00382413"/>
    <w:rPr>
      <w:color w:val="605E5C"/>
      <w:shd w:val="clear" w:color="auto" w:fill="E1DFDD"/>
    </w:rPr>
  </w:style>
  <w:style w:type="character" w:styleId="FollowedHyperlink">
    <w:name w:val="FollowedHyperlink"/>
    <w:basedOn w:val="DefaultParagraphFont"/>
    <w:uiPriority w:val="99"/>
    <w:semiHidden/>
    <w:unhideWhenUsed/>
    <w:rsid w:val="00382413"/>
    <w:rPr>
      <w:color w:val="954F72" w:themeColor="followedHyperlink"/>
      <w:u w:val="single"/>
    </w:rPr>
  </w:style>
  <w:style w:type="character" w:styleId="UnresolvedMention">
    <w:name w:val="Unresolved Mention"/>
    <w:basedOn w:val="DefaultParagraphFont"/>
    <w:uiPriority w:val="99"/>
    <w:semiHidden/>
    <w:unhideWhenUsed/>
    <w:rsid w:val="00382413"/>
    <w:rPr>
      <w:color w:val="605E5C"/>
      <w:shd w:val="clear" w:color="auto" w:fill="E1DFDD"/>
    </w:rPr>
  </w:style>
  <w:style w:type="paragraph" w:styleId="ListParagraph">
    <w:name w:val="List Paragraph"/>
    <w:basedOn w:val="Normal"/>
    <w:uiPriority w:val="34"/>
    <w:qFormat/>
    <w:rsid w:val="00382413"/>
    <w:pPr>
      <w:overflowPunct/>
      <w:autoSpaceDE/>
      <w:autoSpaceDN/>
      <w:adjustRightInd/>
      <w:ind w:left="720"/>
      <w:contextualSpacing/>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4091</Words>
  <Characters>20904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Bethan Stubley (BCUHB - Subtance Misuse)</cp:lastModifiedBy>
  <cp:revision>2</cp:revision>
  <cp:lastPrinted>2020-02-11T19:20:00Z</cp:lastPrinted>
  <dcterms:created xsi:type="dcterms:W3CDTF">2024-10-03T10:41:00Z</dcterms:created>
  <dcterms:modified xsi:type="dcterms:W3CDTF">2024-10-03T10:41:00Z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