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65DCF" w14:textId="77777777" w:rsidR="00CE56C6" w:rsidRPr="00CE56C6" w:rsidRDefault="00CE56C6">
      <w:pPr>
        <w:rPr>
          <w:b/>
          <w:bCs/>
        </w:rPr>
      </w:pPr>
      <w:r w:rsidRPr="00CE56C6">
        <w:rPr>
          <w:b/>
          <w:bCs/>
        </w:rPr>
        <w:t xml:space="preserve">Examine critically the role of the Suffering Servant within the book of Isaiah and New Testament tradition (with reference to a </w:t>
      </w:r>
      <w:r w:rsidRPr="00CE56C6">
        <w:rPr>
          <w:b/>
          <w:bCs/>
          <w:i/>
          <w:iCs/>
        </w:rPr>
        <w:t xml:space="preserve">selection </w:t>
      </w:r>
      <w:r w:rsidRPr="00CE56C6">
        <w:rPr>
          <w:b/>
          <w:bCs/>
        </w:rPr>
        <w:t>of NT texts).</w:t>
      </w:r>
    </w:p>
    <w:p w14:paraId="7551E525" w14:textId="77777777" w:rsidR="00CE56C6" w:rsidRDefault="00CE56C6"/>
    <w:p w14:paraId="71EE0A8B" w14:textId="3A5A53E5" w:rsidR="00E104ED" w:rsidRDefault="00CE56C6">
      <w:r>
        <w:t xml:space="preserve">According to the now-disputed analysis of </w:t>
      </w:r>
      <w:proofErr w:type="spellStart"/>
      <w:r>
        <w:t>Duhm</w:t>
      </w:r>
      <w:proofErr w:type="spellEnd"/>
      <w:r>
        <w:t>,</w:t>
      </w:r>
      <w:r w:rsidR="00CA1AC6">
        <w:rPr>
          <w:rStyle w:val="FootnoteReference"/>
        </w:rPr>
        <w:footnoteReference w:id="1"/>
      </w:r>
      <w:r>
        <w:t xml:space="preserve"> the book of Isaiah may be subdivided into three separate books, and it is in </w:t>
      </w:r>
      <w:proofErr w:type="spellStart"/>
      <w:r>
        <w:t>Deutero</w:t>
      </w:r>
      <w:proofErr w:type="spellEnd"/>
      <w:r>
        <w:t xml:space="preserve">-Isaiah that the so-called four servant songs are found. </w:t>
      </w:r>
      <w:proofErr w:type="spellStart"/>
      <w:r>
        <w:t>Deutero</w:t>
      </w:r>
      <w:proofErr w:type="spellEnd"/>
      <w:r>
        <w:t>-Isaiah is accepted as being composed during (perhaps) the exile in Babylon and following the Israeli return from exile, and the fourth of the Servant Songs, generally known as the Song of the Suffering Servant, offers a prophecy for what most exegetes take to be an individual, who will first suffer and then be exalted. Berges</w:t>
      </w:r>
      <w:r>
        <w:rPr>
          <w:rStyle w:val="FootnoteReference"/>
        </w:rPr>
        <w:footnoteReference w:id="2"/>
      </w:r>
      <w:r>
        <w:t xml:space="preserve"> quotes Henk Leene who connects the servant of this song to the servants that are called in Trito-Isaiah the servants of God</w:t>
      </w:r>
      <w:r w:rsidR="004549C1">
        <w:t>. T</w:t>
      </w:r>
      <w:r>
        <w:t xml:space="preserve">he latter are the former’s offspring: they are the post-exilic group of the pious. Berges concludes his analysis of the role of the Servant in Isaiah </w:t>
      </w:r>
      <w:r w:rsidR="004549C1">
        <w:t>reflecting on the</w:t>
      </w:r>
      <w:r>
        <w:t xml:space="preserve"> paean to YHWH who ‘will be glorified by all flesh (66:23)’ including ‘the nations… who adhere to YHWH alone.’</w:t>
      </w:r>
      <w:r>
        <w:rPr>
          <w:rStyle w:val="FootnoteReference"/>
        </w:rPr>
        <w:footnoteReference w:id="3"/>
      </w:r>
      <w:r>
        <w:t xml:space="preserve"> There is thus a prophetic vision for Israel in the mid-fourth century B.C.E., </w:t>
      </w:r>
      <w:r w:rsidR="004549C1">
        <w:t xml:space="preserve">and this is quite </w:t>
      </w:r>
      <w:r>
        <w:t>independent of later use made by the early Christian church.</w:t>
      </w:r>
    </w:p>
    <w:p w14:paraId="4E8CA549" w14:textId="77777777" w:rsidR="00CE56C6" w:rsidRDefault="00CE56C6"/>
    <w:p w14:paraId="17E28B22" w14:textId="4B8821E0" w:rsidR="00CE56C6" w:rsidRDefault="00CE56C6">
      <w:r>
        <w:t>The focus of this study is the role of the Suffering Servant in the New Testament tradition (as found in the fourth of the so-called Servant Songs). There are at least four versions of this poem,</w:t>
      </w:r>
      <w:r>
        <w:rPr>
          <w:rStyle w:val="FootnoteReference"/>
        </w:rPr>
        <w:footnoteReference w:id="4"/>
      </w:r>
      <w:r>
        <w:t xml:space="preserve"> and that fact, coupled with the frequent uncertainty of the text and </w:t>
      </w:r>
      <w:r w:rsidR="004549C1">
        <w:t xml:space="preserve">additionally </w:t>
      </w:r>
      <w:r>
        <w:t xml:space="preserve">the wide scope for interpretation, offer a field-day for exegetes. Two broad positions may be identified: the sceptics who deny that the Servant Song prophecy </w:t>
      </w:r>
      <w:r w:rsidR="00CA1AC6">
        <w:t>can be traced to the thinking of the earliest Christian church,</w:t>
      </w:r>
      <w:r>
        <w:t xml:space="preserve"> and those who assert that it is. None denies that the Gospels and Pauline letters are littered with references to Isaiah in general, but for some, it is questioned whether the Gospel writers (and certainly Jesus himself) had in mind during his life and ministry the fulfilment of the Servant Song prophecy.</w:t>
      </w:r>
    </w:p>
    <w:p w14:paraId="2102EEEF" w14:textId="77777777" w:rsidR="00CE56C6" w:rsidRDefault="00CE56C6"/>
    <w:p w14:paraId="5B2A15E7" w14:textId="459A30F8" w:rsidR="00CE56C6" w:rsidRDefault="00CE56C6">
      <w:r>
        <w:t>A not-untypical exegesis in favour of that self-awareness may be found in Peter Dray’s article.</w:t>
      </w:r>
      <w:r>
        <w:rPr>
          <w:rStyle w:val="FootnoteReference"/>
        </w:rPr>
        <w:footnoteReference w:id="5"/>
      </w:r>
      <w:r>
        <w:t xml:space="preserve"> Here he unquestioningly identifies the target audience of the Servant Song with his own 21</w:t>
      </w:r>
      <w:r w:rsidRPr="00CE56C6">
        <w:rPr>
          <w:vertAlign w:val="superscript"/>
        </w:rPr>
        <w:t>st</w:t>
      </w:r>
      <w:r>
        <w:t xml:space="preserve"> century readership.</w:t>
      </w:r>
      <w:r>
        <w:rPr>
          <w:rStyle w:val="FootnoteReference"/>
        </w:rPr>
        <w:footnoteReference w:id="6"/>
      </w:r>
      <w:r>
        <w:t xml:space="preserve"> Context may legitimate this, but what is also evident is instances of what </w:t>
      </w:r>
      <w:r w:rsidR="00DD3D50">
        <w:t xml:space="preserve">Morna </w:t>
      </w:r>
      <w:r>
        <w:t>Hooker describes as ‘reader-response’</w:t>
      </w:r>
      <w:r>
        <w:rPr>
          <w:rStyle w:val="FootnoteReference"/>
        </w:rPr>
        <w:footnoteReference w:id="7"/>
      </w:r>
      <w:r w:rsidR="00DD3D50">
        <w:t xml:space="preserve"> or ‘eisegesis’,</w:t>
      </w:r>
      <w:r>
        <w:t xml:space="preserve"> where the writer’s preconceptions colour their understanding of the text in hand: an example </w:t>
      </w:r>
      <w:r>
        <w:lastRenderedPageBreak/>
        <w:t>is Dray’s reading of ‘substitutionary sacrifice’</w:t>
      </w:r>
      <w:r>
        <w:rPr>
          <w:rStyle w:val="FootnoteReference"/>
        </w:rPr>
        <w:footnoteReference w:id="8"/>
      </w:r>
      <w:r>
        <w:t xml:space="preserve"> (as in Isaiah 53:10) which is a hotly contested issue </w:t>
      </w:r>
      <w:r w:rsidR="00DD3D50">
        <w:t>(</w:t>
      </w:r>
      <w:r>
        <w:t>as being without precedent in Biblical Hebrew</w:t>
      </w:r>
      <w:r w:rsidR="00DD3D50">
        <w:t>)</w:t>
      </w:r>
      <w:r>
        <w:t xml:space="preserve">. </w:t>
      </w:r>
    </w:p>
    <w:p w14:paraId="2DA0B57A" w14:textId="77777777" w:rsidR="00DD3D50" w:rsidRDefault="00DD3D50"/>
    <w:p w14:paraId="1585CCDE" w14:textId="03B20077" w:rsidR="00DD3D50" w:rsidRDefault="00DD3D50">
      <w:r>
        <w:t>According to Hooker, whose scepticism was initially voiced over sixty-five years ago</w:t>
      </w:r>
      <w:r>
        <w:rPr>
          <w:rStyle w:val="FootnoteReference"/>
        </w:rPr>
        <w:footnoteReference w:id="9"/>
      </w:r>
      <w:r>
        <w:t>, it is not until the First Letter of Peter</w:t>
      </w:r>
      <w:r>
        <w:rPr>
          <w:rStyle w:val="FootnoteReference"/>
        </w:rPr>
        <w:footnoteReference w:id="10"/>
      </w:r>
      <w:r>
        <w:t xml:space="preserve"> that we can read a ‘creative’ use of the Servant Song, giving to the OT text a fresh interpretation of the developing Christian idea of ‘atonement’.</w:t>
      </w:r>
      <w:r>
        <w:rPr>
          <w:rStyle w:val="FootnoteReference"/>
        </w:rPr>
        <w:footnoteReference w:id="11"/>
      </w:r>
      <w:r>
        <w:t xml:space="preserve"> She acknowledges the clear quotations of Isaiah in the NT</w:t>
      </w:r>
      <w:r>
        <w:rPr>
          <w:rStyle w:val="FootnoteReference"/>
        </w:rPr>
        <w:footnoteReference w:id="12"/>
      </w:r>
      <w:r>
        <w:t>, but the wording in Peter has close parallels in the Septuagint, and is the first NT text to talk of ‘atonement’. Earlier quotations of the Isaiah Song, according to her, miss the meaning of Jesus’ death, even if they may function as ‘proof texts’.</w:t>
      </w:r>
      <w:r>
        <w:rPr>
          <w:rStyle w:val="FootnoteReference"/>
        </w:rPr>
        <w:footnoteReference w:id="13"/>
      </w:r>
      <w:r>
        <w:t xml:space="preserve"> The fundamental point for her, though, is that there is no evidence that Jesus modelled himself on the Suffering Servant (even though subsequent Christian thinking cast him in that way): indeed he likened himself more to the Son of Man (</w:t>
      </w:r>
      <w:r w:rsidR="004549C1">
        <w:t xml:space="preserve">cf. </w:t>
      </w:r>
      <w:r>
        <w:t xml:space="preserve">Daniel 7) than the servant of Isaiah 53. His concern was the repentance and </w:t>
      </w:r>
      <w:r w:rsidR="004549C1">
        <w:t xml:space="preserve">the </w:t>
      </w:r>
      <w:r>
        <w:t>forgiveness of sinners (rather than the more developed idea of atonement): ‘It was his followers who took that step, because it corresponded with their experience of forgiveness.’</w:t>
      </w:r>
      <w:r>
        <w:rPr>
          <w:rStyle w:val="FootnoteReference"/>
        </w:rPr>
        <w:footnoteReference w:id="14"/>
      </w:r>
      <w:r>
        <w:t xml:space="preserve"> She wonders if the quotations in 1 Peter are the first indications in the NT that the Servant’s suffering will bring healing and forgiveness to others: </w:t>
      </w:r>
      <w:r w:rsidR="00CA1AC6">
        <w:t xml:space="preserve">in the Apostle’s words, </w:t>
      </w:r>
      <w:r>
        <w:t>‘by his wounds you have been healed.’</w:t>
      </w:r>
      <w:r>
        <w:rPr>
          <w:rStyle w:val="FootnoteReference"/>
        </w:rPr>
        <w:footnoteReference w:id="15"/>
      </w:r>
    </w:p>
    <w:p w14:paraId="719EFE14" w14:textId="77777777" w:rsidR="004549C1" w:rsidRDefault="004549C1"/>
    <w:p w14:paraId="662D007B" w14:textId="2207F536" w:rsidR="004549C1" w:rsidRDefault="004549C1">
      <w:r>
        <w:t>In a subsequent study of Mark</w:t>
      </w:r>
      <w:r w:rsidR="00CA1AC6">
        <w:t>’s</w:t>
      </w:r>
      <w:r>
        <w:t xml:space="preserve"> gospel</w:t>
      </w:r>
      <w:r>
        <w:rPr>
          <w:rStyle w:val="FootnoteReference"/>
        </w:rPr>
        <w:footnoteReference w:id="16"/>
      </w:r>
      <w:r>
        <w:t xml:space="preserve">, Hooker acknowledges that there are many possible quotations/allusions/echoes of Isaiah (many negative in nature), and pays special attention to Mark 10:45, where in Jesus’ own words, it is written that ‘even the Son of Man did not come to </w:t>
      </w:r>
      <w:r w:rsidR="00CA1AC6">
        <w:t xml:space="preserve">be </w:t>
      </w:r>
      <w:r>
        <w:t>serve</w:t>
      </w:r>
      <w:r w:rsidR="00CA1AC6">
        <w:t>d</w:t>
      </w:r>
      <w:r>
        <w:t>, but to serve, and to give his life as a ransom for many.’ This implies a suspect degree of self-knowledge, but, according to Hooker, is in any case at variance with Isaiah 53:10-11, which speaks of the servant being made a ‘guilt offering’ rather than a ransom. Citation ‘standards’ in Mark’s day are very different from present-day values.</w:t>
      </w:r>
      <w:r>
        <w:rPr>
          <w:rStyle w:val="FootnoteReference"/>
        </w:rPr>
        <w:footnoteReference w:id="17"/>
      </w:r>
      <w:r>
        <w:t xml:space="preserve"> She is surely right to note (as evidenced by the less than accurate ‘quoting’ of Isaiah by Mark at the start of his Gospel) that the approach to citation in the first century C.E. </w:t>
      </w:r>
      <w:r w:rsidR="00CA1AC6">
        <w:t xml:space="preserve">does not compare with contemporary practice. </w:t>
      </w:r>
    </w:p>
    <w:p w14:paraId="54937B9B" w14:textId="77777777" w:rsidR="00DD3D50" w:rsidRDefault="00DD3D50"/>
    <w:p w14:paraId="146BF9C4" w14:textId="5A0301E4" w:rsidR="00DD3D50" w:rsidRPr="00DD3D50" w:rsidRDefault="00DD3D50" w:rsidP="00DD3D50">
      <w:pPr>
        <w:rPr>
          <w:rFonts w:cs="Helvetica"/>
        </w:rPr>
      </w:pPr>
      <w:r>
        <w:t>Independent support for Hooker’s position comes from H.M. Orlinsky and the view from Hebrew studies. In the third chapter of his S</w:t>
      </w:r>
      <w:r w:rsidRPr="00FA3FD0">
        <w:rPr>
          <w:rFonts w:cs="Helvetica"/>
        </w:rPr>
        <w:t>tudies on the Second Part of the Book of</w:t>
      </w:r>
      <w:r>
        <w:rPr>
          <w:rFonts w:cs="Helvetica"/>
        </w:rPr>
        <w:t xml:space="preserve"> Isaiah,</w:t>
      </w:r>
      <w:r>
        <w:rPr>
          <w:rStyle w:val="FootnoteReference"/>
          <w:rFonts w:cs="Helvetica"/>
        </w:rPr>
        <w:footnoteReference w:id="18"/>
      </w:r>
      <w:r>
        <w:rPr>
          <w:rFonts w:cs="Helvetica"/>
        </w:rPr>
        <w:t xml:space="preserve"> Orlinsky goes to great lengths to prove that the Servant in Isaiah 53 cannot be Israel (the nation), and that the idea of ‘vicarious’ suffering is alien to the Hebrew Bible</w:t>
      </w:r>
      <w:r w:rsidR="004549C1">
        <w:rPr>
          <w:rFonts w:cs="Helvetica"/>
        </w:rPr>
        <w:t xml:space="preserve">: it is, </w:t>
      </w:r>
      <w:r>
        <w:rPr>
          <w:rFonts w:cs="Helvetica"/>
        </w:rPr>
        <w:t xml:space="preserve">in his words, ‘nothing short of blasphemy that the lawless be spared their </w:t>
      </w:r>
      <w:r>
        <w:rPr>
          <w:rFonts w:cs="Helvetica"/>
        </w:rPr>
        <w:lastRenderedPageBreak/>
        <w:t>punishment at the expense of the law-abiding’</w:t>
      </w:r>
      <w:r>
        <w:rPr>
          <w:rStyle w:val="FootnoteReference"/>
          <w:rFonts w:cs="Helvetica"/>
        </w:rPr>
        <w:footnoteReference w:id="19"/>
      </w:r>
      <w:r>
        <w:rPr>
          <w:rFonts w:cs="Helvetica"/>
        </w:rPr>
        <w:t xml:space="preserve">. By </w:t>
      </w:r>
      <w:r w:rsidR="004549C1">
        <w:rPr>
          <w:rFonts w:cs="Helvetica"/>
        </w:rPr>
        <w:t>scrutiny</w:t>
      </w:r>
      <w:r>
        <w:rPr>
          <w:rFonts w:cs="Helvetica"/>
        </w:rPr>
        <w:t xml:space="preserve"> of the relevant Hebrew texts, he shows that the element of vicariousness is absent from the original Servant Song; and </w:t>
      </w:r>
      <w:r w:rsidR="00CA1AC6">
        <w:rPr>
          <w:rFonts w:cs="Helvetica"/>
        </w:rPr>
        <w:t>as a result</w:t>
      </w:r>
      <w:r>
        <w:rPr>
          <w:rFonts w:cs="Helvetica"/>
        </w:rPr>
        <w:t xml:space="preserve"> that Jesus’ awareness and ‘acting out’ of the Servant Songs becomes more credible.</w:t>
      </w:r>
      <w:r>
        <w:rPr>
          <w:rStyle w:val="FootnoteReference"/>
          <w:rFonts w:cs="Helvetica"/>
        </w:rPr>
        <w:footnoteReference w:id="20"/>
      </w:r>
      <w:r>
        <w:rPr>
          <w:rFonts w:cs="Helvetica"/>
        </w:rPr>
        <w:t xml:space="preserve"> He quotes F.J. Foakes Jackson and K. Lake, with their rebuttal of the idea that the </w:t>
      </w:r>
      <w:proofErr w:type="spellStart"/>
      <w:r>
        <w:rPr>
          <w:rFonts w:cs="Helvetica"/>
        </w:rPr>
        <w:t>Isaianic</w:t>
      </w:r>
      <w:proofErr w:type="spellEnd"/>
      <w:r>
        <w:rPr>
          <w:rFonts w:cs="Helvetica"/>
        </w:rPr>
        <w:t xml:space="preserve"> text appears in pre-Pauline thinking: ‘</w:t>
      </w:r>
      <w:r w:rsidRPr="00DD3D50">
        <w:rPr>
          <w:rFonts w:cs="Helvetica"/>
        </w:rPr>
        <w:t>.. .it is tempting to suggest that the interpretation of Isaiah liii. as a prophecy of Jesus was first introduced by Hellenistic Christians, for there is no positive evidence of its existence in sources which certainly represent the thought of the first disciples in Jerusalem</w:t>
      </w:r>
      <w:r>
        <w:rPr>
          <w:rFonts w:cs="Helvetica"/>
        </w:rPr>
        <w:t>…’.</w:t>
      </w:r>
      <w:r>
        <w:rPr>
          <w:rStyle w:val="FootnoteReference"/>
          <w:rFonts w:cs="Helvetica"/>
        </w:rPr>
        <w:footnoteReference w:id="21"/>
      </w:r>
    </w:p>
    <w:p w14:paraId="6086DD10" w14:textId="0D59A188" w:rsidR="00DD3D50" w:rsidRDefault="00DD3D50"/>
    <w:p w14:paraId="081085A8" w14:textId="0C364FFC" w:rsidR="004549C1" w:rsidRDefault="004549C1">
      <w:r>
        <w:t>Thus, from two sides of the fence, as it were, there is a case against the role of the Servant Song of Isaiah in the very early Christian church: first, because (presumably) the reading of the texts would not have impinged on the imaginations of the disciples and first followers of Jesus (as Jews)</w:t>
      </w:r>
      <w:r w:rsidR="00CA1AC6">
        <w:t>,</w:t>
      </w:r>
      <w:r>
        <w:t xml:space="preserve"> the concepts being so foreign to Jewish culture (Orlinsky); and secondly because there appears to be insufficient evidence in the NT texts themselves to support such an idea (Hooker). But are there ways of rebutting this so-called sceptical approach? </w:t>
      </w:r>
    </w:p>
    <w:p w14:paraId="11F7CFED" w14:textId="77777777" w:rsidR="004549C1" w:rsidRDefault="004549C1"/>
    <w:p w14:paraId="64C35641" w14:textId="53C2ADC2" w:rsidR="00122B12" w:rsidRDefault="00F54DBA">
      <w:r>
        <w:t>Otto Betz, for example, concludes that (contra Hooker) in Mark 10:45, the quotation is of words that Jesus must himself have used.</w:t>
      </w:r>
      <w:r>
        <w:rPr>
          <w:rStyle w:val="FootnoteReference"/>
        </w:rPr>
        <w:footnoteReference w:id="22"/>
      </w:r>
      <w:r>
        <w:t xml:space="preserve"> He believes that the Isaian source for the idea of ransom or exchange is not the fourth Servant Song, but Isaiah 43:3f., although given the ‘tell’ of the word ‘many’, it remains reasonable to take Isaiah 53 as a ‘background source’. </w:t>
      </w:r>
      <w:r w:rsidR="00122B12">
        <w:t>He is so confident of this that he asserts that ‘during the Last Supper Jesus enacted Isaiah 53.12’.</w:t>
      </w:r>
      <w:r w:rsidR="00122B12">
        <w:rPr>
          <w:rStyle w:val="FootnoteReference"/>
        </w:rPr>
        <w:footnoteReference w:id="23"/>
      </w:r>
    </w:p>
    <w:p w14:paraId="4AFB506A" w14:textId="77777777" w:rsidR="00122B12" w:rsidRDefault="00122B12"/>
    <w:p w14:paraId="616085F6" w14:textId="5259093D" w:rsidR="004549C1" w:rsidRDefault="00F54DBA">
      <w:proofErr w:type="spellStart"/>
      <w:r>
        <w:t>Stuhlmacher</w:t>
      </w:r>
      <w:proofErr w:type="spellEnd"/>
      <w:r>
        <w:rPr>
          <w:rStyle w:val="FootnoteReference"/>
        </w:rPr>
        <w:footnoteReference w:id="24"/>
      </w:r>
      <w:r>
        <w:t xml:space="preserve"> proposes a way to seat the Servant Song in the mind of Jesus, which has the ring of plausibility about it: Jesus’ mission derived from his understanding of Isaiah 53 coupled with Isaiah 43: 3-4 (the aforementioned ransom text), and this mission he ‘taught’ to his followers, which then formed the teaching of the apostles.</w:t>
      </w:r>
      <w:r>
        <w:rPr>
          <w:rStyle w:val="FootnoteReference"/>
        </w:rPr>
        <w:footnoteReference w:id="25"/>
      </w:r>
      <w:r>
        <w:t xml:space="preserve"> He goes on to suggest that the temple-cleansing incident in Mark 11: 15-17 should be connected with the words of Mark 10:45, that the actions validate the ascription of Mark’s words to Jesus. There is no room here to explore more of his case, </w:t>
      </w:r>
      <w:r w:rsidR="00CA1AC6">
        <w:t>but clearly</w:t>
      </w:r>
      <w:r>
        <w:t xml:space="preserve"> a fresh insight into the context of Mark’s Gospel </w:t>
      </w:r>
      <w:proofErr w:type="gramStart"/>
      <w:r>
        <w:t>opens up</w:t>
      </w:r>
      <w:proofErr w:type="gramEnd"/>
      <w:r>
        <w:t xml:space="preserve"> the possibility of gainsaying the sceptics’ case. </w:t>
      </w:r>
    </w:p>
    <w:p w14:paraId="177D0E78" w14:textId="77777777" w:rsidR="00F54DBA" w:rsidRDefault="00F54DBA"/>
    <w:p w14:paraId="1FE88EE8" w14:textId="1AACB256" w:rsidR="00CE5539" w:rsidRDefault="00CE5539">
      <w:r>
        <w:t xml:space="preserve">R. E. Watts notes how Matthew, in quoting Isaiah 53:4, is seeking the authority of scripture to give a divine background to the ministry of Jesus in his mission to heal the sick, and that the truncated form of the quotation betokens the Gospel writer’s </w:t>
      </w:r>
      <w:r>
        <w:lastRenderedPageBreak/>
        <w:t>awareness of his scriptural source. Watts is suggesting that Matthew’s appeal to the Servant Song aligns with his vision of Jesus heralding an end to the Deuteronomistic curses ‘upon his rebellious and exiled people.’</w:t>
      </w:r>
      <w:r>
        <w:rPr>
          <w:rStyle w:val="FootnoteReference"/>
        </w:rPr>
        <w:footnoteReference w:id="26"/>
      </w:r>
      <w:r>
        <w:t xml:space="preserve"> </w:t>
      </w:r>
      <w:r w:rsidR="00CA1AC6">
        <w:t>Another</w:t>
      </w:r>
      <w:r>
        <w:t xml:space="preserve"> point here is that the healing work of Jesus is connected to the forgiveness of sins, as illustrated by Mark 9: 2-8</w:t>
      </w:r>
      <w:r>
        <w:rPr>
          <w:rStyle w:val="FootnoteReference"/>
        </w:rPr>
        <w:footnoteReference w:id="27"/>
      </w:r>
      <w:r>
        <w:t xml:space="preserve">. However much this demonstrates Matthew’s knowledge of Isaiah 53, and its significance to the mission of Jesus, it does little to counter the view that we have no evidence </w:t>
      </w:r>
      <w:proofErr w:type="gramStart"/>
      <w:r w:rsidR="00CA1AC6">
        <w:t>as yet</w:t>
      </w:r>
      <w:proofErr w:type="gramEnd"/>
      <w:r w:rsidR="00CA1AC6">
        <w:t xml:space="preserve"> </w:t>
      </w:r>
      <w:r>
        <w:t xml:space="preserve">that Jesus himself acted with a consciousness that he was the prophesied Suffering Servant. </w:t>
      </w:r>
    </w:p>
    <w:p w14:paraId="067CE921" w14:textId="77777777" w:rsidR="00122B12" w:rsidRDefault="00122B12"/>
    <w:p w14:paraId="344EBDBA" w14:textId="6E42594B" w:rsidR="00122B12" w:rsidRDefault="00122B12">
      <w:r>
        <w:t>It is worth making mention of an approach through language usage. David Sapp starts with the question of why, despite numerous quotations from Isaiah 53, the two verses 10 and 1</w:t>
      </w:r>
      <w:r w:rsidR="00CA1AC6">
        <w:t>1</w:t>
      </w:r>
      <w:r>
        <w:t>, though alluded to, are not quoted. These verses present the closest thing to ‘atonement language’.</w:t>
      </w:r>
      <w:r>
        <w:rPr>
          <w:rStyle w:val="FootnoteReference"/>
        </w:rPr>
        <w:footnoteReference w:id="28"/>
      </w:r>
      <w:r>
        <w:t xml:space="preserve"> In explaining why they are never quoted but only alluded to, Sapp proposes that it is only through the Hebrew versions of Isaiah 53 that an understanding of atonement could be arrived at; and that the Greek version (in LXX) differs significantly from the Hebrew in that respect, thus affecting how the early church will have evangelized to the Greek-speaking world. His thorough study concludes that the LXX version (in Isaiah 53, vv. 9a – 11) ‘painted a different picture of the Servant’.</w:t>
      </w:r>
      <w:r>
        <w:rPr>
          <w:rStyle w:val="FootnoteReference"/>
        </w:rPr>
        <w:footnoteReference w:id="29"/>
      </w:r>
      <w:r w:rsidR="00216386">
        <w:t xml:space="preserve"> As he observes, these differences could affect the readings of other NT texts related to Isaiah 53.</w:t>
      </w:r>
    </w:p>
    <w:p w14:paraId="47104CEE" w14:textId="77777777" w:rsidR="00216386" w:rsidRDefault="00216386"/>
    <w:p w14:paraId="35243392" w14:textId="7DDA3B89" w:rsidR="00216386" w:rsidRDefault="00216386">
      <w:r>
        <w:t>H. G. Reventlow addresses what he describes as basic issues in the Servant Song: noteworthy is how he addresses the issue of ‘vicariousness’.</w:t>
      </w:r>
      <w:r>
        <w:rPr>
          <w:rStyle w:val="FootnoteReference"/>
        </w:rPr>
        <w:footnoteReference w:id="30"/>
      </w:r>
      <w:r>
        <w:t xml:space="preserve"> In Isaiah (LXX), there is no corresponding term for this, as described in, for example, I Corinthians, 15:3 and 1 Peter 3:18 (the Greek word </w:t>
      </w:r>
      <w:proofErr w:type="spellStart"/>
      <w:r>
        <w:rPr>
          <w:i/>
          <w:iCs/>
        </w:rPr>
        <w:t>huper</w:t>
      </w:r>
      <w:proofErr w:type="spellEnd"/>
      <w:r w:rsidR="00CA1AC6">
        <w:t>,</w:t>
      </w:r>
      <w:r>
        <w:t xml:space="preserve"> which in Isaiah (LXX) is only rendered as </w:t>
      </w:r>
      <w:proofErr w:type="spellStart"/>
      <w:r>
        <w:rPr>
          <w:i/>
          <w:iCs/>
        </w:rPr>
        <w:t>dia</w:t>
      </w:r>
      <w:proofErr w:type="spellEnd"/>
      <w:r>
        <w:rPr>
          <w:i/>
          <w:iCs/>
        </w:rPr>
        <w:t xml:space="preserve"> </w:t>
      </w:r>
      <w:r>
        <w:t xml:space="preserve">and </w:t>
      </w:r>
      <w:r>
        <w:rPr>
          <w:i/>
          <w:iCs/>
        </w:rPr>
        <w:t>peri</w:t>
      </w:r>
      <w:r>
        <w:t xml:space="preserve">.) He suggests that this is because what the early </w:t>
      </w:r>
      <w:r w:rsidR="00CA1AC6">
        <w:t xml:space="preserve">writers </w:t>
      </w:r>
      <w:r>
        <w:t>wanted to describe in the ‘service’ of Jesus had no antecedent parallel in Judaism: it was unheard-of that ‘the suffering of a single man could have the power of removing… the guilt of a whole group of people.’</w:t>
      </w:r>
      <w:r>
        <w:rPr>
          <w:rStyle w:val="FootnoteReference"/>
        </w:rPr>
        <w:footnoteReference w:id="31"/>
      </w:r>
      <w:r>
        <w:t xml:space="preserve"> This seems a strong argument, especially alongside, for example, Orlinsky’s forthright rejection of such an idea as blasphemy: indeed</w:t>
      </w:r>
      <w:r w:rsidR="00CA1AC6">
        <w:t>,</w:t>
      </w:r>
      <w:r>
        <w:t xml:space="preserve"> at the crossroads between the Jewish faith and the revolution that Jesus brought with him, it might be surprising that the idea of vicariousness pre-existed in Hebrew scripture. </w:t>
      </w:r>
    </w:p>
    <w:p w14:paraId="2BF07E63" w14:textId="77777777" w:rsidR="00216386" w:rsidRDefault="00216386"/>
    <w:p w14:paraId="1E1BBC60" w14:textId="4B534FFE" w:rsidR="00216386" w:rsidRDefault="00216386">
      <w:r>
        <w:t>This summary review of some of the counterproposals to what is being called the sceptic position nibbles at the margins of what may be the fundamental issue. For some,</w:t>
      </w:r>
      <w:r>
        <w:rPr>
          <w:rStyle w:val="FootnoteReference"/>
        </w:rPr>
        <w:footnoteReference w:id="32"/>
      </w:r>
      <w:r>
        <w:t xml:space="preserve"> the issue of whether Jesus had in mind the fourth Servant Song of Isaiah reaches to the heart of the Christian faith: ‘did Jesus Christ die for our sins?’</w:t>
      </w:r>
      <w:r>
        <w:rPr>
          <w:rStyle w:val="FootnoteReference"/>
        </w:rPr>
        <w:footnoteReference w:id="33"/>
      </w:r>
      <w:r>
        <w:t xml:space="preserve"> If the </w:t>
      </w:r>
      <w:r>
        <w:lastRenderedPageBreak/>
        <w:t xml:space="preserve">answer is a definitive ‘No’ then one may wonder what there is to distinguish Christianity from the Jewish faith. </w:t>
      </w:r>
    </w:p>
    <w:p w14:paraId="20A81317" w14:textId="77777777" w:rsidR="00216386" w:rsidRDefault="00216386"/>
    <w:p w14:paraId="3DE4C946" w14:textId="22952A05" w:rsidR="00216386" w:rsidRDefault="00216386">
      <w:r>
        <w:t xml:space="preserve">It is William Farmer who provides </w:t>
      </w:r>
      <w:r w:rsidR="00CA1AC6">
        <w:t>a</w:t>
      </w:r>
      <w:r>
        <w:t xml:space="preserve"> ‘level-headed’ rationale for the view that the Christian origins of the association with Isaiah’s Suffering Servant date back to Christ himself.</w:t>
      </w:r>
      <w:r>
        <w:rPr>
          <w:rStyle w:val="FootnoteReference"/>
        </w:rPr>
        <w:footnoteReference w:id="34"/>
      </w:r>
      <w:r>
        <w:t xml:space="preserve"> The rationale is based on selected NT texts and Isaiah 53, and an ingenious connection he makes between what we know historically of Paul. </w:t>
      </w:r>
    </w:p>
    <w:p w14:paraId="3C04AC47" w14:textId="77777777" w:rsidR="00216386" w:rsidRDefault="00216386"/>
    <w:p w14:paraId="574CBD3A" w14:textId="544AE10B" w:rsidR="00216386" w:rsidRDefault="00841EB3">
      <w:r>
        <w:t xml:space="preserve">In </w:t>
      </w:r>
      <w:r w:rsidR="00216386">
        <w:t>I Corinthians 15:3</w:t>
      </w:r>
      <w:r w:rsidR="00216386">
        <w:rPr>
          <w:rStyle w:val="FootnoteReference"/>
        </w:rPr>
        <w:footnoteReference w:id="35"/>
      </w:r>
      <w:r>
        <w:t>,</w:t>
      </w:r>
      <w:r w:rsidR="00216386">
        <w:t xml:space="preserve"> </w:t>
      </w:r>
      <w:r>
        <w:t xml:space="preserve">Farmer finds </w:t>
      </w:r>
      <w:r w:rsidR="00216386">
        <w:t xml:space="preserve"> linguistic parallels to Isaiah 53:4 and 6</w:t>
      </w:r>
      <w:r>
        <w:t xml:space="preserve"> a</w:t>
      </w:r>
      <w:r w:rsidR="00CA1AC6">
        <w:t>s well as</w:t>
      </w:r>
      <w:r>
        <w:t xml:space="preserve"> </w:t>
      </w:r>
      <w:r w:rsidR="00216386">
        <w:t>a ‘conceptual similarity’</w:t>
      </w:r>
      <w:r w:rsidR="00216386">
        <w:rPr>
          <w:rStyle w:val="FootnoteReference"/>
        </w:rPr>
        <w:footnoteReference w:id="36"/>
      </w:r>
      <w:r>
        <w:t>; in Matthew 20:20-28 (see also Mark 10:35-45),</w:t>
      </w:r>
      <w:r>
        <w:rPr>
          <w:rStyle w:val="FootnoteReference"/>
        </w:rPr>
        <w:footnoteReference w:id="37"/>
      </w:r>
      <w:r>
        <w:t xml:space="preserve"> he finds verbal and conceptual congruency in the act of redemption that benefits ‘the many’; and in Galatians 1:3-4, </w:t>
      </w:r>
      <w:r w:rsidR="00CA1AC6">
        <w:t xml:space="preserve">he notes </w:t>
      </w:r>
      <w:r>
        <w:t xml:space="preserve">the voluntary surrender of the saviour on behalf of the sins of others. </w:t>
      </w:r>
    </w:p>
    <w:p w14:paraId="0FC4F5F5" w14:textId="77777777" w:rsidR="00841EB3" w:rsidRDefault="00841EB3"/>
    <w:p w14:paraId="4D80D6FA" w14:textId="58903B56" w:rsidR="00F161FC" w:rsidRDefault="00841EB3">
      <w:r>
        <w:t>The strongest argument revolves around the description of the Last Supper (Matthew 26:26-30 and Mark 14:22-26) where Farmer’s thought is that Jesus is instituting a ‘new covenant’, as is borne out by I Corinthians 11:23-26. Jesus’ description of his blood echoes Isaiah’s line about the Servant ‘pouring out his life’</w:t>
      </w:r>
      <w:r>
        <w:rPr>
          <w:rStyle w:val="FootnoteReference"/>
        </w:rPr>
        <w:footnoteReference w:id="38"/>
      </w:r>
      <w:r>
        <w:t xml:space="preserve">. It is reminiscent of Otto Betz’s claim </w:t>
      </w:r>
      <w:r w:rsidR="00CA1AC6">
        <w:t xml:space="preserve">about Jesus’ enactment of Isaiah 53:12 at the Last Supper (see above.) </w:t>
      </w:r>
      <w:r w:rsidR="00F161FC">
        <w:t xml:space="preserve">It might be objected that all we have is the Evangelists’ accounts of the Last Supper, and no evidence that what Jesus himself was (uniquely) doing and saying was with reference to Isaiah: could these (perhaps copied) texts between Matthew and Mark be a later elaboration? </w:t>
      </w:r>
    </w:p>
    <w:p w14:paraId="28AFA8EA" w14:textId="77777777" w:rsidR="00F161FC" w:rsidRDefault="00F161FC"/>
    <w:p w14:paraId="0EB4DDFE" w14:textId="3041475B" w:rsidR="00F161FC" w:rsidRDefault="00F161FC">
      <w:r>
        <w:t>The riposte is that there is evidence that supports the idea that Jesus’ words from the Last Supper are his. It comes from the biographical detail in Paul that some three years after his Damascene conversion, he returned to Jerusalem and met Peter (and James), staying with them for over a fortnight (see Galatians 1: 18-24.) According to Farmer, the purpose of the visit included a kind of inquiry or interrogation.</w:t>
      </w:r>
      <w:r>
        <w:rPr>
          <w:rStyle w:val="FootnoteReference"/>
        </w:rPr>
        <w:footnoteReference w:id="39"/>
      </w:r>
      <w:r>
        <w:t xml:space="preserve"> What he learned from that meeting may be supposed to corroborate the ‘</w:t>
      </w:r>
      <w:proofErr w:type="gramStart"/>
      <w:r>
        <w:t>eye-witness</w:t>
      </w:r>
      <w:proofErr w:type="gramEnd"/>
      <w:r>
        <w:t xml:space="preserve">’ accounts in Matthew and Mark.  If this line of inquiry is right, then the process may be summarized thus: Jesus </w:t>
      </w:r>
      <w:r>
        <w:rPr>
          <w:i/>
          <w:iCs/>
        </w:rPr>
        <w:t xml:space="preserve">did </w:t>
      </w:r>
      <w:r>
        <w:t xml:space="preserve">know of the Suffering Servant; he shared this vision of himself to his (often) uncomprehending disciples, and acted it out in his life, death and resurrection; the disciples transmitted this (notably in their accounts of the Last Supper) to Paul; Paul took up the ‘banner’ (in Greek) with the Gentiles. </w:t>
      </w:r>
    </w:p>
    <w:p w14:paraId="1D728F35" w14:textId="77777777" w:rsidR="00F161FC" w:rsidRDefault="00F161FC"/>
    <w:p w14:paraId="66C31681" w14:textId="5BFA7F36" w:rsidR="00F161FC" w:rsidRDefault="00F161FC">
      <w:r>
        <w:lastRenderedPageBreak/>
        <w:t xml:space="preserve">The above is a sketch of some of the arguments surrounding Isaiah 53. On closing, it may be worth considering why the origin story of the Suffering Servant in Christianity is such a divisive issue. It is understandable that sceptics are reluctant to ascribe foreknowledge to Jesus of what was later to become a key element in the Christian faith: one’s forensic duty as a theologian is to proceed in the greatest certainty, and there is much evidence that confidence in Jesus’ self-awareness on the Suffering Servant question is difficult. As noted, there is considerable textual disparity, much room for interpretation, and few definitive answers. Coupled with uncertainty about who the Servant is/was is the broader question of why Isaiah wrote the songs in the first place. There can be no expectation that his was an actual prophesy about </w:t>
      </w:r>
      <w:r w:rsidR="00CA1AC6">
        <w:t xml:space="preserve">the </w:t>
      </w:r>
      <w:r>
        <w:t xml:space="preserve">Jesus </w:t>
      </w:r>
      <w:r w:rsidR="00CA1AC6">
        <w:t xml:space="preserve">of history </w:t>
      </w:r>
      <w:r>
        <w:t xml:space="preserve">some 350 years after it was made. Is it possible that the enthusiasm of early (and later) Christians to seize on the Servant Song as evidentiary and explicatory of some Divine Will (or Participation in human </w:t>
      </w:r>
      <w:proofErr w:type="spellStart"/>
      <w:r>
        <w:t xml:space="preserve">history) </w:t>
      </w:r>
      <w:proofErr w:type="spellEnd"/>
      <w:proofErr w:type="gramStart"/>
      <w:r>
        <w:t>actually offended</w:t>
      </w:r>
      <w:proofErr w:type="gramEnd"/>
      <w:r>
        <w:t xml:space="preserve"> the rational sensibilities of the more sceptical exegetes? </w:t>
      </w:r>
    </w:p>
    <w:p w14:paraId="6132D7BA" w14:textId="77777777" w:rsidR="00F161FC" w:rsidRDefault="00F161FC"/>
    <w:p w14:paraId="519883D0" w14:textId="21DB2E4C" w:rsidR="00216386" w:rsidRDefault="00F161FC">
      <w:r>
        <w:t xml:space="preserve">If so, perhaps </w:t>
      </w:r>
      <w:r w:rsidR="00A70FC0">
        <w:t xml:space="preserve">since then, </w:t>
      </w:r>
      <w:r>
        <w:t xml:space="preserve">the sceptics have </w:t>
      </w:r>
      <w:r w:rsidR="00CA1AC6">
        <w:t xml:space="preserve">been </w:t>
      </w:r>
      <w:r>
        <w:t>throw</w:t>
      </w:r>
      <w:r w:rsidR="00CA1AC6">
        <w:t>ing</w:t>
      </w:r>
      <w:r>
        <w:t xml:space="preserve"> the baby out with the bath water.</w:t>
      </w:r>
    </w:p>
    <w:p w14:paraId="3CB8A65B" w14:textId="77777777" w:rsidR="00CA1AC6" w:rsidRDefault="00CA1AC6"/>
    <w:p w14:paraId="3CA780C0" w14:textId="77777777" w:rsidR="00CA1AC6" w:rsidRDefault="00CA1AC6"/>
    <w:p w14:paraId="71864284" w14:textId="11580ADB" w:rsidR="00CA1AC6" w:rsidRDefault="00CA1AC6" w:rsidP="00CA1AC6">
      <w:pPr>
        <w:jc w:val="right"/>
      </w:pPr>
      <w:r>
        <w:t>3</w:t>
      </w:r>
      <w:r w:rsidR="003662F4">
        <w:t>093</w:t>
      </w:r>
      <w:r>
        <w:t xml:space="preserve"> words.</w:t>
      </w:r>
    </w:p>
    <w:p w14:paraId="68091BB4" w14:textId="77777777" w:rsidR="00216386" w:rsidRPr="00216386" w:rsidRDefault="00216386"/>
    <w:p w14:paraId="01C8B670" w14:textId="77777777" w:rsidR="00122B12" w:rsidRDefault="00122B12"/>
    <w:p w14:paraId="31297155" w14:textId="77777777" w:rsidR="00122B12" w:rsidRDefault="00122B12"/>
    <w:p w14:paraId="26BC1DFA" w14:textId="77777777" w:rsidR="004549C1" w:rsidRDefault="004549C1"/>
    <w:p w14:paraId="03CF408B" w14:textId="77777777" w:rsidR="00DD3D50" w:rsidRDefault="00DD3D50"/>
    <w:p w14:paraId="3BFBA5F2" w14:textId="77777777" w:rsidR="00905259" w:rsidRDefault="00905259"/>
    <w:p w14:paraId="4AE06554" w14:textId="77777777" w:rsidR="00F161FC" w:rsidRDefault="00F161FC"/>
    <w:p w14:paraId="09EC2F68" w14:textId="77777777" w:rsidR="00F161FC" w:rsidRDefault="00F161FC"/>
    <w:p w14:paraId="61A79E07" w14:textId="77777777" w:rsidR="00F161FC" w:rsidRDefault="00F161FC"/>
    <w:p w14:paraId="4D705E91" w14:textId="77777777" w:rsidR="00F161FC" w:rsidRDefault="00F161FC"/>
    <w:p w14:paraId="7DA4277C" w14:textId="77777777" w:rsidR="00F161FC" w:rsidRDefault="00F161FC"/>
    <w:p w14:paraId="12C606BF" w14:textId="77777777" w:rsidR="00F161FC" w:rsidRDefault="00F161FC"/>
    <w:p w14:paraId="0490581C" w14:textId="77777777" w:rsidR="00F161FC" w:rsidRDefault="00F161FC"/>
    <w:p w14:paraId="3F2CAB25" w14:textId="77777777" w:rsidR="00F161FC" w:rsidRDefault="00F161FC"/>
    <w:p w14:paraId="51BA167F" w14:textId="77777777" w:rsidR="00F161FC" w:rsidRDefault="00F161FC"/>
    <w:p w14:paraId="29246462" w14:textId="77777777" w:rsidR="00F161FC" w:rsidRDefault="00F161FC"/>
    <w:p w14:paraId="4C940681" w14:textId="77777777" w:rsidR="00F161FC" w:rsidRDefault="00F161FC"/>
    <w:p w14:paraId="22109782" w14:textId="77777777" w:rsidR="00F161FC" w:rsidRDefault="00F161FC"/>
    <w:p w14:paraId="68A61C97" w14:textId="77777777" w:rsidR="00F161FC" w:rsidRDefault="00F161FC"/>
    <w:p w14:paraId="6D97BCD0" w14:textId="77777777" w:rsidR="00F161FC" w:rsidRDefault="00F161FC"/>
    <w:p w14:paraId="5F16257B" w14:textId="77777777" w:rsidR="00F161FC" w:rsidRDefault="00F161FC"/>
    <w:p w14:paraId="3B7CA654" w14:textId="77777777" w:rsidR="00F161FC" w:rsidRDefault="00F161FC"/>
    <w:p w14:paraId="4F13FE5A" w14:textId="77777777" w:rsidR="00F161FC" w:rsidRDefault="00F161FC"/>
    <w:p w14:paraId="37A945B3" w14:textId="77777777" w:rsidR="00F161FC" w:rsidRDefault="00F161FC"/>
    <w:p w14:paraId="0422B1E0" w14:textId="77777777" w:rsidR="00F161FC" w:rsidRDefault="00F161FC"/>
    <w:p w14:paraId="0B62EB85" w14:textId="77777777" w:rsidR="00F161FC" w:rsidRDefault="00F161FC"/>
    <w:p w14:paraId="1CFDE76F" w14:textId="77777777" w:rsidR="00F161FC" w:rsidRDefault="00F161FC"/>
    <w:p w14:paraId="5F088D22" w14:textId="77777777" w:rsidR="00F161FC" w:rsidRPr="00CA1AC6" w:rsidRDefault="00F161FC">
      <w:pPr>
        <w:rPr>
          <w:b/>
          <w:bCs/>
        </w:rPr>
      </w:pPr>
      <w:r w:rsidRPr="00CA1AC6">
        <w:rPr>
          <w:b/>
          <w:bCs/>
        </w:rPr>
        <w:lastRenderedPageBreak/>
        <w:t>Bibliography</w:t>
      </w:r>
    </w:p>
    <w:p w14:paraId="3BAB0498" w14:textId="77777777" w:rsidR="00F161FC" w:rsidRDefault="00F161FC"/>
    <w:p w14:paraId="463CC7C2" w14:textId="1C4FA317" w:rsidR="00CA1AC6" w:rsidRDefault="00CA1AC6">
      <w:pPr>
        <w:rPr>
          <w:i/>
          <w:iCs/>
        </w:rPr>
      </w:pPr>
      <w:r w:rsidRPr="00CE56C6">
        <w:t>Berges</w:t>
      </w:r>
      <w:r>
        <w:t xml:space="preserve"> U.</w:t>
      </w:r>
      <w:r w:rsidRPr="00CE56C6">
        <w:t>, 'The Servant(s) in Isaiah', in Lena-Sofia Tiemeyer (ed.), </w:t>
      </w:r>
      <w:r w:rsidRPr="00CE56C6">
        <w:rPr>
          <w:i/>
          <w:iCs/>
        </w:rPr>
        <w:t xml:space="preserve">The Oxford </w:t>
      </w:r>
    </w:p>
    <w:p w14:paraId="7372CE1C" w14:textId="6A07BF24" w:rsidR="00CA1AC6" w:rsidRDefault="00CA1AC6" w:rsidP="00CA1AC6">
      <w:pPr>
        <w:ind w:firstLine="720"/>
      </w:pPr>
      <w:r w:rsidRPr="00CE56C6">
        <w:rPr>
          <w:i/>
          <w:iCs/>
        </w:rPr>
        <w:t>Handbook of Isaiah</w:t>
      </w:r>
      <w:r w:rsidRPr="00CE56C6">
        <w:t xml:space="preserve"> (2021; online </w:t>
      </w:r>
      <w:proofErr w:type="spellStart"/>
      <w:r w:rsidRPr="00CE56C6">
        <w:t>edn</w:t>
      </w:r>
      <w:proofErr w:type="spellEnd"/>
      <w:r w:rsidRPr="00CE56C6">
        <w:t>, Oxford Academic, 8 Oct. 2020)</w:t>
      </w:r>
    </w:p>
    <w:p w14:paraId="0455C8DF" w14:textId="77777777" w:rsidR="00CA1AC6" w:rsidRDefault="00CA1AC6"/>
    <w:p w14:paraId="2AC54C82" w14:textId="00BAA65B" w:rsidR="00D32384" w:rsidRDefault="00D32384" w:rsidP="00D32384">
      <w:r>
        <w:t>Betz, O.</w:t>
      </w:r>
      <w:r w:rsidRPr="00D32384">
        <w:t xml:space="preserve">, </w:t>
      </w:r>
      <w:r w:rsidR="005205D8">
        <w:t>‘</w:t>
      </w:r>
      <w:r w:rsidRPr="00D32384">
        <w:t>Jesus and Isaiah 53</w:t>
      </w:r>
      <w:r w:rsidR="005205D8">
        <w:t>’</w:t>
      </w:r>
      <w:r w:rsidRPr="00D32384">
        <w:t xml:space="preserve">, </w:t>
      </w:r>
      <w:r w:rsidRPr="00D32384">
        <w:rPr>
          <w:i/>
          <w:iCs/>
        </w:rPr>
        <w:t xml:space="preserve">Jesus and the Suffering Servant, </w:t>
      </w:r>
      <w:r>
        <w:t xml:space="preserve">eds. </w:t>
      </w:r>
      <w:r w:rsidRPr="00F54DBA">
        <w:t>Bellinger Jr.</w:t>
      </w:r>
      <w:r>
        <w:t xml:space="preserve"> W.H.,</w:t>
      </w:r>
      <w:r w:rsidRPr="00F54DBA">
        <w:t xml:space="preserve"> </w:t>
      </w:r>
    </w:p>
    <w:p w14:paraId="271F1863" w14:textId="2059A96C" w:rsidR="00D32384" w:rsidRDefault="00D32384" w:rsidP="00D32384">
      <w:pPr>
        <w:ind w:firstLine="720"/>
      </w:pPr>
      <w:r w:rsidRPr="00F54DBA">
        <w:t xml:space="preserve">William R. Farmer (Trinity Press International, 1998) </w:t>
      </w:r>
    </w:p>
    <w:p w14:paraId="46C8C5E4" w14:textId="6EF74D34" w:rsidR="00D32384" w:rsidRDefault="00D32384" w:rsidP="00D32384"/>
    <w:p w14:paraId="46DC6D34" w14:textId="773CAF1F" w:rsidR="00CA1AC6" w:rsidRDefault="00905259" w:rsidP="00CA1AC6">
      <w:pPr>
        <w:rPr>
          <w:i/>
          <w:iCs/>
        </w:rPr>
      </w:pPr>
      <w:proofErr w:type="spellStart"/>
      <w:r w:rsidRPr="00905259">
        <w:t>Beuken</w:t>
      </w:r>
      <w:proofErr w:type="spellEnd"/>
      <w:r w:rsidRPr="00905259">
        <w:t>, W.</w:t>
      </w:r>
      <w:r w:rsidR="005205D8">
        <w:t>, ‘</w:t>
      </w:r>
      <w:proofErr w:type="spellStart"/>
      <w:r w:rsidRPr="00905259">
        <w:t>Mišpāt</w:t>
      </w:r>
      <w:proofErr w:type="spellEnd"/>
      <w:r w:rsidRPr="00905259">
        <w:t>: the first servant song and its context</w:t>
      </w:r>
      <w:r w:rsidR="005205D8">
        <w:t xml:space="preserve">’, </w:t>
      </w:r>
      <w:proofErr w:type="spellStart"/>
      <w:r w:rsidRPr="00905259">
        <w:rPr>
          <w:i/>
          <w:iCs/>
        </w:rPr>
        <w:t>Vetus</w:t>
      </w:r>
      <w:proofErr w:type="spellEnd"/>
      <w:r w:rsidR="00CA1AC6">
        <w:rPr>
          <w:i/>
          <w:iCs/>
        </w:rPr>
        <w:t xml:space="preserve"> </w:t>
      </w:r>
    </w:p>
    <w:p w14:paraId="5D4EC06E" w14:textId="1D6A773F" w:rsidR="00905259" w:rsidRPr="0049231A" w:rsidRDefault="00905259" w:rsidP="00CA1AC6">
      <w:pPr>
        <w:ind w:firstLine="720"/>
        <w:rPr>
          <w:color w:val="EE0000"/>
        </w:rPr>
      </w:pPr>
      <w:proofErr w:type="spellStart"/>
      <w:r w:rsidRPr="00905259">
        <w:rPr>
          <w:i/>
          <w:iCs/>
        </w:rPr>
        <w:t>Testamentum</w:t>
      </w:r>
      <w:proofErr w:type="spellEnd"/>
      <w:r w:rsidRPr="00905259">
        <w:t>, </w:t>
      </w:r>
      <w:r w:rsidRPr="00905259">
        <w:rPr>
          <w:i/>
          <w:iCs/>
        </w:rPr>
        <w:t>22</w:t>
      </w:r>
      <w:r w:rsidRPr="00905259">
        <w:t>(1</w:t>
      </w:r>
      <w:r w:rsidR="00327C89">
        <w:t>)</w:t>
      </w:r>
      <w:r w:rsidR="0049231A">
        <w:t xml:space="preserve"> </w:t>
      </w:r>
      <w:r w:rsidR="005205D8">
        <w:t>1972</w:t>
      </w:r>
    </w:p>
    <w:p w14:paraId="448F034E" w14:textId="77777777" w:rsidR="00CA1AC6" w:rsidRDefault="00CA1AC6"/>
    <w:p w14:paraId="2B0AD887" w14:textId="355E99B9" w:rsidR="00327C89" w:rsidRDefault="00327C89">
      <w:r>
        <w:t>Bible, New International Version</w:t>
      </w:r>
    </w:p>
    <w:p w14:paraId="310FB1C7" w14:textId="77777777" w:rsidR="00D32384" w:rsidRDefault="00D32384"/>
    <w:p w14:paraId="4A5A95A5" w14:textId="5807543B" w:rsidR="00EB746B" w:rsidRDefault="00D32384" w:rsidP="00D32384">
      <w:pPr>
        <w:rPr>
          <w:i/>
          <w:iCs/>
        </w:rPr>
      </w:pPr>
      <w:proofErr w:type="spellStart"/>
      <w:r>
        <w:t>Brettler</w:t>
      </w:r>
      <w:proofErr w:type="spellEnd"/>
      <w:r>
        <w:t xml:space="preserve"> M., Amy-Jill Levine, </w:t>
      </w:r>
      <w:r w:rsidR="00293A0C">
        <w:t>‘</w:t>
      </w:r>
      <w:r>
        <w:t>Isaiah’s Suffering Servant: Before and After Christianity</w:t>
      </w:r>
      <w:r w:rsidR="00293A0C">
        <w:t>’</w:t>
      </w:r>
      <w:r>
        <w:t xml:space="preserve">, </w:t>
      </w:r>
      <w:r w:rsidRPr="00D32384">
        <w:rPr>
          <w:i/>
          <w:iCs/>
        </w:rPr>
        <w:t xml:space="preserve">A </w:t>
      </w:r>
    </w:p>
    <w:p w14:paraId="6C7E7F32" w14:textId="72CD559E" w:rsidR="00D32384" w:rsidRPr="00D32384" w:rsidRDefault="00D32384" w:rsidP="00EB746B">
      <w:pPr>
        <w:ind w:firstLine="720"/>
      </w:pPr>
      <w:r w:rsidRPr="00D32384">
        <w:rPr>
          <w:i/>
          <w:iCs/>
        </w:rPr>
        <w:t>Journal of Bible and Theology</w:t>
      </w:r>
      <w:r w:rsidRPr="00D32384">
        <w:t xml:space="preserve"> Vol. 73(2) </w:t>
      </w:r>
      <w:r>
        <w:t>2019</w:t>
      </w:r>
    </w:p>
    <w:p w14:paraId="60F38765" w14:textId="77777777" w:rsidR="00327C89" w:rsidRDefault="00327C89"/>
    <w:p w14:paraId="701A9CC6" w14:textId="4BC26D90" w:rsidR="00327C89" w:rsidRDefault="00A70FC0">
      <w:r w:rsidRPr="00FA3FD0">
        <w:t>Dray,</w:t>
      </w:r>
      <w:r w:rsidR="00293A0C">
        <w:t xml:space="preserve"> P.,</w:t>
      </w:r>
      <w:r w:rsidRPr="00FA3FD0">
        <w:t xml:space="preserve"> </w:t>
      </w:r>
      <w:r w:rsidR="00293A0C">
        <w:t>‘</w:t>
      </w:r>
      <w:r w:rsidRPr="00FA3FD0">
        <w:t>Isaiah 52:13-53:12: Isaiah on the Suffering Servant</w:t>
      </w:r>
      <w:r w:rsidR="00293A0C">
        <w:t>’,</w:t>
      </w:r>
      <w:r w:rsidRPr="00FA3FD0">
        <w:t> </w:t>
      </w:r>
      <w:r w:rsidRPr="00FA3FD0">
        <w:rPr>
          <w:i/>
          <w:iCs/>
        </w:rPr>
        <w:t>Evangel</w:t>
      </w:r>
      <w:r w:rsidRPr="00FA3FD0">
        <w:t>, </w:t>
      </w:r>
      <w:r w:rsidRPr="00FA3FD0">
        <w:rPr>
          <w:i/>
          <w:iCs/>
        </w:rPr>
        <w:t>26</w:t>
      </w:r>
      <w:r w:rsidRPr="00FA3FD0">
        <w:t xml:space="preserve">(2) </w:t>
      </w:r>
      <w:r w:rsidR="00293A0C">
        <w:t>2008</w:t>
      </w:r>
    </w:p>
    <w:p w14:paraId="01ECBDE8" w14:textId="77777777" w:rsidR="00A70FC0" w:rsidRDefault="00A70FC0"/>
    <w:p w14:paraId="4C4A63D8" w14:textId="4B7D11D5" w:rsidR="00CA1AC6" w:rsidRDefault="00CA1AC6">
      <w:proofErr w:type="spellStart"/>
      <w:r>
        <w:t>Duhm</w:t>
      </w:r>
      <w:proofErr w:type="spellEnd"/>
      <w:r>
        <w:t>, B.</w:t>
      </w:r>
      <w:r>
        <w:t xml:space="preserve">, </w:t>
      </w:r>
      <w:r w:rsidRPr="00CA1AC6">
        <w:rPr>
          <w:i/>
          <w:iCs/>
        </w:rPr>
        <w:t>Das Buch Jesaja</w:t>
      </w:r>
      <w:r w:rsidR="00293A0C">
        <w:t xml:space="preserve">: </w:t>
      </w:r>
      <w:proofErr w:type="spellStart"/>
      <w:r w:rsidRPr="00293A0C">
        <w:rPr>
          <w:i/>
          <w:iCs/>
        </w:rPr>
        <w:t>Göttinger</w:t>
      </w:r>
      <w:proofErr w:type="spellEnd"/>
      <w:r w:rsidRPr="00293A0C">
        <w:rPr>
          <w:i/>
          <w:iCs/>
        </w:rPr>
        <w:t xml:space="preserve"> </w:t>
      </w:r>
      <w:proofErr w:type="spellStart"/>
      <w:r w:rsidRPr="00293A0C">
        <w:rPr>
          <w:i/>
          <w:iCs/>
        </w:rPr>
        <w:t>Handkommentar</w:t>
      </w:r>
      <w:proofErr w:type="spellEnd"/>
      <w:r w:rsidRPr="00293A0C">
        <w:rPr>
          <w:i/>
          <w:iCs/>
        </w:rPr>
        <w:t xml:space="preserve"> </w:t>
      </w:r>
      <w:proofErr w:type="spellStart"/>
      <w:r w:rsidRPr="00293A0C">
        <w:rPr>
          <w:i/>
          <w:iCs/>
        </w:rPr>
        <w:t>zum</w:t>
      </w:r>
      <w:proofErr w:type="spellEnd"/>
      <w:r w:rsidRPr="00293A0C">
        <w:rPr>
          <w:i/>
          <w:iCs/>
        </w:rPr>
        <w:t xml:space="preserve"> Alten </w:t>
      </w:r>
      <w:proofErr w:type="spellStart"/>
      <w:r w:rsidRPr="00293A0C">
        <w:rPr>
          <w:i/>
          <w:iCs/>
        </w:rPr>
        <w:t>Testamentum</w:t>
      </w:r>
      <w:proofErr w:type="spellEnd"/>
      <w:r>
        <w:t xml:space="preserve"> </w:t>
      </w:r>
    </w:p>
    <w:p w14:paraId="5FB68DFA" w14:textId="77777777" w:rsidR="00CA1AC6" w:rsidRDefault="00CA1AC6" w:rsidP="00CA1AC6">
      <w:pPr>
        <w:ind w:firstLine="720"/>
      </w:pPr>
      <w:r>
        <w:t>III, 1, 1</w:t>
      </w:r>
      <w:r w:rsidRPr="00CA1AC6">
        <w:rPr>
          <w:vertAlign w:val="superscript"/>
        </w:rPr>
        <w:t>st</w:t>
      </w:r>
      <w:r>
        <w:t xml:space="preserve"> ed. (Göttingen: </w:t>
      </w:r>
      <w:proofErr w:type="spellStart"/>
      <w:r>
        <w:t>Vandenhoeck</w:t>
      </w:r>
      <w:proofErr w:type="spellEnd"/>
      <w:r>
        <w:t xml:space="preserve"> &amp; Ruprecht, 1892; 4</w:t>
      </w:r>
      <w:r w:rsidRPr="00CA1AC6">
        <w:rPr>
          <w:vertAlign w:val="superscript"/>
        </w:rPr>
        <w:t>th</w:t>
      </w:r>
      <w:r>
        <w:t xml:space="preserve"> ed., 1922 = 5</w:t>
      </w:r>
      <w:r w:rsidRPr="00CA1AC6">
        <w:rPr>
          <w:vertAlign w:val="superscript"/>
        </w:rPr>
        <w:t>th</w:t>
      </w:r>
      <w:r>
        <w:t xml:space="preserve"> ed., </w:t>
      </w:r>
    </w:p>
    <w:p w14:paraId="165C0F56" w14:textId="55DEB73F" w:rsidR="00CA1AC6" w:rsidRDefault="00CA1AC6" w:rsidP="00CA1AC6">
      <w:pPr>
        <w:ind w:firstLine="720"/>
      </w:pPr>
      <w:r>
        <w:t>1968, reprinted)</w:t>
      </w:r>
    </w:p>
    <w:p w14:paraId="3E8EAB83" w14:textId="77777777" w:rsidR="00CA1AC6" w:rsidRDefault="00CA1AC6"/>
    <w:p w14:paraId="010C60C8" w14:textId="77777777" w:rsidR="00D32384" w:rsidRDefault="00D32384">
      <w:pPr>
        <w:rPr>
          <w:i/>
          <w:iCs/>
        </w:rPr>
      </w:pPr>
      <w:r>
        <w:t>Farmer, W. R.</w:t>
      </w:r>
      <w:r>
        <w:t xml:space="preserve">, ‘Reflections on Isaiah 53 and Christian Origins’, </w:t>
      </w:r>
      <w:r>
        <w:rPr>
          <w:i/>
          <w:iCs/>
        </w:rPr>
        <w:t xml:space="preserve">Jesus and the Suffering </w:t>
      </w:r>
    </w:p>
    <w:p w14:paraId="58C41B61" w14:textId="23693D44" w:rsidR="00D32384" w:rsidRDefault="00D32384" w:rsidP="00D32384">
      <w:pPr>
        <w:ind w:left="720"/>
      </w:pPr>
      <w:r>
        <w:rPr>
          <w:i/>
          <w:iCs/>
        </w:rPr>
        <w:t xml:space="preserve">Servant, </w:t>
      </w:r>
      <w:r>
        <w:t>ed</w:t>
      </w:r>
      <w:r>
        <w:t>s</w:t>
      </w:r>
      <w:r>
        <w:t xml:space="preserve">. </w:t>
      </w:r>
      <w:r w:rsidRPr="00F54DBA">
        <w:t>Bellinger Jr.</w:t>
      </w:r>
      <w:r>
        <w:t xml:space="preserve"> W.H.,</w:t>
      </w:r>
      <w:r w:rsidRPr="00F54DBA">
        <w:t xml:space="preserve"> William R. Farmer (Trinity Press International, 1998) </w:t>
      </w:r>
    </w:p>
    <w:p w14:paraId="4C5584EF" w14:textId="765B30BA" w:rsidR="00D32384" w:rsidRDefault="00D32384" w:rsidP="00D32384">
      <w:pPr>
        <w:ind w:firstLine="720"/>
      </w:pPr>
    </w:p>
    <w:p w14:paraId="22C4454E" w14:textId="77777777" w:rsidR="00327C89" w:rsidRDefault="00327C89" w:rsidP="00327C89">
      <w:pPr>
        <w:rPr>
          <w:i/>
          <w:iCs/>
        </w:rPr>
      </w:pPr>
      <w:r w:rsidRPr="00327C89">
        <w:t>F.J. Foakes-Jackson</w:t>
      </w:r>
      <w:r>
        <w:t xml:space="preserve">, Kirsopp Lake, eds, </w:t>
      </w:r>
      <w:r w:rsidRPr="00327C89">
        <w:rPr>
          <w:i/>
          <w:iCs/>
        </w:rPr>
        <w:t xml:space="preserve">The beginnings of </w:t>
      </w:r>
      <w:proofErr w:type="gramStart"/>
      <w:r w:rsidRPr="00327C89">
        <w:rPr>
          <w:i/>
          <w:iCs/>
        </w:rPr>
        <w:t>Christianity :</w:t>
      </w:r>
      <w:proofErr w:type="gramEnd"/>
      <w:r w:rsidRPr="00327C89">
        <w:rPr>
          <w:i/>
          <w:iCs/>
        </w:rPr>
        <w:t xml:space="preserve"> </w:t>
      </w:r>
      <w:r>
        <w:rPr>
          <w:i/>
          <w:iCs/>
        </w:rPr>
        <w:t>T</w:t>
      </w:r>
      <w:r w:rsidRPr="00327C89">
        <w:rPr>
          <w:i/>
          <w:iCs/>
        </w:rPr>
        <w:t xml:space="preserve">he Acts of the </w:t>
      </w:r>
    </w:p>
    <w:p w14:paraId="4F560672" w14:textId="182200AF" w:rsidR="00327C89" w:rsidRDefault="00327C89" w:rsidP="002F0DF9">
      <w:pPr>
        <w:ind w:left="720"/>
      </w:pPr>
      <w:r w:rsidRPr="00327C89">
        <w:rPr>
          <w:i/>
          <w:iCs/>
        </w:rPr>
        <w:t>Apostles</w:t>
      </w:r>
      <w:r w:rsidR="00293A0C">
        <w:t>,</w:t>
      </w:r>
      <w:r w:rsidRPr="00327C89">
        <w:t xml:space="preserve"> Volume 1</w:t>
      </w:r>
      <w:r>
        <w:t xml:space="preserve"> </w:t>
      </w:r>
      <w:r w:rsidRPr="00327C89">
        <w:t>(Grand Rapids 1979</w:t>
      </w:r>
      <w:r w:rsidR="002F0DF9">
        <w:t xml:space="preserve">) </w:t>
      </w:r>
      <w:r w:rsidR="002F0DF9" w:rsidRPr="002F0DF9">
        <w:rPr>
          <w:color w:val="2C2C2C"/>
          <w:shd w:val="clear" w:color="auto" w:fill="FFFFFF"/>
        </w:rPr>
        <w:t>(</w:t>
      </w:r>
      <w:hyperlink r:id="rId8" w:history="1">
        <w:r w:rsidR="002F0DF9" w:rsidRPr="002F0DF9">
          <w:rPr>
            <w:rStyle w:val="Hyperlink"/>
            <w:shd w:val="clear" w:color="auto" w:fill="FFFFFF"/>
          </w:rPr>
          <w:t>https://archive.org/details/beginningsofchri0001unse_e2c6/page/390/mode/2up</w:t>
        </w:r>
      </w:hyperlink>
      <w:r w:rsidR="002F0DF9" w:rsidRPr="002F0DF9">
        <w:rPr>
          <w:color w:val="2C2C2C"/>
          <w:shd w:val="clear" w:color="auto" w:fill="FFFFFF"/>
        </w:rPr>
        <w:t>)</w:t>
      </w:r>
    </w:p>
    <w:p w14:paraId="0C7DACD1" w14:textId="77777777" w:rsidR="00327C89" w:rsidRDefault="00327C89" w:rsidP="00327C89">
      <w:pPr>
        <w:ind w:firstLine="720"/>
      </w:pPr>
    </w:p>
    <w:p w14:paraId="16239057" w14:textId="3C5E405F" w:rsidR="00327C89" w:rsidRDefault="00327C89">
      <w:r>
        <w:t xml:space="preserve">Hooker, M. D., </w:t>
      </w:r>
      <w:r>
        <w:rPr>
          <w:i/>
          <w:iCs/>
        </w:rPr>
        <w:t xml:space="preserve">Jesus and the Servant </w:t>
      </w:r>
      <w:r>
        <w:t>(London: SPCK, 1959)</w:t>
      </w:r>
    </w:p>
    <w:p w14:paraId="34FCA64A" w14:textId="77777777" w:rsidR="00327C89" w:rsidRDefault="00327C89"/>
    <w:p w14:paraId="39BF230D" w14:textId="77777777" w:rsidR="00327C89" w:rsidRDefault="00327C89">
      <w:r>
        <w:t>Hooker,</w:t>
      </w:r>
      <w:r>
        <w:t xml:space="preserve"> M. D.,</w:t>
      </w:r>
      <w:r>
        <w:t xml:space="preserve"> ‘Did the Use of Isaiah 53 to Interpret His Mission Begin with Jesus?’</w:t>
      </w:r>
      <w:r>
        <w:t>,</w:t>
      </w:r>
    </w:p>
    <w:p w14:paraId="19FA0C5E" w14:textId="4763DF6E" w:rsidR="00D32384" w:rsidRDefault="00327C89" w:rsidP="00D32384">
      <w:pPr>
        <w:ind w:firstLine="720"/>
      </w:pPr>
      <w:r>
        <w:rPr>
          <w:i/>
          <w:iCs/>
        </w:rPr>
        <w:t>Jesus and the Suffering Servant,</w:t>
      </w:r>
      <w:r w:rsidR="00D32384">
        <w:rPr>
          <w:i/>
          <w:iCs/>
        </w:rPr>
        <w:t xml:space="preserve"> </w:t>
      </w:r>
      <w:r w:rsidR="00D32384" w:rsidRPr="00F54DBA">
        <w:t>ed</w:t>
      </w:r>
      <w:r w:rsidR="00D32384">
        <w:t>s.</w:t>
      </w:r>
      <w:r w:rsidR="00D32384" w:rsidRPr="00F54DBA">
        <w:t xml:space="preserve"> Bellinger Jr.</w:t>
      </w:r>
      <w:r w:rsidR="00D32384">
        <w:t xml:space="preserve"> W.H.,</w:t>
      </w:r>
      <w:r w:rsidR="00D32384" w:rsidRPr="00F54DBA">
        <w:t xml:space="preserve"> William R. </w:t>
      </w:r>
    </w:p>
    <w:p w14:paraId="28B92879" w14:textId="77777777" w:rsidR="00D32384" w:rsidRDefault="00D32384" w:rsidP="00D32384">
      <w:pPr>
        <w:ind w:firstLine="720"/>
      </w:pPr>
      <w:r w:rsidRPr="00F54DBA">
        <w:t xml:space="preserve">Farmer (Trinity Press International, 1998) </w:t>
      </w:r>
    </w:p>
    <w:p w14:paraId="648E6A40" w14:textId="625277E1" w:rsidR="00327C89" w:rsidRDefault="00327C89" w:rsidP="00327C89">
      <w:pPr>
        <w:ind w:left="720"/>
      </w:pPr>
    </w:p>
    <w:p w14:paraId="4089C0A3" w14:textId="25BC0A2B" w:rsidR="00327C89" w:rsidRDefault="00327C89" w:rsidP="00327C89">
      <w:r>
        <w:t xml:space="preserve">Hooker, M. D., </w:t>
      </w:r>
      <w:r w:rsidR="00293A0C">
        <w:t>‘</w:t>
      </w:r>
      <w:r>
        <w:t>Isaiah in Mark’s Gospel</w:t>
      </w:r>
      <w:r w:rsidR="00293A0C">
        <w:t>’,</w:t>
      </w:r>
      <w:r>
        <w:t xml:space="preserve"> </w:t>
      </w:r>
      <w:r>
        <w:rPr>
          <w:i/>
          <w:iCs/>
        </w:rPr>
        <w:t>Isaiah in the New</w:t>
      </w:r>
      <w:r w:rsidRPr="004549C1">
        <w:rPr>
          <w:i/>
          <w:iCs/>
        </w:rPr>
        <w:t xml:space="preserve"> Testament</w:t>
      </w:r>
      <w:r>
        <w:t xml:space="preserve">, eds. </w:t>
      </w:r>
    </w:p>
    <w:p w14:paraId="786EE43A" w14:textId="08F96B8D" w:rsidR="00327C89" w:rsidRDefault="00327C89" w:rsidP="00327C89">
      <w:pPr>
        <w:ind w:firstLine="720"/>
      </w:pPr>
      <w:proofErr w:type="spellStart"/>
      <w:proofErr w:type="gramStart"/>
      <w:r>
        <w:t>Moyise</w:t>
      </w:r>
      <w:proofErr w:type="spellEnd"/>
      <w:r>
        <w:t xml:space="preserve"> </w:t>
      </w:r>
      <w:r w:rsidR="00293A0C">
        <w:t>.</w:t>
      </w:r>
      <w:proofErr w:type="gramEnd"/>
      <w:r w:rsidR="00293A0C">
        <w:t xml:space="preserve"> S., </w:t>
      </w:r>
      <w:r>
        <w:t>Maarten J. J. Menken (T &amp; T Clark International, 2005)</w:t>
      </w:r>
    </w:p>
    <w:p w14:paraId="0A3D010D" w14:textId="77777777" w:rsidR="00327C89" w:rsidRDefault="00327C89" w:rsidP="00327C89">
      <w:pPr>
        <w:ind w:left="720"/>
      </w:pPr>
    </w:p>
    <w:p w14:paraId="44625576" w14:textId="471E2FF9" w:rsidR="00A70FC0" w:rsidRDefault="00A70FC0" w:rsidP="00A70FC0">
      <w:r w:rsidRPr="00AD6838">
        <w:t>Knohl, I</w:t>
      </w:r>
      <w:r>
        <w:t>.</w:t>
      </w:r>
      <w:r w:rsidRPr="00AD6838">
        <w:t>, </w:t>
      </w:r>
      <w:r>
        <w:t>‘</w:t>
      </w:r>
      <w:r w:rsidRPr="00AD6838">
        <w:t xml:space="preserve">The Suffering Servant: from Isaiah to the Dead Sea Scrolls', Green, </w:t>
      </w:r>
      <w:r w:rsidR="00293A0C">
        <w:t>D. A.,</w:t>
      </w:r>
    </w:p>
    <w:p w14:paraId="0B755E2C" w14:textId="775D2F5F" w:rsidR="00A70FC0" w:rsidRPr="0049231A" w:rsidRDefault="00A70FC0" w:rsidP="00327C89">
      <w:pPr>
        <w:ind w:left="720"/>
        <w:rPr>
          <w:color w:val="EE0000"/>
        </w:rPr>
      </w:pPr>
      <w:r w:rsidRPr="00AD6838">
        <w:t>and Laura S. Lieber (eds), </w:t>
      </w:r>
      <w:r w:rsidRPr="00AD6838">
        <w:rPr>
          <w:i/>
          <w:iCs/>
        </w:rPr>
        <w:t>Scriptural Exegesis: The Shapes of Culture and the Religious Imagination:</w:t>
      </w:r>
      <w:r w:rsidR="00327C89">
        <w:rPr>
          <w:i/>
          <w:iCs/>
        </w:rPr>
        <w:t xml:space="preserve"> Essays in Honour of Michael Fishbane </w:t>
      </w:r>
      <w:r w:rsidR="00327C89">
        <w:t xml:space="preserve">(Oxford, 2009; online </w:t>
      </w:r>
      <w:proofErr w:type="spellStart"/>
      <w:r w:rsidR="00327C89">
        <w:t>edn</w:t>
      </w:r>
      <w:proofErr w:type="spellEnd"/>
      <w:r w:rsidR="00327C89">
        <w:t>, Oxford Academic, 1 May 2009)</w:t>
      </w:r>
      <w:r w:rsidRPr="00AD6838">
        <w:rPr>
          <w:i/>
          <w:iCs/>
        </w:rPr>
        <w:t xml:space="preserve"> </w:t>
      </w:r>
    </w:p>
    <w:p w14:paraId="5FE73829" w14:textId="77777777" w:rsidR="00A70FC0" w:rsidRDefault="00A70FC0"/>
    <w:p w14:paraId="12B666F2" w14:textId="5EC5741D" w:rsidR="002F0DF9" w:rsidRDefault="002F0DF9" w:rsidP="002F0DF9">
      <w:pPr>
        <w:rPr>
          <w:color w:val="000000" w:themeColor="text1"/>
        </w:rPr>
      </w:pPr>
      <w:r w:rsidRPr="00406468">
        <w:rPr>
          <w:color w:val="000000" w:themeColor="text1"/>
        </w:rPr>
        <w:t xml:space="preserve">Leene, H. </w:t>
      </w:r>
      <w:r w:rsidR="00EB746B">
        <w:rPr>
          <w:color w:val="000000" w:themeColor="text1"/>
        </w:rPr>
        <w:t>‘</w:t>
      </w:r>
      <w:r w:rsidRPr="00406468">
        <w:rPr>
          <w:color w:val="000000" w:themeColor="text1"/>
        </w:rPr>
        <w:t xml:space="preserve">Kan </w:t>
      </w:r>
      <w:proofErr w:type="spellStart"/>
      <w:r w:rsidRPr="00406468">
        <w:rPr>
          <w:color w:val="000000" w:themeColor="text1"/>
        </w:rPr>
        <w:t>een</w:t>
      </w:r>
      <w:proofErr w:type="spellEnd"/>
      <w:r w:rsidRPr="00406468">
        <w:rPr>
          <w:color w:val="000000" w:themeColor="text1"/>
        </w:rPr>
        <w:t xml:space="preserve"> </w:t>
      </w:r>
      <w:proofErr w:type="spellStart"/>
      <w:r w:rsidRPr="00406468">
        <w:rPr>
          <w:color w:val="000000" w:themeColor="text1"/>
        </w:rPr>
        <w:t>fictionele</w:t>
      </w:r>
      <w:proofErr w:type="spellEnd"/>
      <w:r w:rsidRPr="00406468">
        <w:rPr>
          <w:color w:val="000000" w:themeColor="text1"/>
        </w:rPr>
        <w:t xml:space="preserve"> </w:t>
      </w:r>
      <w:proofErr w:type="spellStart"/>
      <w:r w:rsidRPr="00406468">
        <w:rPr>
          <w:color w:val="000000" w:themeColor="text1"/>
        </w:rPr>
        <w:t>gestalte</w:t>
      </w:r>
      <w:proofErr w:type="spellEnd"/>
      <w:r w:rsidRPr="00406468">
        <w:rPr>
          <w:color w:val="000000" w:themeColor="text1"/>
        </w:rPr>
        <w:t xml:space="preserve"> </w:t>
      </w:r>
      <w:proofErr w:type="spellStart"/>
      <w:r w:rsidRPr="00406468">
        <w:rPr>
          <w:color w:val="000000" w:themeColor="text1"/>
        </w:rPr>
        <w:t>onze</w:t>
      </w:r>
      <w:proofErr w:type="spellEnd"/>
      <w:r w:rsidRPr="00406468">
        <w:rPr>
          <w:color w:val="000000" w:themeColor="text1"/>
        </w:rPr>
        <w:t xml:space="preserve"> </w:t>
      </w:r>
      <w:proofErr w:type="spellStart"/>
      <w:r w:rsidRPr="00406468">
        <w:rPr>
          <w:color w:val="000000" w:themeColor="text1"/>
        </w:rPr>
        <w:t>plaats</w:t>
      </w:r>
      <w:proofErr w:type="spellEnd"/>
      <w:r w:rsidRPr="00406468">
        <w:rPr>
          <w:color w:val="000000" w:themeColor="text1"/>
        </w:rPr>
        <w:t xml:space="preserve"> </w:t>
      </w:r>
      <w:proofErr w:type="spellStart"/>
      <w:r w:rsidRPr="00406468">
        <w:rPr>
          <w:color w:val="000000" w:themeColor="text1"/>
        </w:rPr>
        <w:t>innemen</w:t>
      </w:r>
      <w:proofErr w:type="spellEnd"/>
      <w:r w:rsidRPr="00406468">
        <w:rPr>
          <w:color w:val="000000" w:themeColor="text1"/>
        </w:rPr>
        <w:t xml:space="preserve">? </w:t>
      </w:r>
      <w:proofErr w:type="spellStart"/>
      <w:r w:rsidRPr="00406468">
        <w:rPr>
          <w:color w:val="000000" w:themeColor="text1"/>
        </w:rPr>
        <w:t>Overwegingen</w:t>
      </w:r>
      <w:proofErr w:type="spellEnd"/>
      <w:r w:rsidRPr="00406468">
        <w:rPr>
          <w:color w:val="000000" w:themeColor="text1"/>
        </w:rPr>
        <w:t xml:space="preserve"> </w:t>
      </w:r>
      <w:proofErr w:type="spellStart"/>
      <w:r w:rsidRPr="00406468">
        <w:rPr>
          <w:color w:val="000000" w:themeColor="text1"/>
        </w:rPr>
        <w:t>bij</w:t>
      </w:r>
      <w:proofErr w:type="spellEnd"/>
      <w:r w:rsidRPr="00406468">
        <w:rPr>
          <w:color w:val="000000" w:themeColor="text1"/>
        </w:rPr>
        <w:t xml:space="preserve"> de </w:t>
      </w:r>
      <w:proofErr w:type="spellStart"/>
      <w:r w:rsidRPr="00406468">
        <w:rPr>
          <w:color w:val="000000" w:themeColor="text1"/>
        </w:rPr>
        <w:t>uitleg</w:t>
      </w:r>
      <w:proofErr w:type="spellEnd"/>
      <w:r w:rsidRPr="00406468">
        <w:rPr>
          <w:color w:val="000000" w:themeColor="text1"/>
        </w:rPr>
        <w:t xml:space="preserve"> </w:t>
      </w:r>
    </w:p>
    <w:p w14:paraId="7A980C94" w14:textId="3064F38D" w:rsidR="002F0DF9" w:rsidRPr="00406468" w:rsidRDefault="002F0DF9" w:rsidP="002F0DF9">
      <w:pPr>
        <w:ind w:firstLine="720"/>
        <w:rPr>
          <w:color w:val="000000" w:themeColor="text1"/>
        </w:rPr>
      </w:pPr>
      <w:r w:rsidRPr="00406468">
        <w:rPr>
          <w:color w:val="000000" w:themeColor="text1"/>
        </w:rPr>
        <w:t>van Jesaja 53</w:t>
      </w:r>
      <w:r w:rsidR="00EB746B">
        <w:rPr>
          <w:color w:val="000000" w:themeColor="text1"/>
        </w:rPr>
        <w:t>’</w:t>
      </w:r>
      <w:r w:rsidRPr="00406468">
        <w:rPr>
          <w:color w:val="000000" w:themeColor="text1"/>
        </w:rPr>
        <w:t xml:space="preserve"> </w:t>
      </w:r>
      <w:proofErr w:type="spellStart"/>
      <w:r w:rsidRPr="00406468">
        <w:rPr>
          <w:i/>
          <w:iCs/>
          <w:color w:val="000000" w:themeColor="text1"/>
        </w:rPr>
        <w:t>GThT</w:t>
      </w:r>
      <w:proofErr w:type="spellEnd"/>
      <w:r w:rsidRPr="00406468">
        <w:rPr>
          <w:i/>
          <w:iCs/>
          <w:color w:val="000000" w:themeColor="text1"/>
        </w:rPr>
        <w:t xml:space="preserve"> </w:t>
      </w:r>
      <w:r w:rsidRPr="00406468">
        <w:rPr>
          <w:color w:val="000000" w:themeColor="text1"/>
        </w:rPr>
        <w:t>93</w:t>
      </w:r>
      <w:r w:rsidR="00EB746B">
        <w:rPr>
          <w:color w:val="000000" w:themeColor="text1"/>
        </w:rPr>
        <w:t xml:space="preserve">, </w:t>
      </w:r>
      <w:r w:rsidRPr="00406468">
        <w:rPr>
          <w:color w:val="000000" w:themeColor="text1"/>
        </w:rPr>
        <w:t>1993</w:t>
      </w:r>
    </w:p>
    <w:p w14:paraId="1C5FA216" w14:textId="77777777" w:rsidR="00A70FC0" w:rsidRDefault="00A70FC0" w:rsidP="00A70FC0">
      <w:r w:rsidRPr="00AD6838">
        <w:lastRenderedPageBreak/>
        <w:t>Lessing, R</w:t>
      </w:r>
      <w:r>
        <w:t xml:space="preserve">. </w:t>
      </w:r>
      <w:r w:rsidRPr="00AD6838">
        <w:t>R</w:t>
      </w:r>
      <w:r>
        <w:t>., ‘</w:t>
      </w:r>
      <w:r w:rsidRPr="00CA1AC6">
        <w:t>Isaiah's servants in chapters 40-55: clearing up the confusion</w:t>
      </w:r>
      <w:r>
        <w:t xml:space="preserve">’, </w:t>
      </w:r>
    </w:p>
    <w:p w14:paraId="1BD9EE86" w14:textId="3E3EE135" w:rsidR="00A70FC0" w:rsidRPr="0049231A" w:rsidRDefault="00A70FC0" w:rsidP="00A70FC0">
      <w:pPr>
        <w:ind w:firstLine="720"/>
        <w:rPr>
          <w:b/>
          <w:bCs/>
          <w:color w:val="EE0000"/>
        </w:rPr>
      </w:pPr>
      <w:r>
        <w:rPr>
          <w:i/>
          <w:iCs/>
        </w:rPr>
        <w:t>Concordia Journal</w:t>
      </w:r>
      <w:r w:rsidRPr="00CA1AC6">
        <w:t>, 37, no</w:t>
      </w:r>
      <w:r>
        <w:t xml:space="preserve">. </w:t>
      </w:r>
      <w:r w:rsidRPr="00CA1AC6">
        <w:t>2</w:t>
      </w:r>
      <w:r>
        <w:t xml:space="preserve">, Spr. 2011 </w:t>
      </w:r>
    </w:p>
    <w:p w14:paraId="657A3567" w14:textId="77777777" w:rsidR="00A70FC0" w:rsidRDefault="00A70FC0"/>
    <w:p w14:paraId="60E68414" w14:textId="77777777" w:rsidR="00CA1AC6" w:rsidRDefault="00CA1AC6" w:rsidP="00CA1AC6">
      <w:r w:rsidRPr="00AD6838">
        <w:t>Lindsey, F</w:t>
      </w:r>
      <w:r>
        <w:t>.</w:t>
      </w:r>
      <w:r w:rsidRPr="00AD6838">
        <w:t xml:space="preserve"> Duane</w:t>
      </w:r>
      <w:r>
        <w:t>, ‘</w:t>
      </w:r>
      <w:r w:rsidRPr="00CA1AC6">
        <w:t xml:space="preserve">Isaiah's Songs of the Servant, pt 5: The career of the servant in </w:t>
      </w:r>
    </w:p>
    <w:p w14:paraId="0665EBC1" w14:textId="20F02765" w:rsidR="00CA1AC6" w:rsidRPr="00CA1AC6" w:rsidRDefault="00CA1AC6" w:rsidP="00CA1AC6">
      <w:pPr>
        <w:ind w:firstLine="720"/>
      </w:pPr>
      <w:r w:rsidRPr="00CA1AC6">
        <w:t>Isaiah 52:13-53:12</w:t>
      </w:r>
      <w:proofErr w:type="gramStart"/>
      <w:r>
        <w:t xml:space="preserve">’  </w:t>
      </w:r>
      <w:proofErr w:type="spellStart"/>
      <w:r w:rsidRPr="00CA1AC6">
        <w:rPr>
          <w:i/>
          <w:iCs/>
        </w:rPr>
        <w:t>Biblioteca</w:t>
      </w:r>
      <w:proofErr w:type="spellEnd"/>
      <w:proofErr w:type="gramEnd"/>
      <w:r w:rsidRPr="00CA1AC6">
        <w:rPr>
          <w:i/>
          <w:iCs/>
        </w:rPr>
        <w:t xml:space="preserve"> </w:t>
      </w:r>
      <w:r w:rsidR="00293A0C">
        <w:rPr>
          <w:i/>
          <w:iCs/>
        </w:rPr>
        <w:t>S</w:t>
      </w:r>
      <w:r w:rsidRPr="00CA1AC6">
        <w:rPr>
          <w:i/>
          <w:iCs/>
        </w:rPr>
        <w:t>acra</w:t>
      </w:r>
      <w:r>
        <w:t xml:space="preserve"> 140 (557) 1983 </w:t>
      </w:r>
    </w:p>
    <w:p w14:paraId="4EC118F0" w14:textId="77777777" w:rsidR="00CA1AC6" w:rsidRDefault="00CA1AC6"/>
    <w:p w14:paraId="24BA9BEB" w14:textId="38D83079" w:rsidR="00A70FC0" w:rsidRDefault="00A70FC0" w:rsidP="00A70F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FA3FD0">
        <w:rPr>
          <w:rFonts w:cs="Helvetica"/>
        </w:rPr>
        <w:t>Orlinsky</w:t>
      </w:r>
      <w:r>
        <w:rPr>
          <w:rFonts w:cs="Helvetica"/>
        </w:rPr>
        <w:t>, H. M.,</w:t>
      </w:r>
      <w:r w:rsidRPr="00FA3FD0">
        <w:rPr>
          <w:rFonts w:cs="Helvetica"/>
        </w:rPr>
        <w:t xml:space="preserve"> </w:t>
      </w:r>
      <w:r w:rsidR="00EB746B">
        <w:rPr>
          <w:rFonts w:cs="Helvetica"/>
        </w:rPr>
        <w:t>‘</w:t>
      </w:r>
      <w:r w:rsidRPr="00FA3FD0">
        <w:rPr>
          <w:rFonts w:cs="Helvetica"/>
        </w:rPr>
        <w:t>Studies on the Second Part of the Book of Isaiah</w:t>
      </w:r>
      <w:r w:rsidR="00EB746B">
        <w:rPr>
          <w:rFonts w:cs="Helvetica"/>
        </w:rPr>
        <w:t>’</w:t>
      </w:r>
      <w:r w:rsidRPr="00FA3FD0">
        <w:rPr>
          <w:rFonts w:cs="Helvetica"/>
        </w:rPr>
        <w:t xml:space="preserve"> (VT</w:t>
      </w:r>
      <w:r>
        <w:rPr>
          <w:rFonts w:cs="Helvetica"/>
        </w:rPr>
        <w:t xml:space="preserve"> </w:t>
      </w:r>
      <w:r w:rsidRPr="00FA3FD0">
        <w:rPr>
          <w:rFonts w:cs="Helvetica"/>
        </w:rPr>
        <w:t>Suppl. 14), 1967</w:t>
      </w:r>
    </w:p>
    <w:p w14:paraId="033BB5D0" w14:textId="77777777" w:rsidR="00A70FC0" w:rsidRDefault="00A70FC0"/>
    <w:p w14:paraId="6FA2881D" w14:textId="77777777" w:rsidR="00D32384" w:rsidRDefault="00D32384" w:rsidP="00D32384">
      <w:pPr>
        <w:rPr>
          <w:i/>
          <w:iCs/>
        </w:rPr>
      </w:pPr>
      <w:r w:rsidRPr="00D32384">
        <w:t xml:space="preserve">Reventlow, </w:t>
      </w:r>
      <w:r>
        <w:t xml:space="preserve">H. G., </w:t>
      </w:r>
      <w:r w:rsidRPr="00D32384">
        <w:t xml:space="preserve">‘Basic Issues in the Interpretation of Isaiah 53’, </w:t>
      </w:r>
      <w:r w:rsidRPr="00D32384">
        <w:rPr>
          <w:i/>
          <w:iCs/>
        </w:rPr>
        <w:t xml:space="preserve">Jesus and the </w:t>
      </w:r>
    </w:p>
    <w:p w14:paraId="028FC082" w14:textId="2175339E" w:rsidR="00D32384" w:rsidRDefault="00D32384" w:rsidP="00D32384">
      <w:pPr>
        <w:ind w:left="720"/>
      </w:pPr>
      <w:r w:rsidRPr="00D32384">
        <w:rPr>
          <w:i/>
          <w:iCs/>
        </w:rPr>
        <w:t xml:space="preserve">Suffering Servant, </w:t>
      </w:r>
      <w:r w:rsidRPr="00D32384">
        <w:t>ed</w:t>
      </w:r>
      <w:r>
        <w:t>s.</w:t>
      </w:r>
      <w:r w:rsidRPr="00D32384">
        <w:t xml:space="preserve"> </w:t>
      </w:r>
      <w:r w:rsidRPr="00F54DBA">
        <w:t>Bellinger Jr.</w:t>
      </w:r>
      <w:r>
        <w:t xml:space="preserve"> W.H.,</w:t>
      </w:r>
      <w:r w:rsidRPr="00F54DBA">
        <w:t xml:space="preserve"> William R. Farmer (Trinity Press International, 1998) </w:t>
      </w:r>
    </w:p>
    <w:p w14:paraId="5062AE50" w14:textId="77777777" w:rsidR="00D32384" w:rsidRDefault="00D32384" w:rsidP="00D32384">
      <w:pPr>
        <w:ind w:left="720"/>
      </w:pPr>
    </w:p>
    <w:p w14:paraId="54E7A3BA" w14:textId="5FD8F67E" w:rsidR="00D32384" w:rsidRDefault="00D32384" w:rsidP="00D32384">
      <w:r>
        <w:t xml:space="preserve">D. A. Sapp, ‘The LXX, 1QIsa, and MT Versions of Isaiah 53 and the Christian Doctrine of </w:t>
      </w:r>
    </w:p>
    <w:p w14:paraId="56504047" w14:textId="77777777" w:rsidR="00D32384" w:rsidRDefault="00D32384" w:rsidP="00D32384">
      <w:pPr>
        <w:ind w:firstLine="720"/>
      </w:pPr>
      <w:r>
        <w:t xml:space="preserve">Atonement’, </w:t>
      </w:r>
      <w:r>
        <w:rPr>
          <w:i/>
          <w:iCs/>
        </w:rPr>
        <w:t>Jesus and the Suffering Servant,</w:t>
      </w:r>
      <w:r>
        <w:rPr>
          <w:i/>
          <w:iCs/>
        </w:rPr>
        <w:t xml:space="preserve"> </w:t>
      </w:r>
      <w:r w:rsidRPr="00F54DBA">
        <w:t>ed</w:t>
      </w:r>
      <w:r>
        <w:t>s.</w:t>
      </w:r>
      <w:r w:rsidRPr="00F54DBA">
        <w:t xml:space="preserve"> Bellinger Jr.</w:t>
      </w:r>
      <w:r>
        <w:t xml:space="preserve"> W.H.,</w:t>
      </w:r>
      <w:r w:rsidRPr="00F54DBA">
        <w:t xml:space="preserve"> William R. </w:t>
      </w:r>
    </w:p>
    <w:p w14:paraId="38A7EBC8" w14:textId="3A5418BF" w:rsidR="00D32384" w:rsidRDefault="00D32384" w:rsidP="00D32384">
      <w:pPr>
        <w:ind w:firstLine="720"/>
      </w:pPr>
      <w:r w:rsidRPr="00F54DBA">
        <w:t xml:space="preserve">Farmer (Trinity Press International, 1998) </w:t>
      </w:r>
    </w:p>
    <w:p w14:paraId="1C73735F" w14:textId="77777777" w:rsidR="00D32384" w:rsidRDefault="00D32384"/>
    <w:p w14:paraId="6A2CEB6A" w14:textId="77777777" w:rsidR="005205D8" w:rsidRDefault="005205D8" w:rsidP="005205D8">
      <w:pPr>
        <w:rPr>
          <w:i/>
          <w:iCs/>
        </w:rPr>
      </w:pPr>
      <w:r>
        <w:t>Schipper, J., ‘</w:t>
      </w:r>
      <w:r w:rsidRPr="005205D8">
        <w:t>Why Does Imagery of Disability Include Healing in Isaiah?</w:t>
      </w:r>
      <w:r w:rsidRPr="005205D8">
        <w:t>’</w:t>
      </w:r>
      <w:r>
        <w:t xml:space="preserve">, </w:t>
      </w:r>
      <w:r w:rsidRPr="005205D8">
        <w:rPr>
          <w:i/>
          <w:iCs/>
        </w:rPr>
        <w:t xml:space="preserve">Journal for the </w:t>
      </w:r>
    </w:p>
    <w:p w14:paraId="4EF5E7DF" w14:textId="66EC31DD" w:rsidR="005205D8" w:rsidRPr="005205D8" w:rsidRDefault="005205D8" w:rsidP="005205D8">
      <w:pPr>
        <w:ind w:firstLine="720"/>
        <w:rPr>
          <w:b/>
          <w:bCs/>
        </w:rPr>
      </w:pPr>
      <w:r w:rsidRPr="005205D8">
        <w:rPr>
          <w:i/>
          <w:iCs/>
        </w:rPr>
        <w:t>Study of the Old Testament</w:t>
      </w:r>
      <w:r>
        <w:t>,</w:t>
      </w:r>
      <w:r w:rsidRPr="005205D8">
        <w:t xml:space="preserve"> </w:t>
      </w:r>
      <w:r w:rsidRPr="005205D8">
        <w:t>Vol</w:t>
      </w:r>
      <w:r>
        <w:t xml:space="preserve">. </w:t>
      </w:r>
      <w:r w:rsidRPr="005205D8">
        <w:t>39.3</w:t>
      </w:r>
      <w:r>
        <w:t xml:space="preserve">, </w:t>
      </w:r>
      <w:r w:rsidRPr="005205D8">
        <w:t>2015</w:t>
      </w:r>
    </w:p>
    <w:p w14:paraId="3B486149" w14:textId="2C511F5B" w:rsidR="005205D8" w:rsidRDefault="005205D8"/>
    <w:p w14:paraId="5DC5F1CE" w14:textId="77777777" w:rsidR="00A70FC0" w:rsidRDefault="00A70FC0" w:rsidP="00A70FC0">
      <w:r w:rsidRPr="004674AF">
        <w:t>Seitz, C. R.</w:t>
      </w:r>
      <w:r>
        <w:t>, ‘</w:t>
      </w:r>
      <w:r w:rsidRPr="004674AF">
        <w:t xml:space="preserve">The Divine Council Temporal Transition and New Prophecy in the Book of </w:t>
      </w:r>
    </w:p>
    <w:p w14:paraId="0DDA59D6" w14:textId="4C9B6C9B" w:rsidR="00A70FC0" w:rsidRPr="00B8038E" w:rsidRDefault="00A70FC0" w:rsidP="00A70FC0">
      <w:pPr>
        <w:ind w:firstLine="720"/>
        <w:rPr>
          <w:color w:val="EE0000"/>
        </w:rPr>
      </w:pPr>
      <w:r w:rsidRPr="004674AF">
        <w:t>Isaiah</w:t>
      </w:r>
      <w:r>
        <w:t>’</w:t>
      </w:r>
      <w:r w:rsidRPr="004674AF">
        <w:t> </w:t>
      </w:r>
      <w:r w:rsidRPr="004674AF">
        <w:rPr>
          <w:i/>
          <w:iCs/>
        </w:rPr>
        <w:t>Journal of Biblical Literature</w:t>
      </w:r>
      <w:r w:rsidRPr="004674AF">
        <w:t>, </w:t>
      </w:r>
      <w:r w:rsidRPr="004674AF">
        <w:rPr>
          <w:i/>
          <w:iCs/>
        </w:rPr>
        <w:t>109</w:t>
      </w:r>
      <w:r w:rsidRPr="004674AF">
        <w:t>(2)</w:t>
      </w:r>
      <w:r w:rsidR="002F0DF9">
        <w:t xml:space="preserve">, </w:t>
      </w:r>
      <w:r w:rsidRPr="004674AF">
        <w:t>1990</w:t>
      </w:r>
    </w:p>
    <w:p w14:paraId="35D8EB41" w14:textId="77777777" w:rsidR="00A70FC0" w:rsidRDefault="00A70FC0"/>
    <w:p w14:paraId="2DD58289" w14:textId="21F0309C" w:rsidR="00D32384" w:rsidRDefault="00D32384">
      <w:proofErr w:type="spellStart"/>
      <w:r>
        <w:t>Stuhlmacher</w:t>
      </w:r>
      <w:proofErr w:type="spellEnd"/>
      <w:r>
        <w:t xml:space="preserve">, </w:t>
      </w:r>
      <w:r>
        <w:t xml:space="preserve">P., </w:t>
      </w:r>
      <w:r w:rsidR="005205D8">
        <w:t>‘</w:t>
      </w:r>
      <w:r>
        <w:t>Isaiah 53 in the Gospels and Acts</w:t>
      </w:r>
      <w:r w:rsidR="005205D8">
        <w:t>’</w:t>
      </w:r>
      <w:r>
        <w:t xml:space="preserve">, </w:t>
      </w:r>
      <w:r>
        <w:rPr>
          <w:i/>
          <w:iCs/>
        </w:rPr>
        <w:t>The Suffering Servant</w:t>
      </w:r>
      <w:r>
        <w:t>, eds.</w:t>
      </w:r>
    </w:p>
    <w:p w14:paraId="0232B947" w14:textId="08F5D693" w:rsidR="00D32384" w:rsidRDefault="00D32384" w:rsidP="00D32384">
      <w:pPr>
        <w:ind w:left="720"/>
      </w:pPr>
      <w:r>
        <w:t>J</w:t>
      </w:r>
      <w:r>
        <w:t>anowski</w:t>
      </w:r>
      <w:r>
        <w:t xml:space="preserve"> B., </w:t>
      </w:r>
      <w:r>
        <w:t>Peter Stuhlmacher, trans. Daniel P. Bailey (Wm. B Eerdmans Publishing Co., 2004)</w:t>
      </w:r>
    </w:p>
    <w:p w14:paraId="35D8F8C4" w14:textId="77777777" w:rsidR="00CA1AC6" w:rsidRDefault="00CA1AC6" w:rsidP="00CA1A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333AA9AB" w14:textId="77777777" w:rsidR="005205D8" w:rsidRDefault="005205D8" w:rsidP="00CA1A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i/>
          <w:iCs/>
        </w:rPr>
      </w:pPr>
      <w:r w:rsidRPr="005205D8">
        <w:rPr>
          <w:rFonts w:cs="Helvetica"/>
        </w:rPr>
        <w:t>Wagner, J. Ross, 'The Prophets in the New Testament', </w:t>
      </w:r>
      <w:r>
        <w:rPr>
          <w:rFonts w:cs="Helvetica"/>
        </w:rPr>
        <w:t xml:space="preserve">ed. </w:t>
      </w:r>
      <w:r w:rsidRPr="005205D8">
        <w:rPr>
          <w:rFonts w:cs="Helvetica"/>
        </w:rPr>
        <w:t>Sharp</w:t>
      </w:r>
      <w:r>
        <w:rPr>
          <w:rFonts w:cs="Helvetica"/>
        </w:rPr>
        <w:t xml:space="preserve">, C. J., </w:t>
      </w:r>
      <w:r w:rsidRPr="005205D8">
        <w:rPr>
          <w:rFonts w:cs="Helvetica"/>
          <w:i/>
          <w:iCs/>
        </w:rPr>
        <w:t xml:space="preserve">The Oxford </w:t>
      </w:r>
    </w:p>
    <w:p w14:paraId="730130C2" w14:textId="1A72205A" w:rsidR="005205D8" w:rsidRDefault="005205D8" w:rsidP="005205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cs="Helvetica"/>
        </w:rPr>
      </w:pPr>
      <w:r w:rsidRPr="005205D8">
        <w:rPr>
          <w:rFonts w:cs="Helvetica"/>
          <w:i/>
          <w:iCs/>
        </w:rPr>
        <w:t>Handbook of the Prophets</w:t>
      </w:r>
      <w:r w:rsidRPr="005205D8">
        <w:rPr>
          <w:rFonts w:cs="Helvetica"/>
        </w:rPr>
        <w:t xml:space="preserve">, Oxford Handbooks (2016; online </w:t>
      </w:r>
      <w:proofErr w:type="spellStart"/>
      <w:r w:rsidRPr="005205D8">
        <w:rPr>
          <w:rFonts w:cs="Helvetica"/>
        </w:rPr>
        <w:t>edn</w:t>
      </w:r>
      <w:proofErr w:type="spellEnd"/>
      <w:r w:rsidRPr="005205D8">
        <w:rPr>
          <w:rFonts w:cs="Helvetica"/>
        </w:rPr>
        <w:t>, Oxford Academic, 5 Oct. 2016)</w:t>
      </w:r>
    </w:p>
    <w:p w14:paraId="5AC536EC" w14:textId="77777777" w:rsidR="005205D8" w:rsidRDefault="005205D8" w:rsidP="00CA1A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5CBE9988" w14:textId="77777777" w:rsidR="00CA1AC6" w:rsidRDefault="00CA1AC6" w:rsidP="00CA1AC6">
      <w:pPr>
        <w:rPr>
          <w:i/>
          <w:iCs/>
        </w:rPr>
      </w:pPr>
      <w:r>
        <w:t xml:space="preserve">Watts, R.E., ‘Messianic Servant or the End of Israel’s Exilic Curses’, </w:t>
      </w:r>
      <w:proofErr w:type="gramStart"/>
      <w:r w:rsidRPr="00CE5539">
        <w:rPr>
          <w:i/>
          <w:iCs/>
        </w:rPr>
        <w:t>Journal  for</w:t>
      </w:r>
      <w:proofErr w:type="gramEnd"/>
      <w:r w:rsidRPr="00CE5539">
        <w:rPr>
          <w:i/>
          <w:iCs/>
        </w:rPr>
        <w:t xml:space="preserve"> the </w:t>
      </w:r>
    </w:p>
    <w:p w14:paraId="1714EF45" w14:textId="6695E5C1" w:rsidR="00CA1AC6" w:rsidRDefault="00CA1AC6" w:rsidP="00CA1AC6">
      <w:pPr>
        <w:ind w:firstLine="720"/>
      </w:pPr>
      <w:r w:rsidRPr="00CE5539">
        <w:rPr>
          <w:i/>
          <w:iCs/>
        </w:rPr>
        <w:t>Study of the New Testament</w:t>
      </w:r>
      <w:r>
        <w:t xml:space="preserve">, 38(1), </w:t>
      </w:r>
      <w:r w:rsidR="002F0DF9">
        <w:t>2015</w:t>
      </w:r>
    </w:p>
    <w:p w14:paraId="05D879A0" w14:textId="77777777" w:rsidR="00CA1AC6" w:rsidRDefault="00CA1AC6" w:rsidP="00CA1A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3ACE3394" w14:textId="16858F04" w:rsidR="00DD3D50" w:rsidRPr="005205D8" w:rsidRDefault="00406468" w:rsidP="005205D8">
      <w:pPr>
        <w:shd w:val="clear" w:color="auto" w:fill="FFFFFF"/>
        <w:rPr>
          <w:rFonts w:ascii="Helvetica Neue" w:hAnsi="Helvetica Neue"/>
          <w:color w:val="2C2C2C"/>
        </w:rPr>
      </w:pPr>
      <w:proofErr w:type="spellStart"/>
      <w:r w:rsidRPr="00406468">
        <w:rPr>
          <w:color w:val="000000" w:themeColor="text1"/>
        </w:rPr>
        <w:t>Whybray</w:t>
      </w:r>
      <w:proofErr w:type="spellEnd"/>
      <w:r w:rsidR="00CA1AC6">
        <w:rPr>
          <w:color w:val="000000" w:themeColor="text1"/>
        </w:rPr>
        <w:t>. R. N.</w:t>
      </w:r>
      <w:r w:rsidRPr="00406468">
        <w:rPr>
          <w:color w:val="000000" w:themeColor="text1"/>
        </w:rPr>
        <w:t xml:space="preserve">, </w:t>
      </w:r>
      <w:r w:rsidRPr="00406468">
        <w:rPr>
          <w:i/>
          <w:iCs/>
          <w:color w:val="000000" w:themeColor="text1"/>
        </w:rPr>
        <w:t>Isaiah 40-</w:t>
      </w:r>
      <w:r w:rsidRPr="00CA1AC6">
        <w:rPr>
          <w:i/>
          <w:iCs/>
          <w:color w:val="000000" w:themeColor="text1"/>
        </w:rPr>
        <w:t xml:space="preserve">66, </w:t>
      </w:r>
      <w:r w:rsidR="00CA1AC6" w:rsidRPr="00CA1AC6">
        <w:rPr>
          <w:color w:val="000000" w:themeColor="text1"/>
        </w:rPr>
        <w:t>(</w:t>
      </w:r>
      <w:r w:rsidR="00CA1AC6" w:rsidRPr="00CA1AC6">
        <w:rPr>
          <w:rFonts w:eastAsia="Times New Roman" w:cs="Times New Roman"/>
          <w:color w:val="2C2C2C"/>
          <w:lang w:eastAsia="en-GB"/>
        </w:rPr>
        <w:t xml:space="preserve">Grand </w:t>
      </w:r>
      <w:proofErr w:type="gramStart"/>
      <w:r w:rsidR="00CA1AC6" w:rsidRPr="00CA1AC6">
        <w:rPr>
          <w:rFonts w:eastAsia="Times New Roman" w:cs="Times New Roman"/>
          <w:color w:val="2C2C2C"/>
          <w:lang w:eastAsia="en-GB"/>
        </w:rPr>
        <w:t>Rapids :</w:t>
      </w:r>
      <w:proofErr w:type="gramEnd"/>
      <w:r w:rsidR="00CA1AC6" w:rsidRPr="00CA1AC6">
        <w:rPr>
          <w:rFonts w:eastAsia="Times New Roman" w:cs="Times New Roman"/>
          <w:color w:val="2C2C2C"/>
          <w:lang w:eastAsia="en-GB"/>
        </w:rPr>
        <w:t xml:space="preserve"> Eerdmans</w:t>
      </w:r>
      <w:r w:rsidR="00CA1AC6" w:rsidRPr="00CA1AC6">
        <w:rPr>
          <w:rFonts w:eastAsia="Times New Roman" w:cs="Times New Roman"/>
          <w:color w:val="2C2C2C"/>
          <w:lang w:eastAsia="en-GB"/>
        </w:rPr>
        <w:t>, 1981)</w:t>
      </w:r>
    </w:p>
    <w:sectPr w:rsidR="00DD3D50" w:rsidRPr="005205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630C6" w14:textId="77777777" w:rsidR="008622FB" w:rsidRDefault="008622FB" w:rsidP="00CE56C6">
      <w:r>
        <w:separator/>
      </w:r>
    </w:p>
  </w:endnote>
  <w:endnote w:type="continuationSeparator" w:id="0">
    <w:p w14:paraId="77A681EC" w14:textId="77777777" w:rsidR="008622FB" w:rsidRDefault="008622FB" w:rsidP="00CE5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D4F67" w14:textId="77777777" w:rsidR="008622FB" w:rsidRDefault="008622FB" w:rsidP="00CE56C6">
      <w:r>
        <w:separator/>
      </w:r>
    </w:p>
  </w:footnote>
  <w:footnote w:type="continuationSeparator" w:id="0">
    <w:p w14:paraId="647646D2" w14:textId="77777777" w:rsidR="008622FB" w:rsidRDefault="008622FB" w:rsidP="00CE56C6">
      <w:r>
        <w:continuationSeparator/>
      </w:r>
    </w:p>
  </w:footnote>
  <w:footnote w:id="1">
    <w:p w14:paraId="36513FD3" w14:textId="65998B1C" w:rsidR="00CA1AC6" w:rsidRPr="00CA1AC6" w:rsidRDefault="00CA1AC6">
      <w:pPr>
        <w:pStyle w:val="FootnoteText"/>
      </w:pPr>
      <w:r>
        <w:rPr>
          <w:rStyle w:val="FootnoteReference"/>
        </w:rPr>
        <w:footnoteRef/>
      </w:r>
      <w:r>
        <w:t xml:space="preserve"> Bernhard Duhm, </w:t>
      </w:r>
      <w:r w:rsidRPr="00CA1AC6">
        <w:rPr>
          <w:i/>
          <w:iCs/>
        </w:rPr>
        <w:t>Das Buch Jesaja</w:t>
      </w:r>
      <w:r>
        <w:t xml:space="preserve">, </w:t>
      </w:r>
      <w:proofErr w:type="spellStart"/>
      <w:r>
        <w:t>Göttinger</w:t>
      </w:r>
      <w:proofErr w:type="spellEnd"/>
      <w:r>
        <w:t xml:space="preserve"> </w:t>
      </w:r>
      <w:proofErr w:type="spellStart"/>
      <w:r>
        <w:t>Handkommentar</w:t>
      </w:r>
      <w:proofErr w:type="spellEnd"/>
      <w:r>
        <w:t xml:space="preserve"> </w:t>
      </w:r>
      <w:proofErr w:type="spellStart"/>
      <w:r>
        <w:t>zum</w:t>
      </w:r>
      <w:proofErr w:type="spellEnd"/>
      <w:r>
        <w:t xml:space="preserve"> Alten </w:t>
      </w:r>
      <w:proofErr w:type="spellStart"/>
      <w:r>
        <w:t>Testamentum</w:t>
      </w:r>
      <w:proofErr w:type="spellEnd"/>
      <w:r>
        <w:t xml:space="preserve"> III, 1, 1</w:t>
      </w:r>
      <w:r w:rsidRPr="00CA1AC6">
        <w:rPr>
          <w:vertAlign w:val="superscript"/>
        </w:rPr>
        <w:t>st</w:t>
      </w:r>
      <w:r>
        <w:t xml:space="preserve"> ed. (Göttingen: </w:t>
      </w:r>
      <w:proofErr w:type="spellStart"/>
      <w:r>
        <w:t>Vandenhoeck</w:t>
      </w:r>
      <w:proofErr w:type="spellEnd"/>
      <w:r>
        <w:t xml:space="preserve"> &amp; Ruprecht, 1892; 4</w:t>
      </w:r>
      <w:r w:rsidRPr="00CA1AC6">
        <w:rPr>
          <w:vertAlign w:val="superscript"/>
        </w:rPr>
        <w:t>th</w:t>
      </w:r>
      <w:r>
        <w:t xml:space="preserve"> ed., 1922 = 5</w:t>
      </w:r>
      <w:r w:rsidRPr="00CA1AC6">
        <w:rPr>
          <w:vertAlign w:val="superscript"/>
        </w:rPr>
        <w:t>th</w:t>
      </w:r>
      <w:r>
        <w:t xml:space="preserve"> ed., 1968, reprinted.)</w:t>
      </w:r>
    </w:p>
  </w:footnote>
  <w:footnote w:id="2">
    <w:p w14:paraId="0A60E8DC" w14:textId="4DAA89D4" w:rsidR="00CE56C6" w:rsidRDefault="00CE56C6">
      <w:pPr>
        <w:pStyle w:val="FootnoteText"/>
      </w:pPr>
      <w:r>
        <w:rPr>
          <w:rStyle w:val="FootnoteReference"/>
        </w:rPr>
        <w:footnoteRef/>
      </w:r>
      <w:r>
        <w:t xml:space="preserve"> </w:t>
      </w:r>
      <w:r w:rsidR="00DD3D50">
        <w:t xml:space="preserve">Ulrich </w:t>
      </w:r>
      <w:r w:rsidRPr="00CE56C6">
        <w:t>Berges, 'The Servant(s) in Isaiah', in Lena-Sofia Tiemeyer (ed.), </w:t>
      </w:r>
      <w:r w:rsidRPr="00CE56C6">
        <w:rPr>
          <w:i/>
          <w:iCs/>
        </w:rPr>
        <w:t>The Oxford Handbook of Isaiah</w:t>
      </w:r>
      <w:r w:rsidRPr="00CE56C6">
        <w:t xml:space="preserve"> (2021; online </w:t>
      </w:r>
      <w:proofErr w:type="spellStart"/>
      <w:r w:rsidRPr="00CE56C6">
        <w:t>edn</w:t>
      </w:r>
      <w:proofErr w:type="spellEnd"/>
      <w:r w:rsidRPr="00CE56C6">
        <w:t>, Oxford Academic, 8 Oct. 2020)</w:t>
      </w:r>
      <w:r>
        <w:t xml:space="preserve"> quoting: </w:t>
      </w:r>
      <w:r w:rsidRPr="00406468">
        <w:t xml:space="preserve">Leene, Henk. “Kan </w:t>
      </w:r>
      <w:proofErr w:type="spellStart"/>
      <w:r w:rsidRPr="00406468">
        <w:t>een</w:t>
      </w:r>
      <w:proofErr w:type="spellEnd"/>
      <w:r w:rsidRPr="00406468">
        <w:t xml:space="preserve"> </w:t>
      </w:r>
      <w:proofErr w:type="spellStart"/>
      <w:r w:rsidRPr="00406468">
        <w:t>fictionele</w:t>
      </w:r>
      <w:proofErr w:type="spellEnd"/>
      <w:r w:rsidRPr="00406468">
        <w:t xml:space="preserve"> </w:t>
      </w:r>
      <w:proofErr w:type="spellStart"/>
      <w:r w:rsidRPr="00406468">
        <w:t>gestalte</w:t>
      </w:r>
      <w:proofErr w:type="spellEnd"/>
      <w:r w:rsidRPr="00406468">
        <w:t xml:space="preserve"> </w:t>
      </w:r>
      <w:proofErr w:type="spellStart"/>
      <w:r w:rsidRPr="00406468">
        <w:t>onze</w:t>
      </w:r>
      <w:proofErr w:type="spellEnd"/>
      <w:r w:rsidRPr="00406468">
        <w:t xml:space="preserve"> </w:t>
      </w:r>
      <w:proofErr w:type="spellStart"/>
      <w:r w:rsidRPr="00406468">
        <w:t>plaats</w:t>
      </w:r>
      <w:proofErr w:type="spellEnd"/>
      <w:r w:rsidRPr="00406468">
        <w:t xml:space="preserve"> </w:t>
      </w:r>
      <w:proofErr w:type="spellStart"/>
      <w:r w:rsidRPr="00406468">
        <w:t>innemen</w:t>
      </w:r>
      <w:proofErr w:type="spellEnd"/>
      <w:r w:rsidRPr="00406468">
        <w:t xml:space="preserve">? </w:t>
      </w:r>
      <w:proofErr w:type="spellStart"/>
      <w:r w:rsidRPr="00406468">
        <w:t>Overwegingen</w:t>
      </w:r>
      <w:proofErr w:type="spellEnd"/>
      <w:r w:rsidRPr="00406468">
        <w:t xml:space="preserve"> </w:t>
      </w:r>
      <w:proofErr w:type="spellStart"/>
      <w:r w:rsidRPr="00406468">
        <w:t>bij</w:t>
      </w:r>
      <w:proofErr w:type="spellEnd"/>
      <w:r w:rsidRPr="00406468">
        <w:t xml:space="preserve"> de </w:t>
      </w:r>
      <w:proofErr w:type="spellStart"/>
      <w:r w:rsidRPr="00406468">
        <w:t>uitleg</w:t>
      </w:r>
      <w:proofErr w:type="spellEnd"/>
      <w:r w:rsidRPr="00406468">
        <w:t xml:space="preserve"> van Jesaja 53.” </w:t>
      </w:r>
      <w:proofErr w:type="spellStart"/>
      <w:r w:rsidRPr="00406468">
        <w:rPr>
          <w:i/>
          <w:iCs/>
        </w:rPr>
        <w:t>GThT</w:t>
      </w:r>
      <w:proofErr w:type="spellEnd"/>
      <w:r w:rsidRPr="00406468">
        <w:rPr>
          <w:i/>
          <w:iCs/>
        </w:rPr>
        <w:t xml:space="preserve"> </w:t>
      </w:r>
      <w:r w:rsidRPr="00406468">
        <w:t>93 (1993): 232– 253.</w:t>
      </w:r>
    </w:p>
  </w:footnote>
  <w:footnote w:id="3">
    <w:p w14:paraId="6AD716C5" w14:textId="64954F6F" w:rsidR="00CE56C6" w:rsidRDefault="00CE56C6">
      <w:pPr>
        <w:pStyle w:val="FootnoteText"/>
      </w:pPr>
      <w:r>
        <w:rPr>
          <w:rStyle w:val="FootnoteReference"/>
        </w:rPr>
        <w:footnoteRef/>
      </w:r>
      <w:r>
        <w:t xml:space="preserve"> Ibid. p. 330.</w:t>
      </w:r>
    </w:p>
  </w:footnote>
  <w:footnote w:id="4">
    <w:p w14:paraId="3F241E1F" w14:textId="1C1D99A3" w:rsidR="00CE56C6" w:rsidRDefault="00CE56C6">
      <w:pPr>
        <w:pStyle w:val="FootnoteText"/>
      </w:pPr>
      <w:r>
        <w:rPr>
          <w:rStyle w:val="FootnoteReference"/>
        </w:rPr>
        <w:footnoteRef/>
      </w:r>
      <w:r>
        <w:t xml:space="preserve"> The Septuagint, the Masoretic Text, the Dead Sea Scrolls, and the ‘Targum Jonathan to the Prophets’.</w:t>
      </w:r>
    </w:p>
  </w:footnote>
  <w:footnote w:id="5">
    <w:p w14:paraId="49F72A9A" w14:textId="5587246D" w:rsidR="00CE56C6" w:rsidRDefault="00CE56C6">
      <w:pPr>
        <w:pStyle w:val="FootnoteText"/>
      </w:pPr>
      <w:r>
        <w:rPr>
          <w:rStyle w:val="FootnoteReference"/>
        </w:rPr>
        <w:footnoteRef/>
      </w:r>
      <w:r>
        <w:t xml:space="preserve"> </w:t>
      </w:r>
      <w:r w:rsidR="00DD3D50">
        <w:t xml:space="preserve">Peter </w:t>
      </w:r>
      <w:r w:rsidRPr="00FA3FD0">
        <w:t>Dray, (2008). Isaiah 52:13-53:12: Isaiah on the Suffering Servant. </w:t>
      </w:r>
      <w:r w:rsidRPr="00FA3FD0">
        <w:rPr>
          <w:i/>
          <w:iCs/>
        </w:rPr>
        <w:t>Evangel</w:t>
      </w:r>
      <w:r w:rsidRPr="00FA3FD0">
        <w:t>, </w:t>
      </w:r>
      <w:r w:rsidRPr="00FA3FD0">
        <w:rPr>
          <w:i/>
          <w:iCs/>
        </w:rPr>
        <w:t>26</w:t>
      </w:r>
      <w:r w:rsidRPr="00FA3FD0">
        <w:t>(2), 33–36.</w:t>
      </w:r>
    </w:p>
  </w:footnote>
  <w:footnote w:id="6">
    <w:p w14:paraId="62ED8852" w14:textId="09D6ABA4" w:rsidR="00CE56C6" w:rsidRDefault="00CE56C6">
      <w:pPr>
        <w:pStyle w:val="FootnoteText"/>
      </w:pPr>
      <w:r>
        <w:rPr>
          <w:rStyle w:val="FootnoteReference"/>
        </w:rPr>
        <w:footnoteRef/>
      </w:r>
      <w:r>
        <w:t xml:space="preserve"> Ibid. p. 36: </w:t>
      </w:r>
      <w:r w:rsidRPr="00CE56C6">
        <w:t xml:space="preserve">In the New Testament, Isaiah 53 is quoted more than any other OT passage. It’s quoted so many times because the Bible writers wanted to share the incredible news that the Servant has come! Jesus of Nazareth is the Servant. </w:t>
      </w:r>
    </w:p>
  </w:footnote>
  <w:footnote w:id="7">
    <w:p w14:paraId="11079A4F" w14:textId="560A5EBA" w:rsidR="00CE56C6" w:rsidRDefault="00CE56C6">
      <w:pPr>
        <w:pStyle w:val="FootnoteText"/>
      </w:pPr>
      <w:r>
        <w:rPr>
          <w:rStyle w:val="FootnoteReference"/>
        </w:rPr>
        <w:footnoteRef/>
      </w:r>
      <w:r>
        <w:t xml:space="preserve"> See, for example: Morna </w:t>
      </w:r>
      <w:r w:rsidR="00DD3D50">
        <w:t xml:space="preserve">D. </w:t>
      </w:r>
      <w:r>
        <w:t>Hooker</w:t>
      </w:r>
      <w:r w:rsidR="00DD3D50">
        <w:t>, ‘Did the Use of Isaiah 53 to Interpret His Mission Begin with Jesus?</w:t>
      </w:r>
      <w:r w:rsidR="004549C1">
        <w:t>’</w:t>
      </w:r>
      <w:r w:rsidR="00DD3D50">
        <w:t xml:space="preserve"> in </w:t>
      </w:r>
      <w:r w:rsidR="00DD3D50">
        <w:rPr>
          <w:i/>
          <w:iCs/>
        </w:rPr>
        <w:t xml:space="preserve">Jesus and the Suffering Servant, </w:t>
      </w:r>
      <w:r w:rsidR="00DD3D50">
        <w:t>ed. by Willam H. Bellinger Jr. and William R. Farmer (Trinity Press International, 1998) pp. 88-103 (p. 89.)</w:t>
      </w:r>
    </w:p>
  </w:footnote>
  <w:footnote w:id="8">
    <w:p w14:paraId="77B3C8DF" w14:textId="68C66D84" w:rsidR="00CE56C6" w:rsidRPr="00CE56C6" w:rsidRDefault="00CE56C6">
      <w:pPr>
        <w:pStyle w:val="FootnoteText"/>
      </w:pPr>
      <w:r>
        <w:rPr>
          <w:rStyle w:val="FootnoteReference"/>
        </w:rPr>
        <w:footnoteRef/>
      </w:r>
      <w:r>
        <w:t xml:space="preserve"> Dray, </w:t>
      </w:r>
      <w:r>
        <w:rPr>
          <w:i/>
          <w:iCs/>
        </w:rPr>
        <w:t>Evangel</w:t>
      </w:r>
      <w:r>
        <w:t>.</w:t>
      </w:r>
    </w:p>
  </w:footnote>
  <w:footnote w:id="9">
    <w:p w14:paraId="41005309" w14:textId="066D2EDE" w:rsidR="00DD3D50" w:rsidRPr="00DD3D50" w:rsidRDefault="00DD3D50">
      <w:pPr>
        <w:pStyle w:val="FootnoteText"/>
      </w:pPr>
      <w:r>
        <w:rPr>
          <w:rStyle w:val="FootnoteReference"/>
        </w:rPr>
        <w:footnoteRef/>
      </w:r>
      <w:r>
        <w:t xml:space="preserve"> Morna D. Hooker, </w:t>
      </w:r>
      <w:r>
        <w:rPr>
          <w:i/>
          <w:iCs/>
        </w:rPr>
        <w:t xml:space="preserve">Jesus and the Servant </w:t>
      </w:r>
      <w:r>
        <w:t>(London: SPCK, 1959)</w:t>
      </w:r>
    </w:p>
  </w:footnote>
  <w:footnote w:id="10">
    <w:p w14:paraId="07109CBD" w14:textId="294D3387" w:rsidR="00DD3D50" w:rsidRDefault="00DD3D50">
      <w:pPr>
        <w:pStyle w:val="FootnoteText"/>
      </w:pPr>
      <w:r>
        <w:rPr>
          <w:rStyle w:val="FootnoteReference"/>
        </w:rPr>
        <w:footnoteRef/>
      </w:r>
      <w:r>
        <w:t xml:space="preserve"> 1 Peter, 2: 22-25</w:t>
      </w:r>
      <w:r w:rsidR="00327C89">
        <w:t>, NIV.</w:t>
      </w:r>
    </w:p>
  </w:footnote>
  <w:footnote w:id="11">
    <w:p w14:paraId="332DD394" w14:textId="0FBE4A67" w:rsidR="00DD3D50" w:rsidRDefault="00DD3D50">
      <w:pPr>
        <w:pStyle w:val="FootnoteText"/>
      </w:pPr>
      <w:r>
        <w:rPr>
          <w:rStyle w:val="FootnoteReference"/>
        </w:rPr>
        <w:footnoteRef/>
      </w:r>
      <w:r>
        <w:t xml:space="preserve"> Morna D. Hooker, ‘Did the Use of Isaiah 53’, p.93. </w:t>
      </w:r>
    </w:p>
  </w:footnote>
  <w:footnote w:id="12">
    <w:p w14:paraId="092600CE" w14:textId="2B781AC9" w:rsidR="00DD3D50" w:rsidRDefault="00DD3D50">
      <w:pPr>
        <w:pStyle w:val="FootnoteText"/>
      </w:pPr>
      <w:r>
        <w:rPr>
          <w:rStyle w:val="FootnoteReference"/>
        </w:rPr>
        <w:footnoteRef/>
      </w:r>
      <w:r>
        <w:t xml:space="preserve"> E.g. Matthew 8:17; Mark 15:28; John 12.38; Romans 15:21; Acts 8:32f. </w:t>
      </w:r>
    </w:p>
  </w:footnote>
  <w:footnote w:id="13">
    <w:p w14:paraId="7B56F033" w14:textId="64AE1721" w:rsidR="00DD3D50" w:rsidRDefault="00DD3D50">
      <w:pPr>
        <w:pStyle w:val="FootnoteText"/>
      </w:pPr>
      <w:r>
        <w:rPr>
          <w:rStyle w:val="FootnoteReference"/>
        </w:rPr>
        <w:footnoteRef/>
      </w:r>
      <w:r>
        <w:t xml:space="preserve"> It is true that, at the end of the article, Hooker allows for the possibility that Paul’s language in Romans 4:25 echoes Isaiah 53:11f. </w:t>
      </w:r>
    </w:p>
  </w:footnote>
  <w:footnote w:id="14">
    <w:p w14:paraId="7F752ACF" w14:textId="4E88CD8B" w:rsidR="00DD3D50" w:rsidRDefault="00DD3D50">
      <w:pPr>
        <w:pStyle w:val="FootnoteText"/>
      </w:pPr>
      <w:r>
        <w:rPr>
          <w:rStyle w:val="FootnoteReference"/>
        </w:rPr>
        <w:footnoteRef/>
      </w:r>
      <w:r>
        <w:t xml:space="preserve"> Morna D. Hooker, ‘Did the Use of Isaiah 53’, p.100.</w:t>
      </w:r>
    </w:p>
  </w:footnote>
  <w:footnote w:id="15">
    <w:p w14:paraId="01CB5045" w14:textId="3984E526" w:rsidR="00DD3D50" w:rsidRDefault="00DD3D50">
      <w:pPr>
        <w:pStyle w:val="FootnoteText"/>
      </w:pPr>
      <w:r>
        <w:rPr>
          <w:rStyle w:val="FootnoteReference"/>
        </w:rPr>
        <w:footnoteRef/>
      </w:r>
      <w:r>
        <w:t xml:space="preserve"> 1 Peter 2:24, NIV.</w:t>
      </w:r>
    </w:p>
  </w:footnote>
  <w:footnote w:id="16">
    <w:p w14:paraId="070B4D5C" w14:textId="39FF723F" w:rsidR="004549C1" w:rsidRPr="004549C1" w:rsidRDefault="004549C1">
      <w:pPr>
        <w:pStyle w:val="FootnoteText"/>
      </w:pPr>
      <w:r>
        <w:rPr>
          <w:rStyle w:val="FootnoteReference"/>
        </w:rPr>
        <w:footnoteRef/>
      </w:r>
      <w:r>
        <w:t xml:space="preserve"> </w:t>
      </w:r>
      <w:r w:rsidRPr="004549C1">
        <w:t xml:space="preserve">Morna D. Hooker, </w:t>
      </w:r>
      <w:r>
        <w:t xml:space="preserve">Isaiah in Mark’s Gospel in </w:t>
      </w:r>
      <w:r>
        <w:rPr>
          <w:i/>
          <w:iCs/>
        </w:rPr>
        <w:t>Isaiah in the New</w:t>
      </w:r>
      <w:r w:rsidRPr="004549C1">
        <w:rPr>
          <w:i/>
          <w:iCs/>
        </w:rPr>
        <w:t xml:space="preserve"> Testament</w:t>
      </w:r>
      <w:r>
        <w:t>, eds. Steve Moyise and Maarten J. J. Menken (T &amp; T Clark International, 2005), pp. 35-50.</w:t>
      </w:r>
    </w:p>
  </w:footnote>
  <w:footnote w:id="17">
    <w:p w14:paraId="7277036B" w14:textId="55BD2EC5" w:rsidR="004549C1" w:rsidRDefault="004549C1" w:rsidP="004549C1">
      <w:pPr>
        <w:pStyle w:val="FootnoteText"/>
      </w:pPr>
      <w:r>
        <w:rPr>
          <w:rStyle w:val="FootnoteReference"/>
        </w:rPr>
        <w:footnoteRef/>
      </w:r>
      <w:r>
        <w:t xml:space="preserve"> </w:t>
      </w:r>
      <w:proofErr w:type="spellStart"/>
      <w:r>
        <w:t>Eg.</w:t>
      </w:r>
      <w:proofErr w:type="spellEnd"/>
      <w:r>
        <w:t xml:space="preserve"> Mark 1: 2-3 which is a conflation of Malachi 3:1 and Isaiah 40:3.</w:t>
      </w:r>
    </w:p>
  </w:footnote>
  <w:footnote w:id="18">
    <w:p w14:paraId="5CC8F7AC" w14:textId="48776E27" w:rsidR="00DD3D50" w:rsidRPr="00DD3D50" w:rsidRDefault="00DD3D50" w:rsidP="00DD3D50">
      <w:pPr>
        <w:pStyle w:val="FootnoteText"/>
        <w:rPr>
          <w:rFonts w:cs="Helvetica"/>
        </w:rPr>
      </w:pPr>
      <w:r>
        <w:rPr>
          <w:rStyle w:val="FootnoteReference"/>
        </w:rPr>
        <w:footnoteRef/>
      </w:r>
      <w:r>
        <w:t xml:space="preserve"> </w:t>
      </w:r>
      <w:r w:rsidRPr="00DD3D50">
        <w:rPr>
          <w:rFonts w:cs="Helvetica"/>
        </w:rPr>
        <w:t xml:space="preserve">H. M. Orlinsky in </w:t>
      </w:r>
      <w:r w:rsidRPr="00DD3D50">
        <w:rPr>
          <w:rFonts w:cs="Helvetica"/>
          <w:i/>
          <w:iCs/>
        </w:rPr>
        <w:t>Studies on the Second Part of the Book of Isaiah</w:t>
      </w:r>
      <w:r w:rsidRPr="00DD3D50">
        <w:rPr>
          <w:rFonts w:cs="Helvetica"/>
        </w:rPr>
        <w:t xml:space="preserve"> (VT</w:t>
      </w:r>
      <w:r>
        <w:rPr>
          <w:rFonts w:cs="Helvetica"/>
        </w:rPr>
        <w:t xml:space="preserve"> </w:t>
      </w:r>
      <w:r w:rsidRPr="00DD3D50">
        <w:rPr>
          <w:rFonts w:cs="Helvetica"/>
        </w:rPr>
        <w:t>Suppl. 14), 1967</w:t>
      </w:r>
    </w:p>
  </w:footnote>
  <w:footnote w:id="19">
    <w:p w14:paraId="3EC758AA" w14:textId="01AB5F33" w:rsidR="00DD3D50" w:rsidRPr="00DD3D50" w:rsidRDefault="00DD3D50">
      <w:pPr>
        <w:pStyle w:val="FootnoteText"/>
      </w:pPr>
      <w:r>
        <w:rPr>
          <w:rStyle w:val="FootnoteReference"/>
        </w:rPr>
        <w:footnoteRef/>
      </w:r>
      <w:r>
        <w:t xml:space="preserve"> </w:t>
      </w:r>
      <w:r w:rsidR="00EB746B">
        <w:rPr>
          <w:rFonts w:cs="Helvetica"/>
        </w:rPr>
        <w:t>Ibid.</w:t>
      </w:r>
      <w:r>
        <w:rPr>
          <w:rFonts w:cs="Helvetica"/>
        </w:rPr>
        <w:t xml:space="preserve">, </w:t>
      </w:r>
      <w:r w:rsidRPr="00DD3D50">
        <w:rPr>
          <w:rFonts w:cs="Helvetica"/>
        </w:rPr>
        <w:t>S</w:t>
      </w:r>
      <w:r w:rsidRPr="00DD3D50">
        <w:rPr>
          <w:rFonts w:cs="Helvetica"/>
          <w:i/>
          <w:iCs/>
        </w:rPr>
        <w:t>tudies</w:t>
      </w:r>
      <w:r>
        <w:rPr>
          <w:rFonts w:cs="Helvetica"/>
        </w:rPr>
        <w:t>, p. 55.</w:t>
      </w:r>
    </w:p>
  </w:footnote>
  <w:footnote w:id="20">
    <w:p w14:paraId="34F8E6A8" w14:textId="7636B96B" w:rsidR="00DD3D50" w:rsidRDefault="00DD3D50">
      <w:pPr>
        <w:pStyle w:val="FootnoteText"/>
      </w:pPr>
      <w:r>
        <w:rPr>
          <w:rStyle w:val="FootnoteReference"/>
        </w:rPr>
        <w:footnoteRef/>
      </w:r>
      <w:r>
        <w:t xml:space="preserve"> </w:t>
      </w:r>
      <w:r w:rsidR="00EB746B">
        <w:rPr>
          <w:rFonts w:cs="Helvetica"/>
        </w:rPr>
        <w:t>Ibid</w:t>
      </w:r>
      <w:r w:rsidRPr="00DD3D50">
        <w:rPr>
          <w:rFonts w:cs="Helvetica"/>
        </w:rPr>
        <w:t>.</w:t>
      </w:r>
      <w:r>
        <w:rPr>
          <w:rFonts w:cs="Helvetica"/>
        </w:rPr>
        <w:t xml:space="preserve">, </w:t>
      </w:r>
      <w:r w:rsidRPr="00DD3D50">
        <w:rPr>
          <w:rFonts w:cs="Helvetica"/>
        </w:rPr>
        <w:t>S</w:t>
      </w:r>
      <w:r w:rsidRPr="00DD3D50">
        <w:rPr>
          <w:rFonts w:cs="Helvetica"/>
          <w:i/>
          <w:iCs/>
        </w:rPr>
        <w:t>tudies</w:t>
      </w:r>
      <w:r>
        <w:rPr>
          <w:rFonts w:cs="Helvetica"/>
        </w:rPr>
        <w:t>, p. 59</w:t>
      </w:r>
    </w:p>
  </w:footnote>
  <w:footnote w:id="21">
    <w:p w14:paraId="2420D3F0" w14:textId="5FC02A85" w:rsidR="00DD3D50" w:rsidRDefault="00DD3D50" w:rsidP="00DD3D50">
      <w:pPr>
        <w:pStyle w:val="FootnoteText"/>
        <w:rPr>
          <w:rFonts w:cs="Helvetica"/>
        </w:rPr>
      </w:pPr>
      <w:r>
        <w:rPr>
          <w:rStyle w:val="FootnoteReference"/>
        </w:rPr>
        <w:footnoteRef/>
      </w:r>
      <w:r>
        <w:t xml:space="preserve"> </w:t>
      </w:r>
      <w:r w:rsidR="00EB746B">
        <w:rPr>
          <w:rFonts w:cs="Helvetica"/>
        </w:rPr>
        <w:t>Ibid.</w:t>
      </w:r>
      <w:r>
        <w:rPr>
          <w:rFonts w:cs="Helvetica"/>
        </w:rPr>
        <w:t xml:space="preserve">, </w:t>
      </w:r>
      <w:r w:rsidRPr="00DD3D50">
        <w:rPr>
          <w:rFonts w:cs="Helvetica"/>
        </w:rPr>
        <w:t>S</w:t>
      </w:r>
      <w:r w:rsidRPr="00DD3D50">
        <w:rPr>
          <w:rFonts w:cs="Helvetica"/>
          <w:i/>
          <w:iCs/>
        </w:rPr>
        <w:t>tudies</w:t>
      </w:r>
      <w:r>
        <w:rPr>
          <w:rFonts w:cs="Helvetica"/>
        </w:rPr>
        <w:t>, p. 73, quoting</w:t>
      </w:r>
    </w:p>
    <w:p w14:paraId="1781D2AB" w14:textId="22B01332" w:rsidR="00DD3D50" w:rsidRPr="00DD3D50" w:rsidRDefault="00DD3D50" w:rsidP="00DD3D50">
      <w:pPr>
        <w:pStyle w:val="FootnoteText"/>
      </w:pPr>
      <w:r w:rsidRPr="00DD3D50">
        <w:rPr>
          <w:i/>
          <w:iCs/>
        </w:rPr>
        <w:t xml:space="preserve">The beginnings of </w:t>
      </w:r>
      <w:proofErr w:type="gramStart"/>
      <w:r w:rsidRPr="00DD3D50">
        <w:rPr>
          <w:i/>
          <w:iCs/>
        </w:rPr>
        <w:t>Christianity :</w:t>
      </w:r>
      <w:proofErr w:type="gramEnd"/>
      <w:r w:rsidRPr="00DD3D50">
        <w:rPr>
          <w:i/>
          <w:iCs/>
        </w:rPr>
        <w:t xml:space="preserve"> the Acts of the Apostles</w:t>
      </w:r>
      <w:r w:rsidRPr="00DD3D50">
        <w:t xml:space="preserve"> Volume 1</w:t>
      </w:r>
      <w:r>
        <w:t xml:space="preserve">, eds. F.J. </w:t>
      </w:r>
      <w:r w:rsidRPr="00DD3D50">
        <w:t>Foakes-Jackson</w:t>
      </w:r>
      <w:r>
        <w:t xml:space="preserve"> </w:t>
      </w:r>
      <w:r>
        <w:rPr>
          <w:rFonts w:cs="Helvetica"/>
        </w:rPr>
        <w:t>and K. Lake</w:t>
      </w:r>
    </w:p>
    <w:p w14:paraId="34EDAB0E" w14:textId="36942C41" w:rsidR="00DD3D50" w:rsidRDefault="00DD3D50" w:rsidP="00DD3D50">
      <w:pPr>
        <w:pStyle w:val="FootnoteText"/>
      </w:pPr>
      <w:r>
        <w:t>(</w:t>
      </w:r>
      <w:r w:rsidRPr="00DD3D50">
        <w:t>Grand Rapids</w:t>
      </w:r>
      <w:r>
        <w:t xml:space="preserve"> 1979) p.</w:t>
      </w:r>
      <w:r w:rsidRPr="00DD3D50">
        <w:t xml:space="preserve"> </w:t>
      </w:r>
      <w:r>
        <w:t xml:space="preserve">390. </w:t>
      </w:r>
      <w:r w:rsidRPr="00DD3D50">
        <w:t>(</w:t>
      </w:r>
      <w:hyperlink r:id="rId1" w:history="1">
        <w:r w:rsidRPr="00DD3D50">
          <w:rPr>
            <w:rStyle w:val="Hyperlink"/>
          </w:rPr>
          <w:t>https://archive.org/details/beginningsofchri0001unse_e2c6/page/390/mode/2up</w:t>
        </w:r>
      </w:hyperlink>
      <w:r w:rsidRPr="00DD3D50">
        <w:t>)</w:t>
      </w:r>
    </w:p>
  </w:footnote>
  <w:footnote w:id="22">
    <w:p w14:paraId="2AD1C78B" w14:textId="5FF18D3C" w:rsidR="00F54DBA" w:rsidRDefault="00F54DBA">
      <w:pPr>
        <w:pStyle w:val="FootnoteText"/>
      </w:pPr>
      <w:r>
        <w:rPr>
          <w:rStyle w:val="FootnoteReference"/>
        </w:rPr>
        <w:footnoteRef/>
      </w:r>
      <w:r>
        <w:t xml:space="preserve"> Otto Betz, Jesus and Isaiah 53, </w:t>
      </w:r>
      <w:r w:rsidRPr="00F54DBA">
        <w:t xml:space="preserve">in </w:t>
      </w:r>
      <w:r w:rsidRPr="00F54DBA">
        <w:rPr>
          <w:i/>
          <w:iCs/>
        </w:rPr>
        <w:t xml:space="preserve">Jesus and the Suffering Servant, </w:t>
      </w:r>
      <w:r w:rsidRPr="00F54DBA">
        <w:t xml:space="preserve">ed. by Willam H. Bellinger Jr. and William R. Farmer (Trinity Press International, 1998) pp. </w:t>
      </w:r>
      <w:r>
        <w:t>70-87</w:t>
      </w:r>
      <w:r w:rsidRPr="00F54DBA">
        <w:t xml:space="preserve"> (p. </w:t>
      </w:r>
      <w:r>
        <w:t>83</w:t>
      </w:r>
      <w:r w:rsidRPr="00F54DBA">
        <w:t>.)</w:t>
      </w:r>
    </w:p>
  </w:footnote>
  <w:footnote w:id="23">
    <w:p w14:paraId="6E90D8F2" w14:textId="135D819F" w:rsidR="00122B12" w:rsidRDefault="00122B12">
      <w:pPr>
        <w:pStyle w:val="FootnoteText"/>
      </w:pPr>
      <w:r>
        <w:rPr>
          <w:rStyle w:val="FootnoteReference"/>
        </w:rPr>
        <w:footnoteRef/>
      </w:r>
      <w:r>
        <w:t xml:space="preserve"> </w:t>
      </w:r>
      <w:r w:rsidR="00EB746B">
        <w:t>Ibid.,</w:t>
      </w:r>
      <w:r w:rsidR="00216386">
        <w:t xml:space="preserve"> </w:t>
      </w:r>
      <w:r w:rsidR="00216386">
        <w:t>p. 89.</w:t>
      </w:r>
    </w:p>
  </w:footnote>
  <w:footnote w:id="24">
    <w:p w14:paraId="2B970A29" w14:textId="2F27E89C" w:rsidR="00F54DBA" w:rsidRPr="00F54DBA" w:rsidRDefault="00F54DBA">
      <w:pPr>
        <w:pStyle w:val="FootnoteText"/>
      </w:pPr>
      <w:r>
        <w:rPr>
          <w:rStyle w:val="FootnoteReference"/>
        </w:rPr>
        <w:footnoteRef/>
      </w:r>
      <w:r>
        <w:t xml:space="preserve"> Peter Stuhlmacher, Isaiah 53 in the Gospels and Acts, in </w:t>
      </w:r>
      <w:r>
        <w:rPr>
          <w:i/>
          <w:iCs/>
        </w:rPr>
        <w:t>The Suffering Servant</w:t>
      </w:r>
      <w:r>
        <w:t>, eds. Bernd Janowski and Peter Stuhlmacher, trans. Daniel P. Bailey (Wm. B Eerdmans Publishing Co., 2004), p. 149.</w:t>
      </w:r>
    </w:p>
  </w:footnote>
  <w:footnote w:id="25">
    <w:p w14:paraId="368249E7" w14:textId="50E56750" w:rsidR="00F54DBA" w:rsidRDefault="00F54DBA">
      <w:pPr>
        <w:pStyle w:val="FootnoteText"/>
      </w:pPr>
      <w:r>
        <w:rPr>
          <w:rStyle w:val="FootnoteReference"/>
        </w:rPr>
        <w:footnoteRef/>
      </w:r>
      <w:r>
        <w:t xml:space="preserve"> As evidenced in Acts 2:42.</w:t>
      </w:r>
    </w:p>
  </w:footnote>
  <w:footnote w:id="26">
    <w:p w14:paraId="63E372F7" w14:textId="3CBD7A2A" w:rsidR="00CE5539" w:rsidRDefault="00CE5539">
      <w:pPr>
        <w:pStyle w:val="FootnoteText"/>
      </w:pPr>
      <w:r>
        <w:rPr>
          <w:rStyle w:val="FootnoteReference"/>
        </w:rPr>
        <w:footnoteRef/>
      </w:r>
      <w:r>
        <w:t xml:space="preserve"> Rikk</w:t>
      </w:r>
      <w:r w:rsidR="00216386">
        <w:t>i</w:t>
      </w:r>
      <w:r>
        <w:t xml:space="preserve"> Watts, ‘Messianic Servant or the End of Israel’s Exilic Curses’, </w:t>
      </w:r>
      <w:proofErr w:type="gramStart"/>
      <w:r w:rsidRPr="00CE5539">
        <w:rPr>
          <w:i/>
          <w:iCs/>
        </w:rPr>
        <w:t>Journal  for</w:t>
      </w:r>
      <w:proofErr w:type="gramEnd"/>
      <w:r w:rsidRPr="00CE5539">
        <w:rPr>
          <w:i/>
          <w:iCs/>
        </w:rPr>
        <w:t xml:space="preserve"> the Study of the New Testament</w:t>
      </w:r>
      <w:r>
        <w:t>, 38(1), 2015, pp. 81-95.</w:t>
      </w:r>
      <w:r w:rsidRPr="006A759A">
        <w:t>57(1),</w:t>
      </w:r>
      <w:r>
        <w:t xml:space="preserve"> p.90.</w:t>
      </w:r>
    </w:p>
  </w:footnote>
  <w:footnote w:id="27">
    <w:p w14:paraId="70470467" w14:textId="3DF18B78" w:rsidR="00CE5539" w:rsidRDefault="00CE5539" w:rsidP="00CE5539">
      <w:pPr>
        <w:pStyle w:val="FootnoteText"/>
      </w:pPr>
      <w:r>
        <w:rPr>
          <w:rStyle w:val="FootnoteReference"/>
        </w:rPr>
        <w:footnoteRef/>
      </w:r>
      <w:r>
        <w:t xml:space="preserve"> </w:t>
      </w:r>
      <w:r w:rsidR="00122B12">
        <w:t>The story of the healed paralytic,</w:t>
      </w:r>
    </w:p>
  </w:footnote>
  <w:footnote w:id="28">
    <w:p w14:paraId="47BAADFE" w14:textId="22F11B1C" w:rsidR="00122B12" w:rsidRDefault="00122B12">
      <w:pPr>
        <w:pStyle w:val="FootnoteText"/>
      </w:pPr>
      <w:r>
        <w:rPr>
          <w:rStyle w:val="FootnoteReference"/>
        </w:rPr>
        <w:footnoteRef/>
      </w:r>
      <w:r>
        <w:t xml:space="preserve"> D. A. Sapp, ‘The LXX, 1QIsa, and MT Versions of Isaiah 53 and the Christian Doctrine of Atonement’, </w:t>
      </w:r>
      <w:r w:rsidRPr="00F54DBA">
        <w:t xml:space="preserve">ed. by Willam H. Bellinger Jr. and William R. Farmer (Trinity Press International, 1998) pp. </w:t>
      </w:r>
      <w:r>
        <w:t>170-192.</w:t>
      </w:r>
    </w:p>
  </w:footnote>
  <w:footnote w:id="29">
    <w:p w14:paraId="1BBA4CFE" w14:textId="2B0DF02E" w:rsidR="00122B12" w:rsidRDefault="00122B12">
      <w:pPr>
        <w:pStyle w:val="FootnoteText"/>
      </w:pPr>
      <w:r>
        <w:rPr>
          <w:rStyle w:val="FootnoteReference"/>
        </w:rPr>
        <w:footnoteRef/>
      </w:r>
      <w:r>
        <w:t xml:space="preserve"> </w:t>
      </w:r>
      <w:r w:rsidR="00EB746B">
        <w:t>Ibid.</w:t>
      </w:r>
      <w:r>
        <w:t>, p. 187.</w:t>
      </w:r>
    </w:p>
  </w:footnote>
  <w:footnote w:id="30">
    <w:p w14:paraId="75F1898F" w14:textId="77F8EB90" w:rsidR="00216386" w:rsidRDefault="00216386" w:rsidP="00216386">
      <w:pPr>
        <w:pStyle w:val="FootnoteText"/>
      </w:pPr>
      <w:r>
        <w:rPr>
          <w:rStyle w:val="FootnoteReference"/>
        </w:rPr>
        <w:footnoteRef/>
      </w:r>
      <w:r>
        <w:t xml:space="preserve"> H. G. Reventlow, ‘Basic Issues in the Interpretation of Isaiah 53’,</w:t>
      </w:r>
      <w:r w:rsidRPr="00F54DBA">
        <w:t xml:space="preserve"> </w:t>
      </w:r>
      <w:r>
        <w:t xml:space="preserve">in </w:t>
      </w:r>
      <w:r>
        <w:rPr>
          <w:i/>
          <w:iCs/>
        </w:rPr>
        <w:t xml:space="preserve">Jesus and the Suffering Servant, </w:t>
      </w:r>
      <w:r>
        <w:t xml:space="preserve">ed. </w:t>
      </w:r>
    </w:p>
    <w:p w14:paraId="75B201C0" w14:textId="4E372DFB" w:rsidR="00216386" w:rsidRDefault="00216386">
      <w:pPr>
        <w:pStyle w:val="FootnoteText"/>
      </w:pPr>
      <w:r w:rsidRPr="00F54DBA">
        <w:t>by Willam H. Bellinger Jr. and William R. Farmer (Trinity Press International, 1998)</w:t>
      </w:r>
      <w:r>
        <w:t xml:space="preserve"> pp. 23-38 (p27f.)</w:t>
      </w:r>
    </w:p>
  </w:footnote>
  <w:footnote w:id="31">
    <w:p w14:paraId="7FDCCEF2" w14:textId="2B1C2BE9" w:rsidR="00216386" w:rsidRDefault="00216386">
      <w:pPr>
        <w:pStyle w:val="FootnoteText"/>
      </w:pPr>
      <w:r>
        <w:rPr>
          <w:rStyle w:val="FootnoteReference"/>
        </w:rPr>
        <w:footnoteRef/>
      </w:r>
      <w:r>
        <w:t xml:space="preserve"> </w:t>
      </w:r>
      <w:r w:rsidR="00EB746B">
        <w:t xml:space="preserve">Ibid., </w:t>
      </w:r>
      <w:r>
        <w:t>p</w:t>
      </w:r>
      <w:r w:rsidR="00EB746B">
        <w:t>.</w:t>
      </w:r>
      <w:r>
        <w:t>28.</w:t>
      </w:r>
    </w:p>
  </w:footnote>
  <w:footnote w:id="32">
    <w:p w14:paraId="22DDCF5A" w14:textId="375528D2" w:rsidR="00216386" w:rsidRDefault="00216386">
      <w:pPr>
        <w:pStyle w:val="FootnoteText"/>
      </w:pPr>
      <w:r>
        <w:rPr>
          <w:rStyle w:val="FootnoteReference"/>
        </w:rPr>
        <w:footnoteRef/>
      </w:r>
      <w:r>
        <w:t xml:space="preserve"> For example, </w:t>
      </w:r>
      <w:r w:rsidRPr="00F54DBA">
        <w:t>Willam H. Bellinger Jr. and William R. Farmer</w:t>
      </w:r>
      <w:r>
        <w:t xml:space="preserve"> (op cit.)</w:t>
      </w:r>
    </w:p>
  </w:footnote>
  <w:footnote w:id="33">
    <w:p w14:paraId="163234BE" w14:textId="6A86AB4D" w:rsidR="00216386" w:rsidRDefault="00216386">
      <w:pPr>
        <w:pStyle w:val="FootnoteText"/>
      </w:pPr>
      <w:r>
        <w:rPr>
          <w:rStyle w:val="FootnoteReference"/>
        </w:rPr>
        <w:footnoteRef/>
      </w:r>
      <w:r>
        <w:t xml:space="preserve"> As implied in Galatians 1:4.</w:t>
      </w:r>
    </w:p>
  </w:footnote>
  <w:footnote w:id="34">
    <w:p w14:paraId="53C0CE6C" w14:textId="3D7D71F9" w:rsidR="00216386" w:rsidRDefault="00216386">
      <w:pPr>
        <w:pStyle w:val="FootnoteText"/>
      </w:pPr>
      <w:r>
        <w:rPr>
          <w:rStyle w:val="FootnoteReference"/>
        </w:rPr>
        <w:footnoteRef/>
      </w:r>
      <w:r>
        <w:t xml:space="preserve"> William R. Farmer, ‘Reflections on Isaiah 53 and Christian Origins’, </w:t>
      </w:r>
      <w:r w:rsidR="00841EB3">
        <w:t xml:space="preserve">in </w:t>
      </w:r>
      <w:r w:rsidR="00841EB3">
        <w:rPr>
          <w:i/>
          <w:iCs/>
        </w:rPr>
        <w:t xml:space="preserve">Jesus and the Suffering Servant, </w:t>
      </w:r>
      <w:r w:rsidR="00841EB3">
        <w:t xml:space="preserve">ed. by Willam H. Bellinger Jr. and William R. Farmer (Trinity Press International, 1998) pp. </w:t>
      </w:r>
      <w:r w:rsidR="00841EB3">
        <w:t>260-280.</w:t>
      </w:r>
    </w:p>
  </w:footnote>
  <w:footnote w:id="35">
    <w:p w14:paraId="76F9E21B" w14:textId="09250456" w:rsidR="00216386" w:rsidRDefault="00216386">
      <w:pPr>
        <w:pStyle w:val="FootnoteText"/>
      </w:pPr>
      <w:r>
        <w:rPr>
          <w:rStyle w:val="FootnoteReference"/>
        </w:rPr>
        <w:footnoteRef/>
      </w:r>
      <w:r>
        <w:t xml:space="preserve"> ‘For what I received I passed on to you as of first importance: that Christ died for our sins according to the Scriptures…’</w:t>
      </w:r>
    </w:p>
  </w:footnote>
  <w:footnote w:id="36">
    <w:p w14:paraId="79BDD837" w14:textId="6A4A3F3B" w:rsidR="00216386" w:rsidRDefault="00216386">
      <w:pPr>
        <w:pStyle w:val="FootnoteText"/>
      </w:pPr>
      <w:r>
        <w:rPr>
          <w:rStyle w:val="FootnoteReference"/>
        </w:rPr>
        <w:footnoteRef/>
      </w:r>
      <w:r>
        <w:t xml:space="preserve"> </w:t>
      </w:r>
      <w:r w:rsidR="00841EB3">
        <w:t xml:space="preserve">‘Nowhere else in the scriptures that were available to Paul is there a text which speaks so explicitly of a saviour figure who dies on behalf of the sins of others.’ </w:t>
      </w:r>
      <w:r w:rsidR="00841EB3">
        <w:t>William R. Farmer, ‘Reflections</w:t>
      </w:r>
      <w:r w:rsidR="00841EB3">
        <w:t xml:space="preserve">’ </w:t>
      </w:r>
      <w:r w:rsidR="00841EB3">
        <w:t xml:space="preserve">in </w:t>
      </w:r>
      <w:r w:rsidR="00841EB3">
        <w:rPr>
          <w:i/>
          <w:iCs/>
        </w:rPr>
        <w:t xml:space="preserve">Jesus and the Suffering Servant, </w:t>
      </w:r>
      <w:r w:rsidR="00841EB3">
        <w:t xml:space="preserve">ed. by Willam H. Bellinger Jr. and William R. Farmer (Trinity Press International, 1998) pp. </w:t>
      </w:r>
      <w:r w:rsidR="00841EB3">
        <w:t>263</w:t>
      </w:r>
    </w:p>
  </w:footnote>
  <w:footnote w:id="37">
    <w:p w14:paraId="648301E2" w14:textId="4848BB03" w:rsidR="00841EB3" w:rsidRDefault="00841EB3">
      <w:pPr>
        <w:pStyle w:val="FootnoteText"/>
      </w:pPr>
      <w:r>
        <w:rPr>
          <w:rStyle w:val="FootnoteReference"/>
        </w:rPr>
        <w:footnoteRef/>
      </w:r>
      <w:r>
        <w:t xml:space="preserve"> Particularly ‘as a ransom for many’, though as noted above, this use is disputed by Hooker. </w:t>
      </w:r>
    </w:p>
  </w:footnote>
  <w:footnote w:id="38">
    <w:p w14:paraId="39F246B6" w14:textId="0E8D74D4" w:rsidR="00841EB3" w:rsidRDefault="00841EB3">
      <w:pPr>
        <w:pStyle w:val="FootnoteText"/>
      </w:pPr>
      <w:r>
        <w:rPr>
          <w:rStyle w:val="FootnoteReference"/>
        </w:rPr>
        <w:footnoteRef/>
      </w:r>
      <w:r>
        <w:t xml:space="preserve"> Isaiah 53:12.</w:t>
      </w:r>
    </w:p>
  </w:footnote>
  <w:footnote w:id="39">
    <w:p w14:paraId="60444455" w14:textId="77777777" w:rsidR="00F161FC" w:rsidRDefault="00F161FC" w:rsidP="00F161FC">
      <w:pPr>
        <w:pStyle w:val="FootnoteText"/>
      </w:pPr>
      <w:r>
        <w:rPr>
          <w:rStyle w:val="FootnoteReference"/>
        </w:rPr>
        <w:footnoteRef/>
      </w:r>
      <w:r>
        <w:t xml:space="preserve"> William R. Farmer, ‘Reflections’, in </w:t>
      </w:r>
      <w:r>
        <w:rPr>
          <w:i/>
          <w:iCs/>
        </w:rPr>
        <w:t xml:space="preserve">Jesus and the Suffering Servant, </w:t>
      </w:r>
      <w:r>
        <w:t>ed. by Willam H. Bellinger Jr. and William R. Farmer (Trinity Press International, 1998) p. 273.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91C9E"/>
    <w:multiLevelType w:val="multilevel"/>
    <w:tmpl w:val="110EB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F3473C"/>
    <w:multiLevelType w:val="multilevel"/>
    <w:tmpl w:val="F6907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3029482">
    <w:abstractNumId w:val="1"/>
  </w:num>
  <w:num w:numId="2" w16cid:durableId="1504514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6F9"/>
    <w:rsid w:val="00122B12"/>
    <w:rsid w:val="00216386"/>
    <w:rsid w:val="00266648"/>
    <w:rsid w:val="00293A0C"/>
    <w:rsid w:val="002F0DF9"/>
    <w:rsid w:val="00327C89"/>
    <w:rsid w:val="003662F4"/>
    <w:rsid w:val="00406468"/>
    <w:rsid w:val="004549C1"/>
    <w:rsid w:val="004674AF"/>
    <w:rsid w:val="00477A1D"/>
    <w:rsid w:val="0049231A"/>
    <w:rsid w:val="005205D8"/>
    <w:rsid w:val="005A5C59"/>
    <w:rsid w:val="00725127"/>
    <w:rsid w:val="00841EB3"/>
    <w:rsid w:val="008622FB"/>
    <w:rsid w:val="00872873"/>
    <w:rsid w:val="00902235"/>
    <w:rsid w:val="00905259"/>
    <w:rsid w:val="00A70FC0"/>
    <w:rsid w:val="00AD6838"/>
    <w:rsid w:val="00B11838"/>
    <w:rsid w:val="00B8038E"/>
    <w:rsid w:val="00BA06F2"/>
    <w:rsid w:val="00BD66F9"/>
    <w:rsid w:val="00C53B0E"/>
    <w:rsid w:val="00CA1AC6"/>
    <w:rsid w:val="00CE5539"/>
    <w:rsid w:val="00CE56C6"/>
    <w:rsid w:val="00D064DD"/>
    <w:rsid w:val="00D32384"/>
    <w:rsid w:val="00DD3D50"/>
    <w:rsid w:val="00E104ED"/>
    <w:rsid w:val="00EB746B"/>
    <w:rsid w:val="00F161FC"/>
    <w:rsid w:val="00F54DBA"/>
    <w:rsid w:val="00FA3FD0"/>
    <w:rsid w:val="00FC7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9C573"/>
  <w15:chartTrackingRefBased/>
  <w15:docId w15:val="{5D2A43D4-E2E1-1F47-94BA-2DB3A0690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6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66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66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66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66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66F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66F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66F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66F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6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66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66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66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66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66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66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66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66F9"/>
    <w:rPr>
      <w:rFonts w:eastAsiaTheme="majorEastAsia" w:cstheme="majorBidi"/>
      <w:color w:val="272727" w:themeColor="text1" w:themeTint="D8"/>
    </w:rPr>
  </w:style>
  <w:style w:type="paragraph" w:styleId="Title">
    <w:name w:val="Title"/>
    <w:basedOn w:val="Normal"/>
    <w:next w:val="Normal"/>
    <w:link w:val="TitleChar"/>
    <w:uiPriority w:val="10"/>
    <w:qFormat/>
    <w:rsid w:val="00BD66F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66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66F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66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66F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D66F9"/>
    <w:rPr>
      <w:i/>
      <w:iCs/>
      <w:color w:val="404040" w:themeColor="text1" w:themeTint="BF"/>
    </w:rPr>
  </w:style>
  <w:style w:type="paragraph" w:styleId="ListParagraph">
    <w:name w:val="List Paragraph"/>
    <w:basedOn w:val="Normal"/>
    <w:uiPriority w:val="34"/>
    <w:qFormat/>
    <w:rsid w:val="00BD66F9"/>
    <w:pPr>
      <w:ind w:left="720"/>
      <w:contextualSpacing/>
    </w:pPr>
  </w:style>
  <w:style w:type="character" w:styleId="IntenseEmphasis">
    <w:name w:val="Intense Emphasis"/>
    <w:basedOn w:val="DefaultParagraphFont"/>
    <w:uiPriority w:val="21"/>
    <w:qFormat/>
    <w:rsid w:val="00BD66F9"/>
    <w:rPr>
      <w:i/>
      <w:iCs/>
      <w:color w:val="0F4761" w:themeColor="accent1" w:themeShade="BF"/>
    </w:rPr>
  </w:style>
  <w:style w:type="paragraph" w:styleId="IntenseQuote">
    <w:name w:val="Intense Quote"/>
    <w:basedOn w:val="Normal"/>
    <w:next w:val="Normal"/>
    <w:link w:val="IntenseQuoteChar"/>
    <w:uiPriority w:val="30"/>
    <w:qFormat/>
    <w:rsid w:val="00BD66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66F9"/>
    <w:rPr>
      <w:i/>
      <w:iCs/>
      <w:color w:val="0F4761" w:themeColor="accent1" w:themeShade="BF"/>
    </w:rPr>
  </w:style>
  <w:style w:type="character" w:styleId="IntenseReference">
    <w:name w:val="Intense Reference"/>
    <w:basedOn w:val="DefaultParagraphFont"/>
    <w:uiPriority w:val="32"/>
    <w:qFormat/>
    <w:rsid w:val="00BD66F9"/>
    <w:rPr>
      <w:b/>
      <w:bCs/>
      <w:smallCaps/>
      <w:color w:val="0F4761" w:themeColor="accent1" w:themeShade="BF"/>
      <w:spacing w:val="5"/>
    </w:rPr>
  </w:style>
  <w:style w:type="character" w:styleId="Hyperlink">
    <w:name w:val="Hyperlink"/>
    <w:basedOn w:val="DefaultParagraphFont"/>
    <w:uiPriority w:val="99"/>
    <w:unhideWhenUsed/>
    <w:rsid w:val="0049231A"/>
    <w:rPr>
      <w:color w:val="467886" w:themeColor="hyperlink"/>
      <w:u w:val="single"/>
    </w:rPr>
  </w:style>
  <w:style w:type="character" w:styleId="UnresolvedMention">
    <w:name w:val="Unresolved Mention"/>
    <w:basedOn w:val="DefaultParagraphFont"/>
    <w:uiPriority w:val="99"/>
    <w:semiHidden/>
    <w:unhideWhenUsed/>
    <w:rsid w:val="0049231A"/>
    <w:rPr>
      <w:color w:val="605E5C"/>
      <w:shd w:val="clear" w:color="auto" w:fill="E1DFDD"/>
    </w:rPr>
  </w:style>
  <w:style w:type="character" w:styleId="FollowedHyperlink">
    <w:name w:val="FollowedHyperlink"/>
    <w:basedOn w:val="DefaultParagraphFont"/>
    <w:uiPriority w:val="99"/>
    <w:semiHidden/>
    <w:unhideWhenUsed/>
    <w:rsid w:val="00C53B0E"/>
    <w:rPr>
      <w:color w:val="96607D" w:themeColor="followedHyperlink"/>
      <w:u w:val="single"/>
    </w:rPr>
  </w:style>
  <w:style w:type="paragraph" w:styleId="FootnoteText">
    <w:name w:val="footnote text"/>
    <w:basedOn w:val="Normal"/>
    <w:link w:val="FootnoteTextChar"/>
    <w:uiPriority w:val="99"/>
    <w:unhideWhenUsed/>
    <w:rsid w:val="00CE56C6"/>
    <w:rPr>
      <w:sz w:val="20"/>
      <w:szCs w:val="20"/>
    </w:rPr>
  </w:style>
  <w:style w:type="character" w:customStyle="1" w:styleId="FootnoteTextChar">
    <w:name w:val="Footnote Text Char"/>
    <w:basedOn w:val="DefaultParagraphFont"/>
    <w:link w:val="FootnoteText"/>
    <w:uiPriority w:val="99"/>
    <w:rsid w:val="00CE56C6"/>
    <w:rPr>
      <w:sz w:val="20"/>
      <w:szCs w:val="20"/>
    </w:rPr>
  </w:style>
  <w:style w:type="character" w:styleId="FootnoteReference">
    <w:name w:val="footnote reference"/>
    <w:basedOn w:val="DefaultParagraphFont"/>
    <w:uiPriority w:val="99"/>
    <w:semiHidden/>
    <w:unhideWhenUsed/>
    <w:rsid w:val="00CE56C6"/>
    <w:rPr>
      <w:vertAlign w:val="superscript"/>
    </w:rPr>
  </w:style>
  <w:style w:type="paragraph" w:styleId="NormalWeb">
    <w:name w:val="Normal (Web)"/>
    <w:basedOn w:val="Normal"/>
    <w:uiPriority w:val="99"/>
    <w:semiHidden/>
    <w:unhideWhenUsed/>
    <w:rsid w:val="00CE56C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beginningsofchri0001unse_e2c6/page/390/mode/2u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archive.org/details/beginningsofchri0001unse_e2c6/page/390/mode/2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CC785-413E-F24A-B0E9-C32674A5C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464</TotalTime>
  <Pages>8</Pages>
  <Words>2702</Words>
  <Characters>15403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Young</dc:creator>
  <cp:keywords/>
  <dc:description/>
  <cp:lastModifiedBy>Patrick Young</cp:lastModifiedBy>
  <cp:revision>21</cp:revision>
  <dcterms:created xsi:type="dcterms:W3CDTF">2026-01-07T14:29:00Z</dcterms:created>
  <dcterms:modified xsi:type="dcterms:W3CDTF">2026-01-07T23:14:00Z</dcterms:modified>
</cp:coreProperties>
</file>