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043B7" w14:textId="66232925" w:rsidR="00936713" w:rsidRPr="00274BB4" w:rsidRDefault="00274BB4" w:rsidP="00274BB4">
      <w:pPr>
        <w:jc w:val="center"/>
        <w:rPr>
          <w:rFonts w:ascii="Calibri" w:hAnsi="Calibri" w:cs="Calibri"/>
          <w:b/>
          <w:bCs/>
          <w:sz w:val="32"/>
          <w:szCs w:val="32"/>
        </w:rPr>
      </w:pPr>
      <w:r w:rsidRPr="00274BB4">
        <w:rPr>
          <w:rFonts w:ascii="Calibri" w:hAnsi="Calibri" w:cs="Calibri"/>
          <w:b/>
          <w:bCs/>
          <w:sz w:val="32"/>
          <w:szCs w:val="32"/>
        </w:rPr>
        <w:t>Student number:</w:t>
      </w:r>
      <w:r w:rsidR="00350A65">
        <w:rPr>
          <w:rFonts w:ascii="Calibri" w:hAnsi="Calibri" w:cs="Calibri"/>
          <w:b/>
          <w:bCs/>
          <w:sz w:val="32"/>
          <w:szCs w:val="32"/>
        </w:rPr>
        <w:t>2315380</w:t>
      </w:r>
    </w:p>
    <w:p w14:paraId="1D5C75BC" w14:textId="384255F1" w:rsidR="00274BB4" w:rsidRPr="00274BB4" w:rsidRDefault="00274BB4" w:rsidP="00350A65">
      <w:pPr>
        <w:jc w:val="center"/>
        <w:rPr>
          <w:rFonts w:ascii="Calibri" w:hAnsi="Calibri" w:cs="Calibri"/>
          <w:b/>
          <w:bCs/>
          <w:sz w:val="32"/>
          <w:szCs w:val="32"/>
        </w:rPr>
      </w:pPr>
      <w:r w:rsidRPr="00274BB4">
        <w:rPr>
          <w:rFonts w:ascii="Calibri" w:hAnsi="Calibri" w:cs="Calibri"/>
          <w:b/>
          <w:bCs/>
          <w:sz w:val="32"/>
          <w:szCs w:val="32"/>
        </w:rPr>
        <w:t>Module:</w:t>
      </w:r>
      <w:r w:rsidR="002E5EA5" w:rsidRPr="002E5EA5">
        <w:rPr>
          <w:rFonts w:ascii="Calibri" w:hAnsi="Calibri" w:cs="Calibri"/>
          <w:b/>
          <w:bCs/>
          <w:sz w:val="32"/>
          <w:szCs w:val="32"/>
        </w:rPr>
        <w:t xml:space="preserve"> Banking and Financial Economics</w:t>
      </w:r>
    </w:p>
    <w:p w14:paraId="08130722" w14:textId="4F216210" w:rsidR="00274BB4" w:rsidRPr="00274BB4" w:rsidRDefault="00274BB4" w:rsidP="00274BB4">
      <w:pPr>
        <w:jc w:val="center"/>
        <w:rPr>
          <w:rFonts w:ascii="Calibri" w:hAnsi="Calibri" w:cs="Calibri"/>
          <w:b/>
          <w:bCs/>
          <w:sz w:val="32"/>
          <w:szCs w:val="32"/>
        </w:rPr>
      </w:pPr>
      <w:r w:rsidRPr="00274BB4">
        <w:rPr>
          <w:rFonts w:ascii="Calibri" w:hAnsi="Calibri" w:cs="Calibri"/>
          <w:b/>
          <w:bCs/>
          <w:sz w:val="32"/>
          <w:szCs w:val="32"/>
        </w:rPr>
        <w:t>Title:</w:t>
      </w:r>
      <w:r w:rsidR="00EE049B">
        <w:rPr>
          <w:rFonts w:ascii="Calibri" w:hAnsi="Calibri" w:cs="Calibri"/>
          <w:b/>
          <w:bCs/>
          <w:sz w:val="32"/>
          <w:szCs w:val="32"/>
        </w:rPr>
        <w:t xml:space="preserve"> </w:t>
      </w:r>
      <w:r w:rsidR="00EE049B" w:rsidRPr="00EE049B">
        <w:rPr>
          <w:rFonts w:ascii="Calibri" w:hAnsi="Calibri" w:cs="Calibri"/>
          <w:b/>
          <w:bCs/>
          <w:sz w:val="32"/>
          <w:szCs w:val="32"/>
        </w:rPr>
        <w:t>"Analysing the Financial Strategies and Market Dynamics of Snapchat and Netflix: An Investment Perspective"</w:t>
      </w:r>
    </w:p>
    <w:p w14:paraId="732FEDC3" w14:textId="77777777" w:rsidR="00274BB4" w:rsidRDefault="00274BB4" w:rsidP="00274BB4">
      <w:pPr>
        <w:jc w:val="center"/>
        <w:rPr>
          <w:rFonts w:ascii="Calibri" w:hAnsi="Calibri" w:cs="Calibri"/>
          <w:b/>
          <w:bCs/>
          <w:sz w:val="32"/>
          <w:szCs w:val="32"/>
        </w:rPr>
      </w:pPr>
    </w:p>
    <w:p w14:paraId="4B5A2BCA" w14:textId="77777777" w:rsidR="00EE049B" w:rsidRDefault="00EE049B" w:rsidP="00274BB4">
      <w:pPr>
        <w:jc w:val="center"/>
        <w:rPr>
          <w:rFonts w:ascii="Calibri" w:hAnsi="Calibri" w:cs="Calibri"/>
          <w:b/>
          <w:bCs/>
          <w:sz w:val="32"/>
          <w:szCs w:val="32"/>
        </w:rPr>
      </w:pPr>
    </w:p>
    <w:p w14:paraId="32B8ED4D" w14:textId="77777777" w:rsidR="00EE049B" w:rsidRDefault="00EE049B" w:rsidP="00274BB4">
      <w:pPr>
        <w:jc w:val="center"/>
        <w:rPr>
          <w:rFonts w:ascii="Calibri" w:hAnsi="Calibri" w:cs="Calibri"/>
          <w:b/>
          <w:bCs/>
          <w:sz w:val="32"/>
          <w:szCs w:val="32"/>
        </w:rPr>
      </w:pPr>
    </w:p>
    <w:p w14:paraId="3BE58BC4" w14:textId="77777777" w:rsidR="00EE049B" w:rsidRDefault="00EE049B" w:rsidP="00274BB4">
      <w:pPr>
        <w:jc w:val="center"/>
        <w:rPr>
          <w:rFonts w:ascii="Calibri" w:hAnsi="Calibri" w:cs="Calibri"/>
          <w:b/>
          <w:bCs/>
          <w:sz w:val="32"/>
          <w:szCs w:val="32"/>
        </w:rPr>
      </w:pPr>
    </w:p>
    <w:p w14:paraId="6FD16564" w14:textId="77777777" w:rsidR="00EE049B" w:rsidRDefault="00EE049B" w:rsidP="00274BB4">
      <w:pPr>
        <w:jc w:val="center"/>
        <w:rPr>
          <w:rFonts w:ascii="Calibri" w:hAnsi="Calibri" w:cs="Calibri"/>
          <w:b/>
          <w:bCs/>
          <w:sz w:val="32"/>
          <w:szCs w:val="32"/>
        </w:rPr>
      </w:pPr>
    </w:p>
    <w:p w14:paraId="59E68991" w14:textId="77777777" w:rsidR="00EE049B" w:rsidRDefault="00EE049B" w:rsidP="00274BB4">
      <w:pPr>
        <w:jc w:val="center"/>
        <w:rPr>
          <w:rFonts w:ascii="Calibri" w:hAnsi="Calibri" w:cs="Calibri"/>
          <w:b/>
          <w:bCs/>
          <w:sz w:val="32"/>
          <w:szCs w:val="32"/>
        </w:rPr>
      </w:pPr>
    </w:p>
    <w:p w14:paraId="18EE8D35" w14:textId="77777777" w:rsidR="00EE049B" w:rsidRDefault="00EE049B" w:rsidP="00274BB4">
      <w:pPr>
        <w:jc w:val="center"/>
        <w:rPr>
          <w:rFonts w:ascii="Calibri" w:hAnsi="Calibri" w:cs="Calibri"/>
          <w:b/>
          <w:bCs/>
          <w:sz w:val="32"/>
          <w:szCs w:val="32"/>
        </w:rPr>
      </w:pPr>
    </w:p>
    <w:p w14:paraId="654C6D47" w14:textId="77777777" w:rsidR="00EE049B" w:rsidRDefault="00EE049B" w:rsidP="00274BB4">
      <w:pPr>
        <w:jc w:val="center"/>
        <w:rPr>
          <w:rFonts w:ascii="Calibri" w:hAnsi="Calibri" w:cs="Calibri"/>
          <w:b/>
          <w:bCs/>
          <w:sz w:val="32"/>
          <w:szCs w:val="32"/>
        </w:rPr>
      </w:pPr>
    </w:p>
    <w:p w14:paraId="3AACF462" w14:textId="77777777" w:rsidR="00EE049B" w:rsidRDefault="00EE049B" w:rsidP="00274BB4">
      <w:pPr>
        <w:jc w:val="center"/>
        <w:rPr>
          <w:rFonts w:ascii="Calibri" w:hAnsi="Calibri" w:cs="Calibri"/>
          <w:b/>
          <w:bCs/>
          <w:sz w:val="32"/>
          <w:szCs w:val="32"/>
        </w:rPr>
      </w:pPr>
    </w:p>
    <w:p w14:paraId="5641F24B" w14:textId="77777777" w:rsidR="00EE049B" w:rsidRDefault="00EE049B" w:rsidP="00274BB4">
      <w:pPr>
        <w:jc w:val="center"/>
        <w:rPr>
          <w:rFonts w:ascii="Calibri" w:hAnsi="Calibri" w:cs="Calibri"/>
          <w:b/>
          <w:bCs/>
          <w:sz w:val="32"/>
          <w:szCs w:val="32"/>
        </w:rPr>
      </w:pPr>
    </w:p>
    <w:p w14:paraId="7FF5E047" w14:textId="77777777" w:rsidR="00EE049B" w:rsidRDefault="00EE049B" w:rsidP="00274BB4">
      <w:pPr>
        <w:jc w:val="center"/>
        <w:rPr>
          <w:rFonts w:ascii="Calibri" w:hAnsi="Calibri" w:cs="Calibri"/>
          <w:b/>
          <w:bCs/>
          <w:sz w:val="32"/>
          <w:szCs w:val="32"/>
        </w:rPr>
      </w:pPr>
    </w:p>
    <w:p w14:paraId="13D55A79" w14:textId="77777777" w:rsidR="00EE049B" w:rsidRDefault="00EE049B" w:rsidP="00274BB4">
      <w:pPr>
        <w:jc w:val="center"/>
        <w:rPr>
          <w:rFonts w:ascii="Calibri" w:hAnsi="Calibri" w:cs="Calibri"/>
          <w:b/>
          <w:bCs/>
          <w:sz w:val="32"/>
          <w:szCs w:val="32"/>
        </w:rPr>
      </w:pPr>
    </w:p>
    <w:p w14:paraId="4565D92D" w14:textId="77777777" w:rsidR="00EE049B" w:rsidRDefault="00EE049B" w:rsidP="00274BB4">
      <w:pPr>
        <w:jc w:val="center"/>
        <w:rPr>
          <w:rFonts w:ascii="Calibri" w:hAnsi="Calibri" w:cs="Calibri"/>
          <w:b/>
          <w:bCs/>
          <w:sz w:val="32"/>
          <w:szCs w:val="32"/>
        </w:rPr>
      </w:pPr>
    </w:p>
    <w:p w14:paraId="6FD491C3" w14:textId="77777777" w:rsidR="00EE049B" w:rsidRDefault="00EE049B" w:rsidP="00274BB4">
      <w:pPr>
        <w:jc w:val="center"/>
        <w:rPr>
          <w:rFonts w:ascii="Calibri" w:hAnsi="Calibri" w:cs="Calibri"/>
          <w:b/>
          <w:bCs/>
          <w:sz w:val="32"/>
          <w:szCs w:val="32"/>
        </w:rPr>
      </w:pPr>
    </w:p>
    <w:p w14:paraId="2658AD94" w14:textId="77777777" w:rsidR="00EE049B" w:rsidRDefault="00EE049B" w:rsidP="00274BB4">
      <w:pPr>
        <w:jc w:val="center"/>
        <w:rPr>
          <w:rFonts w:ascii="Calibri" w:hAnsi="Calibri" w:cs="Calibri"/>
          <w:b/>
          <w:bCs/>
          <w:sz w:val="32"/>
          <w:szCs w:val="32"/>
        </w:rPr>
      </w:pPr>
    </w:p>
    <w:p w14:paraId="4BF93D41" w14:textId="77777777" w:rsidR="00EE049B" w:rsidRDefault="00EE049B" w:rsidP="00274BB4">
      <w:pPr>
        <w:jc w:val="center"/>
        <w:rPr>
          <w:rFonts w:ascii="Calibri" w:hAnsi="Calibri" w:cs="Calibri"/>
          <w:b/>
          <w:bCs/>
          <w:sz w:val="32"/>
          <w:szCs w:val="32"/>
        </w:rPr>
      </w:pPr>
    </w:p>
    <w:p w14:paraId="77FB595F" w14:textId="77777777" w:rsidR="00EE049B" w:rsidRDefault="00EE049B" w:rsidP="00274BB4">
      <w:pPr>
        <w:jc w:val="center"/>
        <w:rPr>
          <w:rFonts w:ascii="Calibri" w:hAnsi="Calibri" w:cs="Calibri"/>
          <w:b/>
          <w:bCs/>
          <w:sz w:val="32"/>
          <w:szCs w:val="32"/>
        </w:rPr>
      </w:pPr>
    </w:p>
    <w:p w14:paraId="28C1254C" w14:textId="77777777" w:rsidR="00EE049B" w:rsidRDefault="00EE049B" w:rsidP="00274BB4">
      <w:pPr>
        <w:jc w:val="center"/>
        <w:rPr>
          <w:rFonts w:ascii="Calibri" w:hAnsi="Calibri" w:cs="Calibri"/>
          <w:b/>
          <w:bCs/>
          <w:sz w:val="32"/>
          <w:szCs w:val="32"/>
        </w:rPr>
      </w:pPr>
    </w:p>
    <w:p w14:paraId="3E9DF2B4" w14:textId="77777777" w:rsidR="00EE049B" w:rsidRDefault="00EE049B" w:rsidP="00274BB4">
      <w:pPr>
        <w:jc w:val="center"/>
        <w:rPr>
          <w:rFonts w:ascii="Calibri" w:hAnsi="Calibri" w:cs="Calibri"/>
          <w:b/>
          <w:bCs/>
          <w:sz w:val="32"/>
          <w:szCs w:val="32"/>
        </w:rPr>
      </w:pPr>
    </w:p>
    <w:p w14:paraId="3296E425" w14:textId="77777777" w:rsidR="00EE049B" w:rsidRDefault="00EE049B" w:rsidP="00274BB4">
      <w:pPr>
        <w:jc w:val="center"/>
        <w:rPr>
          <w:rFonts w:ascii="Calibri" w:hAnsi="Calibri" w:cs="Calibri"/>
          <w:b/>
          <w:bCs/>
          <w:sz w:val="32"/>
          <w:szCs w:val="32"/>
        </w:rPr>
      </w:pPr>
    </w:p>
    <w:sdt>
      <w:sdtPr>
        <w:rPr>
          <w:rFonts w:asciiTheme="minorHAnsi" w:eastAsia="Arial" w:hAnsiTheme="minorHAnsi" w:cstheme="minorHAnsi"/>
          <w:color w:val="auto"/>
          <w:kern w:val="2"/>
          <w:sz w:val="24"/>
          <w:szCs w:val="24"/>
          <w:lang w:val="en-GB"/>
          <w14:ligatures w14:val="standardContextual"/>
        </w:rPr>
        <w:id w:val="2054263637"/>
        <w:docPartObj>
          <w:docPartGallery w:val="Table of Contents"/>
          <w:docPartUnique/>
        </w:docPartObj>
      </w:sdtPr>
      <w:sdtEndPr>
        <w:rPr>
          <w:rFonts w:eastAsiaTheme="minorHAnsi"/>
          <w:b/>
          <w:bCs/>
        </w:rPr>
      </w:sdtEndPr>
      <w:sdtContent>
        <w:p w14:paraId="3C71B309" w14:textId="77777777" w:rsidR="00EE049B" w:rsidRPr="00044920" w:rsidRDefault="00EE049B" w:rsidP="00EE049B">
          <w:pPr>
            <w:pStyle w:val="TOCHeading1"/>
            <w:spacing w:before="0" w:line="480" w:lineRule="auto"/>
            <w:jc w:val="center"/>
            <w:rPr>
              <w:rFonts w:asciiTheme="minorHAnsi" w:hAnsiTheme="minorHAnsi" w:cstheme="minorHAnsi"/>
              <w:b/>
              <w:bCs/>
              <w:color w:val="000000" w:themeColor="text1"/>
              <w:sz w:val="24"/>
              <w:szCs w:val="24"/>
            </w:rPr>
          </w:pPr>
          <w:r w:rsidRPr="00044920">
            <w:rPr>
              <w:rFonts w:asciiTheme="minorHAnsi" w:hAnsiTheme="minorHAnsi" w:cstheme="minorHAnsi"/>
              <w:b/>
              <w:bCs/>
              <w:color w:val="000000" w:themeColor="text1"/>
              <w:sz w:val="24"/>
              <w:szCs w:val="24"/>
            </w:rPr>
            <w:t>Table of Contents</w:t>
          </w:r>
          <w:r w:rsidRPr="00044920">
            <w:rPr>
              <w:rFonts w:asciiTheme="minorHAnsi" w:eastAsia="Arial" w:hAnsiTheme="minorHAnsi" w:cstheme="minorHAnsi"/>
              <w:sz w:val="24"/>
              <w:szCs w:val="24"/>
            </w:rPr>
            <w:fldChar w:fldCharType="begin"/>
          </w:r>
          <w:r w:rsidRPr="00044920">
            <w:rPr>
              <w:rFonts w:asciiTheme="minorHAnsi" w:hAnsiTheme="minorHAnsi" w:cstheme="minorHAnsi"/>
              <w:sz w:val="24"/>
              <w:szCs w:val="24"/>
            </w:rPr>
            <w:instrText xml:space="preserve"> TOC \o "1-3" \h \z \u </w:instrText>
          </w:r>
          <w:r w:rsidRPr="00044920">
            <w:rPr>
              <w:rFonts w:asciiTheme="minorHAnsi" w:eastAsia="Arial" w:hAnsiTheme="minorHAnsi" w:cstheme="minorHAnsi"/>
              <w:sz w:val="24"/>
              <w:szCs w:val="24"/>
            </w:rPr>
            <w:fldChar w:fldCharType="separate"/>
          </w:r>
        </w:p>
        <w:p w14:paraId="70EE2F17" w14:textId="0117C6E5" w:rsidR="00EE049B" w:rsidRPr="00C85410" w:rsidRDefault="00EE049B" w:rsidP="00EE049B">
          <w:pPr>
            <w:pStyle w:val="TOC1"/>
            <w:tabs>
              <w:tab w:val="right" w:leader="dot" w:pos="9019"/>
            </w:tabs>
            <w:spacing w:after="0" w:line="480" w:lineRule="auto"/>
            <w:jc w:val="center"/>
            <w:rPr>
              <w:rFonts w:asciiTheme="minorHAnsi" w:hAnsiTheme="minorHAnsi" w:cstheme="minorHAnsi"/>
              <w:sz w:val="24"/>
              <w:szCs w:val="24"/>
              <w:lang w:val="en-IN"/>
            </w:rPr>
          </w:pPr>
          <w:r>
            <w:rPr>
              <w:rFonts w:asciiTheme="minorHAnsi" w:hAnsiTheme="minorHAnsi" w:cstheme="minorHAnsi"/>
              <w:sz w:val="24"/>
              <w:szCs w:val="24"/>
            </w:rPr>
            <w:t>Introduction</w:t>
          </w:r>
          <w:hyperlink w:anchor="_Toc130301090" w:history="1">
            <w:r w:rsidRPr="00C85410">
              <w:rPr>
                <w:rFonts w:asciiTheme="minorHAnsi" w:hAnsiTheme="minorHAnsi" w:cstheme="minorHAnsi"/>
                <w:sz w:val="24"/>
                <w:szCs w:val="24"/>
              </w:rPr>
              <w:tab/>
            </w:r>
            <w:r>
              <w:rPr>
                <w:rFonts w:asciiTheme="minorHAnsi" w:hAnsiTheme="minorHAnsi" w:cstheme="minorHAnsi"/>
                <w:sz w:val="24"/>
                <w:szCs w:val="24"/>
                <w:lang w:val="en-IN"/>
              </w:rPr>
              <w:t>3</w:t>
            </w:r>
          </w:hyperlink>
        </w:p>
        <w:p w14:paraId="7C9188DA" w14:textId="48F5EDBE" w:rsidR="00EE049B" w:rsidRPr="00C85410" w:rsidRDefault="00691EC0" w:rsidP="00EE049B">
          <w:pPr>
            <w:pStyle w:val="TOC1"/>
            <w:tabs>
              <w:tab w:val="right" w:leader="dot" w:pos="9019"/>
            </w:tabs>
            <w:spacing w:after="0" w:line="480" w:lineRule="auto"/>
            <w:jc w:val="center"/>
            <w:rPr>
              <w:rFonts w:asciiTheme="minorHAnsi" w:hAnsiTheme="minorHAnsi" w:cstheme="minorHAnsi"/>
              <w:sz w:val="24"/>
              <w:szCs w:val="24"/>
            </w:rPr>
          </w:pPr>
          <w:r>
            <w:rPr>
              <w:rFonts w:asciiTheme="minorHAnsi" w:hAnsiTheme="minorHAnsi" w:cstheme="minorHAnsi"/>
              <w:sz w:val="24"/>
              <w:szCs w:val="24"/>
            </w:rPr>
            <w:t>Section 1: IPO Analysis of Snapchat</w:t>
          </w:r>
          <w:hyperlink w:anchor="_Toc130301090" w:history="1">
            <w:r w:rsidR="00EE049B" w:rsidRPr="00C85410">
              <w:rPr>
                <w:rFonts w:asciiTheme="minorHAnsi" w:hAnsiTheme="minorHAnsi" w:cstheme="minorHAnsi"/>
                <w:sz w:val="24"/>
                <w:szCs w:val="24"/>
              </w:rPr>
              <w:tab/>
            </w:r>
            <w:r>
              <w:rPr>
                <w:rFonts w:asciiTheme="minorHAnsi" w:hAnsiTheme="minorHAnsi" w:cstheme="minorHAnsi"/>
                <w:sz w:val="24"/>
                <w:szCs w:val="24"/>
                <w:lang w:val="en-IN"/>
              </w:rPr>
              <w:t>4</w:t>
            </w:r>
          </w:hyperlink>
        </w:p>
        <w:p w14:paraId="3DA0A227" w14:textId="5E805DD9" w:rsidR="00EE049B" w:rsidRDefault="00EE049B" w:rsidP="00EE049B">
          <w:pPr>
            <w:pStyle w:val="TOC1"/>
            <w:tabs>
              <w:tab w:val="right" w:leader="dot" w:pos="9019"/>
            </w:tabs>
            <w:spacing w:after="0" w:line="480" w:lineRule="auto"/>
            <w:jc w:val="center"/>
            <w:rPr>
              <w:rFonts w:asciiTheme="minorHAnsi" w:hAnsiTheme="minorHAnsi" w:cstheme="minorHAnsi"/>
              <w:sz w:val="24"/>
              <w:szCs w:val="24"/>
              <w:lang w:val="en-IN"/>
            </w:rPr>
          </w:pPr>
        </w:p>
        <w:p w14:paraId="56797FB8" w14:textId="26C5371D" w:rsidR="00EE049B" w:rsidRDefault="00EE049B" w:rsidP="00EE049B">
          <w:pPr>
            <w:pStyle w:val="TOC1"/>
            <w:tabs>
              <w:tab w:val="right" w:leader="dot" w:pos="9019"/>
            </w:tabs>
            <w:spacing w:after="0" w:line="480" w:lineRule="auto"/>
            <w:jc w:val="center"/>
            <w:rPr>
              <w:rFonts w:asciiTheme="minorHAnsi" w:hAnsiTheme="minorHAnsi" w:cstheme="minorHAnsi"/>
              <w:sz w:val="24"/>
              <w:szCs w:val="24"/>
              <w:lang w:val="en-IN"/>
            </w:rPr>
          </w:pPr>
        </w:p>
        <w:p w14:paraId="47B56058" w14:textId="1ACC1F08" w:rsidR="00691EC0" w:rsidRPr="00325EE1" w:rsidRDefault="00691EC0" w:rsidP="00691EC0">
          <w:pPr>
            <w:pStyle w:val="TOC1"/>
            <w:tabs>
              <w:tab w:val="right" w:leader="dot" w:pos="9019"/>
            </w:tabs>
            <w:spacing w:after="0" w:line="480" w:lineRule="auto"/>
            <w:jc w:val="center"/>
            <w:rPr>
              <w:rFonts w:asciiTheme="minorHAnsi" w:hAnsiTheme="minorHAnsi" w:cstheme="minorHAnsi"/>
              <w:sz w:val="24"/>
              <w:szCs w:val="24"/>
              <w:lang w:val="en-IN"/>
            </w:rPr>
          </w:pPr>
        </w:p>
        <w:p w14:paraId="0879E791" w14:textId="77777777" w:rsidR="00691EC0" w:rsidRPr="00691EC0" w:rsidRDefault="00691EC0" w:rsidP="00691EC0">
          <w:pPr>
            <w:rPr>
              <w:lang w:val="en-IN"/>
            </w:rPr>
          </w:pPr>
        </w:p>
        <w:p w14:paraId="0E258F9C" w14:textId="77777777" w:rsidR="00EE049B" w:rsidRDefault="00EE049B" w:rsidP="00EE049B">
          <w:pPr>
            <w:spacing w:after="0" w:line="480" w:lineRule="auto"/>
            <w:rPr>
              <w:rFonts w:cstheme="minorHAnsi"/>
              <w:b/>
              <w:bCs/>
              <w:sz w:val="24"/>
              <w:szCs w:val="24"/>
            </w:rPr>
          </w:pPr>
          <w:r w:rsidRPr="00044920">
            <w:rPr>
              <w:rFonts w:cstheme="minorHAnsi"/>
              <w:b/>
              <w:bCs/>
              <w:sz w:val="24"/>
              <w:szCs w:val="24"/>
            </w:rPr>
            <w:fldChar w:fldCharType="end"/>
          </w:r>
        </w:p>
      </w:sdtContent>
    </w:sdt>
    <w:p w14:paraId="67BC4360" w14:textId="3A282DE6" w:rsidR="00EE049B" w:rsidRDefault="00EE049B" w:rsidP="00274BB4">
      <w:pPr>
        <w:jc w:val="center"/>
        <w:rPr>
          <w:rFonts w:ascii="Calibri" w:hAnsi="Calibri" w:cs="Calibri"/>
          <w:b/>
          <w:bCs/>
          <w:sz w:val="32"/>
          <w:szCs w:val="32"/>
        </w:rPr>
      </w:pPr>
    </w:p>
    <w:p w14:paraId="64F76ECE" w14:textId="77777777" w:rsidR="00EE049B" w:rsidRDefault="00EE049B" w:rsidP="00274BB4">
      <w:pPr>
        <w:jc w:val="center"/>
        <w:rPr>
          <w:rFonts w:ascii="Calibri" w:hAnsi="Calibri" w:cs="Calibri"/>
          <w:b/>
          <w:bCs/>
          <w:sz w:val="32"/>
          <w:szCs w:val="32"/>
        </w:rPr>
      </w:pPr>
    </w:p>
    <w:p w14:paraId="7D80413F" w14:textId="77777777" w:rsidR="00EE049B" w:rsidRDefault="00EE049B" w:rsidP="00274BB4">
      <w:pPr>
        <w:jc w:val="center"/>
        <w:rPr>
          <w:rFonts w:ascii="Calibri" w:hAnsi="Calibri" w:cs="Calibri"/>
          <w:b/>
          <w:bCs/>
          <w:sz w:val="32"/>
          <w:szCs w:val="32"/>
        </w:rPr>
      </w:pPr>
    </w:p>
    <w:p w14:paraId="7F937B56" w14:textId="77777777" w:rsidR="00EE049B" w:rsidRDefault="00EE049B" w:rsidP="00274BB4">
      <w:pPr>
        <w:jc w:val="center"/>
        <w:rPr>
          <w:rFonts w:ascii="Calibri" w:hAnsi="Calibri" w:cs="Calibri"/>
          <w:b/>
          <w:bCs/>
          <w:sz w:val="32"/>
          <w:szCs w:val="32"/>
        </w:rPr>
      </w:pPr>
    </w:p>
    <w:p w14:paraId="1EA67C28" w14:textId="77777777" w:rsidR="00EE049B" w:rsidRDefault="00EE049B" w:rsidP="00274BB4">
      <w:pPr>
        <w:jc w:val="center"/>
        <w:rPr>
          <w:rFonts w:ascii="Calibri" w:hAnsi="Calibri" w:cs="Calibri"/>
          <w:b/>
          <w:bCs/>
          <w:sz w:val="32"/>
          <w:szCs w:val="32"/>
        </w:rPr>
      </w:pPr>
    </w:p>
    <w:p w14:paraId="3A5E0CA9" w14:textId="77777777" w:rsidR="00EE049B" w:rsidRDefault="00EE049B" w:rsidP="00274BB4">
      <w:pPr>
        <w:jc w:val="center"/>
        <w:rPr>
          <w:rFonts w:ascii="Calibri" w:hAnsi="Calibri" w:cs="Calibri"/>
          <w:b/>
          <w:bCs/>
          <w:sz w:val="32"/>
          <w:szCs w:val="32"/>
        </w:rPr>
      </w:pPr>
    </w:p>
    <w:p w14:paraId="578F68E7" w14:textId="77777777" w:rsidR="00EE049B" w:rsidRDefault="00EE049B" w:rsidP="00274BB4">
      <w:pPr>
        <w:jc w:val="center"/>
        <w:rPr>
          <w:rFonts w:ascii="Calibri" w:hAnsi="Calibri" w:cs="Calibri"/>
          <w:b/>
          <w:bCs/>
          <w:sz w:val="32"/>
          <w:szCs w:val="32"/>
        </w:rPr>
      </w:pPr>
    </w:p>
    <w:p w14:paraId="3E3949BC" w14:textId="77777777" w:rsidR="00EE049B" w:rsidRDefault="00EE049B" w:rsidP="00274BB4">
      <w:pPr>
        <w:jc w:val="center"/>
        <w:rPr>
          <w:rFonts w:ascii="Calibri" w:hAnsi="Calibri" w:cs="Calibri"/>
          <w:b/>
          <w:bCs/>
          <w:sz w:val="32"/>
          <w:szCs w:val="32"/>
        </w:rPr>
      </w:pPr>
    </w:p>
    <w:p w14:paraId="2D85C656" w14:textId="77777777" w:rsidR="00EE049B" w:rsidRDefault="00EE049B" w:rsidP="00274BB4">
      <w:pPr>
        <w:jc w:val="center"/>
        <w:rPr>
          <w:rFonts w:ascii="Calibri" w:hAnsi="Calibri" w:cs="Calibri"/>
          <w:b/>
          <w:bCs/>
          <w:sz w:val="32"/>
          <w:szCs w:val="32"/>
        </w:rPr>
      </w:pPr>
    </w:p>
    <w:p w14:paraId="7DA03979" w14:textId="77777777" w:rsidR="00EE049B" w:rsidRDefault="00EE049B" w:rsidP="00274BB4">
      <w:pPr>
        <w:jc w:val="center"/>
        <w:rPr>
          <w:rFonts w:ascii="Calibri" w:hAnsi="Calibri" w:cs="Calibri"/>
          <w:b/>
          <w:bCs/>
          <w:sz w:val="32"/>
          <w:szCs w:val="32"/>
        </w:rPr>
      </w:pPr>
    </w:p>
    <w:p w14:paraId="0980D193" w14:textId="77777777" w:rsidR="00EE049B" w:rsidRDefault="00EE049B" w:rsidP="00274BB4">
      <w:pPr>
        <w:jc w:val="center"/>
        <w:rPr>
          <w:rFonts w:ascii="Calibri" w:hAnsi="Calibri" w:cs="Calibri"/>
          <w:b/>
          <w:bCs/>
          <w:sz w:val="32"/>
          <w:szCs w:val="32"/>
        </w:rPr>
      </w:pPr>
    </w:p>
    <w:p w14:paraId="1CF05EE3" w14:textId="77777777" w:rsidR="00EE049B" w:rsidRDefault="00EE049B" w:rsidP="00274BB4">
      <w:pPr>
        <w:jc w:val="center"/>
        <w:rPr>
          <w:rFonts w:ascii="Calibri" w:hAnsi="Calibri" w:cs="Calibri"/>
          <w:b/>
          <w:bCs/>
          <w:sz w:val="32"/>
          <w:szCs w:val="32"/>
        </w:rPr>
      </w:pPr>
    </w:p>
    <w:p w14:paraId="585AB97A" w14:textId="77777777" w:rsidR="00EE049B" w:rsidRDefault="00EE049B" w:rsidP="00691EC0">
      <w:pPr>
        <w:rPr>
          <w:rFonts w:ascii="Calibri" w:hAnsi="Calibri" w:cs="Calibri"/>
          <w:b/>
          <w:bCs/>
          <w:sz w:val="32"/>
          <w:szCs w:val="32"/>
        </w:rPr>
      </w:pPr>
    </w:p>
    <w:p w14:paraId="5869BEB2" w14:textId="77777777" w:rsidR="00A604D3" w:rsidRDefault="00A604D3" w:rsidP="00EE049B">
      <w:pPr>
        <w:spacing w:after="0" w:line="360" w:lineRule="auto"/>
        <w:jc w:val="both"/>
        <w:rPr>
          <w:rFonts w:ascii="Calibri" w:hAnsi="Calibri" w:cs="Calibri"/>
          <w:b/>
          <w:bCs/>
          <w:sz w:val="28"/>
          <w:szCs w:val="28"/>
        </w:rPr>
      </w:pPr>
    </w:p>
    <w:p w14:paraId="14B1C248" w14:textId="77777777" w:rsidR="00A604D3" w:rsidRDefault="00A604D3" w:rsidP="00EE049B">
      <w:pPr>
        <w:spacing w:after="0" w:line="360" w:lineRule="auto"/>
        <w:jc w:val="both"/>
        <w:rPr>
          <w:rFonts w:ascii="Calibri" w:hAnsi="Calibri" w:cs="Calibri"/>
          <w:b/>
          <w:bCs/>
          <w:sz w:val="28"/>
          <w:szCs w:val="28"/>
        </w:rPr>
      </w:pPr>
    </w:p>
    <w:p w14:paraId="27B96287" w14:textId="77777777" w:rsidR="00A604D3" w:rsidRDefault="00A604D3" w:rsidP="00EE049B">
      <w:pPr>
        <w:spacing w:after="0" w:line="360" w:lineRule="auto"/>
        <w:jc w:val="both"/>
        <w:rPr>
          <w:rFonts w:ascii="Calibri" w:hAnsi="Calibri" w:cs="Calibri"/>
          <w:b/>
          <w:bCs/>
          <w:sz w:val="28"/>
          <w:szCs w:val="28"/>
        </w:rPr>
      </w:pPr>
    </w:p>
    <w:p w14:paraId="64CF6BB7" w14:textId="0276EEF2" w:rsidR="00EE049B" w:rsidRPr="00EE049B" w:rsidRDefault="00EE049B" w:rsidP="00EE049B">
      <w:pPr>
        <w:spacing w:after="0" w:line="360" w:lineRule="auto"/>
        <w:jc w:val="both"/>
        <w:rPr>
          <w:rFonts w:ascii="Calibri" w:hAnsi="Calibri" w:cs="Calibri"/>
          <w:b/>
          <w:bCs/>
          <w:sz w:val="28"/>
          <w:szCs w:val="28"/>
        </w:rPr>
      </w:pPr>
      <w:r w:rsidRPr="00EE049B">
        <w:rPr>
          <w:rFonts w:ascii="Calibri" w:hAnsi="Calibri" w:cs="Calibri"/>
          <w:b/>
          <w:bCs/>
          <w:sz w:val="28"/>
          <w:szCs w:val="28"/>
        </w:rPr>
        <w:lastRenderedPageBreak/>
        <w:t>Introduction</w:t>
      </w:r>
    </w:p>
    <w:p w14:paraId="046442FF" w14:textId="5BCE8939"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This assignment, constituting a comprehensive exploration within the Banking and Financial Economics module, is designed to critically analyse and evaluate aspects of financial management, market dynamics, and their broader economic implications. The core objectives are to dissect the interrelations between real and financial markets, delve into the intricacies of capital and derivatives markets, and assess the impact of financial instruments on the economy. This endeavour requires a nuanced understanding of theoretical frameworks, coupled with the application of empirical analysis to real-world scenarios.</w:t>
      </w:r>
    </w:p>
    <w:p w14:paraId="3F1D30F6" w14:textId="77777777" w:rsidR="00EE049B" w:rsidRPr="00EE049B" w:rsidRDefault="00EE049B" w:rsidP="00EE049B">
      <w:pPr>
        <w:spacing w:after="0" w:line="360" w:lineRule="auto"/>
        <w:jc w:val="both"/>
        <w:rPr>
          <w:rFonts w:ascii="Calibri" w:hAnsi="Calibri" w:cs="Calibri"/>
          <w:sz w:val="24"/>
          <w:szCs w:val="24"/>
        </w:rPr>
      </w:pPr>
    </w:p>
    <w:p w14:paraId="5DEC167F" w14:textId="77777777"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Snapchat, officially known as Snap Inc., presents a fascinating case study for the initial public offering (IPO) segment of this assignment. Since its IPO in March 2017, Snapchat has evolved from a messaging app popular among teens into a dynamic platform encompassing multimedia, augmented reality, and digital content. Its journey to going public offers valuable insights into the strategic considerations and financial mechanisms underlying IPOs in the tech sector. The examination of Snapchat's S-1 filing, alongside a detailed review of its post-IPO share price performance, will illuminate the risks, valuation, and market reception associated with high-profile technology IPOs (Snap Inc., 2017).</w:t>
      </w:r>
    </w:p>
    <w:p w14:paraId="4527EAC4" w14:textId="77777777" w:rsidR="00EE049B" w:rsidRPr="00EE049B" w:rsidRDefault="00EE049B" w:rsidP="00EE049B">
      <w:pPr>
        <w:spacing w:after="0" w:line="360" w:lineRule="auto"/>
        <w:jc w:val="both"/>
        <w:rPr>
          <w:rFonts w:ascii="Calibri" w:hAnsi="Calibri" w:cs="Calibri"/>
          <w:sz w:val="24"/>
          <w:szCs w:val="24"/>
        </w:rPr>
      </w:pPr>
    </w:p>
    <w:p w14:paraId="276638DF" w14:textId="2B61E51D"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Netflix, a behemoth in the streaming industry, is selected for the analysis of exchange-traded options and the impact of debt instruments on consumer behaviour. With its extensive history in the public markets and a rich dataset of its options and debt instruments, Netflix provides an exemplary framework for understanding derivatives' roles in financial markets and the interplay between corporate debt levels and consumer spending patterns. The exploration of Netflix’s financial instruments and their market implications will shed light on the strategic financial management decisions that drive corporate growth and influence market behaviour (Netflix, Inc., 2023).</w:t>
      </w:r>
    </w:p>
    <w:p w14:paraId="17A08A6C" w14:textId="77777777" w:rsidR="00EE049B" w:rsidRPr="00EE049B" w:rsidRDefault="00EE049B" w:rsidP="00EE049B">
      <w:pPr>
        <w:spacing w:after="0" w:line="360" w:lineRule="auto"/>
        <w:jc w:val="both"/>
        <w:rPr>
          <w:rFonts w:ascii="Calibri" w:hAnsi="Calibri" w:cs="Calibri"/>
          <w:sz w:val="24"/>
          <w:szCs w:val="24"/>
        </w:rPr>
      </w:pPr>
    </w:p>
    <w:p w14:paraId="78C74604" w14:textId="04EB08AF" w:rsid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This assignment aims not only to articulate the theoretical underpinnings of financial economics but also to apply these principles to the practical contexts of Snapchat and Netflix, thereby offering a bridge between academic knowledge and industry application.</w:t>
      </w:r>
    </w:p>
    <w:p w14:paraId="6A719EF6" w14:textId="77777777" w:rsidR="00EE049B" w:rsidRDefault="00EE049B" w:rsidP="00EE049B">
      <w:pPr>
        <w:spacing w:after="0" w:line="360" w:lineRule="auto"/>
        <w:jc w:val="both"/>
        <w:rPr>
          <w:rFonts w:ascii="Calibri" w:hAnsi="Calibri" w:cs="Calibri"/>
          <w:sz w:val="24"/>
          <w:szCs w:val="24"/>
        </w:rPr>
      </w:pPr>
    </w:p>
    <w:p w14:paraId="7BCBCB5A" w14:textId="77777777" w:rsidR="00EE049B" w:rsidRPr="00EE049B" w:rsidRDefault="00EE049B" w:rsidP="00EE049B">
      <w:pPr>
        <w:spacing w:after="0" w:line="360" w:lineRule="auto"/>
        <w:jc w:val="both"/>
        <w:rPr>
          <w:rFonts w:ascii="Calibri" w:hAnsi="Calibri" w:cs="Calibri"/>
          <w:sz w:val="24"/>
          <w:szCs w:val="24"/>
        </w:rPr>
      </w:pPr>
    </w:p>
    <w:p w14:paraId="54452964" w14:textId="77777777" w:rsidR="00EE049B" w:rsidRPr="00EE049B" w:rsidRDefault="00EE049B" w:rsidP="00EE049B">
      <w:pPr>
        <w:spacing w:after="0" w:line="360" w:lineRule="auto"/>
        <w:jc w:val="both"/>
        <w:rPr>
          <w:rFonts w:ascii="Calibri" w:hAnsi="Calibri" w:cs="Calibri"/>
          <w:b/>
          <w:bCs/>
          <w:sz w:val="28"/>
          <w:szCs w:val="28"/>
        </w:rPr>
      </w:pPr>
      <w:r w:rsidRPr="00EE049B">
        <w:rPr>
          <w:rFonts w:ascii="Calibri" w:hAnsi="Calibri" w:cs="Calibri"/>
          <w:b/>
          <w:bCs/>
          <w:sz w:val="28"/>
          <w:szCs w:val="28"/>
        </w:rPr>
        <w:t>Section 1: IPO Analysis of Snapchat</w:t>
      </w:r>
    </w:p>
    <w:p w14:paraId="7C51B82B" w14:textId="77777777" w:rsidR="00EE049B" w:rsidRPr="00EE049B" w:rsidRDefault="00EE049B" w:rsidP="00EE049B">
      <w:pPr>
        <w:spacing w:after="0" w:line="360" w:lineRule="auto"/>
        <w:jc w:val="both"/>
        <w:rPr>
          <w:rFonts w:ascii="Calibri" w:hAnsi="Calibri" w:cs="Calibri"/>
          <w:b/>
          <w:bCs/>
          <w:sz w:val="24"/>
          <w:szCs w:val="24"/>
        </w:rPr>
      </w:pPr>
      <w:r w:rsidRPr="00EE049B">
        <w:rPr>
          <w:rFonts w:ascii="Calibri" w:hAnsi="Calibri" w:cs="Calibri"/>
          <w:b/>
          <w:bCs/>
          <w:sz w:val="24"/>
          <w:szCs w:val="24"/>
        </w:rPr>
        <w:t>1.1 Snapchat Company Overview</w:t>
      </w:r>
    </w:p>
    <w:p w14:paraId="66133777" w14:textId="77777777"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Snap Inc., the parent company of Snapchat, was launched in 2011 by Evan Spiegel, Bobby Murphy, and Reggie Brown while they were students at Stanford University. The app's primary feature allows users to send pictures and messages that are only available for a short time before they become inaccessible, promoting a more natural flow of interaction. Over the years, Snapchat has evolved to include a variety of features such as Stories, Discover, and augmented reality (AR) filters, setting it apart from its competitors. The platform primarily targets a younger demographic, with a significant portion of its user base between the ages of 13 and 34. Snapchat's Unique Selling Proposition (USP) is its focus on privacy and ephemeral content, which appeals to users seeking more authentic and less curated social media experiences.</w:t>
      </w:r>
    </w:p>
    <w:p w14:paraId="0A43B52A" w14:textId="77777777" w:rsidR="00EE049B" w:rsidRPr="00EE049B" w:rsidRDefault="00EE049B" w:rsidP="00EE049B">
      <w:pPr>
        <w:spacing w:after="0" w:line="360" w:lineRule="auto"/>
        <w:jc w:val="both"/>
        <w:rPr>
          <w:rFonts w:ascii="Calibri" w:hAnsi="Calibri" w:cs="Calibri"/>
          <w:b/>
          <w:bCs/>
          <w:sz w:val="24"/>
          <w:szCs w:val="24"/>
        </w:rPr>
      </w:pPr>
    </w:p>
    <w:p w14:paraId="6289B312" w14:textId="77777777" w:rsidR="00EE049B" w:rsidRPr="00EE049B" w:rsidRDefault="00EE049B" w:rsidP="00EE049B">
      <w:pPr>
        <w:spacing w:after="0" w:line="360" w:lineRule="auto"/>
        <w:jc w:val="both"/>
        <w:rPr>
          <w:rFonts w:ascii="Calibri" w:hAnsi="Calibri" w:cs="Calibri"/>
          <w:b/>
          <w:bCs/>
          <w:sz w:val="24"/>
          <w:szCs w:val="24"/>
        </w:rPr>
      </w:pPr>
      <w:r w:rsidRPr="00EE049B">
        <w:rPr>
          <w:rFonts w:ascii="Calibri" w:hAnsi="Calibri" w:cs="Calibri"/>
          <w:b/>
          <w:bCs/>
          <w:sz w:val="24"/>
          <w:szCs w:val="24"/>
        </w:rPr>
        <w:t>1.2 Reasons for Snapchat Going Public</w:t>
      </w:r>
    </w:p>
    <w:p w14:paraId="57A796D3" w14:textId="77777777"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The decision for Snapchat to go public in March 2017 was driven by several financial and strategic motivations. Financially, the IPO offered Snap Inc. an opportunity to raise capital to fund further development, innovation, and expansion of its platform. This was crucial for maintaining its competitive edge in the fast-paced tech industry. Strategically, going public increased Snap Inc.'s visibility and credibility in the market, which is beneficial for attracting top talent and potential partnerships. Additionally, the IPO allowed the company's founders and early investors to realize some of their investments' value, providing a liquidity event for stakeholders.</w:t>
      </w:r>
    </w:p>
    <w:p w14:paraId="5351FBF6" w14:textId="77777777" w:rsidR="00EE049B" w:rsidRPr="00EE049B" w:rsidRDefault="00EE049B" w:rsidP="00EE049B">
      <w:pPr>
        <w:spacing w:after="0" w:line="360" w:lineRule="auto"/>
        <w:jc w:val="both"/>
        <w:rPr>
          <w:rFonts w:ascii="Calibri" w:hAnsi="Calibri" w:cs="Calibri"/>
          <w:sz w:val="24"/>
          <w:szCs w:val="24"/>
        </w:rPr>
      </w:pPr>
    </w:p>
    <w:p w14:paraId="0B3BE802" w14:textId="77777777" w:rsidR="00EE049B" w:rsidRPr="00EE049B" w:rsidRDefault="00EE049B" w:rsidP="00EE049B">
      <w:pPr>
        <w:spacing w:after="0" w:line="360" w:lineRule="auto"/>
        <w:jc w:val="both"/>
        <w:rPr>
          <w:rFonts w:ascii="Calibri" w:hAnsi="Calibri" w:cs="Calibri"/>
          <w:b/>
          <w:bCs/>
          <w:sz w:val="24"/>
          <w:szCs w:val="24"/>
        </w:rPr>
      </w:pPr>
      <w:r w:rsidRPr="00EE049B">
        <w:rPr>
          <w:rFonts w:ascii="Calibri" w:hAnsi="Calibri" w:cs="Calibri"/>
          <w:b/>
          <w:bCs/>
          <w:sz w:val="24"/>
          <w:szCs w:val="24"/>
        </w:rPr>
        <w:t>1.3 Analysis of Snapchat’s S-1 Filing</w:t>
      </w:r>
    </w:p>
    <w:p w14:paraId="14404DD3" w14:textId="77777777"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The S-1 filing by Snap Inc. provided a comprehensive overview of the company's financial health, business model, and future growth strategies. However, it also highlighted several risks inherent to the company's operations and market environment.</w:t>
      </w:r>
    </w:p>
    <w:p w14:paraId="01F65ADE" w14:textId="77777777" w:rsidR="00EE049B" w:rsidRPr="00EE049B" w:rsidRDefault="00EE049B" w:rsidP="00EE049B">
      <w:pPr>
        <w:spacing w:after="0" w:line="360" w:lineRule="auto"/>
        <w:jc w:val="both"/>
        <w:rPr>
          <w:rFonts w:ascii="Calibri" w:hAnsi="Calibri" w:cs="Calibri"/>
          <w:b/>
          <w:bCs/>
          <w:i/>
          <w:iCs/>
          <w:sz w:val="24"/>
          <w:szCs w:val="24"/>
        </w:rPr>
      </w:pPr>
    </w:p>
    <w:p w14:paraId="5E0EC3D3" w14:textId="0B8DB683" w:rsidR="00EE049B" w:rsidRPr="00EE049B" w:rsidRDefault="00EE049B" w:rsidP="00EE049B">
      <w:pPr>
        <w:spacing w:after="0" w:line="360" w:lineRule="auto"/>
        <w:jc w:val="both"/>
        <w:rPr>
          <w:rFonts w:ascii="Calibri" w:hAnsi="Calibri" w:cs="Calibri"/>
          <w:b/>
          <w:bCs/>
          <w:i/>
          <w:iCs/>
          <w:sz w:val="24"/>
          <w:szCs w:val="24"/>
        </w:rPr>
      </w:pPr>
      <w:r w:rsidRPr="00EE049B">
        <w:rPr>
          <w:rFonts w:ascii="Calibri" w:hAnsi="Calibri" w:cs="Calibri"/>
          <w:b/>
          <w:bCs/>
          <w:i/>
          <w:iCs/>
          <w:sz w:val="24"/>
          <w:szCs w:val="24"/>
        </w:rPr>
        <w:t>Key Risks from the S-1 Filing:</w:t>
      </w:r>
    </w:p>
    <w:p w14:paraId="777B5CD3" w14:textId="77777777"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lastRenderedPageBreak/>
        <w:t>User Growth and Engagement: One of the significant risks mentioned was the potential stagnation or decline in user growth and engagement. Given the competitive landscape of social media platforms, any slowdown could adversely affect advertising revenues, which are crucial for the company's profitability.</w:t>
      </w:r>
    </w:p>
    <w:p w14:paraId="52A50F6D" w14:textId="77777777" w:rsidR="00EE049B" w:rsidRPr="00EE049B" w:rsidRDefault="00EE049B" w:rsidP="00EE049B">
      <w:pPr>
        <w:spacing w:after="0" w:line="360" w:lineRule="auto"/>
        <w:jc w:val="both"/>
        <w:rPr>
          <w:rFonts w:ascii="Calibri" w:hAnsi="Calibri" w:cs="Calibri"/>
          <w:sz w:val="24"/>
          <w:szCs w:val="24"/>
        </w:rPr>
      </w:pPr>
    </w:p>
    <w:p w14:paraId="214D9D58" w14:textId="77777777"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Monetization Strategies: Another risk outlined was the challenge of monetizing its user base effectively without compromising the user experience. Snapchat's ability to attract advertising spending hinges on its innovative ad products and the effectiveness of its targeting capabilities.</w:t>
      </w:r>
    </w:p>
    <w:p w14:paraId="3999FD27" w14:textId="77777777" w:rsidR="00EE049B" w:rsidRPr="00EE049B" w:rsidRDefault="00EE049B" w:rsidP="00EE049B">
      <w:pPr>
        <w:spacing w:after="0" w:line="360" w:lineRule="auto"/>
        <w:jc w:val="both"/>
        <w:rPr>
          <w:rFonts w:ascii="Calibri" w:hAnsi="Calibri" w:cs="Calibri"/>
          <w:sz w:val="24"/>
          <w:szCs w:val="24"/>
        </w:rPr>
      </w:pPr>
    </w:p>
    <w:p w14:paraId="6391A63F" w14:textId="77777777"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Dependence on Third-Party Platforms: Snapchat's reliance on Google Cloud for hosting its services and the iOS and Android platforms for distribution was also cited as a risk. Changes in the policies or fee structures of these platforms could have a significant impact on Snap Inc.'s operational costs and market reach.</w:t>
      </w:r>
    </w:p>
    <w:p w14:paraId="65A399FF" w14:textId="77777777" w:rsidR="00EE049B" w:rsidRPr="00EE049B" w:rsidRDefault="00EE049B" w:rsidP="00EE049B">
      <w:pPr>
        <w:spacing w:after="0" w:line="360" w:lineRule="auto"/>
        <w:jc w:val="both"/>
        <w:rPr>
          <w:rFonts w:ascii="Calibri" w:hAnsi="Calibri" w:cs="Calibri"/>
          <w:sz w:val="24"/>
          <w:szCs w:val="24"/>
        </w:rPr>
      </w:pPr>
    </w:p>
    <w:p w14:paraId="527BD10E" w14:textId="25B428CB" w:rsidR="00EE049B" w:rsidRPr="00EE049B" w:rsidRDefault="00EE049B" w:rsidP="00EE049B">
      <w:pPr>
        <w:spacing w:after="0" w:line="360" w:lineRule="auto"/>
        <w:jc w:val="both"/>
        <w:rPr>
          <w:rFonts w:ascii="Calibri" w:hAnsi="Calibri" w:cs="Calibri"/>
          <w:b/>
          <w:bCs/>
          <w:i/>
          <w:iCs/>
          <w:sz w:val="24"/>
          <w:szCs w:val="24"/>
        </w:rPr>
      </w:pPr>
      <w:r w:rsidRPr="00EE049B">
        <w:rPr>
          <w:rFonts w:ascii="Calibri" w:hAnsi="Calibri" w:cs="Calibri"/>
          <w:b/>
          <w:bCs/>
          <w:i/>
          <w:iCs/>
          <w:sz w:val="24"/>
          <w:szCs w:val="24"/>
        </w:rPr>
        <w:t>Proposed Valuation and Identified Risks:</w:t>
      </w:r>
    </w:p>
    <w:p w14:paraId="730FDAAD" w14:textId="77777777"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The proposed valuation at the time of the IPO was ambitious, reflecting the market's optimism about Snapchat's potential for growth and innovation. However, the risks identified in the S-1 filing, especially those related to user growth, monetization, and platform dependence, posed substantial challenges. The valuation needed to account for these risks, with investors requiring a clear understanding of how Snap Inc. planned to address them to sustain growth and achieve profitability.</w:t>
      </w:r>
    </w:p>
    <w:p w14:paraId="424521D3" w14:textId="77777777" w:rsidR="00EE049B" w:rsidRPr="00EE049B" w:rsidRDefault="00EE049B" w:rsidP="00EE049B">
      <w:pPr>
        <w:spacing w:after="0" w:line="360" w:lineRule="auto"/>
        <w:jc w:val="both"/>
        <w:rPr>
          <w:rFonts w:ascii="Calibri" w:hAnsi="Calibri" w:cs="Calibri"/>
          <w:sz w:val="24"/>
          <w:szCs w:val="24"/>
        </w:rPr>
      </w:pPr>
    </w:p>
    <w:p w14:paraId="39D4EA9E" w14:textId="712F629B" w:rsid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In conclusion, Snapchat's IPO was a landmark event that reflected both the potential and the challenges facing the company. While the capital raised provided a vital boost for future initiatives, the risks highlighted in the S-1 filing underscored the importance of strategic planning and innovation in navigating the competitive social media landscape.</w:t>
      </w:r>
    </w:p>
    <w:p w14:paraId="1DCC1AAD" w14:textId="77777777" w:rsidR="00EE049B" w:rsidRPr="00274BB4" w:rsidRDefault="00EE049B" w:rsidP="00274BB4">
      <w:pPr>
        <w:jc w:val="center"/>
        <w:rPr>
          <w:rFonts w:ascii="Calibri" w:hAnsi="Calibri" w:cs="Calibri"/>
          <w:b/>
          <w:bCs/>
          <w:sz w:val="32"/>
          <w:szCs w:val="32"/>
        </w:rPr>
      </w:pPr>
    </w:p>
    <w:sectPr w:rsidR="00EE049B" w:rsidRPr="00274BB4" w:rsidSect="00953E7B">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1A149" w14:textId="77777777" w:rsidR="00953E7B" w:rsidRDefault="00953E7B" w:rsidP="00274BB4">
      <w:pPr>
        <w:spacing w:after="0" w:line="240" w:lineRule="auto"/>
      </w:pPr>
      <w:r>
        <w:separator/>
      </w:r>
    </w:p>
  </w:endnote>
  <w:endnote w:type="continuationSeparator" w:id="0">
    <w:p w14:paraId="4F513867" w14:textId="77777777" w:rsidR="00953E7B" w:rsidRDefault="00953E7B" w:rsidP="00274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888389"/>
      <w:docPartObj>
        <w:docPartGallery w:val="Page Numbers (Bottom of Page)"/>
        <w:docPartUnique/>
      </w:docPartObj>
    </w:sdtPr>
    <w:sdtEndPr>
      <w:rPr>
        <w:color w:val="7F7F7F" w:themeColor="background1" w:themeShade="7F"/>
        <w:spacing w:val="60"/>
      </w:rPr>
    </w:sdtEndPr>
    <w:sdtContent>
      <w:p w14:paraId="1E25077B" w14:textId="529FA20B" w:rsidR="00274BB4" w:rsidRDefault="00274BB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A0EA220" w14:textId="77777777" w:rsidR="00274BB4" w:rsidRDefault="00274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AD17A" w14:textId="77777777" w:rsidR="00953E7B" w:rsidRDefault="00953E7B" w:rsidP="00274BB4">
      <w:pPr>
        <w:spacing w:after="0" w:line="240" w:lineRule="auto"/>
      </w:pPr>
      <w:r>
        <w:separator/>
      </w:r>
    </w:p>
  </w:footnote>
  <w:footnote w:type="continuationSeparator" w:id="0">
    <w:p w14:paraId="7D70329E" w14:textId="77777777" w:rsidR="00953E7B" w:rsidRDefault="00953E7B" w:rsidP="00274B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0640EC"/>
    <w:multiLevelType w:val="hybridMultilevel"/>
    <w:tmpl w:val="C24EA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4051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BB4"/>
    <w:rsid w:val="00184F90"/>
    <w:rsid w:val="00274BB4"/>
    <w:rsid w:val="002E5EA5"/>
    <w:rsid w:val="00350A65"/>
    <w:rsid w:val="00691EC0"/>
    <w:rsid w:val="006D3294"/>
    <w:rsid w:val="008241CB"/>
    <w:rsid w:val="00936713"/>
    <w:rsid w:val="00953E7B"/>
    <w:rsid w:val="009B5E1E"/>
    <w:rsid w:val="00A604D3"/>
    <w:rsid w:val="00B84EE0"/>
    <w:rsid w:val="00EE049B"/>
    <w:rsid w:val="00FD5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2ADC4"/>
  <w15:chartTrackingRefBased/>
  <w15:docId w15:val="{F78953F4-D7B3-4D32-A62F-218E00F4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B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4B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B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B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B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B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B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B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B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B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B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B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B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B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B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B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B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BB4"/>
    <w:rPr>
      <w:rFonts w:eastAsiaTheme="majorEastAsia" w:cstheme="majorBidi"/>
      <w:color w:val="272727" w:themeColor="text1" w:themeTint="D8"/>
    </w:rPr>
  </w:style>
  <w:style w:type="paragraph" w:styleId="Title">
    <w:name w:val="Title"/>
    <w:basedOn w:val="Normal"/>
    <w:next w:val="Normal"/>
    <w:link w:val="TitleChar"/>
    <w:uiPriority w:val="10"/>
    <w:qFormat/>
    <w:rsid w:val="00274B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B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B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B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BB4"/>
    <w:pPr>
      <w:spacing w:before="160"/>
      <w:jc w:val="center"/>
    </w:pPr>
    <w:rPr>
      <w:i/>
      <w:iCs/>
      <w:color w:val="404040" w:themeColor="text1" w:themeTint="BF"/>
    </w:rPr>
  </w:style>
  <w:style w:type="character" w:customStyle="1" w:styleId="QuoteChar">
    <w:name w:val="Quote Char"/>
    <w:basedOn w:val="DefaultParagraphFont"/>
    <w:link w:val="Quote"/>
    <w:uiPriority w:val="29"/>
    <w:rsid w:val="00274BB4"/>
    <w:rPr>
      <w:i/>
      <w:iCs/>
      <w:color w:val="404040" w:themeColor="text1" w:themeTint="BF"/>
    </w:rPr>
  </w:style>
  <w:style w:type="paragraph" w:styleId="ListParagraph">
    <w:name w:val="List Paragraph"/>
    <w:basedOn w:val="Normal"/>
    <w:uiPriority w:val="34"/>
    <w:qFormat/>
    <w:rsid w:val="00274BB4"/>
    <w:pPr>
      <w:ind w:left="720"/>
      <w:contextualSpacing/>
    </w:pPr>
  </w:style>
  <w:style w:type="character" w:styleId="IntenseEmphasis">
    <w:name w:val="Intense Emphasis"/>
    <w:basedOn w:val="DefaultParagraphFont"/>
    <w:uiPriority w:val="21"/>
    <w:qFormat/>
    <w:rsid w:val="00274BB4"/>
    <w:rPr>
      <w:i/>
      <w:iCs/>
      <w:color w:val="0F4761" w:themeColor="accent1" w:themeShade="BF"/>
    </w:rPr>
  </w:style>
  <w:style w:type="paragraph" w:styleId="IntenseQuote">
    <w:name w:val="Intense Quote"/>
    <w:basedOn w:val="Normal"/>
    <w:next w:val="Normal"/>
    <w:link w:val="IntenseQuoteChar"/>
    <w:uiPriority w:val="30"/>
    <w:qFormat/>
    <w:rsid w:val="00274B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BB4"/>
    <w:rPr>
      <w:i/>
      <w:iCs/>
      <w:color w:val="0F4761" w:themeColor="accent1" w:themeShade="BF"/>
    </w:rPr>
  </w:style>
  <w:style w:type="character" w:styleId="IntenseReference">
    <w:name w:val="Intense Reference"/>
    <w:basedOn w:val="DefaultParagraphFont"/>
    <w:uiPriority w:val="32"/>
    <w:qFormat/>
    <w:rsid w:val="00274BB4"/>
    <w:rPr>
      <w:b/>
      <w:bCs/>
      <w:smallCaps/>
      <w:color w:val="0F4761" w:themeColor="accent1" w:themeShade="BF"/>
      <w:spacing w:val="5"/>
    </w:rPr>
  </w:style>
  <w:style w:type="paragraph" w:styleId="Header">
    <w:name w:val="header"/>
    <w:basedOn w:val="Normal"/>
    <w:link w:val="HeaderChar"/>
    <w:uiPriority w:val="99"/>
    <w:unhideWhenUsed/>
    <w:rsid w:val="00274B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BB4"/>
  </w:style>
  <w:style w:type="paragraph" w:styleId="Footer">
    <w:name w:val="footer"/>
    <w:basedOn w:val="Normal"/>
    <w:link w:val="FooterChar"/>
    <w:uiPriority w:val="99"/>
    <w:unhideWhenUsed/>
    <w:rsid w:val="00274B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BB4"/>
  </w:style>
  <w:style w:type="paragraph" w:styleId="TOC1">
    <w:name w:val="toc 1"/>
    <w:basedOn w:val="Normal"/>
    <w:next w:val="Normal"/>
    <w:uiPriority w:val="39"/>
    <w:unhideWhenUsed/>
    <w:qFormat/>
    <w:rsid w:val="00EE049B"/>
    <w:pPr>
      <w:spacing w:after="100" w:line="276" w:lineRule="auto"/>
    </w:pPr>
    <w:rPr>
      <w:rFonts w:ascii="Arial" w:eastAsia="Arial" w:hAnsi="Arial" w:cs="Arial"/>
      <w:kern w:val="0"/>
      <w14:ligatures w14:val="none"/>
    </w:rPr>
  </w:style>
  <w:style w:type="paragraph" w:customStyle="1" w:styleId="TOCHeading1">
    <w:name w:val="TOC Heading1"/>
    <w:basedOn w:val="Heading1"/>
    <w:next w:val="Normal"/>
    <w:uiPriority w:val="39"/>
    <w:unhideWhenUsed/>
    <w:qFormat/>
    <w:rsid w:val="00EE049B"/>
    <w:pPr>
      <w:spacing w:before="240" w:after="0"/>
      <w:outlineLvl w:val="9"/>
    </w:pPr>
    <w:rPr>
      <w:kern w:val="0"/>
      <w:sz w:val="32"/>
      <w:szCs w:val="32"/>
      <w:lang w:val="en-US"/>
      <w14:ligatures w14:val="none"/>
    </w:rPr>
  </w:style>
  <w:style w:type="character" w:customStyle="1" w:styleId="mord">
    <w:name w:val="mord"/>
    <w:basedOn w:val="DefaultParagraphFont"/>
    <w:rsid w:val="00EE049B"/>
  </w:style>
  <w:style w:type="character" w:customStyle="1" w:styleId="mrel">
    <w:name w:val="mrel"/>
    <w:basedOn w:val="DefaultParagraphFont"/>
    <w:rsid w:val="00EE049B"/>
  </w:style>
  <w:style w:type="character" w:customStyle="1" w:styleId="delimsizing">
    <w:name w:val="delimsizing"/>
    <w:basedOn w:val="DefaultParagraphFont"/>
    <w:rsid w:val="00EE049B"/>
  </w:style>
  <w:style w:type="character" w:customStyle="1" w:styleId="vlist-s">
    <w:name w:val="vlist-s"/>
    <w:basedOn w:val="DefaultParagraphFont"/>
    <w:rsid w:val="00EE049B"/>
  </w:style>
  <w:style w:type="character" w:customStyle="1" w:styleId="mbin">
    <w:name w:val="mbin"/>
    <w:basedOn w:val="DefaultParagraphFont"/>
    <w:rsid w:val="00EE0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746468">
      <w:bodyDiv w:val="1"/>
      <w:marLeft w:val="0"/>
      <w:marRight w:val="0"/>
      <w:marTop w:val="0"/>
      <w:marBottom w:val="0"/>
      <w:divBdr>
        <w:top w:val="none" w:sz="0" w:space="0" w:color="auto"/>
        <w:left w:val="none" w:sz="0" w:space="0" w:color="auto"/>
        <w:bottom w:val="none" w:sz="0" w:space="0" w:color="auto"/>
        <w:right w:val="none" w:sz="0" w:space="0" w:color="auto"/>
      </w:divBdr>
    </w:div>
    <w:div w:id="1976450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951</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Sachin Khatik (2315380)</cp:lastModifiedBy>
  <cp:revision>8</cp:revision>
  <dcterms:created xsi:type="dcterms:W3CDTF">2024-03-29T09:40:00Z</dcterms:created>
  <dcterms:modified xsi:type="dcterms:W3CDTF">2024-03-29T09:43:00Z</dcterms:modified>
</cp:coreProperties>
</file>