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3ACA32" w14:textId="5A566A41" w:rsidR="000F1145" w:rsidRPr="00F54119" w:rsidRDefault="000F1145" w:rsidP="00883959">
      <w:pPr>
        <w:jc w:val="center"/>
        <w:rPr>
          <w:rFonts w:cs="Times New Roman"/>
          <w:b/>
          <w:sz w:val="32"/>
          <w:szCs w:val="32"/>
        </w:rPr>
      </w:pPr>
      <w:r w:rsidRPr="00F54119">
        <w:rPr>
          <w:rFonts w:cs="Times New Roman"/>
          <w:b/>
          <w:sz w:val="32"/>
          <w:szCs w:val="32"/>
        </w:rPr>
        <w:t>BA (Hons) Hospitality &amp; Hotel Management</w:t>
      </w:r>
    </w:p>
    <w:p w14:paraId="5B9751F1" w14:textId="403728AA" w:rsidR="000F1145" w:rsidRPr="00F54119" w:rsidRDefault="000F1145" w:rsidP="00883959">
      <w:pPr>
        <w:jc w:val="center"/>
        <w:rPr>
          <w:rFonts w:cs="Times New Roman"/>
          <w:b/>
          <w:sz w:val="32"/>
          <w:szCs w:val="32"/>
        </w:rPr>
      </w:pPr>
      <w:r w:rsidRPr="00F54119">
        <w:rPr>
          <w:rFonts w:cs="Times New Roman"/>
          <w:b/>
          <w:sz w:val="32"/>
          <w:szCs w:val="32"/>
        </w:rPr>
        <w:t>Contemporary Themes in the Hotel and Hospitality Sector</w:t>
      </w:r>
    </w:p>
    <w:p w14:paraId="648B8EE2" w14:textId="72BE2F4F" w:rsidR="000F1145" w:rsidRPr="00F54119" w:rsidRDefault="000F1145" w:rsidP="00FD789A">
      <w:pPr>
        <w:jc w:val="center"/>
        <w:rPr>
          <w:rFonts w:cs="Times New Roman"/>
          <w:b/>
          <w:sz w:val="32"/>
          <w:szCs w:val="32"/>
        </w:rPr>
      </w:pPr>
      <w:r w:rsidRPr="00F54119">
        <w:rPr>
          <w:rFonts w:cs="Times New Roman"/>
          <w:b/>
          <w:sz w:val="32"/>
          <w:szCs w:val="32"/>
        </w:rPr>
        <w:t>BMIH6001 Level 6</w:t>
      </w:r>
    </w:p>
    <w:p w14:paraId="313935D5" w14:textId="55FA1EF3" w:rsidR="000F1145" w:rsidRDefault="000F1145" w:rsidP="00922A49">
      <w:pPr>
        <w:jc w:val="center"/>
        <w:rPr>
          <w:rFonts w:cs="Times New Roman"/>
          <w:sz w:val="32"/>
          <w:szCs w:val="32"/>
        </w:rPr>
      </w:pPr>
      <w:r w:rsidRPr="00F54119">
        <w:rPr>
          <w:rFonts w:cs="Times New Roman"/>
          <w:b/>
          <w:sz w:val="32"/>
          <w:szCs w:val="32"/>
        </w:rPr>
        <w:t xml:space="preserve">Module Lead: </w:t>
      </w:r>
      <w:r w:rsidRPr="00F54119">
        <w:rPr>
          <w:rFonts w:cs="Times New Roman"/>
          <w:sz w:val="32"/>
          <w:szCs w:val="32"/>
        </w:rPr>
        <w:t xml:space="preserve">Dr Ernest </w:t>
      </w:r>
      <w:proofErr w:type="spellStart"/>
      <w:r w:rsidRPr="00F54119">
        <w:rPr>
          <w:rFonts w:cs="Times New Roman"/>
          <w:sz w:val="32"/>
          <w:szCs w:val="32"/>
        </w:rPr>
        <w:t>Balutie</w:t>
      </w:r>
      <w:proofErr w:type="spellEnd"/>
      <w:r w:rsidRPr="00F54119">
        <w:rPr>
          <w:rFonts w:cs="Times New Roman"/>
          <w:sz w:val="32"/>
          <w:szCs w:val="32"/>
        </w:rPr>
        <w:t xml:space="preserve"> </w:t>
      </w:r>
      <w:proofErr w:type="spellStart"/>
      <w:r w:rsidRPr="00F54119">
        <w:rPr>
          <w:rFonts w:cs="Times New Roman"/>
          <w:sz w:val="32"/>
          <w:szCs w:val="32"/>
        </w:rPr>
        <w:t>Wavei</w:t>
      </w:r>
      <w:proofErr w:type="spellEnd"/>
    </w:p>
    <w:p w14:paraId="7B194777" w14:textId="6C35E9BE" w:rsidR="009F0291" w:rsidRPr="00B7771E" w:rsidRDefault="00CC79AC" w:rsidP="00B7771E">
      <w:pPr>
        <w:jc w:val="center"/>
        <w:rPr>
          <w:rFonts w:cs="Times New Roman"/>
          <w:sz w:val="32"/>
          <w:szCs w:val="32"/>
        </w:rPr>
      </w:pPr>
      <w:r>
        <w:rPr>
          <w:rFonts w:cs="Times New Roman"/>
          <w:b/>
          <w:bCs/>
          <w:sz w:val="32"/>
          <w:szCs w:val="32"/>
        </w:rPr>
        <w:t xml:space="preserve">Tutor Name </w:t>
      </w:r>
      <w:r w:rsidR="000311EC">
        <w:rPr>
          <w:rFonts w:cs="Times New Roman"/>
          <w:b/>
          <w:bCs/>
          <w:sz w:val="32"/>
          <w:szCs w:val="32"/>
        </w:rPr>
        <w:t xml:space="preserve">: </w:t>
      </w:r>
      <w:r w:rsidR="000311EC">
        <w:rPr>
          <w:rFonts w:cs="Times New Roman"/>
          <w:sz w:val="32"/>
          <w:szCs w:val="32"/>
        </w:rPr>
        <w:t xml:space="preserve">Natalie </w:t>
      </w:r>
      <w:proofErr w:type="spellStart"/>
      <w:r w:rsidR="000311EC">
        <w:rPr>
          <w:rFonts w:cs="Times New Roman"/>
          <w:sz w:val="32"/>
          <w:szCs w:val="32"/>
        </w:rPr>
        <w:t>Brailsford</w:t>
      </w:r>
      <w:proofErr w:type="spellEnd"/>
    </w:p>
    <w:p w14:paraId="45614F38" w14:textId="3C7C116C" w:rsidR="000F1145" w:rsidRPr="00F54119" w:rsidRDefault="00302798" w:rsidP="00B7771E">
      <w:pPr>
        <w:jc w:val="center"/>
        <w:rPr>
          <w:rFonts w:cs="Times New Roman"/>
          <w:bCs/>
          <w:sz w:val="32"/>
          <w:szCs w:val="32"/>
        </w:rPr>
      </w:pPr>
      <w:r>
        <w:rPr>
          <w:rFonts w:cs="Times New Roman"/>
          <w:b/>
          <w:bCs/>
          <w:sz w:val="32"/>
          <w:szCs w:val="32"/>
        </w:rPr>
        <w:t>Topic:</w:t>
      </w:r>
      <w:r w:rsidR="00922A49" w:rsidRPr="00F54119">
        <w:rPr>
          <w:rFonts w:cs="Times New Roman"/>
          <w:b/>
          <w:bCs/>
          <w:sz w:val="32"/>
          <w:szCs w:val="32"/>
        </w:rPr>
        <w:t xml:space="preserve"> </w:t>
      </w:r>
      <w:r w:rsidR="00922A49" w:rsidRPr="00F54119">
        <w:rPr>
          <w:rFonts w:cs="Times New Roman"/>
          <w:bCs/>
          <w:sz w:val="32"/>
          <w:szCs w:val="32"/>
        </w:rPr>
        <w:t>Sustainability in terms of Food waste and its efficacy</w:t>
      </w:r>
    </w:p>
    <w:p w14:paraId="75C62B1A" w14:textId="37E351F2" w:rsidR="000F1145" w:rsidRPr="00F54119" w:rsidRDefault="000F1145" w:rsidP="00B7771E">
      <w:pPr>
        <w:jc w:val="center"/>
        <w:rPr>
          <w:rFonts w:cs="Times New Roman"/>
          <w:bCs/>
          <w:sz w:val="32"/>
          <w:szCs w:val="32"/>
        </w:rPr>
      </w:pPr>
      <w:r w:rsidRPr="00007052">
        <w:rPr>
          <w:rFonts w:cs="Times New Roman"/>
          <w:b/>
          <w:sz w:val="32"/>
          <w:szCs w:val="32"/>
        </w:rPr>
        <w:t xml:space="preserve">Student </w:t>
      </w:r>
      <w:proofErr w:type="spellStart"/>
      <w:r w:rsidRPr="00007052">
        <w:rPr>
          <w:rFonts w:cs="Times New Roman"/>
          <w:b/>
          <w:sz w:val="32"/>
          <w:szCs w:val="32"/>
        </w:rPr>
        <w:t>Name</w:t>
      </w:r>
      <w:r w:rsidRPr="00F54119">
        <w:rPr>
          <w:rFonts w:cs="Times New Roman"/>
          <w:bCs/>
          <w:sz w:val="32"/>
          <w:szCs w:val="32"/>
        </w:rPr>
        <w:t>:</w:t>
      </w:r>
      <w:r w:rsidR="00521547">
        <w:rPr>
          <w:rFonts w:cs="Times New Roman"/>
          <w:bCs/>
          <w:sz w:val="32"/>
          <w:szCs w:val="32"/>
        </w:rPr>
        <w:t>Saima</w:t>
      </w:r>
      <w:proofErr w:type="spellEnd"/>
      <w:r w:rsidR="00521547">
        <w:rPr>
          <w:rFonts w:cs="Times New Roman"/>
          <w:bCs/>
          <w:sz w:val="32"/>
          <w:szCs w:val="32"/>
        </w:rPr>
        <w:t xml:space="preserve"> </w:t>
      </w:r>
      <w:proofErr w:type="spellStart"/>
      <w:r w:rsidR="00521547">
        <w:rPr>
          <w:rFonts w:cs="Times New Roman"/>
          <w:bCs/>
          <w:sz w:val="32"/>
          <w:szCs w:val="32"/>
        </w:rPr>
        <w:t>Jabeen</w:t>
      </w:r>
      <w:proofErr w:type="spellEnd"/>
    </w:p>
    <w:p w14:paraId="5BCBF9BA" w14:textId="02FEB7A6" w:rsidR="000F1145" w:rsidRDefault="000F1145" w:rsidP="00922A49">
      <w:pPr>
        <w:jc w:val="center"/>
        <w:rPr>
          <w:rFonts w:cs="Times New Roman"/>
          <w:bCs/>
          <w:sz w:val="32"/>
          <w:szCs w:val="32"/>
        </w:rPr>
      </w:pPr>
      <w:r w:rsidRPr="00007052">
        <w:rPr>
          <w:rFonts w:cs="Times New Roman"/>
          <w:b/>
          <w:sz w:val="32"/>
          <w:szCs w:val="32"/>
        </w:rPr>
        <w:t xml:space="preserve">Student </w:t>
      </w:r>
      <w:r w:rsidR="00CC79AC" w:rsidRPr="00007052">
        <w:rPr>
          <w:rFonts w:cs="Times New Roman"/>
          <w:b/>
          <w:sz w:val="32"/>
          <w:szCs w:val="32"/>
        </w:rPr>
        <w:t>Id</w:t>
      </w:r>
      <w:r w:rsidR="00947A53">
        <w:rPr>
          <w:rFonts w:cs="Times New Roman"/>
          <w:bCs/>
          <w:sz w:val="32"/>
          <w:szCs w:val="32"/>
        </w:rPr>
        <w:t xml:space="preserve"> </w:t>
      </w:r>
      <w:r w:rsidRPr="00F54119">
        <w:rPr>
          <w:rFonts w:cs="Times New Roman"/>
          <w:bCs/>
          <w:sz w:val="32"/>
          <w:szCs w:val="32"/>
        </w:rPr>
        <w:t>:</w:t>
      </w:r>
      <w:r w:rsidR="00CC79AC">
        <w:rPr>
          <w:rFonts w:cs="Times New Roman"/>
          <w:bCs/>
          <w:sz w:val="32"/>
          <w:szCs w:val="32"/>
        </w:rPr>
        <w:t>2241265</w:t>
      </w:r>
    </w:p>
    <w:p w14:paraId="03A44567" w14:textId="327922F7" w:rsidR="006E381D" w:rsidRPr="00F54119" w:rsidRDefault="000B11D2" w:rsidP="00922A49">
      <w:pPr>
        <w:jc w:val="center"/>
        <w:rPr>
          <w:rFonts w:cs="Times New Roman"/>
          <w:bCs/>
          <w:sz w:val="32"/>
          <w:szCs w:val="32"/>
        </w:rPr>
      </w:pPr>
      <w:r>
        <w:rPr>
          <w:rFonts w:cs="Times New Roman"/>
          <w:bCs/>
          <w:sz w:val="32"/>
          <w:szCs w:val="32"/>
        </w:rPr>
        <w:t>12-02-2026</w:t>
      </w:r>
    </w:p>
    <w:p w14:paraId="51F076F8" w14:textId="14E05C38" w:rsidR="009F0291" w:rsidRPr="00F54119" w:rsidRDefault="009F0291">
      <w:pPr>
        <w:spacing w:line="278" w:lineRule="auto"/>
        <w:jc w:val="left"/>
        <w:rPr>
          <w:b/>
          <w:bCs/>
          <w:u w:val="single"/>
        </w:rPr>
      </w:pPr>
      <w:r w:rsidRPr="00F54119">
        <w:rPr>
          <w:b/>
          <w:bCs/>
          <w:u w:val="single"/>
        </w:rPr>
        <w:br w:type="page"/>
      </w:r>
    </w:p>
    <w:p w14:paraId="59A680DB" w14:textId="77777777" w:rsidR="000F1145" w:rsidRPr="00F54119" w:rsidRDefault="000F1145" w:rsidP="000F1145">
      <w:pPr>
        <w:pStyle w:val="Heading1"/>
      </w:pPr>
      <w:bookmarkStart w:id="0" w:name="_Toc221106185"/>
      <w:r w:rsidRPr="00F54119">
        <w:rPr>
          <w:rStyle w:val="Strong"/>
          <w:b/>
          <w:bCs w:val="0"/>
        </w:rPr>
        <w:t>Abstract</w:t>
      </w:r>
      <w:bookmarkEnd w:id="0"/>
    </w:p>
    <w:p w14:paraId="1A79DC9D" w14:textId="1E893EE5" w:rsidR="009F0291" w:rsidRPr="00D95159" w:rsidRDefault="00A61AF4" w:rsidP="00D95159">
      <w:r w:rsidRPr="00F54119">
        <w:t>The sustainability in the hospitality industry has become a major concern especially on the issue of food waste that is a major challenge in terms of environmental, financial as well as social issues. The study critically evaluates the effectiveness of food-waste management interventions in the hotel and hospitality sector in the UK based on secondary literature sources, academic reports and technological case studies. Food waste includes pre-consumer losses and post-consumer losses with buffet-style operations making an un-proportional contribution to the surplus. On an environmental level, wasted food emits greenhouse-gases into the environment and wastes important resources, including water, land, and energy. Inefficiency in terms of inventory operations, excessive production, and disposal expenses decrease the profitability and effectiveness of the operations. Moreover, prominent sustainability programs create an impact on guest satisfaction, brand loyalty and brand image, where poorly carried out activities can lead to a picture of greenwashing. The paper points out the usefulness of digital monitoring systems, menu engineering, portion control, as well as behavioural interventions, and provides limitations regarding adoption and standardisation. This paper shows with reference to the Triple Bottom Line paradigm that the long-term competitiveness and sustainable management of hospitality organization necessitates integrated interventions that balance the environmental accountability, financial performance and social worthiness.</w:t>
      </w:r>
    </w:p>
    <w:p w14:paraId="7DACFD26" w14:textId="1AC88A99" w:rsidR="004004B4" w:rsidRPr="00F54119" w:rsidRDefault="00DB5C20" w:rsidP="00DB5C20">
      <w:pPr>
        <w:pStyle w:val="Heading1"/>
        <w:rPr>
          <w:lang w:val="en-US"/>
        </w:rPr>
      </w:pPr>
      <w:bookmarkStart w:id="1" w:name="_Toc221106186"/>
      <w:r w:rsidRPr="00F54119">
        <w:rPr>
          <w:lang w:val="en-US"/>
        </w:rPr>
        <w:t>Introduction</w:t>
      </w:r>
      <w:bookmarkEnd w:id="1"/>
    </w:p>
    <w:p w14:paraId="37C24FF4" w14:textId="70F1D4F9" w:rsidR="00C82BAD" w:rsidRPr="00F54119" w:rsidRDefault="00DB5C20">
      <w:r w:rsidRPr="00F54119">
        <w:t>Sustainability has become a highly priority issue in the modern hospitality and hotel sector especially in terms of conducting food waste management</w:t>
      </w:r>
      <w:r w:rsidR="00E76B6C" w:rsidRPr="00F54119">
        <w:t xml:space="preserve"> (Liu et al., 2023)</w:t>
      </w:r>
      <w:r w:rsidRPr="00F54119">
        <w:t xml:space="preserve">. </w:t>
      </w:r>
      <w:r w:rsidR="00C82BAD" w:rsidRPr="00F54119">
        <w:t xml:space="preserve">Even though numerous organisations have imposed waste-reduction programmes, scholarly discourse provides issues of opposing perspectives of waste-reduction programme effectiveness, financial viability </w:t>
      </w:r>
      <w:r w:rsidR="00E76B6C" w:rsidRPr="00F54119">
        <w:t>(Ding, 2022)</w:t>
      </w:r>
      <w:r w:rsidRPr="00F54119">
        <w:t xml:space="preserve">. </w:t>
      </w:r>
      <w:r w:rsidR="00565D14" w:rsidRPr="00F54119">
        <w:t xml:space="preserve"> </w:t>
      </w:r>
      <w:r w:rsidR="00C82BAD" w:rsidRPr="00F54119">
        <w:t xml:space="preserve">Hence the research is aimed to assess effectively the efficacy of food-waste minimisation policies and systems within the hospitality sector the environment effect at performance level, and perception among the stakeholders. </w:t>
      </w:r>
    </w:p>
    <w:p w14:paraId="7D3EFA09" w14:textId="6D341420" w:rsidR="00C82BAD" w:rsidRPr="00F54119" w:rsidRDefault="00C82BAD">
      <w:r w:rsidRPr="00F54119">
        <w:t>Research Questions are as follows:</w:t>
      </w:r>
    </w:p>
    <w:p w14:paraId="6AAC7CD8" w14:textId="77777777" w:rsidR="00C82BAD" w:rsidRPr="00F54119" w:rsidRDefault="00C82BAD" w:rsidP="00C82BAD">
      <w:pPr>
        <w:pStyle w:val="ListParagraph"/>
        <w:numPr>
          <w:ilvl w:val="0"/>
          <w:numId w:val="3"/>
        </w:numPr>
      </w:pPr>
      <w:r w:rsidRPr="00F54119">
        <w:t xml:space="preserve">What is the effect of food waste to the environmental and economic sustainability within hotels? </w:t>
      </w:r>
    </w:p>
    <w:p w14:paraId="508CBCD1" w14:textId="77777777" w:rsidR="00C82BAD" w:rsidRPr="00F54119" w:rsidRDefault="00C82BAD" w:rsidP="00C82BAD">
      <w:pPr>
        <w:pStyle w:val="ListParagraph"/>
        <w:numPr>
          <w:ilvl w:val="0"/>
          <w:numId w:val="3"/>
        </w:numPr>
      </w:pPr>
      <w:r w:rsidRPr="00F54119">
        <w:t xml:space="preserve">What are the existing waste-reduction strategies that prove to measure with effect? </w:t>
      </w:r>
    </w:p>
    <w:p w14:paraId="6D0279A1" w14:textId="763E5696" w:rsidR="00C82BAD" w:rsidRPr="00F54119" w:rsidRDefault="00C82BAD" w:rsidP="00C82BAD">
      <w:pPr>
        <w:pStyle w:val="ListParagraph"/>
        <w:numPr>
          <w:ilvl w:val="0"/>
          <w:numId w:val="3"/>
        </w:numPr>
      </w:pPr>
      <w:r w:rsidRPr="00F54119">
        <w:t>What is the relationship between sustainability practises and brand perception and reputation of visitors?</w:t>
      </w:r>
    </w:p>
    <w:p w14:paraId="5B362C32" w14:textId="77777777" w:rsidR="00DB5C20" w:rsidRPr="00F54119" w:rsidRDefault="00DB5C20" w:rsidP="00DB5C20">
      <w:pPr>
        <w:pStyle w:val="Heading1"/>
      </w:pPr>
      <w:bookmarkStart w:id="2" w:name="_Toc221106187"/>
      <w:r w:rsidRPr="00F54119">
        <w:t>Literature Review</w:t>
      </w:r>
      <w:bookmarkEnd w:id="2"/>
    </w:p>
    <w:p w14:paraId="484A732C" w14:textId="77777777" w:rsidR="00DB5C20" w:rsidRPr="00F54119" w:rsidRDefault="00DB5C20" w:rsidP="00DB5C20">
      <w:pPr>
        <w:pStyle w:val="Heading2"/>
        <w:rPr>
          <w:lang w:val="en-US"/>
        </w:rPr>
      </w:pPr>
      <w:bookmarkStart w:id="3" w:name="_Toc221106188"/>
      <w:r w:rsidRPr="00F54119">
        <w:rPr>
          <w:lang w:val="en-US"/>
        </w:rPr>
        <w:t>1. Defining Food Waste in the Hospitality Context</w:t>
      </w:r>
      <w:bookmarkEnd w:id="3"/>
    </w:p>
    <w:p w14:paraId="6B31463C" w14:textId="26D7A143" w:rsidR="00DB5C20" w:rsidRPr="00F54119" w:rsidRDefault="00DB5C20" w:rsidP="00DB5C20">
      <w:r w:rsidRPr="00F54119">
        <w:rPr>
          <w:lang w:val="en-US"/>
        </w:rPr>
        <w:t>Food waste in hospitality industry is mostly perceived as requiring the disposal of consumable and non-consumable food substances produced during the preparation, service, and even after the consumption process</w:t>
      </w:r>
      <w:r w:rsidR="00412C14" w:rsidRPr="00F54119">
        <w:rPr>
          <w:lang w:val="en-US"/>
        </w:rPr>
        <w:t xml:space="preserve"> </w:t>
      </w:r>
      <w:r w:rsidR="00412C14" w:rsidRPr="00F54119">
        <w:t>(</w:t>
      </w:r>
      <w:proofErr w:type="spellStart"/>
      <w:r w:rsidR="00412C14" w:rsidRPr="00F54119">
        <w:t>Wani</w:t>
      </w:r>
      <w:proofErr w:type="spellEnd"/>
      <w:r w:rsidR="00412C14" w:rsidRPr="00F54119">
        <w:t xml:space="preserve"> et al., 2023)</w:t>
      </w:r>
      <w:r w:rsidRPr="00F54119">
        <w:rPr>
          <w:lang w:val="en-US"/>
        </w:rPr>
        <w:t xml:space="preserve">. </w:t>
      </w:r>
      <w:r w:rsidR="00C82BAD" w:rsidRPr="00F54119">
        <w:rPr>
          <w:lang w:val="en-US"/>
        </w:rPr>
        <w:t xml:space="preserve">While the study of </w:t>
      </w:r>
      <w:proofErr w:type="spellStart"/>
      <w:r w:rsidR="00C82BAD" w:rsidRPr="00F54119">
        <w:t>Nand</w:t>
      </w:r>
      <w:proofErr w:type="spellEnd"/>
      <w:r w:rsidR="00C82BAD" w:rsidRPr="00F54119">
        <w:t xml:space="preserve"> et al. (2025) highlighted that </w:t>
      </w:r>
      <w:r w:rsidR="00C82BAD" w:rsidRPr="00F54119">
        <w:rPr>
          <w:lang w:val="en-US"/>
        </w:rPr>
        <w:t>a</w:t>
      </w:r>
      <w:r w:rsidRPr="00F54119">
        <w:rPr>
          <w:lang w:val="en-US"/>
        </w:rPr>
        <w:t xml:space="preserve">voidable waste is food that was formerly edible but that had been thrown away because of overproduction, poor storage, or poor forecasting, whereas unavoidable waste consists of food inedible portions, e.g. bones, shells, vegetable peels. </w:t>
      </w:r>
      <w:proofErr w:type="spellStart"/>
      <w:r w:rsidR="00C82BAD" w:rsidRPr="00F54119">
        <w:t>Wani</w:t>
      </w:r>
      <w:proofErr w:type="spellEnd"/>
      <w:r w:rsidR="00C82BAD" w:rsidRPr="00F54119">
        <w:t xml:space="preserve"> et al. (2023) added that </w:t>
      </w:r>
      <w:r w:rsidR="00C82BAD" w:rsidRPr="00F54119">
        <w:rPr>
          <w:lang w:val="en-US"/>
        </w:rPr>
        <w:t>a</w:t>
      </w:r>
      <w:r w:rsidRPr="00F54119">
        <w:rPr>
          <w:lang w:val="en-US"/>
        </w:rPr>
        <w:t>nother category founded by researchers on waste is the pre-consumer, arising in kitchens in the course of preparation and cooking, and post-consumer, which is mostly plate waste and buffet leftovers left behind by the guest. Recent researches</w:t>
      </w:r>
      <w:r w:rsidR="00C82BAD" w:rsidRPr="00F54119">
        <w:rPr>
          <w:lang w:val="en-US"/>
        </w:rPr>
        <w:t xml:space="preserve"> like </w:t>
      </w:r>
      <w:r w:rsidR="00C82BAD" w:rsidRPr="00F54119">
        <w:t>Omar et al. (2024) and Sharma (2023)</w:t>
      </w:r>
      <w:r w:rsidRPr="00F54119">
        <w:rPr>
          <w:lang w:val="en-US"/>
        </w:rPr>
        <w:t xml:space="preserve"> point out that post consumer wastes are especially high in buffet form hotel operations where the abundance and appearances are mainly </w:t>
      </w:r>
      <w:proofErr w:type="spellStart"/>
      <w:r w:rsidRPr="00F54119">
        <w:rPr>
          <w:lang w:val="en-US"/>
        </w:rPr>
        <w:t>emphasised</w:t>
      </w:r>
      <w:proofErr w:type="spellEnd"/>
      <w:r w:rsidRPr="00F54119">
        <w:rPr>
          <w:lang w:val="en-US"/>
        </w:rPr>
        <w:t xml:space="preserve"> to amplify the satisfaction of the guests.</w:t>
      </w:r>
    </w:p>
    <w:p w14:paraId="5C60512C" w14:textId="77777777" w:rsidR="00DB5C20" w:rsidRPr="00F54119" w:rsidRDefault="00DB5C20" w:rsidP="00DB5C20">
      <w:pPr>
        <w:pStyle w:val="Heading2"/>
        <w:rPr>
          <w:lang w:val="en-US"/>
        </w:rPr>
      </w:pPr>
      <w:bookmarkStart w:id="4" w:name="_Toc221106189"/>
      <w:r w:rsidRPr="00F54119">
        <w:rPr>
          <w:lang w:val="en-US"/>
        </w:rPr>
        <w:t>2. Environmental Impacts of Food Waste</w:t>
      </w:r>
      <w:bookmarkEnd w:id="4"/>
    </w:p>
    <w:p w14:paraId="7616FC0B" w14:textId="03E689D3" w:rsidR="00DB5C20" w:rsidRPr="00F54119" w:rsidRDefault="00DB5C20" w:rsidP="00DB5C20">
      <w:r w:rsidRPr="00F54119">
        <w:rPr>
          <w:lang w:val="en-US"/>
        </w:rPr>
        <w:t>Environmental impact of food waste is a broad issue that has received a lot of scrutiny in the modern studies of hospitality</w:t>
      </w:r>
      <w:r w:rsidR="00E43568" w:rsidRPr="00F54119">
        <w:rPr>
          <w:lang w:val="en-US"/>
        </w:rPr>
        <w:t xml:space="preserve"> </w:t>
      </w:r>
      <w:r w:rsidR="00E43568" w:rsidRPr="00F54119">
        <w:t>(Omar et al., 2024)</w:t>
      </w:r>
      <w:r w:rsidRPr="00F54119">
        <w:rPr>
          <w:lang w:val="en-US"/>
        </w:rPr>
        <w:t>. According to</w:t>
      </w:r>
      <w:r w:rsidR="00C82BAD" w:rsidRPr="00F54119">
        <w:t xml:space="preserve"> Sharma (2023) </w:t>
      </w:r>
      <w:r w:rsidRPr="00F54119">
        <w:rPr>
          <w:lang w:val="en-US"/>
        </w:rPr>
        <w:t>disposed food is a source of greenhouse gas emissions especially that which is generated by landfills which is methane gas. The emission heightens the impact of climate change and affects the sustainability goals across the world. Moreover, food production incurs a lot of natural resources water, land, and energy, which are literally thrown to waste when food is disposed</w:t>
      </w:r>
      <w:r w:rsidR="00E43568" w:rsidRPr="00F54119">
        <w:rPr>
          <w:lang w:val="en-US"/>
        </w:rPr>
        <w:t xml:space="preserve"> </w:t>
      </w:r>
      <w:r w:rsidR="00E43568" w:rsidRPr="00F54119">
        <w:t>(</w:t>
      </w:r>
      <w:proofErr w:type="spellStart"/>
      <w:r w:rsidR="00E43568" w:rsidRPr="00F54119">
        <w:t>Wani</w:t>
      </w:r>
      <w:proofErr w:type="spellEnd"/>
      <w:r w:rsidR="00E43568" w:rsidRPr="00F54119">
        <w:t xml:space="preserve"> et al., 2023)</w:t>
      </w:r>
      <w:r w:rsidRPr="00F54119">
        <w:rPr>
          <w:lang w:val="en-US"/>
        </w:rPr>
        <w:t>. The investigations of the work of hotels show that giant preparation of food to serve a buffet or a banquet often causes a high level of surplus, thus increasing environmental liabilities.</w:t>
      </w:r>
    </w:p>
    <w:p w14:paraId="6AD023E3" w14:textId="77777777" w:rsidR="00DB5C20" w:rsidRPr="00F54119" w:rsidRDefault="00DB5C20" w:rsidP="00DB5C20">
      <w:pPr>
        <w:pStyle w:val="Heading2"/>
        <w:rPr>
          <w:lang w:val="en-US"/>
        </w:rPr>
      </w:pPr>
      <w:bookmarkStart w:id="5" w:name="_Toc221106190"/>
      <w:r w:rsidRPr="00F54119">
        <w:rPr>
          <w:lang w:val="en-US"/>
        </w:rPr>
        <w:t>3. Economic Impacts on Hotel Operations</w:t>
      </w:r>
      <w:bookmarkEnd w:id="5"/>
    </w:p>
    <w:p w14:paraId="4DFD98E6" w14:textId="5DB2121A" w:rsidR="00DB5C20" w:rsidRPr="00F54119" w:rsidRDefault="00DB5C20" w:rsidP="00DB5C20">
      <w:r w:rsidRPr="00F54119">
        <w:rPr>
          <w:lang w:val="en-US"/>
        </w:rPr>
        <w:t>Other than causing environmental destruction, food waste has significant financial implications on hospitality businesses. According to empirical studies, the issue of excessive procurement, inefficient inventory management and high costs incurred during disposal cost the hotels direct losses</w:t>
      </w:r>
      <w:r w:rsidR="00E43568" w:rsidRPr="00F54119">
        <w:rPr>
          <w:lang w:val="en-US"/>
        </w:rPr>
        <w:t xml:space="preserve"> </w:t>
      </w:r>
      <w:r w:rsidR="00E43568" w:rsidRPr="00F54119">
        <w:t>(Lin, Shin and Shin, 2024</w:t>
      </w:r>
      <w:r w:rsidR="00C82BAD" w:rsidRPr="00F54119">
        <w:t>; Omar et al., 2024</w:t>
      </w:r>
      <w:r w:rsidR="00E43568" w:rsidRPr="00F54119">
        <w:t>)</w:t>
      </w:r>
      <w:r w:rsidRPr="00F54119">
        <w:rPr>
          <w:lang w:val="en-US"/>
        </w:rPr>
        <w:t xml:space="preserve">. </w:t>
      </w:r>
      <w:r w:rsidR="00C82BAD" w:rsidRPr="00F54119">
        <w:rPr>
          <w:lang w:val="en-US"/>
        </w:rPr>
        <w:t>Sharma (2023) added that a</w:t>
      </w:r>
      <w:r w:rsidRPr="00F54119">
        <w:rPr>
          <w:lang w:val="en-US"/>
        </w:rPr>
        <w:t xml:space="preserve"> considerable percentage of sales in the food is never served, consumed thus amounting to wasteful spending which directly decreases the profit margins. These economic inefficiencies are further </w:t>
      </w:r>
      <w:proofErr w:type="spellStart"/>
      <w:r w:rsidRPr="00F54119">
        <w:rPr>
          <w:lang w:val="en-US"/>
        </w:rPr>
        <w:t>fuelled</w:t>
      </w:r>
      <w:proofErr w:type="spellEnd"/>
      <w:r w:rsidRPr="00F54119">
        <w:rPr>
          <w:lang w:val="en-US"/>
        </w:rPr>
        <w:t xml:space="preserve"> by </w:t>
      </w:r>
      <w:proofErr w:type="spellStart"/>
      <w:r w:rsidRPr="00F54119">
        <w:rPr>
          <w:lang w:val="en-US"/>
        </w:rPr>
        <w:t>labour</w:t>
      </w:r>
      <w:proofErr w:type="spellEnd"/>
      <w:r w:rsidRPr="00F54119">
        <w:rPr>
          <w:lang w:val="en-US"/>
        </w:rPr>
        <w:t xml:space="preserve"> expenses associated with preparation, handling and cleaning. The </w:t>
      </w:r>
      <w:r w:rsidR="00C82BAD" w:rsidRPr="00F54119">
        <w:rPr>
          <w:lang w:val="en-US"/>
        </w:rPr>
        <w:t xml:space="preserve">study of </w:t>
      </w:r>
      <w:proofErr w:type="spellStart"/>
      <w:r w:rsidR="00C82BAD" w:rsidRPr="00F54119">
        <w:rPr>
          <w:lang w:val="en-US"/>
        </w:rPr>
        <w:t>Wani</w:t>
      </w:r>
      <w:proofErr w:type="spellEnd"/>
      <w:r w:rsidR="00C82BAD" w:rsidRPr="00F54119">
        <w:rPr>
          <w:lang w:val="en-US"/>
        </w:rPr>
        <w:t xml:space="preserve"> et al. (2023) </w:t>
      </w:r>
      <w:r w:rsidRPr="00F54119">
        <w:rPr>
          <w:lang w:val="en-US"/>
        </w:rPr>
        <w:t xml:space="preserve">also focuses on the increasing strain of increasing food costs and inflation which increase the economic effects of wasteful </w:t>
      </w:r>
      <w:proofErr w:type="spellStart"/>
      <w:r w:rsidRPr="00F54119">
        <w:rPr>
          <w:lang w:val="en-US"/>
        </w:rPr>
        <w:t>behaviour</w:t>
      </w:r>
      <w:proofErr w:type="spellEnd"/>
      <w:r w:rsidRPr="00F54119">
        <w:rPr>
          <w:lang w:val="en-US"/>
        </w:rPr>
        <w:t>.</w:t>
      </w:r>
      <w:r w:rsidR="00847126" w:rsidRPr="00F54119">
        <w:t xml:space="preserve"> </w:t>
      </w:r>
      <w:r w:rsidRPr="00F54119">
        <w:rPr>
          <w:lang w:val="en-US"/>
        </w:rPr>
        <w:t>The recent empirical studies indicate that there is a steady linkage between reduction of food-waste and operational efficiency</w:t>
      </w:r>
      <w:r w:rsidR="00847126" w:rsidRPr="00F54119">
        <w:rPr>
          <w:lang w:val="en-US"/>
        </w:rPr>
        <w:t xml:space="preserve"> </w:t>
      </w:r>
      <w:r w:rsidR="00847126" w:rsidRPr="00F54119">
        <w:t>(</w:t>
      </w:r>
      <w:proofErr w:type="spellStart"/>
      <w:r w:rsidR="00847126" w:rsidRPr="00F54119">
        <w:t>Wani</w:t>
      </w:r>
      <w:proofErr w:type="spellEnd"/>
      <w:r w:rsidR="00847126" w:rsidRPr="00F54119">
        <w:t xml:space="preserve"> et al., 2023; Omar et al., 2024)</w:t>
      </w:r>
      <w:r w:rsidRPr="00F54119">
        <w:rPr>
          <w:lang w:val="en-US"/>
        </w:rPr>
        <w:t>. Hotels who have put in place monitoring technologies, portion-control devices and predictive demand applications are recorded to have delivered quantifiable cost-reduction and enhancement in their supply-chain coordination.</w:t>
      </w:r>
    </w:p>
    <w:p w14:paraId="14DF9CE1" w14:textId="77777777" w:rsidR="00DB5C20" w:rsidRPr="00F54119" w:rsidRDefault="00DB5C20" w:rsidP="00DB5C20">
      <w:pPr>
        <w:pStyle w:val="Heading2"/>
        <w:rPr>
          <w:lang w:val="en-US"/>
        </w:rPr>
      </w:pPr>
      <w:bookmarkStart w:id="6" w:name="_Toc221106191"/>
      <w:r w:rsidRPr="00F54119">
        <w:rPr>
          <w:lang w:val="en-US"/>
        </w:rPr>
        <w:t>4. Influences on Guest Satisfaction and Brand Reputation</w:t>
      </w:r>
      <w:bookmarkEnd w:id="6"/>
    </w:p>
    <w:p w14:paraId="619217BD" w14:textId="5D122E79" w:rsidR="00DB5C20" w:rsidRPr="00F54119" w:rsidRDefault="00DB5C20" w:rsidP="00DB5C20">
      <w:r w:rsidRPr="00F54119">
        <w:rPr>
          <w:lang w:val="en-US"/>
        </w:rPr>
        <w:t>Consumer perception is the other important dimension that has been discussed in the present hospitality literature</w:t>
      </w:r>
      <w:r w:rsidR="008E016A" w:rsidRPr="00F54119">
        <w:rPr>
          <w:lang w:val="en-US"/>
        </w:rPr>
        <w:t xml:space="preserve"> </w:t>
      </w:r>
      <w:r w:rsidR="008E016A" w:rsidRPr="00F54119">
        <w:t>(Tahir, Adnan and Saeed, 2024)</w:t>
      </w:r>
      <w:r w:rsidRPr="00F54119">
        <w:rPr>
          <w:lang w:val="en-US"/>
        </w:rPr>
        <w:t xml:space="preserve">. The current visitors are becoming more conscious of the environmental aspects and tend to judge service providers on the observable sustainability measures. Research </w:t>
      </w:r>
      <w:r w:rsidR="00C82BAD" w:rsidRPr="00F54119">
        <w:rPr>
          <w:lang w:val="en-US"/>
        </w:rPr>
        <w:t xml:space="preserve">like </w:t>
      </w:r>
      <w:proofErr w:type="spellStart"/>
      <w:r w:rsidR="00C82BAD" w:rsidRPr="00F54119">
        <w:rPr>
          <w:lang w:val="en-US"/>
        </w:rPr>
        <w:t>Wani</w:t>
      </w:r>
      <w:proofErr w:type="spellEnd"/>
      <w:r w:rsidR="00C82BAD" w:rsidRPr="00F54119">
        <w:rPr>
          <w:lang w:val="en-US"/>
        </w:rPr>
        <w:t xml:space="preserve"> et al. (2023) </w:t>
      </w:r>
      <w:r w:rsidRPr="00F54119">
        <w:rPr>
          <w:lang w:val="en-US"/>
        </w:rPr>
        <w:t>shows that programs like smaller food buffet servings, food- donation programs, as well as, educational signs have positive effects on guest satisfaction and loyalty. The concept of sustainability portends to the corporate responsibility, which enhances trust and emotional association between customers and hospitality brands.</w:t>
      </w:r>
      <w:r w:rsidR="008E016A" w:rsidRPr="00F54119">
        <w:t xml:space="preserve"> </w:t>
      </w:r>
      <w:r w:rsidRPr="00F54119">
        <w:rPr>
          <w:lang w:val="en-US"/>
        </w:rPr>
        <w:t xml:space="preserve">Further, it was reported in literature that sustainability performance largely influences brand image and competitiveness. The opinion of the guests is enforced and more noticeable, through online review systems and social media. Researchers however warn that shallow or improperly expressed efforts can be considered greenwashing which may harm credibility. </w:t>
      </w:r>
    </w:p>
    <w:p w14:paraId="3CA589BF" w14:textId="77777777" w:rsidR="00DB5C20" w:rsidRPr="00F54119" w:rsidRDefault="00DB5C20" w:rsidP="00DB5C20">
      <w:pPr>
        <w:pStyle w:val="Heading2"/>
        <w:rPr>
          <w:lang w:val="en-US"/>
        </w:rPr>
      </w:pPr>
      <w:bookmarkStart w:id="7" w:name="_Toc221106192"/>
      <w:r w:rsidRPr="00F54119">
        <w:rPr>
          <w:lang w:val="en-US"/>
        </w:rPr>
        <w:t>5. Effectiveness of Current Food Waste Reduction Strategies</w:t>
      </w:r>
      <w:bookmarkEnd w:id="7"/>
    </w:p>
    <w:p w14:paraId="35A2474B" w14:textId="07CFDFD1" w:rsidR="00DB5C20" w:rsidRPr="00F54119" w:rsidRDefault="00DB5C20" w:rsidP="00DB5C20">
      <w:r w:rsidRPr="00F54119">
        <w:rPr>
          <w:lang w:val="en-US"/>
        </w:rPr>
        <w:t>The recent scholarly literature examines a variety of such measures that are aimed at reducing the amount of food waste in hotels</w:t>
      </w:r>
      <w:r w:rsidR="008E016A" w:rsidRPr="00F54119">
        <w:rPr>
          <w:lang w:val="en-US"/>
        </w:rPr>
        <w:t xml:space="preserve"> </w:t>
      </w:r>
      <w:r w:rsidR="008E016A" w:rsidRPr="00F54119">
        <w:t>(Jang and Lee, 2022)</w:t>
      </w:r>
      <w:r w:rsidRPr="00F54119">
        <w:rPr>
          <w:lang w:val="en-US"/>
        </w:rPr>
        <w:t xml:space="preserve">. Digital technologies-supported inventory-management tools and forecasting allow making more precise predictions of demand and proper planning of the procurement. Menu engineering as well as portion control has also become well known as viable operational changes that </w:t>
      </w:r>
      <w:proofErr w:type="spellStart"/>
      <w:r w:rsidRPr="00F54119">
        <w:rPr>
          <w:lang w:val="en-US"/>
        </w:rPr>
        <w:t>minimise</w:t>
      </w:r>
      <w:proofErr w:type="spellEnd"/>
      <w:r w:rsidRPr="00F54119">
        <w:rPr>
          <w:lang w:val="en-US"/>
        </w:rPr>
        <w:t xml:space="preserve"> excess preparation without affecting the service quality. Also, </w:t>
      </w:r>
      <w:r w:rsidR="00EE3F43" w:rsidRPr="00F54119">
        <w:rPr>
          <w:lang w:val="en-US"/>
        </w:rPr>
        <w:t xml:space="preserve">Bhatia et al. (2023) highlighted that </w:t>
      </w:r>
      <w:r w:rsidRPr="00F54119">
        <w:rPr>
          <w:lang w:val="en-US"/>
        </w:rPr>
        <w:t xml:space="preserve">both environmental and social sustainability goals are met through redistribution </w:t>
      </w:r>
      <w:proofErr w:type="spellStart"/>
      <w:r w:rsidRPr="00F54119">
        <w:rPr>
          <w:lang w:val="en-US"/>
        </w:rPr>
        <w:t>programmes</w:t>
      </w:r>
      <w:proofErr w:type="spellEnd"/>
      <w:r w:rsidRPr="00F54119">
        <w:rPr>
          <w:lang w:val="en-US"/>
        </w:rPr>
        <w:t xml:space="preserve"> (food-donation </w:t>
      </w:r>
      <w:proofErr w:type="spellStart"/>
      <w:r w:rsidRPr="00F54119">
        <w:rPr>
          <w:lang w:val="en-US"/>
        </w:rPr>
        <w:t>programmes</w:t>
      </w:r>
      <w:proofErr w:type="spellEnd"/>
      <w:r w:rsidRPr="00F54119">
        <w:rPr>
          <w:lang w:val="en-US"/>
        </w:rPr>
        <w:t>, composting, etc.).</w:t>
      </w:r>
      <w:r w:rsidR="008E016A" w:rsidRPr="00F54119">
        <w:rPr>
          <w:lang w:val="en-US"/>
        </w:rPr>
        <w:t xml:space="preserve"> </w:t>
      </w:r>
      <w:r w:rsidRPr="00F54119">
        <w:rPr>
          <w:lang w:val="en-US"/>
        </w:rPr>
        <w:t xml:space="preserve">It has been argued based on comparative evidence that when technology-oriented methods are employed, the resulting efficiency is likely increased, but </w:t>
      </w:r>
      <w:proofErr w:type="spellStart"/>
      <w:r w:rsidRPr="00F54119">
        <w:rPr>
          <w:lang w:val="en-US"/>
        </w:rPr>
        <w:t>organisational</w:t>
      </w:r>
      <w:proofErr w:type="spellEnd"/>
      <w:r w:rsidRPr="00F54119">
        <w:rPr>
          <w:lang w:val="en-US"/>
        </w:rPr>
        <w:t xml:space="preserve"> and </w:t>
      </w:r>
      <w:proofErr w:type="spellStart"/>
      <w:r w:rsidRPr="00F54119">
        <w:rPr>
          <w:lang w:val="en-US"/>
        </w:rPr>
        <w:t>behavioural</w:t>
      </w:r>
      <w:proofErr w:type="spellEnd"/>
      <w:r w:rsidRPr="00F54119">
        <w:rPr>
          <w:lang w:val="en-US"/>
        </w:rPr>
        <w:t xml:space="preserve"> considerations still prevail. Some of the limit</w:t>
      </w:r>
      <w:r w:rsidR="00EE3F43" w:rsidRPr="00F54119">
        <w:rPr>
          <w:lang w:val="en-US"/>
        </w:rPr>
        <w:t>ations</w:t>
      </w:r>
      <w:r w:rsidRPr="00F54119">
        <w:rPr>
          <w:lang w:val="en-US"/>
        </w:rPr>
        <w:t xml:space="preserve"> </w:t>
      </w:r>
      <w:r w:rsidR="00EE3F43" w:rsidRPr="00F54119">
        <w:rPr>
          <w:lang w:val="en-US"/>
        </w:rPr>
        <w:t>includes</w:t>
      </w:r>
      <w:r w:rsidRPr="00F54119">
        <w:rPr>
          <w:lang w:val="en-US"/>
        </w:rPr>
        <w:t xml:space="preserve"> undeveloped staff training and that </w:t>
      </w:r>
      <w:proofErr w:type="spellStart"/>
      <w:r w:rsidRPr="00F54119">
        <w:rPr>
          <w:lang w:val="en-US"/>
        </w:rPr>
        <w:t>organisational</w:t>
      </w:r>
      <w:proofErr w:type="spellEnd"/>
      <w:r w:rsidRPr="00F54119">
        <w:rPr>
          <w:lang w:val="en-US"/>
        </w:rPr>
        <w:t xml:space="preserve"> cultures are resistant to change</w:t>
      </w:r>
      <w:r w:rsidR="00EE3F43" w:rsidRPr="00F54119">
        <w:rPr>
          <w:lang w:val="en-US"/>
        </w:rPr>
        <w:t xml:space="preserve"> leading to sustainability issues in hospitality industry</w:t>
      </w:r>
      <w:r w:rsidRPr="00F54119">
        <w:rPr>
          <w:lang w:val="en-US"/>
        </w:rPr>
        <w:t xml:space="preserve">. </w:t>
      </w:r>
    </w:p>
    <w:p w14:paraId="2D95D918" w14:textId="77777777" w:rsidR="00DB5C20" w:rsidRPr="00F54119" w:rsidRDefault="00DB5C20" w:rsidP="00DB5C20">
      <w:pPr>
        <w:pStyle w:val="Heading2"/>
        <w:rPr>
          <w:lang w:val="en-US"/>
        </w:rPr>
      </w:pPr>
      <w:bookmarkStart w:id="8" w:name="_Toc221106193"/>
      <w:r w:rsidRPr="00F54119">
        <w:rPr>
          <w:lang w:val="en-US"/>
        </w:rPr>
        <w:t>6. Triple Bottom Line</w:t>
      </w:r>
      <w:bookmarkEnd w:id="8"/>
    </w:p>
    <w:p w14:paraId="68B6472E" w14:textId="4F596D73" w:rsidR="00DB5C20" w:rsidRPr="00F54119" w:rsidRDefault="00DB5C20" w:rsidP="00DB5C20">
      <w:pPr>
        <w:rPr>
          <w:lang w:val="en-US"/>
        </w:rPr>
      </w:pPr>
      <w:r w:rsidRPr="00F54119">
        <w:rPr>
          <w:lang w:val="en-US"/>
        </w:rPr>
        <w:t xml:space="preserve">The Triple Bottom Line (TBL) theory gives a systemic analysis of </w:t>
      </w:r>
      <w:proofErr w:type="spellStart"/>
      <w:r w:rsidRPr="00F54119">
        <w:rPr>
          <w:lang w:val="en-US"/>
        </w:rPr>
        <w:t>analysing</w:t>
      </w:r>
      <w:proofErr w:type="spellEnd"/>
      <w:r w:rsidRPr="00F54119">
        <w:rPr>
          <w:lang w:val="en-US"/>
        </w:rPr>
        <w:t xml:space="preserve"> the sustainability of hospitality food-waste management. The model highlights three dimensions which are interconnected and they are People, Planet and Profit</w:t>
      </w:r>
      <w:r w:rsidR="008E016A" w:rsidRPr="00F54119">
        <w:rPr>
          <w:lang w:val="en-US"/>
        </w:rPr>
        <w:t xml:space="preserve"> </w:t>
      </w:r>
      <w:r w:rsidR="008E016A" w:rsidRPr="00F54119">
        <w:t>(</w:t>
      </w:r>
      <w:proofErr w:type="spellStart"/>
      <w:r w:rsidR="008E016A" w:rsidRPr="00F54119">
        <w:t>Goffi</w:t>
      </w:r>
      <w:proofErr w:type="spellEnd"/>
      <w:r w:rsidR="008E016A" w:rsidRPr="00F54119">
        <w:t xml:space="preserve">, </w:t>
      </w:r>
      <w:proofErr w:type="spellStart"/>
      <w:r w:rsidR="008E016A" w:rsidRPr="00F54119">
        <w:t>Masiero</w:t>
      </w:r>
      <w:proofErr w:type="spellEnd"/>
      <w:r w:rsidR="008E016A" w:rsidRPr="00F54119">
        <w:t xml:space="preserve"> and </w:t>
      </w:r>
      <w:proofErr w:type="spellStart"/>
      <w:r w:rsidR="008E016A" w:rsidRPr="00F54119">
        <w:t>Pencarelli</w:t>
      </w:r>
      <w:proofErr w:type="spellEnd"/>
      <w:r w:rsidR="008E016A" w:rsidRPr="00F54119">
        <w:t>, 2021)</w:t>
      </w:r>
      <w:r w:rsidRPr="00F54119">
        <w:rPr>
          <w:lang w:val="en-US"/>
        </w:rPr>
        <w:t xml:space="preserve">. </w:t>
      </w:r>
      <w:proofErr w:type="spellStart"/>
      <w:r w:rsidR="00EE3F43" w:rsidRPr="00F54119">
        <w:t>Khatter</w:t>
      </w:r>
      <w:proofErr w:type="spellEnd"/>
      <w:r w:rsidR="00EE3F43" w:rsidRPr="00F54119">
        <w:t xml:space="preserve"> (2023) added that </w:t>
      </w:r>
      <w:r w:rsidR="00EE3F43" w:rsidRPr="00F54119">
        <w:rPr>
          <w:lang w:val="en-US"/>
        </w:rPr>
        <w:t>p</w:t>
      </w:r>
      <w:r w:rsidRPr="00F54119">
        <w:rPr>
          <w:lang w:val="en-US"/>
        </w:rPr>
        <w:t xml:space="preserve">lanet dimension is concerned with environment responsibility by </w:t>
      </w:r>
      <w:proofErr w:type="spellStart"/>
      <w:r w:rsidRPr="00F54119">
        <w:rPr>
          <w:lang w:val="en-US"/>
        </w:rPr>
        <w:t>minimising</w:t>
      </w:r>
      <w:proofErr w:type="spellEnd"/>
      <w:r w:rsidRPr="00F54119">
        <w:rPr>
          <w:lang w:val="en-US"/>
        </w:rPr>
        <w:t xml:space="preserve"> emissions, conserving resources and </w:t>
      </w:r>
      <w:proofErr w:type="spellStart"/>
      <w:r w:rsidRPr="00F54119">
        <w:rPr>
          <w:lang w:val="en-US"/>
        </w:rPr>
        <w:t>minimising</w:t>
      </w:r>
      <w:proofErr w:type="spellEnd"/>
      <w:r w:rsidRPr="00F54119">
        <w:rPr>
          <w:lang w:val="en-US"/>
        </w:rPr>
        <w:t xml:space="preserve"> waste. </w:t>
      </w:r>
      <w:r w:rsidR="00EE3F43" w:rsidRPr="00F54119">
        <w:rPr>
          <w:lang w:val="en-US"/>
        </w:rPr>
        <w:t xml:space="preserve">While, </w:t>
      </w:r>
      <w:proofErr w:type="spellStart"/>
      <w:r w:rsidR="00EE3F43" w:rsidRPr="00F54119">
        <w:t>Goffi</w:t>
      </w:r>
      <w:proofErr w:type="spellEnd"/>
      <w:r w:rsidR="00EE3F43" w:rsidRPr="00F54119">
        <w:t xml:space="preserve">, </w:t>
      </w:r>
      <w:proofErr w:type="spellStart"/>
      <w:r w:rsidR="00EE3F43" w:rsidRPr="00F54119">
        <w:t>Masiero</w:t>
      </w:r>
      <w:proofErr w:type="spellEnd"/>
      <w:r w:rsidR="00EE3F43" w:rsidRPr="00F54119">
        <w:t xml:space="preserve"> and </w:t>
      </w:r>
      <w:proofErr w:type="spellStart"/>
      <w:r w:rsidR="00EE3F43" w:rsidRPr="00F54119">
        <w:t>Pencarelli</w:t>
      </w:r>
      <w:proofErr w:type="spellEnd"/>
      <w:r w:rsidR="00EE3F43" w:rsidRPr="00F54119">
        <w:t xml:space="preserve"> (2021) mentioned that, </w:t>
      </w:r>
      <w:r w:rsidR="00EE3F43" w:rsidRPr="00F54119">
        <w:rPr>
          <w:lang w:val="en-US"/>
        </w:rPr>
        <w:t>t</w:t>
      </w:r>
      <w:r w:rsidRPr="00F54119">
        <w:rPr>
          <w:lang w:val="en-US"/>
        </w:rPr>
        <w:t xml:space="preserve">he Profit dimension deals with the financial efficiency, cost containment, and the overall sustainability of the economy in a long-term by proper waste control. People dimension </w:t>
      </w:r>
      <w:proofErr w:type="spellStart"/>
      <w:r w:rsidRPr="00F54119">
        <w:rPr>
          <w:lang w:val="en-US"/>
        </w:rPr>
        <w:t>emphasises</w:t>
      </w:r>
      <w:proofErr w:type="spellEnd"/>
      <w:r w:rsidRPr="00F54119">
        <w:rPr>
          <w:lang w:val="en-US"/>
        </w:rPr>
        <w:t xml:space="preserve"> community service and stakeholder confidence in the form of social responsibility, ethical conducts like food donation and open production and communication.</w:t>
      </w:r>
    </w:p>
    <w:p w14:paraId="33D5AB45" w14:textId="77777777" w:rsidR="00326F97" w:rsidRPr="00F54119" w:rsidRDefault="00326F97" w:rsidP="00326F97">
      <w:pPr>
        <w:pStyle w:val="Heading1"/>
      </w:pPr>
      <w:bookmarkStart w:id="9" w:name="_Toc221106194"/>
      <w:r w:rsidRPr="00F54119">
        <w:t>Method</w:t>
      </w:r>
      <w:bookmarkEnd w:id="9"/>
    </w:p>
    <w:p w14:paraId="27183DB3" w14:textId="3CB8B2C8" w:rsidR="00326F97" w:rsidRPr="007405FF" w:rsidRDefault="00A151BC" w:rsidP="00326F97">
      <w:pPr>
        <w:spacing w:before="100" w:beforeAutospacing="1" w:after="100" w:afterAutospacing="1"/>
        <w:rPr>
          <w:rFonts w:eastAsia="Times New Roman" w:cs="Times New Roman"/>
          <w:lang w:eastAsia="en-GB"/>
        </w:rPr>
      </w:pPr>
      <w:r w:rsidRPr="007405FF">
        <w:t xml:space="preserve">The research design is secondary research since gathering primary data among the UK hospitality sector would be expensive, logistically demanding as well as it would raise ethical issues. Data gathering was conducted in a systematic manner, i.e., using academic databases (Scopus and Google Scholar) and institutional repositories, the keywords were used food waste UK hospitality and hotel waste measurement. Sources were filtered by use of pre-specified inclusion criteria, including focus on the UK, publication in the five years, and peer-reviewed or official industry provenance, and a quantitative or mixed-methods measure of food waste. Qualified documents were placed in an extraction matrix, which contained methodology, sample, metrics, and findings. Of importance were WRAP industry estimates revealing that more than 1.1 million tonnes of waste annually </w:t>
      </w:r>
      <w:proofErr w:type="spellStart"/>
      <w:r w:rsidRPr="007405FF">
        <w:t>costed</w:t>
      </w:r>
      <w:proofErr w:type="spellEnd"/>
      <w:r w:rsidRPr="007405FF">
        <w:t xml:space="preserve"> the UK 3.2 billion (CE-Hub, 2024). The methods of analysis included comparative content analysis and statistical synthesis as descriptive analysis to obtain metrics or waste per customer and daily percentage waste used to benchmark (</w:t>
      </w:r>
      <w:proofErr w:type="spellStart"/>
      <w:r w:rsidRPr="007405FF">
        <w:t>Filimonau</w:t>
      </w:r>
      <w:proofErr w:type="spellEnd"/>
      <w:r w:rsidRPr="007405FF">
        <w:t xml:space="preserve"> and </w:t>
      </w:r>
      <w:proofErr w:type="spellStart"/>
      <w:r w:rsidRPr="007405FF">
        <w:t>Delysia</w:t>
      </w:r>
      <w:proofErr w:type="spellEnd"/>
      <w:r w:rsidRPr="007405FF">
        <w:t xml:space="preserve">, 2019). The effectively to monitor operational cases in Marriot </w:t>
      </w:r>
      <w:proofErr w:type="spellStart"/>
      <w:r w:rsidRPr="007405FF">
        <w:t>Bonvoy</w:t>
      </w:r>
      <w:proofErr w:type="spellEnd"/>
      <w:r w:rsidRPr="007405FF">
        <w:t xml:space="preserve"> are compared using case comparison, as evidence used in the implementation of Winnow systems in Marriott Hotels to determine the effectiveness of such monitoring systems (Marriot </w:t>
      </w:r>
      <w:proofErr w:type="spellStart"/>
      <w:r w:rsidRPr="007405FF">
        <w:t>Bonvoy</w:t>
      </w:r>
      <w:proofErr w:type="spellEnd"/>
      <w:r w:rsidRPr="007405FF">
        <w:t>, 2026). Triangulation of sources helped to enhance reliability, but there was some bias of self-report and a lack of consistency in definitions. The risk of ethics was low since only public data (anonymised).</w:t>
      </w:r>
    </w:p>
    <w:p w14:paraId="6803C861" w14:textId="77777777" w:rsidR="00326F97" w:rsidRPr="007405FF" w:rsidRDefault="00326F97" w:rsidP="00326F97">
      <w:pPr>
        <w:pStyle w:val="Heading1"/>
      </w:pPr>
      <w:bookmarkStart w:id="10" w:name="_Toc221106195"/>
      <w:r w:rsidRPr="007405FF">
        <w:rPr>
          <w:rStyle w:val="Strong"/>
          <w:b/>
          <w:bCs w:val="0"/>
        </w:rPr>
        <w:t>Theme Impact Analysis: Food Waste in the UK Hotel and Hospitality Sector</w:t>
      </w:r>
      <w:bookmarkEnd w:id="10"/>
    </w:p>
    <w:p w14:paraId="3723E21D" w14:textId="3CC3DDDD" w:rsidR="00A151BC" w:rsidRPr="007405FF" w:rsidRDefault="00A151BC" w:rsidP="00A151BC">
      <w:pPr>
        <w:rPr>
          <w:rFonts w:eastAsia="Times New Roman" w:cs="Times New Roman"/>
          <w:kern w:val="0"/>
          <w:lang w:eastAsia="en-GB"/>
          <w14:ligatures w14:val="none"/>
        </w:rPr>
      </w:pPr>
      <w:r w:rsidRPr="007405FF">
        <w:rPr>
          <w:rFonts w:eastAsia="Times New Roman" w:cs="Times New Roman"/>
          <w:kern w:val="0"/>
          <w:lang w:eastAsia="en-GB"/>
          <w14:ligatures w14:val="none"/>
        </w:rPr>
        <w:t xml:space="preserve">Food waste is also one of the key sustainability issues within the UK hospitality sector, which overlaps with environmental responsibility, operational efficiency, and social responsibility (CE Hub, 2024). Restaurants, pubs, and hotels produce over two million tonnes of solid waste every year, it is reported, and that more than eight out of ten parts of this waste is edible food waste amounting to approximately 800,000 tonnes, and costing about £3.2 billion annually or about 10,000 pounds per business (CE-Hub, 2024). Taking up an approximated 10-12 per cent of the national food waste, the sector plays a huge role in consumption of resources and climate strains (Food Hygiene Certificate, 2026). A PESTLE approach is utilized to </w:t>
      </w:r>
      <w:proofErr w:type="spellStart"/>
      <w:r w:rsidRPr="007405FF">
        <w:rPr>
          <w:rFonts w:eastAsia="Times New Roman" w:cs="Times New Roman"/>
          <w:kern w:val="0"/>
          <w:lang w:eastAsia="en-GB"/>
          <w14:ligatures w14:val="none"/>
        </w:rPr>
        <w:t>analyze</w:t>
      </w:r>
      <w:proofErr w:type="spellEnd"/>
      <w:r w:rsidRPr="007405FF">
        <w:rPr>
          <w:rFonts w:eastAsia="Times New Roman" w:cs="Times New Roman"/>
          <w:kern w:val="0"/>
          <w:lang w:eastAsia="en-GB"/>
          <w14:ligatures w14:val="none"/>
        </w:rPr>
        <w:t xml:space="preserve"> the reaction and effects of the industry on the political, economic, social, technological, legal, and environmental factors to investigate them comprehensively.</w:t>
      </w:r>
    </w:p>
    <w:p w14:paraId="61FB5102" w14:textId="77777777" w:rsidR="00A151BC" w:rsidRPr="007405FF" w:rsidRDefault="00A151BC" w:rsidP="00A151BC">
      <w:pPr>
        <w:rPr>
          <w:rFonts w:eastAsia="Times New Roman" w:cs="Times New Roman"/>
          <w:b/>
          <w:kern w:val="0"/>
          <w:lang w:eastAsia="en-GB"/>
          <w14:ligatures w14:val="none"/>
        </w:rPr>
      </w:pPr>
      <w:r w:rsidRPr="007405FF">
        <w:rPr>
          <w:rFonts w:eastAsia="Times New Roman" w:cs="Times New Roman"/>
          <w:b/>
          <w:kern w:val="0"/>
          <w:lang w:eastAsia="en-GB"/>
          <w14:ligatures w14:val="none"/>
        </w:rPr>
        <w:t>Political Factors</w:t>
      </w:r>
    </w:p>
    <w:p w14:paraId="4A67F673" w14:textId="3BF8448B" w:rsidR="00A151BC" w:rsidRPr="007405FF" w:rsidRDefault="00A151BC" w:rsidP="00A151BC">
      <w:pPr>
        <w:rPr>
          <w:rFonts w:eastAsia="Times New Roman" w:cs="Times New Roman"/>
          <w:kern w:val="0"/>
          <w:lang w:eastAsia="en-GB"/>
          <w14:ligatures w14:val="none"/>
        </w:rPr>
      </w:pPr>
      <w:r w:rsidRPr="007405FF">
        <w:rPr>
          <w:rFonts w:eastAsia="Times New Roman" w:cs="Times New Roman"/>
          <w:kern w:val="0"/>
          <w:lang w:eastAsia="en-GB"/>
          <w14:ligatures w14:val="none"/>
        </w:rPr>
        <w:t>The role of government policies in influencing the way organisations deal with food waste is growing. The UK sustainability policies can be described as stimulating reduction, redistribution, and measurement via voluntary agreements and alliances. The involvement of industry in programmes like collaborative programmes that advocate responsible use of resources is a proactive approach, which is in line with policy expectations (</w:t>
      </w:r>
      <w:proofErr w:type="spellStart"/>
      <w:r w:rsidRPr="007405FF">
        <w:rPr>
          <w:rFonts w:eastAsia="Times New Roman" w:cs="Times New Roman"/>
          <w:kern w:val="0"/>
          <w:lang w:eastAsia="en-GB"/>
          <w14:ligatures w14:val="none"/>
        </w:rPr>
        <w:t>Antonschmidt</w:t>
      </w:r>
      <w:proofErr w:type="spellEnd"/>
      <w:r w:rsidRPr="007405FF">
        <w:rPr>
          <w:rFonts w:eastAsia="Times New Roman" w:cs="Times New Roman"/>
          <w:kern w:val="0"/>
          <w:lang w:eastAsia="en-GB"/>
          <w14:ligatures w14:val="none"/>
        </w:rPr>
        <w:t xml:space="preserve"> and Lund-</w:t>
      </w:r>
      <w:proofErr w:type="spellStart"/>
      <w:r w:rsidRPr="007405FF">
        <w:rPr>
          <w:rFonts w:eastAsia="Times New Roman" w:cs="Times New Roman"/>
          <w:kern w:val="0"/>
          <w:lang w:eastAsia="en-GB"/>
          <w14:ligatures w14:val="none"/>
        </w:rPr>
        <w:t>Durlacher</w:t>
      </w:r>
      <w:proofErr w:type="spellEnd"/>
      <w:r w:rsidRPr="007405FF">
        <w:rPr>
          <w:rFonts w:eastAsia="Times New Roman" w:cs="Times New Roman"/>
          <w:kern w:val="0"/>
          <w:lang w:eastAsia="en-GB"/>
          <w14:ligatures w14:val="none"/>
        </w:rPr>
        <w:t>, 2021). Such alliances provide the opportunity to share knowledge and develop guidelines that are standardised to serve as a source of strength in mobilising the industry as a whole. Nevertheless, participation is not mandatory and this hurts consistency and there is inconsistency in adoption among smaller standalone establishments. The encouragement which is political but not enforced presents, however, immoderate results, limiting the ability of sectors to impact.</w:t>
      </w:r>
    </w:p>
    <w:p w14:paraId="25AFEC08" w14:textId="77777777" w:rsidR="00A151BC" w:rsidRPr="007405FF" w:rsidRDefault="00A151BC" w:rsidP="00A151BC">
      <w:pPr>
        <w:rPr>
          <w:rFonts w:eastAsia="Times New Roman" w:cs="Times New Roman"/>
          <w:b/>
          <w:kern w:val="0"/>
          <w:lang w:eastAsia="en-GB"/>
          <w14:ligatures w14:val="none"/>
        </w:rPr>
      </w:pPr>
      <w:r w:rsidRPr="007405FF">
        <w:rPr>
          <w:rFonts w:eastAsia="Times New Roman" w:cs="Times New Roman"/>
          <w:b/>
          <w:kern w:val="0"/>
          <w:lang w:eastAsia="en-GB"/>
          <w14:ligatures w14:val="none"/>
        </w:rPr>
        <w:t>Economic Factors</w:t>
      </w:r>
    </w:p>
    <w:p w14:paraId="0F4311C3" w14:textId="2143C498" w:rsidR="00A151BC" w:rsidRPr="007405FF" w:rsidRDefault="00A151BC" w:rsidP="00A151BC">
      <w:pPr>
        <w:rPr>
          <w:rFonts w:eastAsia="Times New Roman" w:cs="Times New Roman"/>
          <w:kern w:val="0"/>
          <w:lang w:eastAsia="en-GB"/>
          <w14:ligatures w14:val="none"/>
        </w:rPr>
      </w:pPr>
      <w:r w:rsidRPr="007405FF">
        <w:rPr>
          <w:rFonts w:eastAsia="Times New Roman" w:cs="Times New Roman"/>
          <w:kern w:val="0"/>
          <w:lang w:eastAsia="en-GB"/>
          <w14:ligatures w14:val="none"/>
        </w:rPr>
        <w:t>The direct impacts of food waste on profitability include procurement inefficiency, overproduction and disposal expenses. According to industry statistics, the industry is experiencing losses of over £2.5 billion per year associated with efficiency in operations (CE-Hub, 2024). The analysis of waste composition which indicates that 45% out of waste is due to preparation, 34% of waste is due to plate waste, and 21% is due to spoilage portrays structural inefficiencies in forecasting, and stock control (Business Waste, 2025). To deal with this, a few organisations use analytical monitoring and modelling methods to detect the points of waste, which will curb the specific process, while also cost-cutting (</w:t>
      </w:r>
      <w:proofErr w:type="spellStart"/>
      <w:r w:rsidRPr="007405FF">
        <w:rPr>
          <w:rFonts w:eastAsia="Times New Roman" w:cs="Times New Roman"/>
          <w:kern w:val="0"/>
          <w:lang w:eastAsia="en-GB"/>
          <w14:ligatures w14:val="none"/>
        </w:rPr>
        <w:t>Ezeanaka</w:t>
      </w:r>
      <w:proofErr w:type="spellEnd"/>
      <w:r w:rsidRPr="007405FF">
        <w:rPr>
          <w:rFonts w:eastAsia="Times New Roman" w:cs="Times New Roman"/>
          <w:kern w:val="0"/>
          <w:lang w:eastAsia="en-GB"/>
          <w14:ligatures w14:val="none"/>
        </w:rPr>
        <w:t xml:space="preserve"> and Tran, 2024). This will enhance financial viability and decision-making; but it takes investment, skills and organisational commitment to implement and this is more affordable with large chains as opposed to small operators. This difference constrained the effects of the economy in general in the sector.</w:t>
      </w:r>
    </w:p>
    <w:p w14:paraId="6379889A" w14:textId="77777777" w:rsidR="00A151BC" w:rsidRPr="007405FF" w:rsidRDefault="00A151BC" w:rsidP="00A151BC">
      <w:pPr>
        <w:rPr>
          <w:rFonts w:eastAsia="Times New Roman" w:cs="Times New Roman"/>
          <w:b/>
          <w:kern w:val="0"/>
          <w:lang w:eastAsia="en-GB"/>
          <w14:ligatures w14:val="none"/>
        </w:rPr>
      </w:pPr>
      <w:r w:rsidRPr="007405FF">
        <w:rPr>
          <w:rFonts w:eastAsia="Times New Roman" w:cs="Times New Roman"/>
          <w:b/>
          <w:kern w:val="0"/>
          <w:lang w:eastAsia="en-GB"/>
          <w14:ligatures w14:val="none"/>
        </w:rPr>
        <w:t>Social Factors</w:t>
      </w:r>
    </w:p>
    <w:p w14:paraId="192E26B4" w14:textId="491ABF17" w:rsidR="00A151BC" w:rsidRPr="007405FF" w:rsidRDefault="00A151BC" w:rsidP="00A151BC">
      <w:pPr>
        <w:rPr>
          <w:rFonts w:eastAsia="Times New Roman" w:cs="Times New Roman"/>
          <w:kern w:val="0"/>
          <w:lang w:eastAsia="en-GB"/>
          <w14:ligatures w14:val="none"/>
        </w:rPr>
      </w:pPr>
      <w:r w:rsidRPr="007405FF">
        <w:rPr>
          <w:rFonts w:eastAsia="Times New Roman" w:cs="Times New Roman"/>
          <w:kern w:val="0"/>
          <w:lang w:eastAsia="en-GB"/>
          <w14:ligatures w14:val="none"/>
        </w:rPr>
        <w:t xml:space="preserve">The changing consumer expectations are imposing more and more pressure on the operations. Guests who are environmentally sensitive react </w:t>
      </w:r>
      <w:proofErr w:type="spellStart"/>
      <w:r w:rsidRPr="007405FF">
        <w:rPr>
          <w:rFonts w:eastAsia="Times New Roman" w:cs="Times New Roman"/>
          <w:kern w:val="0"/>
          <w:lang w:eastAsia="en-GB"/>
          <w14:ligatures w14:val="none"/>
        </w:rPr>
        <w:t>favorably</w:t>
      </w:r>
      <w:proofErr w:type="spellEnd"/>
      <w:r w:rsidRPr="007405FF">
        <w:rPr>
          <w:rFonts w:eastAsia="Times New Roman" w:cs="Times New Roman"/>
          <w:kern w:val="0"/>
          <w:lang w:eastAsia="en-GB"/>
          <w14:ligatures w14:val="none"/>
        </w:rPr>
        <w:t xml:space="preserve"> to seen waste-reduction measures like buffet redesigns, portion control, and sustainability communication and improve brand perception and loyalty (Hilton Stories, 2024). Donation partnerships have been integrated into hospitality organisations to redistribute leftover food, and the programmes have allocated thousands of meals to community organisations and enhanced the social value (Hilton Stories, 2024). The studies have indicated that sustainability messaging has the potential to attract environmentally conscious travellers and change behaviours when it comes to making a booking (</w:t>
      </w:r>
      <w:proofErr w:type="spellStart"/>
      <w:r w:rsidRPr="007405FF">
        <w:rPr>
          <w:rFonts w:eastAsia="Times New Roman" w:cs="Times New Roman"/>
          <w:kern w:val="0"/>
          <w:lang w:eastAsia="en-GB"/>
          <w14:ligatures w14:val="none"/>
        </w:rPr>
        <w:t>Filimonau</w:t>
      </w:r>
      <w:proofErr w:type="spellEnd"/>
      <w:r w:rsidRPr="007405FF">
        <w:rPr>
          <w:rFonts w:eastAsia="Times New Roman" w:cs="Times New Roman"/>
          <w:kern w:val="0"/>
          <w:lang w:eastAsia="en-GB"/>
          <w14:ligatures w14:val="none"/>
        </w:rPr>
        <w:t xml:space="preserve"> and </w:t>
      </w:r>
      <w:proofErr w:type="spellStart"/>
      <w:r w:rsidRPr="007405FF">
        <w:rPr>
          <w:rFonts w:eastAsia="Times New Roman" w:cs="Times New Roman"/>
          <w:kern w:val="0"/>
          <w:lang w:eastAsia="en-GB"/>
          <w14:ligatures w14:val="none"/>
        </w:rPr>
        <w:t>Delysia</w:t>
      </w:r>
      <w:proofErr w:type="spellEnd"/>
      <w:r w:rsidRPr="007405FF">
        <w:rPr>
          <w:rFonts w:eastAsia="Times New Roman" w:cs="Times New Roman"/>
          <w:kern w:val="0"/>
          <w:lang w:eastAsia="en-GB"/>
          <w14:ligatures w14:val="none"/>
        </w:rPr>
        <w:t>, 2019). These initiatives achieve brand equity and community relationships, but the empirical evidence on the UK in the long-term implications of customer satisfaction when used is not extensive. In addition, changes (including reduced portions) tend to be poorly communicated, and negative perceptions will occur when viewed as cost-cutting and not as sustainability actions, which emphasizes what strategic communication can do.</w:t>
      </w:r>
    </w:p>
    <w:p w14:paraId="0C9791C4" w14:textId="77777777" w:rsidR="00A151BC" w:rsidRPr="007405FF" w:rsidRDefault="00A151BC" w:rsidP="00A151BC">
      <w:pPr>
        <w:rPr>
          <w:rFonts w:eastAsia="Times New Roman" w:cs="Times New Roman"/>
          <w:b/>
          <w:kern w:val="0"/>
          <w:lang w:eastAsia="en-GB"/>
          <w14:ligatures w14:val="none"/>
        </w:rPr>
      </w:pPr>
      <w:r w:rsidRPr="007405FF">
        <w:rPr>
          <w:rFonts w:eastAsia="Times New Roman" w:cs="Times New Roman"/>
          <w:b/>
          <w:kern w:val="0"/>
          <w:lang w:eastAsia="en-GB"/>
          <w14:ligatures w14:val="none"/>
        </w:rPr>
        <w:t>Technological Factors</w:t>
      </w:r>
    </w:p>
    <w:p w14:paraId="2F2F3323" w14:textId="61538A6C" w:rsidR="00A151BC" w:rsidRPr="007405FF" w:rsidRDefault="00A151BC" w:rsidP="00A151BC">
      <w:pPr>
        <w:rPr>
          <w:rFonts w:eastAsia="Times New Roman" w:cs="Times New Roman"/>
          <w:kern w:val="0"/>
          <w:lang w:eastAsia="en-GB"/>
          <w14:ligatures w14:val="none"/>
        </w:rPr>
      </w:pPr>
      <w:r w:rsidRPr="007405FF">
        <w:rPr>
          <w:rFonts w:eastAsia="Times New Roman" w:cs="Times New Roman"/>
          <w:kern w:val="0"/>
          <w:lang w:eastAsia="en-GB"/>
          <w14:ligatures w14:val="none"/>
        </w:rPr>
        <w:t>One of the industry responses to the problem of waste reduction has been technological innovation. The AI-based monitoring systems can also enable kitchens to monitor the production and plate wastes in real-time, where information is used to make adjustments in portions and purchasing decisions. It is proved in the case that this type of interventions has the potential to decrease the number of waste in breakfast along with reducing emissions by over 60 percent (</w:t>
      </w:r>
      <w:proofErr w:type="spellStart"/>
      <w:r w:rsidRPr="007405FF">
        <w:rPr>
          <w:rFonts w:eastAsia="Times New Roman" w:cs="Times New Roman"/>
          <w:kern w:val="0"/>
          <w:lang w:eastAsia="en-GB"/>
          <w14:ligatures w14:val="none"/>
        </w:rPr>
        <w:t>Cejas</w:t>
      </w:r>
      <w:proofErr w:type="spellEnd"/>
      <w:r w:rsidRPr="007405FF">
        <w:rPr>
          <w:rFonts w:eastAsia="Times New Roman" w:cs="Times New Roman"/>
          <w:kern w:val="0"/>
          <w:lang w:eastAsia="en-GB"/>
          <w14:ligatures w14:val="none"/>
        </w:rPr>
        <w:t xml:space="preserve">, 2025; </w:t>
      </w:r>
      <w:proofErr w:type="spellStart"/>
      <w:r w:rsidRPr="007405FF">
        <w:rPr>
          <w:rFonts w:eastAsia="Times New Roman" w:cs="Times New Roman"/>
          <w:kern w:val="0"/>
          <w:lang w:eastAsia="en-GB"/>
          <w14:ligatures w14:val="none"/>
        </w:rPr>
        <w:t>Rande</w:t>
      </w:r>
      <w:proofErr w:type="spellEnd"/>
      <w:r w:rsidRPr="007405FF">
        <w:rPr>
          <w:rFonts w:eastAsia="Times New Roman" w:cs="Times New Roman"/>
          <w:kern w:val="0"/>
          <w:lang w:eastAsia="en-GB"/>
          <w14:ligatures w14:val="none"/>
        </w:rPr>
        <w:t>, 2025). These instruments exhibit high efficiency in transparency in operations as well as the improvement driven by data. However, a lack of coherent measurement systems and the perceptions of the returns on investments restricts its adoption (</w:t>
      </w:r>
      <w:proofErr w:type="spellStart"/>
      <w:r w:rsidRPr="007405FF">
        <w:rPr>
          <w:rFonts w:eastAsia="Times New Roman" w:cs="Times New Roman"/>
          <w:kern w:val="0"/>
          <w:lang w:eastAsia="en-GB"/>
          <w14:ligatures w14:val="none"/>
        </w:rPr>
        <w:t>Ezeanaka</w:t>
      </w:r>
      <w:proofErr w:type="spellEnd"/>
      <w:r w:rsidRPr="007405FF">
        <w:rPr>
          <w:rFonts w:eastAsia="Times New Roman" w:cs="Times New Roman"/>
          <w:kern w:val="0"/>
          <w:lang w:eastAsia="en-GB"/>
          <w14:ligatures w14:val="none"/>
        </w:rPr>
        <w:t xml:space="preserve"> and Tran, 2024). Technology on its own is not a solution to behavioural factors that cause wastes and thus complementary training and cultural change programs are essential. This can be exemplified by the behavioural nudge of 14.4% of plate waste reduction by means of signage and prompts, which may be contrasted with social-technical integration (</w:t>
      </w:r>
      <w:proofErr w:type="spellStart"/>
      <w:r w:rsidRPr="007405FF">
        <w:rPr>
          <w:rFonts w:eastAsia="Times New Roman" w:cs="Times New Roman"/>
          <w:kern w:val="0"/>
          <w:lang w:eastAsia="en-GB"/>
          <w14:ligatures w14:val="none"/>
        </w:rPr>
        <w:t>Antonschmidt</w:t>
      </w:r>
      <w:proofErr w:type="spellEnd"/>
      <w:r w:rsidRPr="007405FF">
        <w:rPr>
          <w:rFonts w:eastAsia="Times New Roman" w:cs="Times New Roman"/>
          <w:kern w:val="0"/>
          <w:lang w:eastAsia="en-GB"/>
          <w14:ligatures w14:val="none"/>
        </w:rPr>
        <w:t xml:space="preserve"> and Lund-</w:t>
      </w:r>
      <w:proofErr w:type="spellStart"/>
      <w:r w:rsidRPr="007405FF">
        <w:rPr>
          <w:rFonts w:eastAsia="Times New Roman" w:cs="Times New Roman"/>
          <w:kern w:val="0"/>
          <w:lang w:eastAsia="en-GB"/>
          <w14:ligatures w14:val="none"/>
        </w:rPr>
        <w:t>Durlacher</w:t>
      </w:r>
      <w:proofErr w:type="spellEnd"/>
      <w:r w:rsidRPr="007405FF">
        <w:rPr>
          <w:rFonts w:eastAsia="Times New Roman" w:cs="Times New Roman"/>
          <w:kern w:val="0"/>
          <w:lang w:eastAsia="en-GB"/>
          <w14:ligatures w14:val="none"/>
        </w:rPr>
        <w:t>, 2021).</w:t>
      </w:r>
    </w:p>
    <w:p w14:paraId="0E26A85C" w14:textId="77777777" w:rsidR="00A151BC" w:rsidRPr="007405FF" w:rsidRDefault="00A151BC" w:rsidP="00A151BC">
      <w:pPr>
        <w:rPr>
          <w:rFonts w:eastAsia="Times New Roman" w:cs="Times New Roman"/>
          <w:b/>
          <w:kern w:val="0"/>
          <w:lang w:eastAsia="en-GB"/>
          <w14:ligatures w14:val="none"/>
        </w:rPr>
      </w:pPr>
      <w:r w:rsidRPr="007405FF">
        <w:rPr>
          <w:rFonts w:eastAsia="Times New Roman" w:cs="Times New Roman"/>
          <w:b/>
          <w:kern w:val="0"/>
          <w:lang w:eastAsia="en-GB"/>
          <w14:ligatures w14:val="none"/>
        </w:rPr>
        <w:t>Legal Factors</w:t>
      </w:r>
    </w:p>
    <w:p w14:paraId="4D439BFE" w14:textId="77777777" w:rsidR="00A151BC" w:rsidRPr="007405FF" w:rsidRDefault="00A151BC" w:rsidP="00A151BC">
      <w:pPr>
        <w:rPr>
          <w:rFonts w:eastAsia="Times New Roman" w:cs="Times New Roman"/>
          <w:kern w:val="0"/>
          <w:lang w:eastAsia="en-GB"/>
          <w14:ligatures w14:val="none"/>
        </w:rPr>
      </w:pPr>
      <w:r w:rsidRPr="007405FF">
        <w:rPr>
          <w:rFonts w:eastAsia="Times New Roman" w:cs="Times New Roman"/>
          <w:kern w:val="0"/>
          <w:lang w:eastAsia="en-GB"/>
          <w14:ligatures w14:val="none"/>
        </w:rPr>
        <w:t>The organisational behaviour is affected by regulatory expectations on waste management and environmental reports. The waste management and environmental responsibility standpoints create a compliance concern to the hotels to oversee and minimize waste flows. Although compliance provides the minimum levels and reduces the reputational risk, the lack of consistent measurement procedures generates variations in reporting patterns. This undermines the ability to benchmark and comparability among the operators. Enhancing regulatory transparency might improve responsibility, but high regulatory burden would put a cost crunch on companies, especially smaller firms.</w:t>
      </w:r>
    </w:p>
    <w:p w14:paraId="7980B43D" w14:textId="512D2DD1" w:rsidR="00A151BC" w:rsidRPr="007405FF" w:rsidRDefault="00A151BC" w:rsidP="00A151BC">
      <w:pPr>
        <w:rPr>
          <w:rFonts w:eastAsia="Times New Roman" w:cs="Times New Roman"/>
          <w:b/>
          <w:kern w:val="0"/>
          <w:lang w:eastAsia="en-GB"/>
          <w14:ligatures w14:val="none"/>
        </w:rPr>
      </w:pPr>
      <w:r w:rsidRPr="007405FF">
        <w:rPr>
          <w:rFonts w:eastAsia="Times New Roman" w:cs="Times New Roman"/>
          <w:b/>
          <w:kern w:val="0"/>
          <w:lang w:eastAsia="en-GB"/>
          <w14:ligatures w14:val="none"/>
        </w:rPr>
        <w:t>Environmental Factors</w:t>
      </w:r>
    </w:p>
    <w:p w14:paraId="6F220F8D" w14:textId="34FACF3B" w:rsidR="00A151BC" w:rsidRPr="007405FF" w:rsidRDefault="00A151BC" w:rsidP="00A151BC">
      <w:pPr>
        <w:rPr>
          <w:rFonts w:eastAsia="Times New Roman" w:cs="Times New Roman"/>
          <w:kern w:val="0"/>
          <w:lang w:eastAsia="en-GB"/>
          <w14:ligatures w14:val="none"/>
        </w:rPr>
      </w:pPr>
      <w:r w:rsidRPr="007405FF">
        <w:rPr>
          <w:rFonts w:eastAsia="Times New Roman" w:cs="Times New Roman"/>
          <w:kern w:val="0"/>
          <w:lang w:eastAsia="en-GB"/>
          <w14:ligatures w14:val="none"/>
        </w:rPr>
        <w:t>The environmental consequences of food waste are also significant, such as emissions of decomposition of landfills, a sluggish approach to the consumption of water and energy sources. It is estimated that in the UK alone, some 18 million tonnes of CO 2 are emitted in wasted food and beverage per year (House of Commons Library, 2024). The Triple Bottom Line model focuses on the assessment of the sustainability efforts developed concerning the integration of environmental, economic, and social performance (</w:t>
      </w:r>
      <w:proofErr w:type="spellStart"/>
      <w:r w:rsidRPr="007405FF">
        <w:rPr>
          <w:rFonts w:eastAsia="Times New Roman" w:cs="Times New Roman"/>
          <w:kern w:val="0"/>
          <w:lang w:eastAsia="en-GB"/>
          <w14:ligatures w14:val="none"/>
        </w:rPr>
        <w:t>Elkington</w:t>
      </w:r>
      <w:proofErr w:type="spellEnd"/>
      <w:r w:rsidRPr="007405FF">
        <w:rPr>
          <w:rFonts w:eastAsia="Times New Roman" w:cs="Times New Roman"/>
          <w:kern w:val="0"/>
          <w:lang w:eastAsia="en-GB"/>
          <w14:ligatures w14:val="none"/>
        </w:rPr>
        <w:t xml:space="preserve">, 1994; </w:t>
      </w:r>
      <w:proofErr w:type="spellStart"/>
      <w:r w:rsidRPr="007405FF">
        <w:rPr>
          <w:rFonts w:eastAsia="Times New Roman" w:cs="Times New Roman"/>
          <w:kern w:val="0"/>
          <w:lang w:eastAsia="en-GB"/>
          <w14:ligatures w14:val="none"/>
        </w:rPr>
        <w:t>Nogueira</w:t>
      </w:r>
      <w:proofErr w:type="spellEnd"/>
      <w:r w:rsidRPr="007405FF">
        <w:rPr>
          <w:rFonts w:eastAsia="Times New Roman" w:cs="Times New Roman"/>
          <w:kern w:val="0"/>
          <w:lang w:eastAsia="en-GB"/>
          <w14:ligatures w14:val="none"/>
        </w:rPr>
        <w:t xml:space="preserve"> et al., 2023). The industries react, e.g. by means of waste tracking, menu redesign, as well as donation programs, to environmental damage but created cost savings and social benefits therefore demonstrating all three aspects. Nevertheless, the inconsistency of measurement norms and partial use undermines the cumulative effect on the environment.</w:t>
      </w:r>
    </w:p>
    <w:p w14:paraId="1DCCDBB2" w14:textId="77777777" w:rsidR="00A151BC" w:rsidRPr="007405FF" w:rsidRDefault="00A151BC" w:rsidP="00A151BC">
      <w:pPr>
        <w:rPr>
          <w:rFonts w:eastAsia="Times New Roman" w:cs="Times New Roman"/>
          <w:b/>
          <w:kern w:val="0"/>
          <w:lang w:eastAsia="en-GB"/>
          <w14:ligatures w14:val="none"/>
        </w:rPr>
      </w:pPr>
      <w:r w:rsidRPr="007405FF">
        <w:rPr>
          <w:rFonts w:eastAsia="Times New Roman" w:cs="Times New Roman"/>
          <w:b/>
          <w:kern w:val="0"/>
          <w:lang w:eastAsia="en-GB"/>
          <w14:ligatures w14:val="none"/>
        </w:rPr>
        <w:t>Critical Reflection</w:t>
      </w:r>
    </w:p>
    <w:p w14:paraId="1137FA0B" w14:textId="56AE2F50" w:rsidR="00326F97" w:rsidRPr="00F54119" w:rsidRDefault="00A151BC" w:rsidP="00A151BC">
      <w:r w:rsidRPr="007405FF">
        <w:rPr>
          <w:rFonts w:eastAsia="Times New Roman" w:cs="Times New Roman"/>
          <w:kern w:val="0"/>
          <w:lang w:eastAsia="en-GB"/>
          <w14:ligatures w14:val="none"/>
        </w:rPr>
        <w:t>Using PESTLE analysis, the implementation of food waste in the UK hospitality industry has occurred through viable yet unequal steps. Some of the existing strengths, which are easy to identify, are collaborative efforts, technological advances, and interaction with consumers, which help to become sustainable and enhance operations. Nevertheless, issues exist: independence of measurement is poor, and adoption varies by the independent and chain operators, and the industry continues to be large on the voluntary models. The tools of analysis and behavioural interventions emphasize the necessity of global approaches, and the Triple Bottom Line approach makes it clear that environmental, economic, and social factors are interdependent (</w:t>
      </w:r>
      <w:proofErr w:type="spellStart"/>
      <w:r w:rsidRPr="007405FF">
        <w:rPr>
          <w:rFonts w:eastAsia="Times New Roman" w:cs="Times New Roman"/>
          <w:kern w:val="0"/>
          <w:lang w:eastAsia="en-GB"/>
          <w14:ligatures w14:val="none"/>
        </w:rPr>
        <w:t>Nogueira</w:t>
      </w:r>
      <w:proofErr w:type="spellEnd"/>
      <w:r w:rsidRPr="007405FF">
        <w:rPr>
          <w:rFonts w:eastAsia="Times New Roman" w:cs="Times New Roman"/>
          <w:kern w:val="0"/>
          <w:lang w:eastAsia="en-GB"/>
          <w14:ligatures w14:val="none"/>
        </w:rPr>
        <w:t xml:space="preserve"> et al., 2023). In general, industry reactions can be characterized as ever more committed, but more robust, standardisation, clear regulation and solid capacity-building are needed to optimize the performance. This discussion provides a systematic basis on the governance, efficiency and cost of operations, and stakeholder involvement recommendations.</w:t>
      </w:r>
    </w:p>
    <w:p w14:paraId="2B803B52" w14:textId="77777777" w:rsidR="00DB5C20" w:rsidRPr="00F54119" w:rsidRDefault="00DB5C20" w:rsidP="00DB5C20">
      <w:pPr>
        <w:pStyle w:val="Heading1"/>
        <w:rPr>
          <w:lang w:val="en-US"/>
        </w:rPr>
      </w:pPr>
      <w:bookmarkStart w:id="11" w:name="_Toc221106201"/>
      <w:r w:rsidRPr="00F54119">
        <w:rPr>
          <w:lang w:val="en-US"/>
        </w:rPr>
        <w:t>Conclusion</w:t>
      </w:r>
      <w:bookmarkEnd w:id="11"/>
    </w:p>
    <w:p w14:paraId="7D8C9DFC" w14:textId="5B9D859F" w:rsidR="00EE3F43" w:rsidRPr="00F54119" w:rsidRDefault="00EE3F43" w:rsidP="00EE3F43">
      <w:pPr>
        <w:rPr>
          <w:b/>
        </w:rPr>
      </w:pPr>
      <w:r w:rsidRPr="00F54119">
        <w:t>This study validates the fact that food waste in hospitality business has a far-reaching implication on the degree of environmental sustainability, operational efficiency and organisational image. These results prove that there are different reduction strategies, but their implementation should be based on technological integration, managerial commitment, and stakeholder behaviour. Having achieved the above-mentioned goals, which are to investigate environmental and economic effects, to observe how good reduction methods can be introduced up to date and to evaluate how the guests view the concept of sustainable food-waste practises, the research allows pointing out that the management of the given aspect is not only an ethical requirement of the industry but also the strategic prerequisite of remaining competitive in the long term and acting in a environmentally responsible way.</w:t>
      </w:r>
    </w:p>
    <w:p w14:paraId="05027FC2" w14:textId="7D3F3978" w:rsidR="00DB5C20" w:rsidRPr="00F54119" w:rsidRDefault="00DB5C20" w:rsidP="00DB5C20">
      <w:pPr>
        <w:pStyle w:val="Heading1"/>
        <w:rPr>
          <w:lang w:val="en-US"/>
        </w:rPr>
      </w:pPr>
      <w:bookmarkStart w:id="12" w:name="_Toc221106202"/>
      <w:r w:rsidRPr="00F54119">
        <w:rPr>
          <w:lang w:val="en-US"/>
        </w:rPr>
        <w:t>Recommendations</w:t>
      </w:r>
      <w:bookmarkEnd w:id="12"/>
    </w:p>
    <w:p w14:paraId="44DB66AB" w14:textId="369CF1E3" w:rsidR="00EE3F43" w:rsidRPr="00F54119" w:rsidRDefault="00EE3F43" w:rsidP="00EE3F43">
      <w:r w:rsidRPr="00F54119">
        <w:t>The adoption of digital systems that track food-waste and manage inventory is the highest-priority general recommendation since the implementation has high impact and fairly elevated feasibility. Even though preliminary software and training expenses are moderate, research studies indicate that financial payback is quick in nature due to decreased over-purchasing and disposal cost (</w:t>
      </w:r>
      <w:proofErr w:type="spellStart"/>
      <w:r w:rsidRPr="00F54119">
        <w:t>Cejas</w:t>
      </w:r>
      <w:proofErr w:type="spellEnd"/>
      <w:r w:rsidRPr="00F54119">
        <w:t>, 2025). The long-term goals of the hotels include reaching a 20-30% decrease in the volume of waste in the first year, a specific quarterly cost reduction, and better accuracy of stocks. The cost benefit ratio is favourable since in the long term the cost of operation efficiencies tend to be higher than the cost of investment within a short period.</w:t>
      </w:r>
    </w:p>
    <w:p w14:paraId="4BEBDFF6" w14:textId="3DF865FC" w:rsidR="00EE3F43" w:rsidRPr="00F54119" w:rsidRDefault="00EE3F43" w:rsidP="00EE3F43">
      <w:r w:rsidRPr="00F54119">
        <w:t>Operational redesign measures such as redesigning portions, flexible menu planning, and redesigning buffet designs should be the second priority. These plans do not cost much in terms of money yet they have direct and visible results. Some of the benefits are reduced preparation costs, lower expenditure on ingredients and an increased efficiency in kitchen</w:t>
      </w:r>
      <w:r w:rsidRPr="00F54119">
        <w:rPr>
          <w:lang w:val="en-US"/>
        </w:rPr>
        <w:t xml:space="preserve"> </w:t>
      </w:r>
      <w:r w:rsidRPr="00F54119">
        <w:t>(</w:t>
      </w:r>
      <w:proofErr w:type="spellStart"/>
      <w:r w:rsidRPr="00F54119">
        <w:t>Talukder</w:t>
      </w:r>
      <w:proofErr w:type="spellEnd"/>
      <w:r w:rsidRPr="00F54119">
        <w:t>, Das and Kumar, 2025). The changes that could be measured can be a 10-15% reduction of the overproduction every day and observable changes in plate wastes. These interventions are also applicable to both large hotels and small ones because these interventions are based more on procedural change than technology and thus they can be implemented with high levels of feasibility within short durations</w:t>
      </w:r>
      <w:r w:rsidR="004D4DC0" w:rsidRPr="00F54119">
        <w:rPr>
          <w:lang w:val="en-US"/>
        </w:rPr>
        <w:t xml:space="preserve">. </w:t>
      </w:r>
    </w:p>
    <w:p w14:paraId="32FBB9D5" w14:textId="4EB9134C" w:rsidR="00EE3F43" w:rsidRPr="00F54119" w:rsidRDefault="00EE3F43" w:rsidP="00EE3F43">
      <w:pPr>
        <w:rPr>
          <w:lang w:val="en-US"/>
        </w:rPr>
      </w:pPr>
      <w:r w:rsidRPr="00F54119">
        <w:t>The third priority includes training and behavioural change programmes of the staff. The financial cost is rather cheap but the effect is long-term and depends on consistency. Operational discipline and accountability may be improved through gradual training sessions on the storage practises and waste segregation and sustainability awareness (</w:t>
      </w:r>
      <w:proofErr w:type="spellStart"/>
      <w:r w:rsidRPr="00F54119">
        <w:t>Silayo</w:t>
      </w:r>
      <w:proofErr w:type="spellEnd"/>
      <w:r w:rsidRPr="00F54119">
        <w:t xml:space="preserve">, January and </w:t>
      </w:r>
      <w:proofErr w:type="spellStart"/>
      <w:r w:rsidRPr="00F54119">
        <w:t>Kulwijila</w:t>
      </w:r>
      <w:proofErr w:type="spellEnd"/>
      <w:r w:rsidRPr="00F54119">
        <w:t>, 2025). The discussion of cost benefits, in this context, focuses on the increased productivity and the minimised loss of materials instead of the technological savings in this area. The improvement in the monthly waste-audit outcomes and the adherence rate can be used as the outcomes to evidence the incremental, but sustainable change</w:t>
      </w:r>
      <w:r w:rsidR="004D4DC0" w:rsidRPr="00F54119">
        <w:rPr>
          <w:lang w:val="en-US"/>
        </w:rPr>
        <w:t xml:space="preserve">. </w:t>
      </w:r>
    </w:p>
    <w:p w14:paraId="63C2B59F" w14:textId="6BF4EF34" w:rsidR="004D4DC0" w:rsidRPr="00F54119" w:rsidRDefault="00EE3F43" w:rsidP="004D4DC0">
      <w:r w:rsidRPr="00F54119">
        <w:t>Lastly, food-donation programmes and composting programmes must be established as secondary measures. Their immediate monetization may be lesser than technological solutions, but they are corresponding to high levels of social and reputational returns that boost the brand image and trust of stakeholders (</w:t>
      </w:r>
      <w:proofErr w:type="spellStart"/>
      <w:r w:rsidRPr="00F54119">
        <w:t>Puga</w:t>
      </w:r>
      <w:proofErr w:type="spellEnd"/>
      <w:r w:rsidRPr="00F54119">
        <w:t xml:space="preserve">-Gonzalez et al., 2025; </w:t>
      </w:r>
      <w:proofErr w:type="spellStart"/>
      <w:r w:rsidRPr="00F54119">
        <w:t>Kholijah</w:t>
      </w:r>
      <w:proofErr w:type="spellEnd"/>
      <w:r w:rsidRPr="00F54119">
        <w:t>, 2024)</w:t>
      </w:r>
      <w:r w:rsidRPr="00F54119">
        <w:rPr>
          <w:lang w:val="en-US"/>
        </w:rPr>
        <w:t>.</w:t>
      </w:r>
      <w:r w:rsidRPr="00F54119">
        <w:t xml:space="preserve"> The outcomes that are to be measured consist of a low rate of landfill donations, a high rate of community participation measures, and high level of customer satisfaction score.</w:t>
      </w:r>
      <w:r w:rsidR="004D4DC0" w:rsidRPr="00F54119">
        <w:rPr>
          <w:lang w:val="en-US"/>
        </w:rPr>
        <w:t xml:space="preserve"> </w:t>
      </w:r>
    </w:p>
    <w:p w14:paraId="3FBE721F" w14:textId="77777777" w:rsidR="004C54BE" w:rsidRPr="00F54119" w:rsidRDefault="004C54BE">
      <w:pPr>
        <w:spacing w:line="278" w:lineRule="auto"/>
        <w:jc w:val="left"/>
        <w:rPr>
          <w:lang w:val="en-US"/>
        </w:rPr>
      </w:pPr>
      <w:r w:rsidRPr="00F54119">
        <w:rPr>
          <w:lang w:val="en-US"/>
        </w:rPr>
        <w:br w:type="page"/>
      </w:r>
    </w:p>
    <w:p w14:paraId="082CF58B" w14:textId="77777777" w:rsidR="004C54BE" w:rsidRPr="00F54119" w:rsidRDefault="004C54BE" w:rsidP="004C54BE">
      <w:pPr>
        <w:pStyle w:val="Heading1"/>
      </w:pPr>
      <w:bookmarkStart w:id="13" w:name="_Toc221106203"/>
      <w:r w:rsidRPr="00F54119">
        <w:t>References</w:t>
      </w:r>
      <w:bookmarkEnd w:id="13"/>
    </w:p>
    <w:p w14:paraId="3FD486A6" w14:textId="77777777" w:rsidR="00AF2FA5" w:rsidRPr="00F54119" w:rsidRDefault="00AF2FA5" w:rsidP="00AF2FA5">
      <w:pPr>
        <w:ind w:left="720" w:hanging="720"/>
      </w:pPr>
      <w:proofErr w:type="spellStart"/>
      <w:r w:rsidRPr="00F54119">
        <w:t>Antonschmidt</w:t>
      </w:r>
      <w:proofErr w:type="spellEnd"/>
      <w:r w:rsidRPr="00F54119">
        <w:t>, H., and Lund-</w:t>
      </w:r>
      <w:proofErr w:type="spellStart"/>
      <w:r w:rsidRPr="00F54119">
        <w:t>Durlacher</w:t>
      </w:r>
      <w:proofErr w:type="spellEnd"/>
      <w:r w:rsidRPr="00F54119">
        <w:t>, D. (2021). Stimulating food waste reduction behaviour among hotel guests through context manipulation. </w:t>
      </w:r>
      <w:r w:rsidRPr="00F54119">
        <w:rPr>
          <w:i/>
          <w:iCs/>
        </w:rPr>
        <w:t>Journal of Cleaner Production</w:t>
      </w:r>
      <w:r w:rsidRPr="00F54119">
        <w:t>, </w:t>
      </w:r>
      <w:r w:rsidRPr="00F54119">
        <w:rPr>
          <w:i/>
          <w:iCs/>
        </w:rPr>
        <w:t>329</w:t>
      </w:r>
      <w:r w:rsidRPr="00F54119">
        <w:t>, 129709.</w:t>
      </w:r>
    </w:p>
    <w:p w14:paraId="573E6E23" w14:textId="77777777" w:rsidR="00AF2FA5" w:rsidRPr="00F54119" w:rsidRDefault="00AF2FA5" w:rsidP="004C54BE">
      <w:pPr>
        <w:ind w:left="720" w:hanging="720"/>
      </w:pPr>
      <w:r w:rsidRPr="00F54119">
        <w:t xml:space="preserve">Bhatia, L., </w:t>
      </w:r>
      <w:proofErr w:type="spellStart"/>
      <w:r w:rsidRPr="00F54119">
        <w:t>Jha</w:t>
      </w:r>
      <w:proofErr w:type="spellEnd"/>
      <w:r w:rsidRPr="00F54119">
        <w:t xml:space="preserve">, H., Sarkar, T. and Sarangi, P.K. (2023). Food Waste Utilization for Reducing Carbon Footprints towards Sustainable and Cleaner Environment: A Review. </w:t>
      </w:r>
      <w:r w:rsidRPr="00F54119">
        <w:rPr>
          <w:i/>
          <w:iCs/>
        </w:rPr>
        <w:t>International Journal of Environmental Research and Public Health</w:t>
      </w:r>
      <w:r w:rsidRPr="00F54119">
        <w:t xml:space="preserve">, 20(3), p.2318. </w:t>
      </w:r>
      <w:proofErr w:type="spellStart"/>
      <w:r w:rsidRPr="00F54119">
        <w:t>doi:https</w:t>
      </w:r>
      <w:proofErr w:type="spellEnd"/>
      <w:r w:rsidRPr="00F54119">
        <w:t>://doi.org/10.3390/ijerph20032318.</w:t>
      </w:r>
    </w:p>
    <w:p w14:paraId="11141AC5" w14:textId="77777777" w:rsidR="00AF2FA5" w:rsidRPr="00F54119" w:rsidRDefault="00AF2FA5" w:rsidP="00AF2FA5">
      <w:pPr>
        <w:ind w:left="720" w:hanging="720"/>
      </w:pPr>
      <w:r w:rsidRPr="00F54119">
        <w:t xml:space="preserve">Business Waste. (2025) Hotel Waste Statistics. Available at: </w:t>
      </w:r>
      <w:hyperlink r:id="rId8" w:history="1">
        <w:r w:rsidRPr="00F54119">
          <w:rPr>
            <w:rStyle w:val="Hyperlink"/>
          </w:rPr>
          <w:t>https://www.businesswaste.co.uk/waste-facts/hotel-waste-statistics</w:t>
        </w:r>
      </w:hyperlink>
      <w:r w:rsidRPr="00F54119">
        <w:t xml:space="preserve"> (Accessed on: 2</w:t>
      </w:r>
      <w:r w:rsidRPr="00F54119">
        <w:rPr>
          <w:vertAlign w:val="superscript"/>
        </w:rPr>
        <w:t>nd</w:t>
      </w:r>
      <w:r w:rsidRPr="00F54119">
        <w:t xml:space="preserve"> February 2026)</w:t>
      </w:r>
    </w:p>
    <w:p w14:paraId="4B53BA2D" w14:textId="77777777" w:rsidR="00AF2FA5" w:rsidRPr="00F54119" w:rsidRDefault="00AF2FA5" w:rsidP="00AF2FA5">
      <w:pPr>
        <w:ind w:left="720" w:hanging="720"/>
      </w:pPr>
      <w:r w:rsidRPr="00F54119">
        <w:t xml:space="preserve">CE-Hub. (2024) Hospitality Spotlight Report: Accelerating circular economy adoption. Available at: </w:t>
      </w:r>
      <w:hyperlink r:id="rId9" w:history="1">
        <w:r w:rsidRPr="00F54119">
          <w:rPr>
            <w:rStyle w:val="Hyperlink"/>
          </w:rPr>
          <w:t>https://ce-hub.org/wp-content/uploads/2024/09/CE-Hub-Hospitality-Report-2024.pdf</w:t>
        </w:r>
      </w:hyperlink>
      <w:r w:rsidRPr="00F54119">
        <w:t xml:space="preserve"> (Accessed on: 2</w:t>
      </w:r>
      <w:r w:rsidRPr="00F54119">
        <w:rPr>
          <w:vertAlign w:val="superscript"/>
        </w:rPr>
        <w:t>nd</w:t>
      </w:r>
      <w:r w:rsidRPr="00F54119">
        <w:t xml:space="preserve"> February 2026)</w:t>
      </w:r>
    </w:p>
    <w:p w14:paraId="661A3C8B" w14:textId="77777777" w:rsidR="00AF2FA5" w:rsidRPr="00F54119" w:rsidRDefault="00AF2FA5" w:rsidP="004C54BE">
      <w:pPr>
        <w:ind w:left="720" w:hanging="720"/>
      </w:pPr>
      <w:proofErr w:type="spellStart"/>
      <w:r w:rsidRPr="00F54119">
        <w:t>Cejas</w:t>
      </w:r>
      <w:proofErr w:type="spellEnd"/>
      <w:r w:rsidRPr="00F54119">
        <w:t xml:space="preserve">, R. (2025). Food Waste Reduction AI Technologies in Restaurant Management: An MS-TORO Approach. </w:t>
      </w:r>
      <w:r w:rsidRPr="00F54119">
        <w:rPr>
          <w:i/>
          <w:iCs/>
        </w:rPr>
        <w:t>Processes</w:t>
      </w:r>
      <w:r w:rsidRPr="00F54119">
        <w:t xml:space="preserve">, 13(8), pp.2419–2419. </w:t>
      </w:r>
      <w:proofErr w:type="spellStart"/>
      <w:r w:rsidRPr="00F54119">
        <w:t>doi:https</w:t>
      </w:r>
      <w:proofErr w:type="spellEnd"/>
      <w:r w:rsidRPr="00F54119">
        <w:t>://doi.org/10.3390/pr13082419.</w:t>
      </w:r>
    </w:p>
    <w:p w14:paraId="1791856D" w14:textId="77777777" w:rsidR="00AF2FA5" w:rsidRPr="00F54119" w:rsidRDefault="00AF2FA5" w:rsidP="004C54BE">
      <w:pPr>
        <w:ind w:left="720" w:hanging="720"/>
      </w:pPr>
      <w:r w:rsidRPr="00F54119">
        <w:t xml:space="preserve">Ding, L. (2022). The effects of self-efficacy and collective efficacy on customer food waste reduction intention: the mediating role of ethical judgment. </w:t>
      </w:r>
      <w:r w:rsidRPr="00F54119">
        <w:rPr>
          <w:i/>
          <w:iCs/>
        </w:rPr>
        <w:t>Journal of Hospitality and Tourism Insights</w:t>
      </w:r>
      <w:r w:rsidRPr="00F54119">
        <w:t xml:space="preserve">. </w:t>
      </w:r>
      <w:proofErr w:type="spellStart"/>
      <w:r w:rsidRPr="00F54119">
        <w:t>doi:https</w:t>
      </w:r>
      <w:proofErr w:type="spellEnd"/>
      <w:r w:rsidRPr="00F54119">
        <w:t>://doi.org/10.1108/jhti-07-2021-0168.</w:t>
      </w:r>
    </w:p>
    <w:p w14:paraId="44B873C6" w14:textId="77777777" w:rsidR="00AF2FA5" w:rsidRPr="00F54119" w:rsidRDefault="00AF2FA5" w:rsidP="00AF2FA5">
      <w:pPr>
        <w:ind w:left="720" w:hanging="720"/>
      </w:pPr>
      <w:proofErr w:type="spellStart"/>
      <w:r w:rsidRPr="00F54119">
        <w:t>Ezeanaka</w:t>
      </w:r>
      <w:proofErr w:type="spellEnd"/>
      <w:r w:rsidRPr="00F54119">
        <w:t>, C., and Tran, T. H. (2024). Reducing Food Loss and Waste in the Hospitality and Food Service Sector: A Design Thinking Approach. </w:t>
      </w:r>
      <w:r w:rsidRPr="00F54119">
        <w:rPr>
          <w:i/>
          <w:iCs/>
        </w:rPr>
        <w:t>Highlights of Sustainability</w:t>
      </w:r>
      <w:r w:rsidRPr="00F54119">
        <w:t>, </w:t>
      </w:r>
      <w:r w:rsidRPr="00F54119">
        <w:rPr>
          <w:i/>
          <w:iCs/>
        </w:rPr>
        <w:t>3</w:t>
      </w:r>
      <w:r w:rsidRPr="00F54119">
        <w:t>(4), 374-393.</w:t>
      </w:r>
    </w:p>
    <w:p w14:paraId="733E5036" w14:textId="77777777" w:rsidR="00AF2FA5" w:rsidRPr="00F54119" w:rsidRDefault="00AF2FA5" w:rsidP="00AF2FA5">
      <w:pPr>
        <w:ind w:left="720" w:hanging="720"/>
      </w:pPr>
      <w:proofErr w:type="spellStart"/>
      <w:r w:rsidRPr="00F54119">
        <w:t>Filimonau</w:t>
      </w:r>
      <w:proofErr w:type="spellEnd"/>
      <w:r w:rsidRPr="00F54119">
        <w:t xml:space="preserve">, V., and </w:t>
      </w:r>
      <w:proofErr w:type="spellStart"/>
      <w:r w:rsidRPr="00F54119">
        <w:t>Delysia</w:t>
      </w:r>
      <w:proofErr w:type="spellEnd"/>
      <w:r w:rsidRPr="00F54119">
        <w:t>, A. (2019). Food waste management in hospitality operations: A critical review. </w:t>
      </w:r>
      <w:r w:rsidRPr="00F54119">
        <w:rPr>
          <w:i/>
          <w:iCs/>
        </w:rPr>
        <w:t>Tourism management</w:t>
      </w:r>
      <w:r w:rsidRPr="00F54119">
        <w:t>, </w:t>
      </w:r>
      <w:r w:rsidRPr="00F54119">
        <w:rPr>
          <w:i/>
          <w:iCs/>
        </w:rPr>
        <w:t>71</w:t>
      </w:r>
      <w:r w:rsidRPr="00F54119">
        <w:t>, 234-245.</w:t>
      </w:r>
    </w:p>
    <w:p w14:paraId="38982D4A" w14:textId="77777777" w:rsidR="00AF2FA5" w:rsidRPr="00F54119" w:rsidRDefault="00AF2FA5" w:rsidP="00AF2FA5">
      <w:pPr>
        <w:ind w:left="720" w:hanging="720"/>
      </w:pPr>
      <w:r w:rsidRPr="00F54119">
        <w:t xml:space="preserve">Food Hygiene Certificate. (2026) Food Waste Statistics in the UK: 2026 Facts, Data &amp; Key Insights. Available at: </w:t>
      </w:r>
      <w:hyperlink r:id="rId10" w:history="1">
        <w:r w:rsidRPr="00F54119">
          <w:rPr>
            <w:rStyle w:val="Hyperlink"/>
          </w:rPr>
          <w:t>https://www.foodhygienecertificate.co.uk/food-waste-statistics-uk</w:t>
        </w:r>
      </w:hyperlink>
      <w:r w:rsidRPr="00F54119">
        <w:t xml:space="preserve"> (Accessed on: 2</w:t>
      </w:r>
      <w:r w:rsidRPr="00F54119">
        <w:rPr>
          <w:vertAlign w:val="superscript"/>
        </w:rPr>
        <w:t>nd</w:t>
      </w:r>
      <w:r w:rsidRPr="00F54119">
        <w:t xml:space="preserve"> February 2026)</w:t>
      </w:r>
    </w:p>
    <w:p w14:paraId="410E4B85" w14:textId="77777777" w:rsidR="00AF2FA5" w:rsidRPr="00F54119" w:rsidRDefault="00AF2FA5" w:rsidP="004C54BE">
      <w:pPr>
        <w:ind w:left="720" w:hanging="720"/>
      </w:pPr>
      <w:proofErr w:type="spellStart"/>
      <w:r w:rsidRPr="00F54119">
        <w:t>Goffi</w:t>
      </w:r>
      <w:proofErr w:type="spellEnd"/>
      <w:r w:rsidRPr="00F54119">
        <w:t xml:space="preserve">, G., </w:t>
      </w:r>
      <w:proofErr w:type="spellStart"/>
      <w:r w:rsidRPr="00F54119">
        <w:t>Masiero</w:t>
      </w:r>
      <w:proofErr w:type="spellEnd"/>
      <w:r w:rsidRPr="00F54119">
        <w:t xml:space="preserve">, L. and </w:t>
      </w:r>
      <w:proofErr w:type="spellStart"/>
      <w:r w:rsidRPr="00F54119">
        <w:t>Pencarelli</w:t>
      </w:r>
      <w:proofErr w:type="spellEnd"/>
      <w:r w:rsidRPr="00F54119">
        <w:t xml:space="preserve">, T. (2021). Corporate social responsibility and performances of firms operating in the tourism and hospitality industry. </w:t>
      </w:r>
      <w:r w:rsidRPr="00F54119">
        <w:rPr>
          <w:i/>
          <w:iCs/>
        </w:rPr>
        <w:t>The TQM Journal</w:t>
      </w:r>
      <w:r w:rsidRPr="00F54119">
        <w:t xml:space="preserve">, 34(6). </w:t>
      </w:r>
      <w:proofErr w:type="spellStart"/>
      <w:r w:rsidRPr="00F54119">
        <w:t>doi:https</w:t>
      </w:r>
      <w:proofErr w:type="spellEnd"/>
      <w:r w:rsidRPr="00F54119">
        <w:t>://doi.org/10.1108/tqm-06-2021-0166.</w:t>
      </w:r>
    </w:p>
    <w:p w14:paraId="5C740CC6" w14:textId="77777777" w:rsidR="00AF2FA5" w:rsidRPr="00F54119" w:rsidRDefault="00AF2FA5" w:rsidP="00AF2FA5">
      <w:pPr>
        <w:ind w:left="720" w:hanging="720"/>
      </w:pPr>
      <w:r w:rsidRPr="00F54119">
        <w:t xml:space="preserve">Hilton Stories. (2024) Hilton Launches Zero Waste Menus Across Flagship UK Hotels. Available at: </w:t>
      </w:r>
      <w:hyperlink r:id="rId11" w:history="1">
        <w:r w:rsidRPr="00F54119">
          <w:rPr>
            <w:rStyle w:val="Hyperlink"/>
          </w:rPr>
          <w:t>https://stories.hilton.com/emea/sustainability/hilton-launches-zero-waste-menus-across-flagship-uk-hotels</w:t>
        </w:r>
      </w:hyperlink>
      <w:r w:rsidRPr="00F54119">
        <w:t xml:space="preserve"> (Accessed on: 2</w:t>
      </w:r>
      <w:r w:rsidRPr="00F54119">
        <w:rPr>
          <w:vertAlign w:val="superscript"/>
        </w:rPr>
        <w:t>nd</w:t>
      </w:r>
      <w:r w:rsidRPr="00F54119">
        <w:t xml:space="preserve"> February 2026)</w:t>
      </w:r>
    </w:p>
    <w:p w14:paraId="6B1AF180" w14:textId="77777777" w:rsidR="00AF2FA5" w:rsidRPr="00F54119" w:rsidRDefault="00AF2FA5" w:rsidP="00AF2FA5">
      <w:pPr>
        <w:ind w:left="720" w:hanging="720"/>
      </w:pPr>
      <w:r w:rsidRPr="00F54119">
        <w:t xml:space="preserve">House of Commons Library. (2024) Food waste in the UK. Available at: </w:t>
      </w:r>
      <w:hyperlink r:id="rId12" w:history="1">
        <w:r w:rsidRPr="00F54119">
          <w:rPr>
            <w:rStyle w:val="Hyperlink"/>
          </w:rPr>
          <w:t>https://researchbriefings.files.parliament.uk/documents/CBP-7552/CBP-7552.pdf</w:t>
        </w:r>
      </w:hyperlink>
      <w:r w:rsidRPr="00F54119">
        <w:t xml:space="preserve"> (Accessed on: 2</w:t>
      </w:r>
      <w:r w:rsidRPr="00F54119">
        <w:rPr>
          <w:vertAlign w:val="superscript"/>
        </w:rPr>
        <w:t>nd</w:t>
      </w:r>
      <w:r w:rsidRPr="00F54119">
        <w:t xml:space="preserve"> February 2026)</w:t>
      </w:r>
    </w:p>
    <w:p w14:paraId="03AFB915" w14:textId="77777777" w:rsidR="00AF2FA5" w:rsidRPr="00F54119" w:rsidRDefault="00AF2FA5" w:rsidP="004C54BE">
      <w:pPr>
        <w:ind w:left="720" w:hanging="720"/>
      </w:pPr>
      <w:r w:rsidRPr="00F54119">
        <w:t xml:space="preserve">Jang, H.-W. and Lee, S.-B. (2022). Protection Motivation and Food Waste Reduction Strategies. </w:t>
      </w:r>
      <w:r w:rsidRPr="00F54119">
        <w:rPr>
          <w:i/>
          <w:iCs/>
        </w:rPr>
        <w:t>Sustainability</w:t>
      </w:r>
      <w:r w:rsidRPr="00F54119">
        <w:t xml:space="preserve">, 14(3), p.1861. </w:t>
      </w:r>
      <w:proofErr w:type="spellStart"/>
      <w:r w:rsidRPr="00F54119">
        <w:t>doi:https</w:t>
      </w:r>
      <w:proofErr w:type="spellEnd"/>
      <w:r w:rsidRPr="00F54119">
        <w:t>://doi.org/10.3390/su14031861.</w:t>
      </w:r>
    </w:p>
    <w:p w14:paraId="075C1E98" w14:textId="77777777" w:rsidR="00AF2FA5" w:rsidRPr="00F54119" w:rsidRDefault="00AF2FA5" w:rsidP="004C54BE">
      <w:pPr>
        <w:ind w:left="720" w:hanging="720"/>
      </w:pPr>
      <w:proofErr w:type="spellStart"/>
      <w:r w:rsidRPr="00F54119">
        <w:t>Khatter</w:t>
      </w:r>
      <w:proofErr w:type="spellEnd"/>
      <w:r w:rsidRPr="00F54119">
        <w:t xml:space="preserve">, A. (2023). Challenges and Solutions for Environmental Sustainability in the Hospitality Sector. </w:t>
      </w:r>
      <w:r w:rsidRPr="00F54119">
        <w:rPr>
          <w:i/>
          <w:iCs/>
        </w:rPr>
        <w:t>Sustainability</w:t>
      </w:r>
      <w:r w:rsidRPr="00F54119">
        <w:t xml:space="preserve">, [online] 15(15), pp.11491–11491. </w:t>
      </w:r>
      <w:proofErr w:type="spellStart"/>
      <w:r w:rsidRPr="00F54119">
        <w:t>doi:https</w:t>
      </w:r>
      <w:proofErr w:type="spellEnd"/>
      <w:r w:rsidRPr="00F54119">
        <w:t>://doi.org/10.3390/su151511491.</w:t>
      </w:r>
    </w:p>
    <w:p w14:paraId="740E5707" w14:textId="77777777" w:rsidR="00AF2FA5" w:rsidRPr="00F54119" w:rsidRDefault="00AF2FA5" w:rsidP="004C54BE">
      <w:pPr>
        <w:ind w:left="720" w:hanging="720"/>
      </w:pPr>
      <w:proofErr w:type="spellStart"/>
      <w:r w:rsidRPr="00F54119">
        <w:t>Kholijah</w:t>
      </w:r>
      <w:proofErr w:type="spellEnd"/>
      <w:r w:rsidRPr="00F54119">
        <w:t xml:space="preserve">, S. (2024). Analysis of Economic and Environmental Benefits of Green Business Practices in the Hospitality and Tourism Sector. </w:t>
      </w:r>
      <w:r w:rsidRPr="00F54119">
        <w:rPr>
          <w:i/>
          <w:iCs/>
        </w:rPr>
        <w:t>Involvement International Journal of Business</w:t>
      </w:r>
      <w:r w:rsidRPr="00F54119">
        <w:t xml:space="preserve">, 1(1), pp.60–74. </w:t>
      </w:r>
      <w:proofErr w:type="spellStart"/>
      <w:r w:rsidRPr="00F54119">
        <w:t>doi:https</w:t>
      </w:r>
      <w:proofErr w:type="spellEnd"/>
      <w:r w:rsidRPr="00F54119">
        <w:t>://doi.org/10.62569/iijb.v1i1.7.</w:t>
      </w:r>
    </w:p>
    <w:p w14:paraId="652D8F04" w14:textId="77777777" w:rsidR="00AF2FA5" w:rsidRPr="00F54119" w:rsidRDefault="00AF2FA5" w:rsidP="004C54BE">
      <w:pPr>
        <w:ind w:left="720" w:hanging="720"/>
      </w:pPr>
      <w:r w:rsidRPr="00F54119">
        <w:t xml:space="preserve">Lin, M.S., Shin, H.H. and Shin, S. (2024). The economic impacts of information and communication technologies in the tourism and hospitality industry: A systematic review of the literature. </w:t>
      </w:r>
      <w:r w:rsidRPr="00F54119">
        <w:rPr>
          <w:i/>
          <w:iCs/>
        </w:rPr>
        <w:t>Tourism economics</w:t>
      </w:r>
      <w:r w:rsidRPr="00F54119">
        <w:t xml:space="preserve">. </w:t>
      </w:r>
      <w:proofErr w:type="spellStart"/>
      <w:r w:rsidRPr="00F54119">
        <w:t>doi:https</w:t>
      </w:r>
      <w:proofErr w:type="spellEnd"/>
      <w:r w:rsidRPr="00F54119">
        <w:t>://doi.org/10.1177/13548166241253309.</w:t>
      </w:r>
    </w:p>
    <w:p w14:paraId="1FD486D0" w14:textId="77777777" w:rsidR="00AF2FA5" w:rsidRPr="00F54119" w:rsidRDefault="00AF2FA5" w:rsidP="004C54BE">
      <w:pPr>
        <w:ind w:left="720" w:hanging="720"/>
      </w:pPr>
      <w:r w:rsidRPr="00F54119">
        <w:t xml:space="preserve">Liu, X., Li, S., Chen, W., Yuan, H., Yong, M., Muhammad </w:t>
      </w:r>
      <w:proofErr w:type="spellStart"/>
      <w:r w:rsidRPr="00F54119">
        <w:t>Ahmar</w:t>
      </w:r>
      <w:proofErr w:type="spellEnd"/>
      <w:r w:rsidRPr="00F54119">
        <w:t xml:space="preserve"> Siddiqui and Iqbal, A. (2023). Assessing Greenhouse Gas Emissions and Energy Efficiency of Four Treatment Methods for Sustainable Food Waste Management. </w:t>
      </w:r>
      <w:r w:rsidRPr="00F54119">
        <w:rPr>
          <w:i/>
          <w:iCs/>
        </w:rPr>
        <w:t>Recycling</w:t>
      </w:r>
      <w:r w:rsidRPr="00F54119">
        <w:t xml:space="preserve">, 8(5), pp.66–66. </w:t>
      </w:r>
      <w:proofErr w:type="spellStart"/>
      <w:r w:rsidRPr="00F54119">
        <w:t>doi:https</w:t>
      </w:r>
      <w:proofErr w:type="spellEnd"/>
      <w:r w:rsidRPr="00F54119">
        <w:t>://doi.org/10.3390/recycling8050066.</w:t>
      </w:r>
    </w:p>
    <w:p w14:paraId="3744A4CB" w14:textId="77777777" w:rsidR="00AF2FA5" w:rsidRPr="00F54119" w:rsidRDefault="00AF2FA5" w:rsidP="00AF2FA5">
      <w:pPr>
        <w:ind w:left="720" w:hanging="720"/>
      </w:pPr>
      <w:r w:rsidRPr="00F54119">
        <w:t xml:space="preserve">Marriott </w:t>
      </w:r>
      <w:proofErr w:type="spellStart"/>
      <w:r w:rsidRPr="00F54119">
        <w:t>Bonvoy</w:t>
      </w:r>
      <w:proofErr w:type="spellEnd"/>
      <w:r w:rsidRPr="00F54119">
        <w:t xml:space="preserve">. (2026) Al </w:t>
      </w:r>
      <w:proofErr w:type="spellStart"/>
      <w:r w:rsidRPr="00F54119">
        <w:t>Qimmah</w:t>
      </w:r>
      <w:proofErr w:type="spellEnd"/>
      <w:r w:rsidRPr="00F54119">
        <w:t xml:space="preserve"> Hospitality and Marriott International Announce Agreement to Add More Than 2,700 Hotel Rooms in Saudi Arabia. Available at: </w:t>
      </w:r>
      <w:hyperlink r:id="rId13" w:history="1">
        <w:r w:rsidRPr="00F54119">
          <w:rPr>
            <w:rStyle w:val="Hyperlink"/>
          </w:rPr>
          <w:t>https://marriott-europe.pressarea.com/en/news/14012026/al-qimmah-hospitality-and-marriott-international-announce-agreement-to-add-more-than-2700-hotel-rooms-in-saudi-arabia</w:t>
        </w:r>
      </w:hyperlink>
      <w:r w:rsidRPr="00F54119">
        <w:t xml:space="preserve"> (Accessed on: 2</w:t>
      </w:r>
      <w:r w:rsidRPr="00F54119">
        <w:rPr>
          <w:vertAlign w:val="superscript"/>
        </w:rPr>
        <w:t>nd</w:t>
      </w:r>
      <w:r w:rsidRPr="00F54119">
        <w:t xml:space="preserve"> February 2026)</w:t>
      </w:r>
    </w:p>
    <w:p w14:paraId="5F72C14F" w14:textId="77777777" w:rsidR="00AF2FA5" w:rsidRPr="00F54119" w:rsidRDefault="00AF2FA5" w:rsidP="004C54BE">
      <w:pPr>
        <w:ind w:left="720" w:hanging="720"/>
      </w:pPr>
      <w:proofErr w:type="spellStart"/>
      <w:r w:rsidRPr="00F54119">
        <w:t>Nand</w:t>
      </w:r>
      <w:proofErr w:type="spellEnd"/>
      <w:r w:rsidRPr="00F54119">
        <w:t xml:space="preserve">, A.A., Bhattacharya, A., </w:t>
      </w:r>
      <w:proofErr w:type="spellStart"/>
      <w:r w:rsidRPr="00F54119">
        <w:t>Prajogo</w:t>
      </w:r>
      <w:proofErr w:type="spellEnd"/>
      <w:r w:rsidRPr="00F54119">
        <w:t xml:space="preserve">, D., </w:t>
      </w:r>
      <w:proofErr w:type="spellStart"/>
      <w:r w:rsidRPr="00F54119">
        <w:t>Sohal</w:t>
      </w:r>
      <w:proofErr w:type="spellEnd"/>
      <w:r w:rsidRPr="00F54119">
        <w:t xml:space="preserve">, A. and de Vass, T. (2025). Understanding food waste in the hospitality industry: A social practice theory approach. </w:t>
      </w:r>
      <w:r w:rsidRPr="00F54119">
        <w:rPr>
          <w:i/>
          <w:iCs/>
        </w:rPr>
        <w:t>International Journal of Hospitality Management</w:t>
      </w:r>
      <w:r w:rsidRPr="00F54119">
        <w:t xml:space="preserve">, [online] 130, p.104232. </w:t>
      </w:r>
      <w:proofErr w:type="spellStart"/>
      <w:r w:rsidRPr="00F54119">
        <w:t>doi:https</w:t>
      </w:r>
      <w:proofErr w:type="spellEnd"/>
      <w:r w:rsidRPr="00F54119">
        <w:t>://doi.org/10.1016/j.ijhm.2025.104232.</w:t>
      </w:r>
    </w:p>
    <w:p w14:paraId="506ECB11" w14:textId="77777777" w:rsidR="00AF2FA5" w:rsidRPr="00F54119" w:rsidRDefault="00AF2FA5" w:rsidP="00AF2FA5">
      <w:pPr>
        <w:ind w:left="720" w:hanging="720"/>
      </w:pPr>
      <w:proofErr w:type="spellStart"/>
      <w:r w:rsidRPr="00F54119">
        <w:t>Nogueira</w:t>
      </w:r>
      <w:proofErr w:type="spellEnd"/>
      <w:r w:rsidRPr="00F54119">
        <w:t xml:space="preserve">, E., Gomes, S., and Lopes, J. M. (2023). Triple bottom line, sustainability, and economic development: What binds them together? A </w:t>
      </w:r>
      <w:proofErr w:type="spellStart"/>
      <w:r w:rsidRPr="00F54119">
        <w:t>bibliometric</w:t>
      </w:r>
      <w:proofErr w:type="spellEnd"/>
      <w:r w:rsidRPr="00F54119">
        <w:t xml:space="preserve"> approach. </w:t>
      </w:r>
      <w:r w:rsidRPr="00F54119">
        <w:rPr>
          <w:i/>
          <w:iCs/>
        </w:rPr>
        <w:t>Sustainability</w:t>
      </w:r>
      <w:r w:rsidRPr="00F54119">
        <w:t>, </w:t>
      </w:r>
      <w:r w:rsidRPr="00F54119">
        <w:rPr>
          <w:i/>
          <w:iCs/>
        </w:rPr>
        <w:t>15</w:t>
      </w:r>
      <w:r w:rsidRPr="00F54119">
        <w:t>(8), 6706.</w:t>
      </w:r>
    </w:p>
    <w:p w14:paraId="45711D13" w14:textId="77777777" w:rsidR="00AF2FA5" w:rsidRPr="00F54119" w:rsidRDefault="00AF2FA5" w:rsidP="004C54BE">
      <w:pPr>
        <w:ind w:left="720" w:hanging="720"/>
      </w:pPr>
      <w:r w:rsidRPr="00F54119">
        <w:t xml:space="preserve">Omar, I.A., Hasan, H.R., </w:t>
      </w:r>
      <w:proofErr w:type="spellStart"/>
      <w:r w:rsidRPr="00F54119">
        <w:t>Jayaraman</w:t>
      </w:r>
      <w:proofErr w:type="spellEnd"/>
      <w:r w:rsidRPr="00F54119">
        <w:t xml:space="preserve">, R., Salah, K. and Omar, M. (2024). Using </w:t>
      </w:r>
      <w:proofErr w:type="spellStart"/>
      <w:r w:rsidRPr="00F54119">
        <w:t>blockchain</w:t>
      </w:r>
      <w:proofErr w:type="spellEnd"/>
      <w:r w:rsidRPr="00F54119">
        <w:t xml:space="preserve"> technology to achieve sustainability in the hospitality industry by reducing food waste. </w:t>
      </w:r>
      <w:r w:rsidRPr="00F54119">
        <w:rPr>
          <w:i/>
          <w:iCs/>
        </w:rPr>
        <w:t>Computers &amp; Industrial Engineering</w:t>
      </w:r>
      <w:r w:rsidRPr="00F54119">
        <w:t xml:space="preserve">, [online] 197, p.110586. </w:t>
      </w:r>
      <w:proofErr w:type="spellStart"/>
      <w:r w:rsidRPr="00F54119">
        <w:t>doi:https</w:t>
      </w:r>
      <w:proofErr w:type="spellEnd"/>
      <w:r w:rsidRPr="00F54119">
        <w:t>://doi.org/10.1016/j.cie.2024.110586.</w:t>
      </w:r>
    </w:p>
    <w:p w14:paraId="1F7529D6" w14:textId="77777777" w:rsidR="00AF2FA5" w:rsidRPr="00F54119" w:rsidRDefault="00AF2FA5" w:rsidP="004C54BE">
      <w:pPr>
        <w:ind w:left="720" w:hanging="720"/>
      </w:pPr>
      <w:proofErr w:type="spellStart"/>
      <w:r w:rsidRPr="00F54119">
        <w:t>Puga</w:t>
      </w:r>
      <w:proofErr w:type="spellEnd"/>
      <w:r w:rsidRPr="00F54119">
        <w:t xml:space="preserve">-Gonzalez, I., Lima, L.L., Antosz, P., </w:t>
      </w:r>
      <w:proofErr w:type="spellStart"/>
      <w:r w:rsidRPr="00F54119">
        <w:t>Carrella</w:t>
      </w:r>
      <w:proofErr w:type="spellEnd"/>
      <w:r w:rsidRPr="00F54119">
        <w:t xml:space="preserve">, E., </w:t>
      </w:r>
      <w:proofErr w:type="spellStart"/>
      <w:r w:rsidRPr="00F54119">
        <w:t>Iori</w:t>
      </w:r>
      <w:proofErr w:type="spellEnd"/>
      <w:r w:rsidRPr="00F54119">
        <w:t xml:space="preserve">, E., </w:t>
      </w:r>
      <w:proofErr w:type="spellStart"/>
      <w:r w:rsidRPr="00F54119">
        <w:t>Rettore</w:t>
      </w:r>
      <w:proofErr w:type="spellEnd"/>
      <w:r w:rsidRPr="00F54119">
        <w:t xml:space="preserve">, C., Rousseau, M.G., </w:t>
      </w:r>
      <w:proofErr w:type="spellStart"/>
      <w:r w:rsidRPr="00F54119">
        <w:t>LeRon</w:t>
      </w:r>
      <w:proofErr w:type="spellEnd"/>
      <w:r w:rsidRPr="00F54119">
        <w:t xml:space="preserve"> </w:t>
      </w:r>
      <w:proofErr w:type="spellStart"/>
      <w:r w:rsidRPr="00F54119">
        <w:t>Shults</w:t>
      </w:r>
      <w:proofErr w:type="spellEnd"/>
      <w:r w:rsidRPr="00F54119">
        <w:t xml:space="preserve">, F. and </w:t>
      </w:r>
      <w:proofErr w:type="spellStart"/>
      <w:r w:rsidRPr="00F54119">
        <w:t>Vittuari</w:t>
      </w:r>
      <w:proofErr w:type="spellEnd"/>
      <w:r w:rsidRPr="00F54119">
        <w:t xml:space="preserve">, M. (2025). To eat or not to Eat: </w:t>
      </w:r>
      <w:proofErr w:type="spellStart"/>
      <w:r w:rsidRPr="00F54119">
        <w:t>Modeling</w:t>
      </w:r>
      <w:proofErr w:type="spellEnd"/>
      <w:r w:rsidRPr="00F54119">
        <w:t xml:space="preserve"> food waste </w:t>
      </w:r>
      <w:proofErr w:type="spellStart"/>
      <w:r w:rsidRPr="00F54119">
        <w:t>behavior</w:t>
      </w:r>
      <w:proofErr w:type="spellEnd"/>
      <w:r w:rsidRPr="00F54119">
        <w:t xml:space="preserve"> at a hotel breakfast buffet. </w:t>
      </w:r>
      <w:r w:rsidRPr="00F54119">
        <w:rPr>
          <w:i/>
          <w:iCs/>
        </w:rPr>
        <w:t>Cleaner and Responsible Consumption</w:t>
      </w:r>
      <w:r w:rsidRPr="00F54119">
        <w:t xml:space="preserve">, [online] 19, p.100333. </w:t>
      </w:r>
      <w:proofErr w:type="spellStart"/>
      <w:r w:rsidRPr="00F54119">
        <w:t>doi:https</w:t>
      </w:r>
      <w:proofErr w:type="spellEnd"/>
      <w:r w:rsidRPr="00F54119">
        <w:t>://doi.org/10.1016/j.clrc.2025.100333.</w:t>
      </w:r>
    </w:p>
    <w:p w14:paraId="6CD2B89A" w14:textId="77777777" w:rsidR="00AF2FA5" w:rsidRPr="00F54119" w:rsidRDefault="00AF2FA5" w:rsidP="00AF2FA5">
      <w:pPr>
        <w:ind w:left="720" w:hanging="720"/>
      </w:pPr>
      <w:proofErr w:type="spellStart"/>
      <w:r w:rsidRPr="00F54119">
        <w:t>Rande</w:t>
      </w:r>
      <w:proofErr w:type="spellEnd"/>
      <w:r w:rsidRPr="00F54119">
        <w:t xml:space="preserve">, H. (2025) How Hotel Groups Are Reducing Breakfast Waste at Scale. Available at: </w:t>
      </w:r>
      <w:hyperlink r:id="rId14" w:history="1">
        <w:r w:rsidRPr="00F54119">
          <w:rPr>
            <w:rStyle w:val="Hyperlink"/>
          </w:rPr>
          <w:t>https://www.thinkhospitality.co.uk/post/how-hotel-groups-are-reducing-breakfast-waste-at-scale</w:t>
        </w:r>
      </w:hyperlink>
      <w:r w:rsidRPr="00F54119">
        <w:t xml:space="preserve"> (Accessed on: 2</w:t>
      </w:r>
      <w:r w:rsidRPr="00F54119">
        <w:rPr>
          <w:vertAlign w:val="superscript"/>
        </w:rPr>
        <w:t>nd</w:t>
      </w:r>
      <w:r w:rsidRPr="00F54119">
        <w:t xml:space="preserve"> February 2026)</w:t>
      </w:r>
    </w:p>
    <w:p w14:paraId="6B00DF2F" w14:textId="77777777" w:rsidR="00AF2FA5" w:rsidRPr="00F54119" w:rsidRDefault="00AF2FA5" w:rsidP="004C54BE">
      <w:pPr>
        <w:ind w:left="720" w:hanging="720"/>
      </w:pPr>
      <w:r w:rsidRPr="00F54119">
        <w:t xml:space="preserve">Sharma, R. (2023). Hospitality sustainable practices, a global perspective. </w:t>
      </w:r>
      <w:r w:rsidRPr="00F54119">
        <w:rPr>
          <w:i/>
          <w:iCs/>
        </w:rPr>
        <w:t>Worldwide Hospitality and Tourism Themes</w:t>
      </w:r>
      <w:r w:rsidRPr="00F54119">
        <w:t xml:space="preserve">, 15(3). </w:t>
      </w:r>
      <w:proofErr w:type="spellStart"/>
      <w:r w:rsidRPr="00F54119">
        <w:t>doi:https</w:t>
      </w:r>
      <w:proofErr w:type="spellEnd"/>
      <w:r w:rsidRPr="00F54119">
        <w:t>://doi.org/10.1108/whatt-02-2023-0022.</w:t>
      </w:r>
    </w:p>
    <w:p w14:paraId="1B7EF601" w14:textId="77777777" w:rsidR="00AF2FA5" w:rsidRPr="00F54119" w:rsidRDefault="00AF2FA5" w:rsidP="004C54BE">
      <w:pPr>
        <w:ind w:left="720" w:hanging="720"/>
      </w:pPr>
      <w:proofErr w:type="spellStart"/>
      <w:r w:rsidRPr="00F54119">
        <w:t>Silayo</w:t>
      </w:r>
      <w:proofErr w:type="spellEnd"/>
      <w:r w:rsidRPr="00F54119">
        <w:t xml:space="preserve">, D.M., January, A. and </w:t>
      </w:r>
      <w:proofErr w:type="spellStart"/>
      <w:r w:rsidRPr="00F54119">
        <w:t>Kulwijila</w:t>
      </w:r>
      <w:proofErr w:type="spellEnd"/>
      <w:r w:rsidRPr="00F54119">
        <w:t xml:space="preserve">, M. (2025). Leveraging </w:t>
      </w:r>
      <w:proofErr w:type="spellStart"/>
      <w:r w:rsidRPr="00F54119">
        <w:t>blockchain</w:t>
      </w:r>
      <w:proofErr w:type="spellEnd"/>
      <w:r w:rsidRPr="00F54119">
        <w:t xml:space="preserve"> technology to augment food waste reduction in food supply chain: a systematic review. </w:t>
      </w:r>
      <w:r w:rsidRPr="00F54119">
        <w:rPr>
          <w:i/>
          <w:iCs/>
        </w:rPr>
        <w:t>Cogent Food &amp; Agriculture</w:t>
      </w:r>
      <w:r w:rsidRPr="00F54119">
        <w:t xml:space="preserve">, 11(1). </w:t>
      </w:r>
      <w:proofErr w:type="spellStart"/>
      <w:r w:rsidRPr="00F54119">
        <w:t>doi:https</w:t>
      </w:r>
      <w:proofErr w:type="spellEnd"/>
      <w:r w:rsidRPr="00F54119">
        <w:t>://doi.org/10.1080/23311932.2025.2546079.</w:t>
      </w:r>
    </w:p>
    <w:p w14:paraId="70B03570" w14:textId="77777777" w:rsidR="00AF2FA5" w:rsidRPr="00F54119" w:rsidRDefault="00AF2FA5" w:rsidP="004C54BE">
      <w:pPr>
        <w:ind w:left="720" w:hanging="720"/>
      </w:pPr>
      <w:r w:rsidRPr="00F54119">
        <w:t xml:space="preserve">Tahir, A.H., Adnan, M. and Saeed, Z. (2024). The Impact of Brand Image on Customer Satisfaction and Brand loyalty: a Systematic Literature Review. </w:t>
      </w:r>
      <w:proofErr w:type="spellStart"/>
      <w:r w:rsidRPr="00F54119">
        <w:rPr>
          <w:i/>
          <w:iCs/>
        </w:rPr>
        <w:t>Heliyon</w:t>
      </w:r>
      <w:proofErr w:type="spellEnd"/>
      <w:r w:rsidRPr="00F54119">
        <w:t>, [online] 10(16). Available at: https://www.sciencedirect.com/science/article/pii/S2405844024122852.</w:t>
      </w:r>
    </w:p>
    <w:p w14:paraId="32FF08EB" w14:textId="77777777" w:rsidR="00AF2FA5" w:rsidRPr="00F54119" w:rsidRDefault="00AF2FA5" w:rsidP="004C54BE">
      <w:pPr>
        <w:ind w:left="720" w:hanging="720"/>
      </w:pPr>
      <w:proofErr w:type="spellStart"/>
      <w:r w:rsidRPr="00F54119">
        <w:t>Talukder</w:t>
      </w:r>
      <w:proofErr w:type="spellEnd"/>
      <w:r w:rsidRPr="00F54119">
        <w:t xml:space="preserve">, M.B., Das, I.R. and Kumar, S. (2025). Future Trends and Prospects of the Food Industry: Perspectives from Hospitality. </w:t>
      </w:r>
      <w:r w:rsidRPr="00F54119">
        <w:rPr>
          <w:i/>
          <w:iCs/>
        </w:rPr>
        <w:t>Sustainable Development Goals Series</w:t>
      </w:r>
      <w:r w:rsidRPr="00F54119">
        <w:t xml:space="preserve">, pp.289–303. </w:t>
      </w:r>
      <w:proofErr w:type="spellStart"/>
      <w:r w:rsidRPr="00F54119">
        <w:t>doi:https</w:t>
      </w:r>
      <w:proofErr w:type="spellEnd"/>
      <w:r w:rsidRPr="00F54119">
        <w:t>://doi.org/10.1007/978-3-031-76758-6_18.</w:t>
      </w:r>
    </w:p>
    <w:p w14:paraId="7D05E354" w14:textId="77777777" w:rsidR="00AF2FA5" w:rsidRDefault="00AF2FA5" w:rsidP="004C54BE">
      <w:pPr>
        <w:ind w:left="720" w:hanging="720"/>
      </w:pPr>
      <w:proofErr w:type="spellStart"/>
      <w:r w:rsidRPr="00F54119">
        <w:t>Wani</w:t>
      </w:r>
      <w:proofErr w:type="spellEnd"/>
      <w:r w:rsidRPr="00F54119">
        <w:t xml:space="preserve">, N.R., Rather, R.A., Farooq, A., </w:t>
      </w:r>
      <w:proofErr w:type="spellStart"/>
      <w:r w:rsidRPr="00F54119">
        <w:t>Padder</w:t>
      </w:r>
      <w:proofErr w:type="spellEnd"/>
      <w:r w:rsidRPr="00F54119">
        <w:t xml:space="preserve">, S.A., Baba, T.R., Sharma, S., Mubarak, N.M., Khan, A.H., Singh, P. and </w:t>
      </w:r>
      <w:proofErr w:type="spellStart"/>
      <w:r w:rsidRPr="00F54119">
        <w:t>Ara</w:t>
      </w:r>
      <w:proofErr w:type="spellEnd"/>
      <w:r w:rsidRPr="00F54119">
        <w:t xml:space="preserve">, S. (2023). New Insights in Food Security and Environmental Sustainability through Waste Food Management. </w:t>
      </w:r>
      <w:r w:rsidRPr="00F54119">
        <w:rPr>
          <w:i/>
          <w:iCs/>
        </w:rPr>
        <w:t>Environmental Science and Pollution Research</w:t>
      </w:r>
      <w:r w:rsidRPr="00F54119">
        <w:t xml:space="preserve">, 31. </w:t>
      </w:r>
      <w:proofErr w:type="spellStart"/>
      <w:r w:rsidRPr="00F54119">
        <w:t>doi:https</w:t>
      </w:r>
      <w:proofErr w:type="spellEnd"/>
      <w:r w:rsidRPr="00F54119">
        <w:t>://doi.org/10.1007/s11356-023-26462-y.</w:t>
      </w:r>
    </w:p>
    <w:p w14:paraId="65EF040D" w14:textId="77777777" w:rsidR="00AF2FA5" w:rsidRPr="004C54BE" w:rsidRDefault="00AF2FA5" w:rsidP="004C54BE">
      <w:pPr>
        <w:ind w:left="720" w:hanging="720"/>
      </w:pPr>
    </w:p>
    <w:p w14:paraId="1D7B4E5A" w14:textId="77777777" w:rsidR="004C54BE" w:rsidRPr="004C54BE" w:rsidRDefault="004C54BE" w:rsidP="004D4DC0"/>
    <w:sectPr w:rsidR="004C54BE" w:rsidRPr="004C54BE">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26BBA5" w14:textId="77777777" w:rsidR="00814AB4" w:rsidRDefault="00814AB4" w:rsidP="00CA5BA1">
      <w:pPr>
        <w:spacing w:after="0" w:line="240" w:lineRule="auto"/>
      </w:pPr>
      <w:r>
        <w:separator/>
      </w:r>
    </w:p>
  </w:endnote>
  <w:endnote w:type="continuationSeparator" w:id="0">
    <w:p w14:paraId="05DEFE11" w14:textId="77777777" w:rsidR="00814AB4" w:rsidRDefault="00814AB4" w:rsidP="00CA5B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00000001"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8E551A" w14:textId="77777777" w:rsidR="00814AB4" w:rsidRDefault="00814AB4" w:rsidP="00CA5BA1">
      <w:pPr>
        <w:spacing w:after="0" w:line="240" w:lineRule="auto"/>
      </w:pPr>
      <w:r>
        <w:separator/>
      </w:r>
    </w:p>
  </w:footnote>
  <w:footnote w:type="continuationSeparator" w:id="0">
    <w:p w14:paraId="66DB66CA" w14:textId="77777777" w:rsidR="00814AB4" w:rsidRDefault="00814AB4" w:rsidP="00CA5B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01646231"/>
      <w:docPartObj>
        <w:docPartGallery w:val="Page Numbers (Top of Page)"/>
        <w:docPartUnique/>
      </w:docPartObj>
    </w:sdtPr>
    <w:sdtEndPr>
      <w:rPr>
        <w:noProof/>
      </w:rPr>
    </w:sdtEndPr>
    <w:sdtContent>
      <w:p w14:paraId="67BFFB4B" w14:textId="48A00603" w:rsidR="00CA5BA1" w:rsidRDefault="00CA5BA1">
        <w:pPr>
          <w:pStyle w:val="Header"/>
          <w:jc w:val="right"/>
        </w:pPr>
        <w:r>
          <w:fldChar w:fldCharType="begin"/>
        </w:r>
        <w:r>
          <w:instrText xml:space="preserve"> PAGE   \* MERGEFORMAT </w:instrText>
        </w:r>
        <w:r>
          <w:fldChar w:fldCharType="separate"/>
        </w:r>
        <w:r w:rsidR="00A151BC">
          <w:rPr>
            <w:noProof/>
          </w:rPr>
          <w:t>7</w:t>
        </w:r>
        <w:r>
          <w:rPr>
            <w:noProof/>
          </w:rPr>
          <w:fldChar w:fldCharType="end"/>
        </w:r>
      </w:p>
    </w:sdtContent>
  </w:sdt>
  <w:p w14:paraId="4B185213" w14:textId="77777777" w:rsidR="00CA5BA1" w:rsidRDefault="00CA5BA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CB0014"/>
    <w:multiLevelType w:val="multilevel"/>
    <w:tmpl w:val="38F09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5947244"/>
    <w:multiLevelType w:val="hybridMultilevel"/>
    <w:tmpl w:val="B73AB12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6516438D"/>
    <w:multiLevelType w:val="multilevel"/>
    <w:tmpl w:val="52BC7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4395353">
    <w:abstractNumId w:val="2"/>
  </w:num>
  <w:num w:numId="2" w16cid:durableId="1038706027">
    <w:abstractNumId w:val="0"/>
  </w:num>
  <w:num w:numId="3" w16cid:durableId="12153082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5C20"/>
    <w:rsid w:val="00007052"/>
    <w:rsid w:val="000311EC"/>
    <w:rsid w:val="000453D8"/>
    <w:rsid w:val="000B11D2"/>
    <w:rsid w:val="000F1145"/>
    <w:rsid w:val="001955E4"/>
    <w:rsid w:val="002115B9"/>
    <w:rsid w:val="00231DD6"/>
    <w:rsid w:val="00302798"/>
    <w:rsid w:val="00311AD0"/>
    <w:rsid w:val="00324511"/>
    <w:rsid w:val="00326F97"/>
    <w:rsid w:val="004004B4"/>
    <w:rsid w:val="00412C14"/>
    <w:rsid w:val="0043444F"/>
    <w:rsid w:val="004C29BB"/>
    <w:rsid w:val="004C54BE"/>
    <w:rsid w:val="004D4DC0"/>
    <w:rsid w:val="00505FB3"/>
    <w:rsid w:val="00521547"/>
    <w:rsid w:val="00565D14"/>
    <w:rsid w:val="005E1D1B"/>
    <w:rsid w:val="00632CC0"/>
    <w:rsid w:val="006E381D"/>
    <w:rsid w:val="007405FF"/>
    <w:rsid w:val="00797CC3"/>
    <w:rsid w:val="007C1D22"/>
    <w:rsid w:val="007D0703"/>
    <w:rsid w:val="007D3739"/>
    <w:rsid w:val="00814AB4"/>
    <w:rsid w:val="00825C8C"/>
    <w:rsid w:val="00847126"/>
    <w:rsid w:val="00883959"/>
    <w:rsid w:val="00884E33"/>
    <w:rsid w:val="008E016A"/>
    <w:rsid w:val="00922A49"/>
    <w:rsid w:val="00947A53"/>
    <w:rsid w:val="009E5FBB"/>
    <w:rsid w:val="009F0291"/>
    <w:rsid w:val="00A151BC"/>
    <w:rsid w:val="00A61AF4"/>
    <w:rsid w:val="00AF2FA5"/>
    <w:rsid w:val="00B7771E"/>
    <w:rsid w:val="00C346AC"/>
    <w:rsid w:val="00C82BAD"/>
    <w:rsid w:val="00CA5BA1"/>
    <w:rsid w:val="00CC79AC"/>
    <w:rsid w:val="00D95159"/>
    <w:rsid w:val="00DB1B6D"/>
    <w:rsid w:val="00DB5C20"/>
    <w:rsid w:val="00E309ED"/>
    <w:rsid w:val="00E43568"/>
    <w:rsid w:val="00E76B6C"/>
    <w:rsid w:val="00EE3F43"/>
    <w:rsid w:val="00F4278F"/>
    <w:rsid w:val="00F54119"/>
    <w:rsid w:val="00FD789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40AA77"/>
  <w15:chartTrackingRefBased/>
  <w15:docId w15:val="{C073A31C-ABB5-48C3-BC68-D0CD0FAE84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4B4"/>
    <w:pPr>
      <w:spacing w:line="360" w:lineRule="auto"/>
      <w:jc w:val="both"/>
    </w:pPr>
    <w:rPr>
      <w:rFonts w:ascii="Times New Roman" w:hAnsi="Times New Roman"/>
    </w:rPr>
  </w:style>
  <w:style w:type="paragraph" w:styleId="Heading1">
    <w:name w:val="heading 1"/>
    <w:basedOn w:val="Normal"/>
    <w:next w:val="Normal"/>
    <w:link w:val="Heading1Char"/>
    <w:uiPriority w:val="9"/>
    <w:qFormat/>
    <w:rsid w:val="004004B4"/>
    <w:pPr>
      <w:keepNext/>
      <w:keepLines/>
      <w:spacing w:before="360" w:after="80"/>
      <w:jc w:val="center"/>
      <w:outlineLvl w:val="0"/>
    </w:pPr>
    <w:rPr>
      <w:rFonts w:eastAsiaTheme="majorEastAsia" w:cstheme="majorBidi"/>
      <w:b/>
      <w:szCs w:val="40"/>
    </w:rPr>
  </w:style>
  <w:style w:type="paragraph" w:styleId="Heading2">
    <w:name w:val="heading 2"/>
    <w:basedOn w:val="Normal"/>
    <w:next w:val="Normal"/>
    <w:link w:val="Heading2Char"/>
    <w:uiPriority w:val="9"/>
    <w:unhideWhenUsed/>
    <w:qFormat/>
    <w:rsid w:val="004004B4"/>
    <w:pPr>
      <w:keepNext/>
      <w:keepLines/>
      <w:spacing w:before="160" w:after="80"/>
      <w:outlineLvl w:val="1"/>
    </w:pPr>
    <w:rPr>
      <w:rFonts w:eastAsiaTheme="majorEastAsia" w:cstheme="majorBidi"/>
      <w:b/>
      <w:szCs w:val="32"/>
    </w:rPr>
  </w:style>
  <w:style w:type="paragraph" w:styleId="Heading3">
    <w:name w:val="heading 3"/>
    <w:basedOn w:val="Normal"/>
    <w:next w:val="Normal"/>
    <w:link w:val="Heading3Char"/>
    <w:uiPriority w:val="9"/>
    <w:semiHidden/>
    <w:unhideWhenUsed/>
    <w:qFormat/>
    <w:rsid w:val="004004B4"/>
    <w:pPr>
      <w:keepNext/>
      <w:keepLines/>
      <w:spacing w:before="160" w:after="80"/>
      <w:outlineLvl w:val="2"/>
    </w:pPr>
    <w:rPr>
      <w:rFonts w:eastAsiaTheme="majorEastAsia" w:cstheme="majorBidi"/>
      <w:b/>
      <w:szCs w:val="28"/>
      <w:u w:val="single"/>
    </w:rPr>
  </w:style>
  <w:style w:type="paragraph" w:styleId="Heading4">
    <w:name w:val="heading 4"/>
    <w:basedOn w:val="Normal"/>
    <w:next w:val="Normal"/>
    <w:link w:val="Heading4Char"/>
    <w:uiPriority w:val="9"/>
    <w:semiHidden/>
    <w:unhideWhenUsed/>
    <w:qFormat/>
    <w:rsid w:val="00DB5C20"/>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DB5C20"/>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DB5C20"/>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B5C20"/>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B5C20"/>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B5C20"/>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04B4"/>
    <w:rPr>
      <w:rFonts w:ascii="Times New Roman" w:eastAsiaTheme="majorEastAsia" w:hAnsi="Times New Roman" w:cstheme="majorBidi"/>
      <w:b/>
      <w:szCs w:val="40"/>
    </w:rPr>
  </w:style>
  <w:style w:type="character" w:customStyle="1" w:styleId="Heading2Char">
    <w:name w:val="Heading 2 Char"/>
    <w:basedOn w:val="DefaultParagraphFont"/>
    <w:link w:val="Heading2"/>
    <w:uiPriority w:val="9"/>
    <w:rsid w:val="004004B4"/>
    <w:rPr>
      <w:rFonts w:ascii="Times New Roman" w:eastAsiaTheme="majorEastAsia" w:hAnsi="Times New Roman" w:cstheme="majorBidi"/>
      <w:b/>
      <w:szCs w:val="32"/>
    </w:rPr>
  </w:style>
  <w:style w:type="character" w:customStyle="1" w:styleId="Heading3Char">
    <w:name w:val="Heading 3 Char"/>
    <w:basedOn w:val="DefaultParagraphFont"/>
    <w:link w:val="Heading3"/>
    <w:uiPriority w:val="9"/>
    <w:semiHidden/>
    <w:rsid w:val="004004B4"/>
    <w:rPr>
      <w:rFonts w:ascii="Times New Roman" w:eastAsiaTheme="majorEastAsia" w:hAnsi="Times New Roman" w:cstheme="majorBidi"/>
      <w:b/>
      <w:szCs w:val="28"/>
      <w:u w:val="single"/>
    </w:rPr>
  </w:style>
  <w:style w:type="character" w:customStyle="1" w:styleId="Heading4Char">
    <w:name w:val="Heading 4 Char"/>
    <w:basedOn w:val="DefaultParagraphFont"/>
    <w:link w:val="Heading4"/>
    <w:uiPriority w:val="9"/>
    <w:semiHidden/>
    <w:rsid w:val="00DB5C2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B5C2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B5C2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B5C2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B5C2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B5C20"/>
    <w:rPr>
      <w:rFonts w:eastAsiaTheme="majorEastAsia" w:cstheme="majorBidi"/>
      <w:color w:val="272727" w:themeColor="text1" w:themeTint="D8"/>
    </w:rPr>
  </w:style>
  <w:style w:type="paragraph" w:styleId="Title">
    <w:name w:val="Title"/>
    <w:basedOn w:val="Normal"/>
    <w:next w:val="Normal"/>
    <w:link w:val="TitleChar"/>
    <w:uiPriority w:val="10"/>
    <w:qFormat/>
    <w:rsid w:val="00DB5C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5C2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B5C20"/>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B5C2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B5C20"/>
    <w:pPr>
      <w:spacing w:before="160"/>
      <w:jc w:val="center"/>
    </w:pPr>
    <w:rPr>
      <w:i/>
      <w:iCs/>
      <w:color w:val="404040" w:themeColor="text1" w:themeTint="BF"/>
    </w:rPr>
  </w:style>
  <w:style w:type="character" w:customStyle="1" w:styleId="QuoteChar">
    <w:name w:val="Quote Char"/>
    <w:basedOn w:val="DefaultParagraphFont"/>
    <w:link w:val="Quote"/>
    <w:uiPriority w:val="29"/>
    <w:rsid w:val="00DB5C20"/>
    <w:rPr>
      <w:rFonts w:ascii="Times New Roman" w:hAnsi="Times New Roman"/>
      <w:i/>
      <w:iCs/>
      <w:color w:val="404040" w:themeColor="text1" w:themeTint="BF"/>
    </w:rPr>
  </w:style>
  <w:style w:type="paragraph" w:styleId="ListParagraph">
    <w:name w:val="List Paragraph"/>
    <w:basedOn w:val="Normal"/>
    <w:uiPriority w:val="34"/>
    <w:qFormat/>
    <w:rsid w:val="00DB5C20"/>
    <w:pPr>
      <w:ind w:left="720"/>
      <w:contextualSpacing/>
    </w:pPr>
  </w:style>
  <w:style w:type="character" w:styleId="IntenseEmphasis">
    <w:name w:val="Intense Emphasis"/>
    <w:basedOn w:val="DefaultParagraphFont"/>
    <w:uiPriority w:val="21"/>
    <w:qFormat/>
    <w:rsid w:val="00DB5C20"/>
    <w:rPr>
      <w:i/>
      <w:iCs/>
      <w:color w:val="0F4761" w:themeColor="accent1" w:themeShade="BF"/>
    </w:rPr>
  </w:style>
  <w:style w:type="paragraph" w:styleId="IntenseQuote">
    <w:name w:val="Intense Quote"/>
    <w:basedOn w:val="Normal"/>
    <w:next w:val="Normal"/>
    <w:link w:val="IntenseQuoteChar"/>
    <w:uiPriority w:val="30"/>
    <w:qFormat/>
    <w:rsid w:val="00DB5C2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B5C20"/>
    <w:rPr>
      <w:rFonts w:ascii="Times New Roman" w:hAnsi="Times New Roman"/>
      <w:i/>
      <w:iCs/>
      <w:color w:val="0F4761" w:themeColor="accent1" w:themeShade="BF"/>
    </w:rPr>
  </w:style>
  <w:style w:type="character" w:styleId="IntenseReference">
    <w:name w:val="Intense Reference"/>
    <w:basedOn w:val="DefaultParagraphFont"/>
    <w:uiPriority w:val="32"/>
    <w:qFormat/>
    <w:rsid w:val="00DB5C20"/>
    <w:rPr>
      <w:b/>
      <w:bCs/>
      <w:smallCaps/>
      <w:color w:val="0F4761" w:themeColor="accent1" w:themeShade="BF"/>
      <w:spacing w:val="5"/>
    </w:rPr>
  </w:style>
  <w:style w:type="paragraph" w:styleId="Header">
    <w:name w:val="header"/>
    <w:basedOn w:val="Normal"/>
    <w:link w:val="HeaderChar"/>
    <w:uiPriority w:val="99"/>
    <w:unhideWhenUsed/>
    <w:rsid w:val="00CA5B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5BA1"/>
    <w:rPr>
      <w:rFonts w:ascii="Times New Roman" w:hAnsi="Times New Roman"/>
    </w:rPr>
  </w:style>
  <w:style w:type="paragraph" w:styleId="Footer">
    <w:name w:val="footer"/>
    <w:basedOn w:val="Normal"/>
    <w:link w:val="FooterChar"/>
    <w:uiPriority w:val="99"/>
    <w:unhideWhenUsed/>
    <w:rsid w:val="00CA5B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5BA1"/>
    <w:rPr>
      <w:rFonts w:ascii="Times New Roman" w:hAnsi="Times New Roman"/>
    </w:rPr>
  </w:style>
  <w:style w:type="character" w:styleId="Strong">
    <w:name w:val="Strong"/>
    <w:basedOn w:val="DefaultParagraphFont"/>
    <w:uiPriority w:val="22"/>
    <w:qFormat/>
    <w:rsid w:val="00326F97"/>
    <w:rPr>
      <w:b/>
      <w:bCs/>
    </w:rPr>
  </w:style>
  <w:style w:type="paragraph" w:styleId="NormalWeb">
    <w:name w:val="Normal (Web)"/>
    <w:basedOn w:val="Normal"/>
    <w:uiPriority w:val="99"/>
    <w:semiHidden/>
    <w:unhideWhenUsed/>
    <w:rsid w:val="00326F97"/>
    <w:pPr>
      <w:spacing w:before="100" w:beforeAutospacing="1" w:after="100" w:afterAutospacing="1" w:line="240" w:lineRule="auto"/>
      <w:jc w:val="left"/>
    </w:pPr>
    <w:rPr>
      <w:rFonts w:eastAsia="Times New Roman" w:cs="Times New Roman"/>
      <w:kern w:val="0"/>
      <w:lang w:eastAsia="en-GB"/>
      <w14:ligatures w14:val="none"/>
    </w:rPr>
  </w:style>
  <w:style w:type="character" w:styleId="Hyperlink">
    <w:name w:val="Hyperlink"/>
    <w:basedOn w:val="DefaultParagraphFont"/>
    <w:uiPriority w:val="99"/>
    <w:unhideWhenUsed/>
    <w:rsid w:val="00AF2FA5"/>
    <w:rPr>
      <w:color w:val="467886" w:themeColor="hyperlink"/>
      <w:u w:val="single"/>
    </w:rPr>
  </w:style>
  <w:style w:type="character" w:styleId="CommentReference">
    <w:name w:val="annotation reference"/>
    <w:basedOn w:val="DefaultParagraphFont"/>
    <w:uiPriority w:val="99"/>
    <w:semiHidden/>
    <w:unhideWhenUsed/>
    <w:rsid w:val="00324511"/>
    <w:rPr>
      <w:sz w:val="16"/>
      <w:szCs w:val="16"/>
    </w:rPr>
  </w:style>
  <w:style w:type="paragraph" w:styleId="CommentText">
    <w:name w:val="annotation text"/>
    <w:basedOn w:val="Normal"/>
    <w:link w:val="CommentTextChar"/>
    <w:uiPriority w:val="99"/>
    <w:semiHidden/>
    <w:unhideWhenUsed/>
    <w:rsid w:val="00324511"/>
    <w:pPr>
      <w:spacing w:line="240" w:lineRule="auto"/>
    </w:pPr>
    <w:rPr>
      <w:sz w:val="20"/>
      <w:szCs w:val="20"/>
    </w:rPr>
  </w:style>
  <w:style w:type="character" w:customStyle="1" w:styleId="CommentTextChar">
    <w:name w:val="Comment Text Char"/>
    <w:basedOn w:val="DefaultParagraphFont"/>
    <w:link w:val="CommentText"/>
    <w:uiPriority w:val="99"/>
    <w:semiHidden/>
    <w:rsid w:val="00324511"/>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324511"/>
    <w:rPr>
      <w:b/>
      <w:bCs/>
    </w:rPr>
  </w:style>
  <w:style w:type="character" w:customStyle="1" w:styleId="CommentSubjectChar">
    <w:name w:val="Comment Subject Char"/>
    <w:basedOn w:val="CommentTextChar"/>
    <w:link w:val="CommentSubject"/>
    <w:uiPriority w:val="99"/>
    <w:semiHidden/>
    <w:rsid w:val="00324511"/>
    <w:rPr>
      <w:rFonts w:ascii="Times New Roman" w:hAnsi="Times New Roman"/>
      <w:b/>
      <w:bCs/>
      <w:sz w:val="20"/>
      <w:szCs w:val="20"/>
    </w:rPr>
  </w:style>
  <w:style w:type="paragraph" w:styleId="BalloonText">
    <w:name w:val="Balloon Text"/>
    <w:basedOn w:val="Normal"/>
    <w:link w:val="BalloonTextChar"/>
    <w:uiPriority w:val="99"/>
    <w:semiHidden/>
    <w:unhideWhenUsed/>
    <w:rsid w:val="0032451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24511"/>
    <w:rPr>
      <w:rFonts w:ascii="Segoe UI" w:hAnsi="Segoe UI" w:cs="Segoe UI"/>
      <w:sz w:val="18"/>
      <w:szCs w:val="18"/>
    </w:rPr>
  </w:style>
  <w:style w:type="paragraph" w:styleId="TOCHeading">
    <w:name w:val="TOC Heading"/>
    <w:basedOn w:val="Heading1"/>
    <w:next w:val="Normal"/>
    <w:uiPriority w:val="39"/>
    <w:unhideWhenUsed/>
    <w:qFormat/>
    <w:rsid w:val="009F0291"/>
    <w:pPr>
      <w:spacing w:before="240" w:after="0" w:line="259" w:lineRule="auto"/>
      <w:jc w:val="left"/>
      <w:outlineLvl w:val="9"/>
    </w:pPr>
    <w:rPr>
      <w:rFonts w:asciiTheme="majorHAnsi" w:hAnsiTheme="majorHAnsi"/>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9F0291"/>
    <w:pPr>
      <w:spacing w:after="100"/>
    </w:pPr>
  </w:style>
  <w:style w:type="paragraph" w:styleId="TOC2">
    <w:name w:val="toc 2"/>
    <w:basedOn w:val="Normal"/>
    <w:next w:val="Normal"/>
    <w:autoRedefine/>
    <w:uiPriority w:val="39"/>
    <w:unhideWhenUsed/>
    <w:rsid w:val="009F0291"/>
    <w:pPr>
      <w:spacing w:after="100"/>
      <w:ind w:left="240"/>
    </w:pPr>
  </w:style>
  <w:style w:type="character" w:styleId="Emphasis">
    <w:name w:val="Emphasis"/>
    <w:basedOn w:val="DefaultParagraphFont"/>
    <w:uiPriority w:val="20"/>
    <w:qFormat/>
    <w:rsid w:val="00505FB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3308780">
      <w:bodyDiv w:val="1"/>
      <w:marLeft w:val="0"/>
      <w:marRight w:val="0"/>
      <w:marTop w:val="0"/>
      <w:marBottom w:val="0"/>
      <w:divBdr>
        <w:top w:val="none" w:sz="0" w:space="0" w:color="auto"/>
        <w:left w:val="none" w:sz="0" w:space="0" w:color="auto"/>
        <w:bottom w:val="none" w:sz="0" w:space="0" w:color="auto"/>
        <w:right w:val="none" w:sz="0" w:space="0" w:color="auto"/>
      </w:divBdr>
    </w:div>
    <w:div w:id="543910858">
      <w:bodyDiv w:val="1"/>
      <w:marLeft w:val="0"/>
      <w:marRight w:val="0"/>
      <w:marTop w:val="0"/>
      <w:marBottom w:val="0"/>
      <w:divBdr>
        <w:top w:val="none" w:sz="0" w:space="0" w:color="auto"/>
        <w:left w:val="none" w:sz="0" w:space="0" w:color="auto"/>
        <w:bottom w:val="none" w:sz="0" w:space="0" w:color="auto"/>
        <w:right w:val="none" w:sz="0" w:space="0" w:color="auto"/>
      </w:divBdr>
    </w:div>
    <w:div w:id="821972303">
      <w:bodyDiv w:val="1"/>
      <w:marLeft w:val="0"/>
      <w:marRight w:val="0"/>
      <w:marTop w:val="0"/>
      <w:marBottom w:val="0"/>
      <w:divBdr>
        <w:top w:val="none" w:sz="0" w:space="0" w:color="auto"/>
        <w:left w:val="none" w:sz="0" w:space="0" w:color="auto"/>
        <w:bottom w:val="none" w:sz="0" w:space="0" w:color="auto"/>
        <w:right w:val="none" w:sz="0" w:space="0" w:color="auto"/>
      </w:divBdr>
    </w:div>
    <w:div w:id="844784167">
      <w:bodyDiv w:val="1"/>
      <w:marLeft w:val="0"/>
      <w:marRight w:val="0"/>
      <w:marTop w:val="0"/>
      <w:marBottom w:val="0"/>
      <w:divBdr>
        <w:top w:val="none" w:sz="0" w:space="0" w:color="auto"/>
        <w:left w:val="none" w:sz="0" w:space="0" w:color="auto"/>
        <w:bottom w:val="none" w:sz="0" w:space="0" w:color="auto"/>
        <w:right w:val="none" w:sz="0" w:space="0" w:color="auto"/>
      </w:divBdr>
    </w:div>
    <w:div w:id="909533853">
      <w:bodyDiv w:val="1"/>
      <w:marLeft w:val="0"/>
      <w:marRight w:val="0"/>
      <w:marTop w:val="0"/>
      <w:marBottom w:val="0"/>
      <w:divBdr>
        <w:top w:val="none" w:sz="0" w:space="0" w:color="auto"/>
        <w:left w:val="none" w:sz="0" w:space="0" w:color="auto"/>
        <w:bottom w:val="none" w:sz="0" w:space="0" w:color="auto"/>
        <w:right w:val="none" w:sz="0" w:space="0" w:color="auto"/>
      </w:divBdr>
    </w:div>
    <w:div w:id="1193110242">
      <w:bodyDiv w:val="1"/>
      <w:marLeft w:val="0"/>
      <w:marRight w:val="0"/>
      <w:marTop w:val="0"/>
      <w:marBottom w:val="0"/>
      <w:divBdr>
        <w:top w:val="none" w:sz="0" w:space="0" w:color="auto"/>
        <w:left w:val="none" w:sz="0" w:space="0" w:color="auto"/>
        <w:bottom w:val="none" w:sz="0" w:space="0" w:color="auto"/>
        <w:right w:val="none" w:sz="0" w:space="0" w:color="auto"/>
      </w:divBdr>
    </w:div>
    <w:div w:id="1378705835">
      <w:bodyDiv w:val="1"/>
      <w:marLeft w:val="0"/>
      <w:marRight w:val="0"/>
      <w:marTop w:val="0"/>
      <w:marBottom w:val="0"/>
      <w:divBdr>
        <w:top w:val="none" w:sz="0" w:space="0" w:color="auto"/>
        <w:left w:val="none" w:sz="0" w:space="0" w:color="auto"/>
        <w:bottom w:val="none" w:sz="0" w:space="0" w:color="auto"/>
        <w:right w:val="none" w:sz="0" w:space="0" w:color="auto"/>
      </w:divBdr>
    </w:div>
    <w:div w:id="1417704218">
      <w:bodyDiv w:val="1"/>
      <w:marLeft w:val="0"/>
      <w:marRight w:val="0"/>
      <w:marTop w:val="0"/>
      <w:marBottom w:val="0"/>
      <w:divBdr>
        <w:top w:val="none" w:sz="0" w:space="0" w:color="auto"/>
        <w:left w:val="none" w:sz="0" w:space="0" w:color="auto"/>
        <w:bottom w:val="none" w:sz="0" w:space="0" w:color="auto"/>
        <w:right w:val="none" w:sz="0" w:space="0" w:color="auto"/>
      </w:divBdr>
    </w:div>
    <w:div w:id="1632052574">
      <w:bodyDiv w:val="1"/>
      <w:marLeft w:val="0"/>
      <w:marRight w:val="0"/>
      <w:marTop w:val="0"/>
      <w:marBottom w:val="0"/>
      <w:divBdr>
        <w:top w:val="none" w:sz="0" w:space="0" w:color="auto"/>
        <w:left w:val="none" w:sz="0" w:space="0" w:color="auto"/>
        <w:bottom w:val="none" w:sz="0" w:space="0" w:color="auto"/>
        <w:right w:val="none" w:sz="0" w:space="0" w:color="auto"/>
      </w:divBdr>
    </w:div>
    <w:div w:id="1776053577">
      <w:bodyDiv w:val="1"/>
      <w:marLeft w:val="0"/>
      <w:marRight w:val="0"/>
      <w:marTop w:val="0"/>
      <w:marBottom w:val="0"/>
      <w:divBdr>
        <w:top w:val="none" w:sz="0" w:space="0" w:color="auto"/>
        <w:left w:val="none" w:sz="0" w:space="0" w:color="auto"/>
        <w:bottom w:val="none" w:sz="0" w:space="0" w:color="auto"/>
        <w:right w:val="none" w:sz="0" w:space="0" w:color="auto"/>
      </w:divBdr>
    </w:div>
    <w:div w:id="1820337936">
      <w:bodyDiv w:val="1"/>
      <w:marLeft w:val="0"/>
      <w:marRight w:val="0"/>
      <w:marTop w:val="0"/>
      <w:marBottom w:val="0"/>
      <w:divBdr>
        <w:top w:val="none" w:sz="0" w:space="0" w:color="auto"/>
        <w:left w:val="none" w:sz="0" w:space="0" w:color="auto"/>
        <w:bottom w:val="none" w:sz="0" w:space="0" w:color="auto"/>
        <w:right w:val="none" w:sz="0" w:space="0" w:color="auto"/>
      </w:divBdr>
      <w:divsChild>
        <w:div w:id="416632840">
          <w:marLeft w:val="0"/>
          <w:marRight w:val="0"/>
          <w:marTop w:val="0"/>
          <w:marBottom w:val="0"/>
          <w:divBdr>
            <w:top w:val="none" w:sz="0" w:space="0" w:color="auto"/>
            <w:left w:val="none" w:sz="0" w:space="0" w:color="auto"/>
            <w:bottom w:val="none" w:sz="0" w:space="0" w:color="auto"/>
            <w:right w:val="none" w:sz="0" w:space="0" w:color="auto"/>
          </w:divBdr>
        </w:div>
      </w:divsChild>
    </w:div>
    <w:div w:id="1862818421">
      <w:bodyDiv w:val="1"/>
      <w:marLeft w:val="0"/>
      <w:marRight w:val="0"/>
      <w:marTop w:val="0"/>
      <w:marBottom w:val="0"/>
      <w:divBdr>
        <w:top w:val="none" w:sz="0" w:space="0" w:color="auto"/>
        <w:left w:val="none" w:sz="0" w:space="0" w:color="auto"/>
        <w:bottom w:val="none" w:sz="0" w:space="0" w:color="auto"/>
        <w:right w:val="none" w:sz="0" w:space="0" w:color="auto"/>
      </w:divBdr>
    </w:div>
    <w:div w:id="1983267944">
      <w:bodyDiv w:val="1"/>
      <w:marLeft w:val="0"/>
      <w:marRight w:val="0"/>
      <w:marTop w:val="0"/>
      <w:marBottom w:val="0"/>
      <w:divBdr>
        <w:top w:val="none" w:sz="0" w:space="0" w:color="auto"/>
        <w:left w:val="none" w:sz="0" w:space="0" w:color="auto"/>
        <w:bottom w:val="none" w:sz="0" w:space="0" w:color="auto"/>
        <w:right w:val="none" w:sz="0" w:space="0" w:color="auto"/>
      </w:divBdr>
    </w:div>
    <w:div w:id="2014184829">
      <w:bodyDiv w:val="1"/>
      <w:marLeft w:val="0"/>
      <w:marRight w:val="0"/>
      <w:marTop w:val="0"/>
      <w:marBottom w:val="0"/>
      <w:divBdr>
        <w:top w:val="none" w:sz="0" w:space="0" w:color="auto"/>
        <w:left w:val="none" w:sz="0" w:space="0" w:color="auto"/>
        <w:bottom w:val="none" w:sz="0" w:space="0" w:color="auto"/>
        <w:right w:val="none" w:sz="0" w:space="0" w:color="auto"/>
      </w:divBdr>
    </w:div>
    <w:div w:id="2018338274">
      <w:bodyDiv w:val="1"/>
      <w:marLeft w:val="0"/>
      <w:marRight w:val="0"/>
      <w:marTop w:val="0"/>
      <w:marBottom w:val="0"/>
      <w:divBdr>
        <w:top w:val="none" w:sz="0" w:space="0" w:color="auto"/>
        <w:left w:val="none" w:sz="0" w:space="0" w:color="auto"/>
        <w:bottom w:val="none" w:sz="0" w:space="0" w:color="auto"/>
        <w:right w:val="none" w:sz="0" w:space="0" w:color="auto"/>
      </w:divBdr>
      <w:divsChild>
        <w:div w:id="7248374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usinesswaste.co.uk/waste-facts/hotel-waste-statistics" TargetMode="External" /><Relationship Id="rId13" Type="http://schemas.openxmlformats.org/officeDocument/2006/relationships/hyperlink" Target="https://marriott-europe.pressarea.com/en/news/14012026/al-qimmah-hospitality-and-marriott-international-announce-agreement-to-add-more-than-2700-hotel-rooms-in-saudi-arabia" TargetMode="Externa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yperlink" Target="https://researchbriefings.files.parliament.uk/documents/CBP-7552/CBP-7552.pdf" TargetMode="External" /><Relationship Id="rId17" Type="http://schemas.openxmlformats.org/officeDocument/2006/relationships/theme" Target="theme/theme1.xml" /><Relationship Id="rId2" Type="http://schemas.openxmlformats.org/officeDocument/2006/relationships/numbering" Target="numbering.xml" /><Relationship Id="rId16"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stories.hilton.com/emea/sustainability/hilton-launches-zero-waste-menus-across-flagship-uk-hotels" TargetMode="External" /><Relationship Id="rId5" Type="http://schemas.openxmlformats.org/officeDocument/2006/relationships/webSettings" Target="webSettings.xml" /><Relationship Id="rId15" Type="http://schemas.openxmlformats.org/officeDocument/2006/relationships/header" Target="header1.xml" /><Relationship Id="rId10" Type="http://schemas.openxmlformats.org/officeDocument/2006/relationships/hyperlink" Target="https://www.foodhygienecertificate.co.uk/food-waste-statistics-uk" TargetMode="External" /><Relationship Id="rId4" Type="http://schemas.openxmlformats.org/officeDocument/2006/relationships/settings" Target="settings.xml" /><Relationship Id="rId9" Type="http://schemas.openxmlformats.org/officeDocument/2006/relationships/hyperlink" Target="https://ce-hub.org/wp-content/uploads/2024/09/CE-Hub-Hospitality-Report-2024.pdf" TargetMode="External" /><Relationship Id="rId14" Type="http://schemas.openxmlformats.org/officeDocument/2006/relationships/hyperlink" Target="https://www.thinkhospitality.co.uk/post/how-hotel-groups-are-reducing-breakfast-waste-at-scale"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8B648B-CF94-4400-9602-6AA229DE997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4420</Words>
  <Characters>25200</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123456</dc:creator>
  <cp:keywords/>
  <dc:description/>
  <cp:lastModifiedBy>Zakhra Batool</cp:lastModifiedBy>
  <cp:revision>2</cp:revision>
  <dcterms:created xsi:type="dcterms:W3CDTF">2026-02-12T19:29:00Z</dcterms:created>
  <dcterms:modified xsi:type="dcterms:W3CDTF">2026-02-12T19:29:00Z</dcterms:modified>
</cp:coreProperties>
</file>