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E827955" w14:textId="3E756E92" w:rsidR="00084C12" w:rsidRDefault="00084C12" w:rsidP="00084C12"/>
    <w:p w14:paraId="3A1FB5D3" w14:textId="6D8F30DF" w:rsidR="00084C12" w:rsidRDefault="00084C12" w:rsidP="00084C12"/>
    <w:p w14:paraId="2952D752" w14:textId="6A1B2573" w:rsidR="00084C12" w:rsidRDefault="00084C12" w:rsidP="00084C12"/>
    <w:p w14:paraId="2E78A39D" w14:textId="65299B05" w:rsidR="00084C12" w:rsidRDefault="00084C12" w:rsidP="00084C12"/>
    <w:p w14:paraId="082CF89E" w14:textId="404A8B28" w:rsidR="00084C12" w:rsidRDefault="00084C12" w:rsidP="00084C12"/>
    <w:p w14:paraId="06C95B7F" w14:textId="75C7C211" w:rsidR="00084C12" w:rsidRDefault="00084C12" w:rsidP="00084C12"/>
    <w:p w14:paraId="77AD3CB6" w14:textId="77777777" w:rsidR="00084C12" w:rsidRDefault="00084C12" w:rsidP="00084C12"/>
    <w:p w14:paraId="49A0D387" w14:textId="1C1FE435" w:rsidR="00463A29" w:rsidRPr="00084C12" w:rsidRDefault="00D10AB4" w:rsidP="00084C12">
      <w:pPr>
        <w:jc w:val="center"/>
        <w:rPr>
          <w:b/>
        </w:rPr>
      </w:pPr>
      <w:r w:rsidRPr="00084C12">
        <w:rPr>
          <w:b/>
        </w:rPr>
        <w:t>Module Name</w:t>
      </w:r>
      <w:r w:rsidR="00B41C14" w:rsidRPr="00084C12">
        <w:rPr>
          <w:b/>
        </w:rPr>
        <w:t>: Principles of Human Resource Management</w:t>
      </w:r>
    </w:p>
    <w:p w14:paraId="0CEF6AF5" w14:textId="4010DAEC" w:rsidR="00B41C14" w:rsidRPr="00084C12" w:rsidRDefault="00D10AB4" w:rsidP="00084C12">
      <w:pPr>
        <w:jc w:val="center"/>
        <w:rPr>
          <w:b/>
        </w:rPr>
      </w:pPr>
      <w:r w:rsidRPr="00084C12">
        <w:rPr>
          <w:b/>
        </w:rPr>
        <w:t>Module Code: LCBB5012</w:t>
      </w:r>
    </w:p>
    <w:p w14:paraId="61AB5E2F" w14:textId="22985BF5" w:rsidR="00B41C14" w:rsidRPr="00084C12" w:rsidRDefault="00D10AB4" w:rsidP="00084C12">
      <w:pPr>
        <w:jc w:val="center"/>
        <w:rPr>
          <w:b/>
        </w:rPr>
      </w:pPr>
      <w:r w:rsidRPr="00084C12">
        <w:rPr>
          <w:b/>
        </w:rPr>
        <w:t>Assignment Title: CW2 – Individual Report – Learning and Development Report</w:t>
      </w:r>
    </w:p>
    <w:p w14:paraId="2B5A7F52" w14:textId="266E3AEB" w:rsidR="00B41C14" w:rsidRPr="00084C12" w:rsidRDefault="00123419" w:rsidP="00084C12">
      <w:pPr>
        <w:jc w:val="center"/>
        <w:rPr>
          <w:b/>
        </w:rPr>
      </w:pPr>
      <w:proofErr w:type="spellStart"/>
      <w:r w:rsidRPr="00123419">
        <w:rPr>
          <w:b/>
        </w:rPr>
        <w:t>Misba</w:t>
      </w:r>
      <w:proofErr w:type="spellEnd"/>
      <w:r w:rsidRPr="00123419">
        <w:rPr>
          <w:b/>
        </w:rPr>
        <w:t xml:space="preserve"> khan </w:t>
      </w:r>
      <w:r>
        <w:rPr>
          <w:b/>
        </w:rPr>
        <w:br/>
      </w:r>
      <w:r w:rsidRPr="00123419">
        <w:rPr>
          <w:b/>
        </w:rPr>
        <w:t>Student id 2212997</w:t>
      </w:r>
      <w:bookmarkStart w:id="0" w:name="_GoBack"/>
      <w:bookmarkEnd w:id="0"/>
    </w:p>
    <w:p w14:paraId="7F6EE3A3" w14:textId="6A3835B0" w:rsidR="00B41C14" w:rsidRDefault="00B41C14" w:rsidP="00C7531D"/>
    <w:p w14:paraId="09709F7F" w14:textId="40A37698" w:rsidR="00826083" w:rsidRDefault="00D10AB4">
      <w:pPr>
        <w:spacing w:line="259" w:lineRule="auto"/>
      </w:pPr>
      <w:r>
        <w:br w:type="page"/>
      </w:r>
    </w:p>
    <w:sdt>
      <w:sdtPr>
        <w:rPr>
          <w:rFonts w:ascii="Times New Roman" w:eastAsiaTheme="minorHAnsi" w:hAnsi="Times New Roman" w:cstheme="minorBidi"/>
          <w:color w:val="auto"/>
          <w:sz w:val="24"/>
          <w:szCs w:val="22"/>
          <w:lang w:val="en-GB"/>
        </w:rPr>
        <w:id w:val="1578010470"/>
        <w:docPartObj>
          <w:docPartGallery w:val="Table of Contents"/>
          <w:docPartUnique/>
        </w:docPartObj>
      </w:sdtPr>
      <w:sdtEndPr>
        <w:rPr>
          <w:b/>
          <w:bCs/>
          <w:noProof/>
        </w:rPr>
      </w:sdtEndPr>
      <w:sdtContent>
        <w:p w14:paraId="6CD7608B" w14:textId="197E9353" w:rsidR="005068AD" w:rsidRPr="00D85F1E" w:rsidRDefault="00D10AB4">
          <w:pPr>
            <w:pStyle w:val="TOCHeading"/>
            <w:rPr>
              <w:rFonts w:ascii="Times New Roman" w:hAnsi="Times New Roman" w:cs="Times New Roman"/>
              <w:color w:val="auto"/>
              <w:sz w:val="24"/>
              <w:szCs w:val="24"/>
            </w:rPr>
          </w:pPr>
          <w:r w:rsidRPr="00D85F1E">
            <w:rPr>
              <w:rFonts w:ascii="Times New Roman" w:hAnsi="Times New Roman" w:cs="Times New Roman"/>
              <w:color w:val="auto"/>
              <w:sz w:val="24"/>
              <w:szCs w:val="24"/>
            </w:rPr>
            <w:t>Table of Contents</w:t>
          </w:r>
        </w:p>
        <w:p w14:paraId="4095BB9F" w14:textId="5D8E2069" w:rsidR="00C4786A" w:rsidRDefault="00D10AB4">
          <w:pPr>
            <w:pStyle w:val="TOC1"/>
            <w:tabs>
              <w:tab w:val="right" w:leader="dot" w:pos="9350"/>
            </w:tabs>
            <w:rPr>
              <w:rFonts w:asciiTheme="minorHAnsi" w:eastAsiaTheme="minorEastAsia" w:hAnsiTheme="minorHAnsi"/>
              <w:noProof/>
              <w:sz w:val="22"/>
              <w:lang w:val="en-US"/>
            </w:rPr>
          </w:pPr>
          <w:r w:rsidRPr="00D85F1E">
            <w:rPr>
              <w:rFonts w:cs="Times New Roman"/>
              <w:szCs w:val="24"/>
            </w:rPr>
            <w:fldChar w:fldCharType="begin"/>
          </w:r>
          <w:r w:rsidRPr="00D85F1E">
            <w:rPr>
              <w:rFonts w:cs="Times New Roman"/>
              <w:szCs w:val="24"/>
            </w:rPr>
            <w:instrText xml:space="preserve"> TOC \o "1-3" \h \z \u </w:instrText>
          </w:r>
          <w:r w:rsidRPr="00D85F1E">
            <w:rPr>
              <w:rFonts w:cs="Times New Roman"/>
              <w:szCs w:val="24"/>
            </w:rPr>
            <w:fldChar w:fldCharType="separate"/>
          </w:r>
          <w:hyperlink w:anchor="_Toc215150013" w:history="1">
            <w:r w:rsidR="00C4786A" w:rsidRPr="003870E5">
              <w:rPr>
                <w:rStyle w:val="Hyperlink"/>
                <w:noProof/>
                <w:lang w:val="en-US"/>
              </w:rPr>
              <w:t>Introduction</w:t>
            </w:r>
            <w:r w:rsidR="00C4786A">
              <w:rPr>
                <w:noProof/>
                <w:webHidden/>
              </w:rPr>
              <w:tab/>
            </w:r>
            <w:r w:rsidR="00C4786A">
              <w:rPr>
                <w:noProof/>
                <w:webHidden/>
              </w:rPr>
              <w:fldChar w:fldCharType="begin"/>
            </w:r>
            <w:r w:rsidR="00C4786A">
              <w:rPr>
                <w:noProof/>
                <w:webHidden/>
              </w:rPr>
              <w:instrText xml:space="preserve"> PAGEREF _Toc215150013 \h </w:instrText>
            </w:r>
            <w:r w:rsidR="00C4786A">
              <w:rPr>
                <w:noProof/>
                <w:webHidden/>
              </w:rPr>
            </w:r>
            <w:r w:rsidR="00C4786A">
              <w:rPr>
                <w:noProof/>
                <w:webHidden/>
              </w:rPr>
              <w:fldChar w:fldCharType="separate"/>
            </w:r>
            <w:r w:rsidR="00C4786A">
              <w:rPr>
                <w:noProof/>
                <w:webHidden/>
              </w:rPr>
              <w:t>3</w:t>
            </w:r>
            <w:r w:rsidR="00C4786A">
              <w:rPr>
                <w:noProof/>
                <w:webHidden/>
              </w:rPr>
              <w:fldChar w:fldCharType="end"/>
            </w:r>
          </w:hyperlink>
        </w:p>
        <w:p w14:paraId="4B4B8B97" w14:textId="744F5D01" w:rsidR="00C4786A" w:rsidRDefault="00CD2251">
          <w:pPr>
            <w:pStyle w:val="TOC1"/>
            <w:tabs>
              <w:tab w:val="right" w:leader="dot" w:pos="9350"/>
            </w:tabs>
            <w:rPr>
              <w:rFonts w:asciiTheme="minorHAnsi" w:eastAsiaTheme="minorEastAsia" w:hAnsiTheme="minorHAnsi"/>
              <w:noProof/>
              <w:sz w:val="22"/>
              <w:lang w:val="en-US"/>
            </w:rPr>
          </w:pPr>
          <w:hyperlink w:anchor="_Toc215150014" w:history="1">
            <w:r w:rsidR="00C4786A" w:rsidRPr="003870E5">
              <w:rPr>
                <w:rStyle w:val="Hyperlink"/>
                <w:noProof/>
                <w:lang w:val="en-US"/>
              </w:rPr>
              <w:t>Impact of Internal and External Forces on L&amp;D Design and Implementation</w:t>
            </w:r>
            <w:r w:rsidR="00C4786A">
              <w:rPr>
                <w:noProof/>
                <w:webHidden/>
              </w:rPr>
              <w:tab/>
            </w:r>
            <w:r w:rsidR="00C4786A">
              <w:rPr>
                <w:noProof/>
                <w:webHidden/>
              </w:rPr>
              <w:fldChar w:fldCharType="begin"/>
            </w:r>
            <w:r w:rsidR="00C4786A">
              <w:rPr>
                <w:noProof/>
                <w:webHidden/>
              </w:rPr>
              <w:instrText xml:space="preserve"> PAGEREF _Toc215150014 \h </w:instrText>
            </w:r>
            <w:r w:rsidR="00C4786A">
              <w:rPr>
                <w:noProof/>
                <w:webHidden/>
              </w:rPr>
            </w:r>
            <w:r w:rsidR="00C4786A">
              <w:rPr>
                <w:noProof/>
                <w:webHidden/>
              </w:rPr>
              <w:fldChar w:fldCharType="separate"/>
            </w:r>
            <w:r w:rsidR="00C4786A">
              <w:rPr>
                <w:noProof/>
                <w:webHidden/>
              </w:rPr>
              <w:t>3</w:t>
            </w:r>
            <w:r w:rsidR="00C4786A">
              <w:rPr>
                <w:noProof/>
                <w:webHidden/>
              </w:rPr>
              <w:fldChar w:fldCharType="end"/>
            </w:r>
          </w:hyperlink>
        </w:p>
        <w:p w14:paraId="2C370EFA" w14:textId="7675E7D7" w:rsidR="00C4786A" w:rsidRDefault="00CD2251">
          <w:pPr>
            <w:pStyle w:val="TOC1"/>
            <w:tabs>
              <w:tab w:val="right" w:leader="dot" w:pos="9350"/>
            </w:tabs>
            <w:rPr>
              <w:rFonts w:asciiTheme="minorHAnsi" w:eastAsiaTheme="minorEastAsia" w:hAnsiTheme="minorHAnsi"/>
              <w:noProof/>
              <w:sz w:val="22"/>
              <w:lang w:val="en-US"/>
            </w:rPr>
          </w:pPr>
          <w:hyperlink w:anchor="_Toc215150015" w:history="1">
            <w:r w:rsidR="00C4786A" w:rsidRPr="003870E5">
              <w:rPr>
                <w:rStyle w:val="Hyperlink"/>
                <w:noProof/>
                <w:lang w:val="en-US"/>
              </w:rPr>
              <w:t>Learning and Development Supporting Adaptation to Environmental Factors</w:t>
            </w:r>
            <w:r w:rsidR="00C4786A">
              <w:rPr>
                <w:noProof/>
                <w:webHidden/>
              </w:rPr>
              <w:tab/>
            </w:r>
            <w:r w:rsidR="00C4786A">
              <w:rPr>
                <w:noProof/>
                <w:webHidden/>
              </w:rPr>
              <w:fldChar w:fldCharType="begin"/>
            </w:r>
            <w:r w:rsidR="00C4786A">
              <w:rPr>
                <w:noProof/>
                <w:webHidden/>
              </w:rPr>
              <w:instrText xml:space="preserve"> PAGEREF _Toc215150015 \h </w:instrText>
            </w:r>
            <w:r w:rsidR="00C4786A">
              <w:rPr>
                <w:noProof/>
                <w:webHidden/>
              </w:rPr>
            </w:r>
            <w:r w:rsidR="00C4786A">
              <w:rPr>
                <w:noProof/>
                <w:webHidden/>
              </w:rPr>
              <w:fldChar w:fldCharType="separate"/>
            </w:r>
            <w:r w:rsidR="00C4786A">
              <w:rPr>
                <w:noProof/>
                <w:webHidden/>
              </w:rPr>
              <w:t>4</w:t>
            </w:r>
            <w:r w:rsidR="00C4786A">
              <w:rPr>
                <w:noProof/>
                <w:webHidden/>
              </w:rPr>
              <w:fldChar w:fldCharType="end"/>
            </w:r>
          </w:hyperlink>
        </w:p>
        <w:p w14:paraId="57464E9B" w14:textId="0001A0DB" w:rsidR="00C4786A" w:rsidRDefault="00CD2251">
          <w:pPr>
            <w:pStyle w:val="TOC1"/>
            <w:tabs>
              <w:tab w:val="right" w:leader="dot" w:pos="9350"/>
            </w:tabs>
            <w:rPr>
              <w:rFonts w:asciiTheme="minorHAnsi" w:eastAsiaTheme="minorEastAsia" w:hAnsiTheme="minorHAnsi"/>
              <w:noProof/>
              <w:sz w:val="22"/>
              <w:lang w:val="en-US"/>
            </w:rPr>
          </w:pPr>
          <w:hyperlink w:anchor="_Toc215150016" w:history="1">
            <w:r w:rsidR="00C4786A" w:rsidRPr="003870E5">
              <w:rPr>
                <w:rStyle w:val="Hyperlink"/>
                <w:noProof/>
                <w:lang w:val="en-US"/>
              </w:rPr>
              <w:t>L&amp;D as a Tool for Maintaining Competitive Advantage</w:t>
            </w:r>
            <w:r w:rsidR="00C4786A">
              <w:rPr>
                <w:noProof/>
                <w:webHidden/>
              </w:rPr>
              <w:tab/>
            </w:r>
            <w:r w:rsidR="00C4786A">
              <w:rPr>
                <w:noProof/>
                <w:webHidden/>
              </w:rPr>
              <w:fldChar w:fldCharType="begin"/>
            </w:r>
            <w:r w:rsidR="00C4786A">
              <w:rPr>
                <w:noProof/>
                <w:webHidden/>
              </w:rPr>
              <w:instrText xml:space="preserve"> PAGEREF _Toc215150016 \h </w:instrText>
            </w:r>
            <w:r w:rsidR="00C4786A">
              <w:rPr>
                <w:noProof/>
                <w:webHidden/>
              </w:rPr>
            </w:r>
            <w:r w:rsidR="00C4786A">
              <w:rPr>
                <w:noProof/>
                <w:webHidden/>
              </w:rPr>
              <w:fldChar w:fldCharType="separate"/>
            </w:r>
            <w:r w:rsidR="00C4786A">
              <w:rPr>
                <w:noProof/>
                <w:webHidden/>
              </w:rPr>
              <w:t>5</w:t>
            </w:r>
            <w:r w:rsidR="00C4786A">
              <w:rPr>
                <w:noProof/>
                <w:webHidden/>
              </w:rPr>
              <w:fldChar w:fldCharType="end"/>
            </w:r>
          </w:hyperlink>
        </w:p>
        <w:p w14:paraId="3F427C95" w14:textId="38F5BDA8" w:rsidR="00C4786A" w:rsidRDefault="00CD2251">
          <w:pPr>
            <w:pStyle w:val="TOC1"/>
            <w:tabs>
              <w:tab w:val="right" w:leader="dot" w:pos="9350"/>
            </w:tabs>
            <w:rPr>
              <w:rFonts w:asciiTheme="minorHAnsi" w:eastAsiaTheme="minorEastAsia" w:hAnsiTheme="minorHAnsi"/>
              <w:noProof/>
              <w:sz w:val="22"/>
              <w:lang w:val="en-US"/>
            </w:rPr>
          </w:pPr>
          <w:hyperlink w:anchor="_Toc215150017" w:history="1">
            <w:r w:rsidR="00C4786A" w:rsidRPr="003870E5">
              <w:rPr>
                <w:rStyle w:val="Hyperlink"/>
                <w:noProof/>
                <w:lang w:val="en-US"/>
              </w:rPr>
              <w:t>Supporting Employees from Diverse Backgrounds</w:t>
            </w:r>
            <w:r w:rsidR="00C4786A">
              <w:rPr>
                <w:noProof/>
                <w:webHidden/>
              </w:rPr>
              <w:tab/>
            </w:r>
            <w:r w:rsidR="00C4786A">
              <w:rPr>
                <w:noProof/>
                <w:webHidden/>
              </w:rPr>
              <w:fldChar w:fldCharType="begin"/>
            </w:r>
            <w:r w:rsidR="00C4786A">
              <w:rPr>
                <w:noProof/>
                <w:webHidden/>
              </w:rPr>
              <w:instrText xml:space="preserve"> PAGEREF _Toc215150017 \h </w:instrText>
            </w:r>
            <w:r w:rsidR="00C4786A">
              <w:rPr>
                <w:noProof/>
                <w:webHidden/>
              </w:rPr>
            </w:r>
            <w:r w:rsidR="00C4786A">
              <w:rPr>
                <w:noProof/>
                <w:webHidden/>
              </w:rPr>
              <w:fldChar w:fldCharType="separate"/>
            </w:r>
            <w:r w:rsidR="00C4786A">
              <w:rPr>
                <w:noProof/>
                <w:webHidden/>
              </w:rPr>
              <w:t>6</w:t>
            </w:r>
            <w:r w:rsidR="00C4786A">
              <w:rPr>
                <w:noProof/>
                <w:webHidden/>
              </w:rPr>
              <w:fldChar w:fldCharType="end"/>
            </w:r>
          </w:hyperlink>
        </w:p>
        <w:p w14:paraId="74B225A9" w14:textId="0932F242" w:rsidR="00C4786A" w:rsidRDefault="00CD2251">
          <w:pPr>
            <w:pStyle w:val="TOC1"/>
            <w:tabs>
              <w:tab w:val="right" w:leader="dot" w:pos="9350"/>
            </w:tabs>
            <w:rPr>
              <w:rFonts w:asciiTheme="minorHAnsi" w:eastAsiaTheme="minorEastAsia" w:hAnsiTheme="minorHAnsi"/>
              <w:noProof/>
              <w:sz w:val="22"/>
              <w:lang w:val="en-US"/>
            </w:rPr>
          </w:pPr>
          <w:hyperlink w:anchor="_Toc215150018" w:history="1">
            <w:r w:rsidR="00C4786A" w:rsidRPr="003870E5">
              <w:rPr>
                <w:rStyle w:val="Hyperlink"/>
                <w:noProof/>
                <w:lang w:val="en-US"/>
              </w:rPr>
              <w:t>Application of a Relevant L&amp;D Model</w:t>
            </w:r>
            <w:r w:rsidR="00C4786A">
              <w:rPr>
                <w:noProof/>
                <w:webHidden/>
              </w:rPr>
              <w:tab/>
            </w:r>
            <w:r w:rsidR="00C4786A">
              <w:rPr>
                <w:noProof/>
                <w:webHidden/>
              </w:rPr>
              <w:fldChar w:fldCharType="begin"/>
            </w:r>
            <w:r w:rsidR="00C4786A">
              <w:rPr>
                <w:noProof/>
                <w:webHidden/>
              </w:rPr>
              <w:instrText xml:space="preserve"> PAGEREF _Toc215150018 \h </w:instrText>
            </w:r>
            <w:r w:rsidR="00C4786A">
              <w:rPr>
                <w:noProof/>
                <w:webHidden/>
              </w:rPr>
            </w:r>
            <w:r w:rsidR="00C4786A">
              <w:rPr>
                <w:noProof/>
                <w:webHidden/>
              </w:rPr>
              <w:fldChar w:fldCharType="separate"/>
            </w:r>
            <w:r w:rsidR="00C4786A">
              <w:rPr>
                <w:noProof/>
                <w:webHidden/>
              </w:rPr>
              <w:t>6</w:t>
            </w:r>
            <w:r w:rsidR="00C4786A">
              <w:rPr>
                <w:noProof/>
                <w:webHidden/>
              </w:rPr>
              <w:fldChar w:fldCharType="end"/>
            </w:r>
          </w:hyperlink>
        </w:p>
        <w:p w14:paraId="715BB3CF" w14:textId="5A4CA0D3" w:rsidR="00C4786A" w:rsidRDefault="00CD2251">
          <w:pPr>
            <w:pStyle w:val="TOC1"/>
            <w:tabs>
              <w:tab w:val="right" w:leader="dot" w:pos="9350"/>
            </w:tabs>
            <w:rPr>
              <w:rFonts w:asciiTheme="minorHAnsi" w:eastAsiaTheme="minorEastAsia" w:hAnsiTheme="minorHAnsi"/>
              <w:noProof/>
              <w:sz w:val="22"/>
              <w:lang w:val="en-US"/>
            </w:rPr>
          </w:pPr>
          <w:hyperlink w:anchor="_Toc215150019" w:history="1">
            <w:r w:rsidR="00C4786A" w:rsidRPr="003870E5">
              <w:rPr>
                <w:rStyle w:val="Hyperlink"/>
                <w:noProof/>
                <w:lang w:val="en-US"/>
              </w:rPr>
              <w:t>Challenges and Recommendations</w:t>
            </w:r>
            <w:r w:rsidR="00C4786A">
              <w:rPr>
                <w:noProof/>
                <w:webHidden/>
              </w:rPr>
              <w:tab/>
            </w:r>
            <w:r w:rsidR="00C4786A">
              <w:rPr>
                <w:noProof/>
                <w:webHidden/>
              </w:rPr>
              <w:fldChar w:fldCharType="begin"/>
            </w:r>
            <w:r w:rsidR="00C4786A">
              <w:rPr>
                <w:noProof/>
                <w:webHidden/>
              </w:rPr>
              <w:instrText xml:space="preserve"> PAGEREF _Toc215150019 \h </w:instrText>
            </w:r>
            <w:r w:rsidR="00C4786A">
              <w:rPr>
                <w:noProof/>
                <w:webHidden/>
              </w:rPr>
            </w:r>
            <w:r w:rsidR="00C4786A">
              <w:rPr>
                <w:noProof/>
                <w:webHidden/>
              </w:rPr>
              <w:fldChar w:fldCharType="separate"/>
            </w:r>
            <w:r w:rsidR="00C4786A">
              <w:rPr>
                <w:noProof/>
                <w:webHidden/>
              </w:rPr>
              <w:t>7</w:t>
            </w:r>
            <w:r w:rsidR="00C4786A">
              <w:rPr>
                <w:noProof/>
                <w:webHidden/>
              </w:rPr>
              <w:fldChar w:fldCharType="end"/>
            </w:r>
          </w:hyperlink>
        </w:p>
        <w:p w14:paraId="660E104C" w14:textId="68C09939" w:rsidR="00C4786A" w:rsidRDefault="00CD2251">
          <w:pPr>
            <w:pStyle w:val="TOC1"/>
            <w:tabs>
              <w:tab w:val="right" w:leader="dot" w:pos="9350"/>
            </w:tabs>
            <w:rPr>
              <w:rFonts w:asciiTheme="minorHAnsi" w:eastAsiaTheme="minorEastAsia" w:hAnsiTheme="minorHAnsi"/>
              <w:noProof/>
              <w:sz w:val="22"/>
              <w:lang w:val="en-US"/>
            </w:rPr>
          </w:pPr>
          <w:hyperlink w:anchor="_Toc215150020" w:history="1">
            <w:r w:rsidR="00C4786A" w:rsidRPr="003870E5">
              <w:rPr>
                <w:rStyle w:val="Hyperlink"/>
                <w:noProof/>
                <w:lang w:val="en-US"/>
              </w:rPr>
              <w:t>Conclusion</w:t>
            </w:r>
            <w:r w:rsidR="00C4786A">
              <w:rPr>
                <w:noProof/>
                <w:webHidden/>
              </w:rPr>
              <w:tab/>
            </w:r>
            <w:r w:rsidR="00C4786A">
              <w:rPr>
                <w:noProof/>
                <w:webHidden/>
              </w:rPr>
              <w:fldChar w:fldCharType="begin"/>
            </w:r>
            <w:r w:rsidR="00C4786A">
              <w:rPr>
                <w:noProof/>
                <w:webHidden/>
              </w:rPr>
              <w:instrText xml:space="preserve"> PAGEREF _Toc215150020 \h </w:instrText>
            </w:r>
            <w:r w:rsidR="00C4786A">
              <w:rPr>
                <w:noProof/>
                <w:webHidden/>
              </w:rPr>
            </w:r>
            <w:r w:rsidR="00C4786A">
              <w:rPr>
                <w:noProof/>
                <w:webHidden/>
              </w:rPr>
              <w:fldChar w:fldCharType="separate"/>
            </w:r>
            <w:r w:rsidR="00C4786A">
              <w:rPr>
                <w:noProof/>
                <w:webHidden/>
              </w:rPr>
              <w:t>8</w:t>
            </w:r>
            <w:r w:rsidR="00C4786A">
              <w:rPr>
                <w:noProof/>
                <w:webHidden/>
              </w:rPr>
              <w:fldChar w:fldCharType="end"/>
            </w:r>
          </w:hyperlink>
        </w:p>
        <w:p w14:paraId="44941671" w14:textId="0759C9AA" w:rsidR="00C4786A" w:rsidRDefault="00CD2251">
          <w:pPr>
            <w:pStyle w:val="TOC1"/>
            <w:tabs>
              <w:tab w:val="right" w:leader="dot" w:pos="9350"/>
            </w:tabs>
            <w:rPr>
              <w:rFonts w:asciiTheme="minorHAnsi" w:eastAsiaTheme="minorEastAsia" w:hAnsiTheme="minorHAnsi"/>
              <w:noProof/>
              <w:sz w:val="22"/>
              <w:lang w:val="en-US"/>
            </w:rPr>
          </w:pPr>
          <w:hyperlink w:anchor="_Toc215150021" w:history="1">
            <w:r w:rsidR="00C4786A" w:rsidRPr="003870E5">
              <w:rPr>
                <w:rStyle w:val="Hyperlink"/>
                <w:noProof/>
              </w:rPr>
              <w:t>Reference</w:t>
            </w:r>
            <w:r w:rsidR="00C4786A">
              <w:rPr>
                <w:noProof/>
                <w:webHidden/>
              </w:rPr>
              <w:tab/>
            </w:r>
            <w:r w:rsidR="00C4786A">
              <w:rPr>
                <w:noProof/>
                <w:webHidden/>
              </w:rPr>
              <w:fldChar w:fldCharType="begin"/>
            </w:r>
            <w:r w:rsidR="00C4786A">
              <w:rPr>
                <w:noProof/>
                <w:webHidden/>
              </w:rPr>
              <w:instrText xml:space="preserve"> PAGEREF _Toc215150021 \h </w:instrText>
            </w:r>
            <w:r w:rsidR="00C4786A">
              <w:rPr>
                <w:noProof/>
                <w:webHidden/>
              </w:rPr>
            </w:r>
            <w:r w:rsidR="00C4786A">
              <w:rPr>
                <w:noProof/>
                <w:webHidden/>
              </w:rPr>
              <w:fldChar w:fldCharType="separate"/>
            </w:r>
            <w:r w:rsidR="00C4786A">
              <w:rPr>
                <w:noProof/>
                <w:webHidden/>
              </w:rPr>
              <w:t>9</w:t>
            </w:r>
            <w:r w:rsidR="00C4786A">
              <w:rPr>
                <w:noProof/>
                <w:webHidden/>
              </w:rPr>
              <w:fldChar w:fldCharType="end"/>
            </w:r>
          </w:hyperlink>
        </w:p>
        <w:p w14:paraId="1D9F93A8" w14:textId="2A5CAE41" w:rsidR="005068AD" w:rsidRDefault="00D10AB4">
          <w:r w:rsidRPr="00D85F1E">
            <w:rPr>
              <w:rFonts w:cs="Times New Roman"/>
              <w:b/>
              <w:bCs/>
              <w:noProof/>
              <w:szCs w:val="24"/>
            </w:rPr>
            <w:fldChar w:fldCharType="end"/>
          </w:r>
        </w:p>
      </w:sdtContent>
    </w:sdt>
    <w:p w14:paraId="5A098C8B" w14:textId="77777777" w:rsidR="00826083" w:rsidRDefault="00826083" w:rsidP="00C7531D"/>
    <w:p w14:paraId="0EA4FADA" w14:textId="77777777" w:rsidR="00826083" w:rsidRDefault="00826083" w:rsidP="00C7531D"/>
    <w:p w14:paraId="6BFBFA6A" w14:textId="3CC2A87F" w:rsidR="00F83BA0" w:rsidRDefault="00D10AB4">
      <w:pPr>
        <w:spacing w:line="259" w:lineRule="auto"/>
      </w:pPr>
      <w:r>
        <w:br w:type="page"/>
      </w:r>
    </w:p>
    <w:p w14:paraId="1E010F94" w14:textId="5E675481" w:rsidR="00084C12" w:rsidRDefault="00D10AB4" w:rsidP="00EB7F43">
      <w:pPr>
        <w:pStyle w:val="Heading1"/>
        <w:rPr>
          <w:lang w:val="en-US"/>
        </w:rPr>
      </w:pPr>
      <w:bookmarkStart w:id="1" w:name="_Toc215150013"/>
      <w:r w:rsidRPr="00084C12">
        <w:rPr>
          <w:lang w:val="en-US"/>
        </w:rPr>
        <w:lastRenderedPageBreak/>
        <w:t>Introduction</w:t>
      </w:r>
      <w:bookmarkEnd w:id="1"/>
    </w:p>
    <w:p w14:paraId="41C7A31E" w14:textId="57A3F974" w:rsidR="004F5E58" w:rsidRDefault="00D10AB4" w:rsidP="00EB7F43">
      <w:pPr>
        <w:rPr>
          <w:lang w:val="en-US"/>
        </w:rPr>
      </w:pPr>
      <w:r w:rsidRPr="00D9192D">
        <w:rPr>
          <w:lang w:val="en-US"/>
        </w:rPr>
        <w:t>Learning and Development (L&amp;D) in the field of Human Resource Management is the organised effort to add to the skill base, knowledge base and competencies of employees to enhance their individual performance as well as organisational performance. Scholarly writing presents L&amp;D as a long-term investment in the competence of the staff to maintain their relative competence in fiercely changing environments and supports the long-term organisational growth (</w:t>
      </w:r>
      <w:r w:rsidR="00CE2DED" w:rsidRPr="00CE2DED">
        <w:rPr>
          <w:lang w:val="en-US"/>
        </w:rPr>
        <w:t xml:space="preserve">John, </w:t>
      </w:r>
      <w:r w:rsidR="00CE2DED">
        <w:rPr>
          <w:lang w:val="en-US"/>
        </w:rPr>
        <w:t>2024</w:t>
      </w:r>
      <w:r w:rsidRPr="00D9192D">
        <w:rPr>
          <w:lang w:val="en-US"/>
        </w:rPr>
        <w:t>). The importance of L&amp;D has become magnified due to faster technological change, evolving consumer demand and increased competition in the world. The empirical evidence shows that organisations with well-developed L&amp;D infrastructures can more readily address digital transformation, maintain productivity during the change cycles, and build an inclusive culture that answers the heterogeneous learning needs (</w:t>
      </w:r>
      <w:r w:rsidR="00F3236E" w:rsidRPr="00F3236E">
        <w:rPr>
          <w:lang w:val="en-US"/>
        </w:rPr>
        <w:t>Bhumika</w:t>
      </w:r>
      <w:r w:rsidR="00F3236E">
        <w:rPr>
          <w:lang w:val="en-US"/>
        </w:rPr>
        <w:t xml:space="preserve"> et al., 2024</w:t>
      </w:r>
      <w:r w:rsidRPr="00D9192D">
        <w:rPr>
          <w:lang w:val="en-US"/>
        </w:rPr>
        <w:t>).</w:t>
      </w:r>
      <w:r>
        <w:rPr>
          <w:lang w:val="en-US"/>
        </w:rPr>
        <w:t xml:space="preserve"> </w:t>
      </w:r>
    </w:p>
    <w:p w14:paraId="62A4AFC3" w14:textId="3ACF3387" w:rsidR="009F4AB6" w:rsidRDefault="00D10AB4" w:rsidP="00EB7F43">
      <w:pPr>
        <w:rPr>
          <w:lang w:val="en-US"/>
        </w:rPr>
      </w:pPr>
      <w:r w:rsidRPr="009F4AB6">
        <w:rPr>
          <w:lang w:val="en-US"/>
        </w:rPr>
        <w:t>One effectual theoretical framework that guides modern L&amp;D practice is the Experiential Learning Cycle developed by Kolb, which assumes a cyclic structure based on concrete experience, reflective observation, abstract conceptualisation, and active experimentation</w:t>
      </w:r>
      <w:r w:rsidR="00973856">
        <w:rPr>
          <w:lang w:val="en-US"/>
        </w:rPr>
        <w:t xml:space="preserve"> (Kolb, 2021)</w:t>
      </w:r>
      <w:r w:rsidRPr="009F4AB6">
        <w:rPr>
          <w:lang w:val="en-US"/>
        </w:rPr>
        <w:t>. This paradigm not only makes the process of learning easier due to its practical application, but it also encourages reflection, which enhances the refinement of knowledge. Its flexibility makes it highly applicable in the context of corporate training since it is compatible with a wide range of learning preferences and contributes to a more profound mastery of the competencies. At Unilever, the biggest multinational consumer-good conglomerate in more than 190 jurisdictions, L&amp;D is incorporated as part of a sustainability-oriented strategy through investment in digital learning systems, leadership development, and inclusive capability-building programmes, which develop a diversified workforce.</w:t>
      </w:r>
      <w:r>
        <w:rPr>
          <w:lang w:val="en-US"/>
        </w:rPr>
        <w:t xml:space="preserve"> </w:t>
      </w:r>
    </w:p>
    <w:p w14:paraId="277C8F3F" w14:textId="77777777" w:rsidR="00EB7F43" w:rsidRPr="00EB7F43" w:rsidRDefault="00EB7F43" w:rsidP="00EB7F43">
      <w:pPr>
        <w:rPr>
          <w:lang w:val="en-US"/>
        </w:rPr>
      </w:pPr>
    </w:p>
    <w:p w14:paraId="2F418D44" w14:textId="68A23C9B" w:rsidR="00084C12" w:rsidRDefault="00D10AB4" w:rsidP="00116CBF">
      <w:pPr>
        <w:pStyle w:val="Heading1"/>
        <w:rPr>
          <w:lang w:val="en-US"/>
        </w:rPr>
      </w:pPr>
      <w:bookmarkStart w:id="2" w:name="_Toc215150014"/>
      <w:r w:rsidRPr="00084C12">
        <w:rPr>
          <w:lang w:val="en-US"/>
        </w:rPr>
        <w:t>Impact of Internal and External Forces on L&amp;D Design and Implementation</w:t>
      </w:r>
      <w:bookmarkEnd w:id="2"/>
    </w:p>
    <w:p w14:paraId="7582756D" w14:textId="25D533B2" w:rsidR="00A658FF" w:rsidRPr="00116CBF" w:rsidRDefault="00D10AB4" w:rsidP="00116CBF">
      <w:pPr>
        <w:rPr>
          <w:lang w:val="en-US"/>
        </w:rPr>
      </w:pPr>
      <w:r w:rsidRPr="00A658FF">
        <w:rPr>
          <w:lang w:val="en-US"/>
        </w:rPr>
        <w:t>The internal and external determinants play a decisive role in driving the design and implementation of L&amp;D strategies; they determine the priority matrix and modalities of delivery to be used by organisations. On the internal level, the existing organisational culture and values influence the process of imprinting the concept of continuous learning into the everyday practice. A culture that promotes innovation, inclusivity, and staff development rewards initiative in making L&amp;D investments, a belief that is supported by the organisational culture framework created by Schein, which argues that common assumptions shape learning behaviours (</w:t>
      </w:r>
      <w:r w:rsidR="00530A4C" w:rsidRPr="00530A4C">
        <w:rPr>
          <w:lang w:val="en-US"/>
        </w:rPr>
        <w:t xml:space="preserve">Portaankorva, </w:t>
      </w:r>
      <w:r w:rsidR="00530A4C">
        <w:rPr>
          <w:lang w:val="en-US"/>
        </w:rPr>
        <w:t>2024</w:t>
      </w:r>
      <w:r w:rsidRPr="00A658FF">
        <w:rPr>
          <w:lang w:val="en-US"/>
        </w:rPr>
        <w:t>). The commitment of leadership is another key factor; empirical studies suggest that top management who promote the use of developmental programmes could improve worker participation and supplement training performance (</w:t>
      </w:r>
      <w:r w:rsidR="00B57DCE" w:rsidRPr="00B57DCE">
        <w:rPr>
          <w:lang w:val="en-US"/>
        </w:rPr>
        <w:t>Bashar</w:t>
      </w:r>
      <w:r w:rsidR="00B57DCE">
        <w:rPr>
          <w:lang w:val="en-US"/>
        </w:rPr>
        <w:t xml:space="preserve"> et al., 2024</w:t>
      </w:r>
      <w:r w:rsidRPr="00A658FF">
        <w:rPr>
          <w:lang w:val="en-US"/>
        </w:rPr>
        <w:t xml:space="preserve">). The accurate mapping of skills deficiencies as a result of strategic workforce planning also informs the design of L&amp;D further on how it should be aligned with short-term operational demands and long-term capabilities building. Furthermore, technological preparedness, such as prescription digital </w:t>
      </w:r>
      <w:r w:rsidRPr="00A658FF">
        <w:rPr>
          <w:lang w:val="en-US"/>
        </w:rPr>
        <w:lastRenderedPageBreak/>
        <w:t>infrastructure and analytics capabilities, mediates the effectiveness in the implementation, with more mature organisations capable of implementing blended learning, online teaching and AI-mediated teaching processes with greater efficiency.</w:t>
      </w:r>
      <w:r>
        <w:rPr>
          <w:lang w:val="en-US"/>
        </w:rPr>
        <w:t xml:space="preserve"> </w:t>
      </w:r>
    </w:p>
    <w:p w14:paraId="57BCA0EE" w14:textId="49A56DA3" w:rsidR="001C2F35" w:rsidRPr="00116CBF" w:rsidRDefault="00D10AB4" w:rsidP="00116CBF">
      <w:pPr>
        <w:rPr>
          <w:lang w:val="en-US"/>
        </w:rPr>
      </w:pPr>
      <w:r w:rsidRPr="001C2F35">
        <w:rPr>
          <w:lang w:val="en-US"/>
        </w:rPr>
        <w:t>Outside the company, external forces of globalisation compel organisations to design L&amp;D programmes which meet the demands of geographically dispersed teams, accommodate cultural heterogeneity, and enable cross-border exchange of knowledge. Competency is forced to evolve faster due to technological impairments like artificial intelligence, automation, and environments of omnipresent digital infrastructures. Research approximates that by 2027, due to the growth of technologies, every other job worldwide will require significant re-skilling, which is why adaptive L&amp;D approaches are urgently needed (</w:t>
      </w:r>
      <w:r w:rsidR="00D173DE" w:rsidRPr="00D173DE">
        <w:rPr>
          <w:lang w:val="en-US"/>
        </w:rPr>
        <w:t xml:space="preserve">Mishra and Painoli, </w:t>
      </w:r>
      <w:r w:rsidR="00D173DE">
        <w:rPr>
          <w:lang w:val="en-US"/>
        </w:rPr>
        <w:t xml:space="preserve">2024). </w:t>
      </w:r>
      <w:r w:rsidRPr="001C2F35">
        <w:rPr>
          <w:lang w:val="en-US"/>
        </w:rPr>
        <w:t xml:space="preserve">Regulatory ecosystems also drive the nature of training agendas, especially in areas like data protection, environmental stewardship, and occupational safety, where compliance requirements are mandatory. </w:t>
      </w:r>
      <w:r w:rsidR="00DD274D">
        <w:rPr>
          <w:lang w:val="en-US"/>
        </w:rPr>
        <w:t>Similarly</w:t>
      </w:r>
      <w:r w:rsidRPr="001C2F35">
        <w:rPr>
          <w:lang w:val="en-US"/>
        </w:rPr>
        <w:t xml:space="preserve">, labour market derailments and demographic shifts push organisations into the need to upskill incumbents, thus alleviating a talent shortage; </w:t>
      </w:r>
      <w:r w:rsidR="00A864E4">
        <w:rPr>
          <w:lang w:val="en-US"/>
        </w:rPr>
        <w:t xml:space="preserve">moreover, </w:t>
      </w:r>
      <w:r w:rsidRPr="001C2F35">
        <w:rPr>
          <w:lang w:val="en-US"/>
        </w:rPr>
        <w:t>to support different age groups with different learning preferences.</w:t>
      </w:r>
      <w:r>
        <w:rPr>
          <w:lang w:val="en-US"/>
        </w:rPr>
        <w:t xml:space="preserve"> </w:t>
      </w:r>
    </w:p>
    <w:p w14:paraId="32FBF3B4" w14:textId="054D8886" w:rsidR="00116CBF" w:rsidRPr="00116CBF" w:rsidRDefault="00D10AB4" w:rsidP="00116CBF">
      <w:pPr>
        <w:rPr>
          <w:lang w:val="en-US"/>
        </w:rPr>
      </w:pPr>
      <w:r w:rsidRPr="006D0C51">
        <w:rPr>
          <w:lang w:val="en-US"/>
        </w:rPr>
        <w:t xml:space="preserve">These multifarious forces have had a material influence on the L&amp;D orientation of Unilever, for example. In the business, the ethos of purpose-led performance is future-of-the-corporation prophetic of employee empowerment and ethical custodianship in both forecasting investment in leadership development and training focused on sustainability. The Future Fit program also offers the specific problem of skill deficiency because it provides tailor-made upskilling pathways in digital literacy, data analytics, and agile methods. On the </w:t>
      </w:r>
      <w:r w:rsidR="00945FD6">
        <w:rPr>
          <w:lang w:val="en-US"/>
        </w:rPr>
        <w:t>exterior</w:t>
      </w:r>
      <w:r w:rsidRPr="006D0C51">
        <w:rPr>
          <w:lang w:val="en-US"/>
        </w:rPr>
        <w:t>, the expansive scale of the Unilever operation requires a culturally effective and scalable learning strategy, resulting in the implementation of a Degreed-accelerated global learning solution, providing multilingual and accessible material. Technological turbulence has increased the shift to digital academies, and regulatory pressures at the top in ESG compliance have compelled compulsory training in sustainability and ethical behaviour. The forces in the labour market have presented the firm with a reason to focus on internal mobility and competence building to maintain a future-ready workforce amidst the diverse geographic representations.</w:t>
      </w:r>
    </w:p>
    <w:p w14:paraId="00D53EE7" w14:textId="44A2F2E4" w:rsidR="00084C12" w:rsidRPr="00084C12" w:rsidRDefault="00084C12" w:rsidP="00084C12">
      <w:pPr>
        <w:rPr>
          <w:lang w:val="en-US"/>
        </w:rPr>
      </w:pPr>
    </w:p>
    <w:p w14:paraId="42427369" w14:textId="61B374B1" w:rsidR="00084C12" w:rsidRDefault="00D10AB4" w:rsidP="00C317B0">
      <w:pPr>
        <w:pStyle w:val="Heading1"/>
        <w:rPr>
          <w:lang w:val="en-US"/>
        </w:rPr>
      </w:pPr>
      <w:bookmarkStart w:id="3" w:name="_Toc215150015"/>
      <w:r w:rsidRPr="00084C12">
        <w:rPr>
          <w:lang w:val="en-US"/>
        </w:rPr>
        <w:t>Learning and Development Supporting Adaptation to Environmental Factors</w:t>
      </w:r>
      <w:bookmarkEnd w:id="3"/>
    </w:p>
    <w:p w14:paraId="63A07B22" w14:textId="06995A3B" w:rsidR="00C317B0" w:rsidRPr="00C317B0" w:rsidRDefault="00D10AB4" w:rsidP="00C317B0">
      <w:pPr>
        <w:rPr>
          <w:lang w:val="en-US"/>
        </w:rPr>
      </w:pPr>
      <w:r w:rsidRPr="00B91E54">
        <w:rPr>
          <w:lang w:val="en-US"/>
        </w:rPr>
        <w:t>L&amp;D plays a central role in ensuring organisations are up to date on the rapidly changing environmental perturbations, but it is of greater value than being a simple provider of training. Researchers argue that companies that develop strong learning cultures outcompete competitors during times of disruption because the staff members exhibit increased flexibility, proficiency in technology and skill in problem solving (</w:t>
      </w:r>
      <w:r w:rsidR="008B64C8" w:rsidRPr="008B64C8">
        <w:rPr>
          <w:lang w:val="en-US"/>
        </w:rPr>
        <w:t xml:space="preserve">Shet, </w:t>
      </w:r>
      <w:r w:rsidR="008B64C8">
        <w:rPr>
          <w:lang w:val="en-US"/>
        </w:rPr>
        <w:t>2024</w:t>
      </w:r>
      <w:r w:rsidRPr="00B91E54">
        <w:rPr>
          <w:lang w:val="en-US"/>
        </w:rPr>
        <w:t xml:space="preserve">). An example of digital transformation requirements is that data literacy, digital communication skills, and human-AI collaboration skills are to be acquired in a very short period. Organisation for Economic Co-operation and Development </w:t>
      </w:r>
      <w:r w:rsidR="00D34C9C" w:rsidRPr="00D34C9C">
        <w:rPr>
          <w:lang w:val="en-US"/>
        </w:rPr>
        <w:t xml:space="preserve">Pradhan and Saxena </w:t>
      </w:r>
      <w:r w:rsidR="00C065E5">
        <w:rPr>
          <w:lang w:val="en-US"/>
        </w:rPr>
        <w:t>(</w:t>
      </w:r>
      <w:r w:rsidR="00D34C9C">
        <w:rPr>
          <w:lang w:val="en-US"/>
        </w:rPr>
        <w:t>2023</w:t>
      </w:r>
      <w:r w:rsidRPr="00B91E54">
        <w:rPr>
          <w:lang w:val="en-US"/>
        </w:rPr>
        <w:t xml:space="preserve">) claim that organisations that fail to invest in digital </w:t>
      </w:r>
      <w:r w:rsidRPr="00B91E54">
        <w:rPr>
          <w:lang w:val="en-US"/>
        </w:rPr>
        <w:lastRenderedPageBreak/>
        <w:t>reskilling suffer productivity losses of up to 15</w:t>
      </w:r>
      <w:r w:rsidR="00914673">
        <w:rPr>
          <w:lang w:val="en-US"/>
        </w:rPr>
        <w:t xml:space="preserve">% </w:t>
      </w:r>
      <w:r w:rsidRPr="00B91E54">
        <w:rPr>
          <w:lang w:val="en-US"/>
        </w:rPr>
        <w:t>amid such changes. L&amp;D is able to counter this weakness through the construction of a perpetual reskilling loop based on modular, digital-first learning. Simultaneously, new possibilities of remote and hybrid working conditions have revealed the gaps in online cooperation, self-management, and online health. The practical research has shown that staff who did not receive specific remote-work-training get to be highly stressed and perform worse on their tasks (</w:t>
      </w:r>
      <w:r w:rsidR="00A652D9" w:rsidRPr="00A652D9">
        <w:rPr>
          <w:lang w:val="en-US"/>
        </w:rPr>
        <w:t>Pokojski</w:t>
      </w:r>
      <w:r w:rsidR="00A652D9">
        <w:rPr>
          <w:lang w:val="en-US"/>
        </w:rPr>
        <w:t xml:space="preserve"> et al., 2022</w:t>
      </w:r>
      <w:r w:rsidRPr="00B91E54">
        <w:rPr>
          <w:lang w:val="en-US"/>
        </w:rPr>
        <w:t>), which strongly supports the need for adaptive L&amp;D models.</w:t>
      </w:r>
      <w:r>
        <w:rPr>
          <w:lang w:val="en-US"/>
        </w:rPr>
        <w:t xml:space="preserve"> </w:t>
      </w:r>
    </w:p>
    <w:p w14:paraId="1EA0A889" w14:textId="77AE1019" w:rsidR="00C317B0" w:rsidRPr="00C317B0" w:rsidRDefault="00D10AB4" w:rsidP="00C317B0">
      <w:pPr>
        <w:rPr>
          <w:lang w:val="en-US"/>
        </w:rPr>
      </w:pPr>
      <w:r w:rsidRPr="007C6461">
        <w:rPr>
          <w:lang w:val="en-US"/>
        </w:rPr>
        <w:t>The counter-measure of Unilever takes the form of a complying, criticism-deserving use of L&amp;D: the company launched its Flex Learning Ecosystem, comprising the AI-selected material offered by Degreed alongside in-house built multifocused firms' academies, focusing on data, sustainability, and leadership. This architecture is based on custom</w:t>
      </w:r>
      <w:r w:rsidR="00052FD0">
        <w:rPr>
          <w:lang w:val="en-US"/>
        </w:rPr>
        <w:t xml:space="preserve"> </w:t>
      </w:r>
      <w:r w:rsidRPr="007C6461">
        <w:rPr>
          <w:lang w:val="en-US"/>
        </w:rPr>
        <w:t>learning journeys, which have a significant positive effect on engagement and achievement of skills (</w:t>
      </w:r>
      <w:r w:rsidR="00F51511" w:rsidRPr="00F51511">
        <w:rPr>
          <w:lang w:val="en-US"/>
        </w:rPr>
        <w:t>Avsec</w:t>
      </w:r>
      <w:r w:rsidR="00F51511">
        <w:rPr>
          <w:lang w:val="en-US"/>
        </w:rPr>
        <w:t xml:space="preserve"> et al., 2023</w:t>
      </w:r>
      <w:r w:rsidRPr="007C6461">
        <w:rPr>
          <w:lang w:val="en-US"/>
        </w:rPr>
        <w:t>). The U-Future Leaders Digital Academy, which is a part of the ecosystem, directly addresses the digital capability gaps in analytics, and it is the epitome of the best practice with regard to proactive needs assessment. Unilever integrates the ESG capability modules into its Sustainable Living Plan through managerial training in the environmental field, which is congruent with the results that sustainability competent leaders propel high-level organisational performance (</w:t>
      </w:r>
      <w:r w:rsidR="00543EF1" w:rsidRPr="00543EF1">
        <w:rPr>
          <w:lang w:val="en-US"/>
        </w:rPr>
        <w:t xml:space="preserve">Dang Khanh, </w:t>
      </w:r>
      <w:r w:rsidR="00543EF1">
        <w:rPr>
          <w:lang w:val="en-US"/>
        </w:rPr>
        <w:t>2024</w:t>
      </w:r>
      <w:r w:rsidRPr="007C6461">
        <w:rPr>
          <w:lang w:val="en-US"/>
        </w:rPr>
        <w:t>). With these specific, evidence-based programmes, Unilever can show how L&amp;D could go beyond the conventional training provision and serve as a strategic tool in successfully handling a complex environmental change.</w:t>
      </w:r>
      <w:r>
        <w:rPr>
          <w:lang w:val="en-US"/>
        </w:rPr>
        <w:t xml:space="preserve"> </w:t>
      </w:r>
    </w:p>
    <w:p w14:paraId="0A526AC6" w14:textId="5BFF0520" w:rsidR="00084C12" w:rsidRPr="00084C12" w:rsidRDefault="00084C12" w:rsidP="00084C12">
      <w:pPr>
        <w:rPr>
          <w:lang w:val="en-US"/>
        </w:rPr>
      </w:pPr>
    </w:p>
    <w:p w14:paraId="32166854" w14:textId="3D052D13" w:rsidR="00084C12" w:rsidRDefault="00D10AB4" w:rsidP="00C95CF4">
      <w:pPr>
        <w:pStyle w:val="Heading1"/>
        <w:rPr>
          <w:lang w:val="en-US"/>
        </w:rPr>
      </w:pPr>
      <w:bookmarkStart w:id="4" w:name="_Toc215150016"/>
      <w:r w:rsidRPr="00084C12">
        <w:rPr>
          <w:lang w:val="en-US"/>
        </w:rPr>
        <w:t>L&amp;D as a Tool for Maintaining Competitive Advantage</w:t>
      </w:r>
      <w:bookmarkEnd w:id="4"/>
    </w:p>
    <w:p w14:paraId="429A521B" w14:textId="57CDA807" w:rsidR="00BC14BB" w:rsidRDefault="00D10AB4" w:rsidP="00C95CF4">
      <w:pPr>
        <w:rPr>
          <w:lang w:val="en-US"/>
        </w:rPr>
      </w:pPr>
      <w:r w:rsidRPr="00BC14BB">
        <w:rPr>
          <w:lang w:val="en-US"/>
        </w:rPr>
        <w:t>Learning and development acts as a strategic leverage towards maintaining competitive advantage through enabling the capacity, drive, and investment of employees. The empirical studies produced numerous studies that confirm the claim, with each well-crafted development programme elevating interest levels because of the feeling of growth and psychological investment in the organisation (</w:t>
      </w:r>
      <w:r w:rsidR="00FC7D50" w:rsidRPr="00543EF1">
        <w:rPr>
          <w:lang w:val="en-US"/>
        </w:rPr>
        <w:t>Fehintola</w:t>
      </w:r>
      <w:r w:rsidR="00543EF1" w:rsidRPr="00543EF1">
        <w:rPr>
          <w:lang w:val="en-US"/>
        </w:rPr>
        <w:t xml:space="preserve">, </w:t>
      </w:r>
      <w:r w:rsidR="00543EF1">
        <w:rPr>
          <w:lang w:val="en-US"/>
        </w:rPr>
        <w:t>2023)</w:t>
      </w:r>
      <w:r w:rsidR="00FC7D50">
        <w:rPr>
          <w:lang w:val="en-US"/>
        </w:rPr>
        <w:t>.</w:t>
      </w:r>
      <w:r w:rsidR="00543EF1">
        <w:rPr>
          <w:lang w:val="en-US"/>
        </w:rPr>
        <w:t xml:space="preserve"> </w:t>
      </w:r>
      <w:r w:rsidRPr="00BC14BB">
        <w:rPr>
          <w:lang w:val="en-US"/>
        </w:rPr>
        <w:t>Innovation and productivity are also improved as the staff has updated technical expertise and innovative problem-solving abilities</w:t>
      </w:r>
      <w:r w:rsidR="005C57F1">
        <w:rPr>
          <w:lang w:val="en-US"/>
        </w:rPr>
        <w:t>.</w:t>
      </w:r>
      <w:r w:rsidRPr="00BC14BB">
        <w:rPr>
          <w:lang w:val="en-US"/>
        </w:rPr>
        <w:t xml:space="preserve"> </w:t>
      </w:r>
      <w:r w:rsidR="00C747AA">
        <w:rPr>
          <w:lang w:val="en-US"/>
        </w:rPr>
        <w:t>C</w:t>
      </w:r>
      <w:r w:rsidRPr="00BC14BB">
        <w:rPr>
          <w:lang w:val="en-US"/>
        </w:rPr>
        <w:t>ompanies that have effective learning cultures are 92</w:t>
      </w:r>
      <w:r>
        <w:rPr>
          <w:lang w:val="en-US"/>
        </w:rPr>
        <w:t>%</w:t>
      </w:r>
      <w:r w:rsidRPr="00BC14BB">
        <w:rPr>
          <w:lang w:val="en-US"/>
        </w:rPr>
        <w:t xml:space="preserve"> more likely to innovate and 52</w:t>
      </w:r>
      <w:r>
        <w:rPr>
          <w:lang w:val="en-US"/>
        </w:rPr>
        <w:t>%</w:t>
      </w:r>
      <w:r w:rsidRPr="00BC14BB">
        <w:rPr>
          <w:lang w:val="en-US"/>
        </w:rPr>
        <w:t xml:space="preserve"> more productive as compared to their rivals (</w:t>
      </w:r>
      <w:r w:rsidR="00E669F1" w:rsidRPr="00E669F1">
        <w:rPr>
          <w:lang w:val="en-US"/>
        </w:rPr>
        <w:t>Fuad</w:t>
      </w:r>
      <w:r w:rsidR="00E669F1">
        <w:rPr>
          <w:lang w:val="en-US"/>
        </w:rPr>
        <w:t xml:space="preserve"> et al., 2022</w:t>
      </w:r>
      <w:r w:rsidRPr="00BC14BB">
        <w:rPr>
          <w:lang w:val="en-US"/>
        </w:rPr>
        <w:t>). It also affects retention because career growth and skill acquisition opportunities lower turnover intentions, especially in high-potential employees (</w:t>
      </w:r>
      <w:r w:rsidR="00FD06D8" w:rsidRPr="00FD06D8">
        <w:rPr>
          <w:lang w:val="en-US"/>
        </w:rPr>
        <w:t>Thusi</w:t>
      </w:r>
      <w:r w:rsidR="00FD06D8">
        <w:rPr>
          <w:lang w:val="en-US"/>
        </w:rPr>
        <w:t xml:space="preserve"> </w:t>
      </w:r>
      <w:r w:rsidR="00FD06D8" w:rsidRPr="00FD06D8">
        <w:rPr>
          <w:lang w:val="en-US"/>
        </w:rPr>
        <w:t>and Chauke,</w:t>
      </w:r>
      <w:r w:rsidR="00FD06D8">
        <w:rPr>
          <w:lang w:val="en-US"/>
        </w:rPr>
        <w:t xml:space="preserve"> 2023</w:t>
      </w:r>
      <w:r w:rsidRPr="00BC14BB">
        <w:rPr>
          <w:lang w:val="en-US"/>
        </w:rPr>
        <w:t>). The role of leadership in maintaining competitive advantage is that it helps with continuity, future preparedness, and strategic alignment. According to scholars, systematic leadership development aimed at achieving strategic thinking, ethical decision-making, and cross-cultural competence is most effective together with succession planning (</w:t>
      </w:r>
      <w:r w:rsidR="00121229" w:rsidRPr="00121229">
        <w:rPr>
          <w:lang w:val="en-US"/>
        </w:rPr>
        <w:t>Aduwo</w:t>
      </w:r>
      <w:r w:rsidR="00121229">
        <w:rPr>
          <w:lang w:val="en-US"/>
        </w:rPr>
        <w:t xml:space="preserve"> et al., 2021)</w:t>
      </w:r>
      <w:r w:rsidR="00BA6AFE">
        <w:rPr>
          <w:lang w:val="en-US"/>
        </w:rPr>
        <w:t>.</w:t>
      </w:r>
    </w:p>
    <w:p w14:paraId="505696BB" w14:textId="0D44DAB2" w:rsidR="00BC14BB" w:rsidRPr="00C95CF4" w:rsidRDefault="00D10AB4" w:rsidP="00C95CF4">
      <w:pPr>
        <w:rPr>
          <w:lang w:val="en-US"/>
        </w:rPr>
      </w:pPr>
      <w:r w:rsidRPr="00BC14BB">
        <w:rPr>
          <w:lang w:val="en-US"/>
        </w:rPr>
        <w:t xml:space="preserve">Unilever is a perfect example of how L&amp;D can enhance competitive positioning using focused capability-building programmes. Its Unilever Leadership Development Programme (ULDP) </w:t>
      </w:r>
      <w:r w:rsidRPr="00BC14BB">
        <w:rPr>
          <w:lang w:val="en-US"/>
        </w:rPr>
        <w:lastRenderedPageBreak/>
        <w:t>extends to early identification of future leaders and exposes them to rotational work experience in far-flung markets, to digital academies, and experience learning projects (</w:t>
      </w:r>
      <w:r w:rsidR="005144EF" w:rsidRPr="005144EF">
        <w:t>Lieu</w:t>
      </w:r>
      <w:r w:rsidR="005144EF">
        <w:t xml:space="preserve"> et al., 2021</w:t>
      </w:r>
      <w:r w:rsidRPr="00BC14BB">
        <w:rPr>
          <w:lang w:val="en-US"/>
        </w:rPr>
        <w:t>). Additionally, the data-driven Talent Marketplace by Unilever is a train of AI that allows the company to pair employees with stretch assignments and micro-learning opportunities regarding business essentials, boosting internal mobility and decreasing recruitment expenses. These programmes improve innovation, succession continuity and develop the digitally literate workforce needed to sustain the Unilever competitive edge in a quickly evolving global market.</w:t>
      </w:r>
      <w:r>
        <w:rPr>
          <w:lang w:val="en-US"/>
        </w:rPr>
        <w:t xml:space="preserve"> </w:t>
      </w:r>
    </w:p>
    <w:p w14:paraId="20AD3117" w14:textId="11CF6269" w:rsidR="00084C12" w:rsidRPr="00084C12" w:rsidRDefault="00084C12" w:rsidP="00084C12">
      <w:pPr>
        <w:rPr>
          <w:lang w:val="en-US"/>
        </w:rPr>
      </w:pPr>
    </w:p>
    <w:p w14:paraId="3D5A5333" w14:textId="78072EDC" w:rsidR="00084C12" w:rsidRDefault="00D10AB4" w:rsidP="00F66DA6">
      <w:pPr>
        <w:pStyle w:val="Heading1"/>
        <w:rPr>
          <w:lang w:val="en-US"/>
        </w:rPr>
      </w:pPr>
      <w:bookmarkStart w:id="5" w:name="_Toc215150017"/>
      <w:r w:rsidRPr="00084C12">
        <w:rPr>
          <w:lang w:val="en-US"/>
        </w:rPr>
        <w:t>Supporting Employees from Diverse Backgrounds</w:t>
      </w:r>
      <w:bookmarkEnd w:id="5"/>
    </w:p>
    <w:p w14:paraId="522455C9" w14:textId="50F84B47" w:rsidR="005F5DF8" w:rsidRDefault="00D10AB4" w:rsidP="00DD3AB6">
      <w:pPr>
        <w:rPr>
          <w:lang w:val="en-US"/>
        </w:rPr>
      </w:pPr>
      <w:r w:rsidRPr="005F5DF8">
        <w:rPr>
          <w:lang w:val="en-US"/>
        </w:rPr>
        <w:t>Accessible and inclusive L&amp;D programmes are important towards ensuring employees with diverse backgrounds are in a position to contribute wholly to the organisational development. The data on this conclude that inclusive L&amp;D positively develops psychological safety, develops a sense of belonging, and benefits performance results in underrepresented populations (</w:t>
      </w:r>
      <w:r w:rsidR="00FB23ED" w:rsidRPr="00FB23ED">
        <w:rPr>
          <w:lang w:val="en-US"/>
        </w:rPr>
        <w:t>Darno,</w:t>
      </w:r>
      <w:r w:rsidR="00FB23ED">
        <w:rPr>
          <w:lang w:val="en-US"/>
        </w:rPr>
        <w:t xml:space="preserve"> 2025</w:t>
      </w:r>
      <w:r w:rsidRPr="005F5DF8">
        <w:rPr>
          <w:lang w:val="en-US"/>
        </w:rPr>
        <w:t xml:space="preserve">). </w:t>
      </w:r>
      <w:r w:rsidR="00BD7444">
        <w:rPr>
          <w:lang w:val="en-US"/>
        </w:rPr>
        <w:t>A</w:t>
      </w:r>
      <w:r w:rsidRPr="005F5DF8">
        <w:rPr>
          <w:lang w:val="en-US"/>
        </w:rPr>
        <w:t>s the development initiatives lack intentional inclusivity, a risk remains of perpetuating inequalities, since employees who may have language barriers, disabilities, or cultural differences may not necessarily access or benefit from standardised training frameworks. Thus, organisations are becoming more culturally responsive and multi-format in their learning strategies in order to meet the diverse needs. Indications point out that the culturally sensitive training enhances multicultural cooperation and lessens interpersonal conflict, especially within multinational teams (</w:t>
      </w:r>
      <w:r w:rsidR="00B039BA" w:rsidRPr="00B039BA">
        <w:rPr>
          <w:lang w:val="en-US"/>
        </w:rPr>
        <w:t xml:space="preserve">Guo, </w:t>
      </w:r>
      <w:r w:rsidR="00B039BA">
        <w:rPr>
          <w:lang w:val="en-US"/>
        </w:rPr>
        <w:t>2025)</w:t>
      </w:r>
      <w:r w:rsidR="007E54D6">
        <w:rPr>
          <w:lang w:val="en-US"/>
        </w:rPr>
        <w:t>.</w:t>
      </w:r>
      <w:r w:rsidR="00B039BA">
        <w:rPr>
          <w:lang w:val="en-US"/>
        </w:rPr>
        <w:t xml:space="preserve"> </w:t>
      </w:r>
      <w:r>
        <w:rPr>
          <w:lang w:val="en-US"/>
        </w:rPr>
        <w:t>Similarly</w:t>
      </w:r>
      <w:r w:rsidRPr="005F5DF8">
        <w:rPr>
          <w:lang w:val="en-US"/>
        </w:rPr>
        <w:t>, multilingual learning material increases accessibility, whereas flexible materials meet learning preferences and unique situations.</w:t>
      </w:r>
      <w:r>
        <w:rPr>
          <w:lang w:val="en-US"/>
        </w:rPr>
        <w:t xml:space="preserve"> </w:t>
      </w:r>
    </w:p>
    <w:p w14:paraId="647B6747" w14:textId="7D41C70F" w:rsidR="0029416C" w:rsidRPr="00F66DA6" w:rsidRDefault="00D10AB4" w:rsidP="00F66DA6">
      <w:pPr>
        <w:rPr>
          <w:lang w:val="en-US"/>
        </w:rPr>
      </w:pPr>
      <w:r w:rsidRPr="0029416C">
        <w:rPr>
          <w:lang w:val="en-US"/>
        </w:rPr>
        <w:t>Research has also emphasised that understanding varied learning styles increases knowledge retention and satisfaction of the learner (</w:t>
      </w:r>
      <w:r w:rsidR="00AA2F2D" w:rsidRPr="00AA2F2D">
        <w:rPr>
          <w:lang w:val="en-US"/>
        </w:rPr>
        <w:t>Dixit</w:t>
      </w:r>
      <w:r w:rsidR="00AA2F2D">
        <w:rPr>
          <w:lang w:val="en-US"/>
        </w:rPr>
        <w:t xml:space="preserve"> et al., 2024</w:t>
      </w:r>
      <w:r w:rsidRPr="0029416C">
        <w:rPr>
          <w:lang w:val="en-US"/>
        </w:rPr>
        <w:t xml:space="preserve">). Unilever gives an interesting case study of how international organisations implement inclusive L&amp;D. Its integration curriculum, </w:t>
      </w:r>
      <w:r w:rsidRPr="0029416C">
        <w:rPr>
          <w:i/>
          <w:lang w:val="en-US"/>
        </w:rPr>
        <w:t>We Are Unilever</w:t>
      </w:r>
      <w:r w:rsidRPr="0029416C">
        <w:rPr>
          <w:lang w:val="en-US"/>
        </w:rPr>
        <w:t>, encompasses culturally intelligent training, anti-bias courses, and global citizenship training and reflects the literature that connects inclusion competence to better team performance (</w:t>
      </w:r>
      <w:r w:rsidR="00270E7D" w:rsidRPr="00270E7D">
        <w:rPr>
          <w:lang w:val="en-US"/>
        </w:rPr>
        <w:t>Data</w:t>
      </w:r>
      <w:r w:rsidR="00270E7D">
        <w:rPr>
          <w:lang w:val="en-US"/>
        </w:rPr>
        <w:t>, 2024</w:t>
      </w:r>
      <w:r w:rsidRPr="0029416C">
        <w:rPr>
          <w:lang w:val="en-US"/>
        </w:rPr>
        <w:t>). In order to further empower underrepresented groups, Unilever has launched specialised mentorship programmes within its Employee Resource Groups (ERGs), including the Women in Unilever and Unilever Pride networks, incorporating peer coaching with formal capability-building training. These measures indicate how inclusive L&amp;D not only cater to the diverse learning requirements, but it also leads towards equity, representation, and the resilience of a long-term workforce.</w:t>
      </w:r>
    </w:p>
    <w:p w14:paraId="4D369B53" w14:textId="2DA3D756" w:rsidR="00084C12" w:rsidRPr="00084C12" w:rsidRDefault="00084C12" w:rsidP="00084C12">
      <w:pPr>
        <w:rPr>
          <w:lang w:val="en-US"/>
        </w:rPr>
      </w:pPr>
    </w:p>
    <w:p w14:paraId="590966FE" w14:textId="6D2DFE2A" w:rsidR="00084C12" w:rsidRDefault="00D10AB4" w:rsidP="009F660E">
      <w:pPr>
        <w:pStyle w:val="Heading1"/>
        <w:rPr>
          <w:lang w:val="en-US"/>
        </w:rPr>
      </w:pPr>
      <w:bookmarkStart w:id="6" w:name="_Toc215150018"/>
      <w:r w:rsidRPr="00084C12">
        <w:rPr>
          <w:lang w:val="en-US"/>
        </w:rPr>
        <w:t>Application of a Relevant L&amp;D Model</w:t>
      </w:r>
      <w:bookmarkEnd w:id="6"/>
    </w:p>
    <w:p w14:paraId="75F2DD9E" w14:textId="72525500" w:rsidR="00E664E2" w:rsidRPr="00217349" w:rsidRDefault="00D10AB4" w:rsidP="009F660E">
      <w:pPr>
        <w:rPr>
          <w:lang w:val="en-US"/>
        </w:rPr>
      </w:pPr>
      <w:r w:rsidRPr="00E664E2">
        <w:rPr>
          <w:lang w:val="en-US"/>
        </w:rPr>
        <w:t xml:space="preserve">The Four-Level Evaluation Model by Kirkpatrick is a model that can be used to understand the effectiveness of L&amp;D because it evaluates training in four dimensions: Reaction, Learning, </w:t>
      </w:r>
      <w:r w:rsidRPr="00E664E2">
        <w:rPr>
          <w:lang w:val="en-US"/>
        </w:rPr>
        <w:lastRenderedPageBreak/>
        <w:t>Behaviour, and Results. Kirkpatrick states that it is important to make meaningful evaluation more than mere participant satisfaction to study behavioural transfer and organisational impact, which explains why the model is generally used in strategic L&amp;D evaluation (</w:t>
      </w:r>
      <w:r w:rsidR="00270E7D" w:rsidRPr="00270E7D">
        <w:rPr>
          <w:lang w:val="en-US"/>
        </w:rPr>
        <w:t>Ambu-Saidi</w:t>
      </w:r>
      <w:r w:rsidR="00270E7D">
        <w:rPr>
          <w:lang w:val="en-US"/>
        </w:rPr>
        <w:t xml:space="preserve"> et al., 2024</w:t>
      </w:r>
      <w:r w:rsidRPr="00E664E2">
        <w:rPr>
          <w:lang w:val="en-US"/>
        </w:rPr>
        <w:t>). In its worldwide L&amp;D ecosystem, Unilever incorporates the postulates of the Kirkpatrick model. Digital platforms can be particularly viewed as the Reaction level, which includes Degreed and EdApp that use the user feedback and engagement answers to measure the degree of satisfaction and perceived relevance among the learners. In Learning, Unilever assesses knowledge learning through skills testing and badging during programmes like Digital Upskilling Academy.</w:t>
      </w:r>
    </w:p>
    <w:p w14:paraId="5D385D1B" w14:textId="306DE783" w:rsidR="0010017B" w:rsidRPr="00217349" w:rsidRDefault="00D10AB4" w:rsidP="009F660E">
      <w:pPr>
        <w:rPr>
          <w:lang w:val="en-US"/>
        </w:rPr>
      </w:pPr>
      <w:r w:rsidRPr="0010017B">
        <w:rPr>
          <w:lang w:val="en-US"/>
        </w:rPr>
        <w:t>At the Behaviour level, the organisation measures learning transfer based on performance measures, manager che</w:t>
      </w:r>
      <w:r w:rsidR="00363C3E">
        <w:rPr>
          <w:lang w:val="en-US"/>
        </w:rPr>
        <w:t>ck</w:t>
      </w:r>
      <w:r w:rsidRPr="0010017B">
        <w:rPr>
          <w:lang w:val="en-US"/>
        </w:rPr>
        <w:t>-ins, and project-based measures, which are based on research revealing that behavioural improvement via reinforcement at the workplace shows a lot of progress (</w:t>
      </w:r>
      <w:r w:rsidR="00363C3E" w:rsidRPr="00363C3E">
        <w:rPr>
          <w:lang w:val="en-US"/>
        </w:rPr>
        <w:t>Mashihi</w:t>
      </w:r>
      <w:r w:rsidR="00363C3E">
        <w:rPr>
          <w:lang w:val="en-US"/>
        </w:rPr>
        <w:t xml:space="preserve"> </w:t>
      </w:r>
      <w:r w:rsidR="00363C3E" w:rsidRPr="00363C3E">
        <w:rPr>
          <w:lang w:val="en-US"/>
        </w:rPr>
        <w:t>and Nowack,</w:t>
      </w:r>
      <w:r w:rsidR="00363C3E">
        <w:rPr>
          <w:lang w:val="en-US"/>
        </w:rPr>
        <w:t xml:space="preserve"> 2025</w:t>
      </w:r>
      <w:r w:rsidRPr="0010017B">
        <w:rPr>
          <w:lang w:val="en-US"/>
        </w:rPr>
        <w:t>). At the Results level, Unilever connects the development outcomes with the strategic KPIs, including innovation rates, internal mobility, and sustainability performance, so that L&amp;D directly affects the business competitiveness.</w:t>
      </w:r>
      <w:r w:rsidR="001D44E0">
        <w:rPr>
          <w:lang w:val="en-US"/>
        </w:rPr>
        <w:t xml:space="preserve"> However</w:t>
      </w:r>
      <w:r w:rsidR="00451FE3">
        <w:rPr>
          <w:lang w:val="en-US"/>
        </w:rPr>
        <w:t>,</w:t>
      </w:r>
      <w:r w:rsidRPr="0010017B">
        <w:rPr>
          <w:lang w:val="en-US"/>
        </w:rPr>
        <w:t xml:space="preserve"> although the model is clear and rigorous, it is limited in different contexts across the world. According to the critics, it is hard to factor out the effect of training on external variables, particularly in multicultural teams (</w:t>
      </w:r>
      <w:r w:rsidR="00DD1E7C" w:rsidRPr="00DD1E7C">
        <w:rPr>
          <w:lang w:val="en-US"/>
        </w:rPr>
        <w:t>Zhou</w:t>
      </w:r>
      <w:r w:rsidR="00DD1E7C">
        <w:rPr>
          <w:lang w:val="en-US"/>
        </w:rPr>
        <w:t xml:space="preserve"> et al., 2023</w:t>
      </w:r>
      <w:r w:rsidRPr="0010017B">
        <w:rPr>
          <w:lang w:val="en-US"/>
        </w:rPr>
        <w:t>).</w:t>
      </w:r>
      <w:r w:rsidR="00451FE3">
        <w:rPr>
          <w:lang w:val="en-US"/>
        </w:rPr>
        <w:t xml:space="preserve"> </w:t>
      </w:r>
      <w:r>
        <w:rPr>
          <w:lang w:val="en-US"/>
        </w:rPr>
        <w:t>Moreover</w:t>
      </w:r>
      <w:r w:rsidRPr="0010017B">
        <w:rPr>
          <w:lang w:val="en-US"/>
        </w:rPr>
        <w:t>, the linear form might not be able to represent informal learning or the recurring social attribute of developing capabilities. However, the systematic evaluation model can be useful in organisations like Unilever that aim to illustrate the practical influence of L&amp;D in a diverse and dispersed workforce.</w:t>
      </w:r>
    </w:p>
    <w:p w14:paraId="58C10F90" w14:textId="742D1063" w:rsidR="00084C12" w:rsidRPr="00084C12" w:rsidRDefault="00084C12" w:rsidP="00084C12">
      <w:pPr>
        <w:rPr>
          <w:lang w:val="en-US"/>
        </w:rPr>
      </w:pPr>
    </w:p>
    <w:p w14:paraId="25D56601" w14:textId="7417C6E2" w:rsidR="00084C12" w:rsidRDefault="00D10AB4" w:rsidP="00217349">
      <w:pPr>
        <w:pStyle w:val="Heading1"/>
        <w:rPr>
          <w:lang w:val="en-US"/>
        </w:rPr>
      </w:pPr>
      <w:bookmarkStart w:id="7" w:name="_Toc215150019"/>
      <w:r w:rsidRPr="00084C12">
        <w:rPr>
          <w:lang w:val="en-US"/>
        </w:rPr>
        <w:t>Challenges and Recommendations</w:t>
      </w:r>
      <w:bookmarkEnd w:id="7"/>
    </w:p>
    <w:p w14:paraId="076C0797" w14:textId="27FAEEC4" w:rsidR="0010017B" w:rsidRPr="004033EF" w:rsidRDefault="00D10AB4" w:rsidP="004033EF">
      <w:pPr>
        <w:rPr>
          <w:lang w:val="en-US"/>
        </w:rPr>
      </w:pPr>
      <w:r w:rsidRPr="0010017B">
        <w:rPr>
          <w:lang w:val="en-US"/>
        </w:rPr>
        <w:t>Various challenges are associated with effective L&amp;D strategies implemented by organisations, especially in global and digitally changing realities. One of the barriers to change is resistance to change, as workers might feel threatened by new technologies or learning in non-traditional formats; studies have shown that low digital self-efficacy decreases engagement with e-learning programmes (</w:t>
      </w:r>
      <w:r w:rsidR="00DD1E7C" w:rsidRPr="00DD1E7C">
        <w:rPr>
          <w:lang w:val="en-US"/>
        </w:rPr>
        <w:t xml:space="preserve">Al Doghan and Piaralal, </w:t>
      </w:r>
      <w:r w:rsidR="00DD1E7C">
        <w:rPr>
          <w:lang w:val="en-US"/>
        </w:rPr>
        <w:t>2024).</w:t>
      </w:r>
      <w:r w:rsidR="00E11AE4">
        <w:rPr>
          <w:lang w:val="en-US"/>
        </w:rPr>
        <w:t xml:space="preserve"> </w:t>
      </w:r>
      <w:r w:rsidRPr="0010017B">
        <w:rPr>
          <w:lang w:val="en-US"/>
        </w:rPr>
        <w:t>Lack of digital literacy also limits engagement, particularly in areas whose technology infrastructure is not evenly distributed. Investment in advanced L&amp;D solutions may be inhibited by budgetary constraints and conflicting strategic priorities, and the inability to isolate the performance difference of training may hamper managerial backing, as per the criticisms of traditional evaluation methods (</w:t>
      </w:r>
      <w:r w:rsidR="00C55AE9" w:rsidRPr="00C55AE9">
        <w:rPr>
          <w:lang w:val="en-US"/>
        </w:rPr>
        <w:t>Rahman</w:t>
      </w:r>
      <w:r w:rsidR="00C55AE9">
        <w:rPr>
          <w:lang w:val="en-US"/>
        </w:rPr>
        <w:t xml:space="preserve"> et al., 2025). </w:t>
      </w:r>
      <w:r w:rsidRPr="0010017B">
        <w:rPr>
          <w:lang w:val="en-US"/>
        </w:rPr>
        <w:t>The issue of cultural differences, time differences, and language accessibility also brings significant difficulty, given that global delivery can be very complex.</w:t>
      </w:r>
    </w:p>
    <w:p w14:paraId="0271A838" w14:textId="733ECF51" w:rsidR="00CF6E58" w:rsidRPr="00217349" w:rsidRDefault="00D10AB4" w:rsidP="00217349">
      <w:pPr>
        <w:rPr>
          <w:lang w:val="en-US"/>
        </w:rPr>
      </w:pPr>
      <w:r w:rsidRPr="00CF6E58">
        <w:rPr>
          <w:lang w:val="en-US"/>
        </w:rPr>
        <w:t>The personalised learning paths provided by AI can be used to help organisations overcome these challenges, with this approach effectively increasing engagement and skills acquisition through personalisation, with evidence suggesting that personalisation contributes to increased engagement (</w:t>
      </w:r>
      <w:r w:rsidR="005B409E" w:rsidRPr="005B409E">
        <w:rPr>
          <w:lang w:val="en-US"/>
        </w:rPr>
        <w:t>Huang</w:t>
      </w:r>
      <w:r w:rsidR="005B409E">
        <w:rPr>
          <w:lang w:val="en-US"/>
        </w:rPr>
        <w:t xml:space="preserve"> et al., 2023).</w:t>
      </w:r>
      <w:r w:rsidRPr="00CF6E58">
        <w:rPr>
          <w:lang w:val="en-US"/>
        </w:rPr>
        <w:t xml:space="preserve"> Evaluation should be reinforced using data analytics to clearly </w:t>
      </w:r>
      <w:r w:rsidRPr="00CF6E58">
        <w:rPr>
          <w:lang w:val="en-US"/>
        </w:rPr>
        <w:lastRenderedPageBreak/>
        <w:t>show the behavioural and performance results of L&amp;D interventions. Microlearning, asynchronous remote modules and multilingual resources have the potential to enhance accessibility, and a variety of workforces can be involved. Lastly, greater leadership engagement and alignment of L&amp;D efforts to long-term strategic goals are the key to long-term organisational commitment and the development of a culture of lifelong learning.</w:t>
      </w:r>
      <w:r>
        <w:rPr>
          <w:lang w:val="en-US"/>
        </w:rPr>
        <w:t xml:space="preserve"> </w:t>
      </w:r>
    </w:p>
    <w:p w14:paraId="06B705AA" w14:textId="660A92CC" w:rsidR="00084C12" w:rsidRPr="00084C12" w:rsidRDefault="00084C12" w:rsidP="00084C12">
      <w:pPr>
        <w:rPr>
          <w:lang w:val="en-US"/>
        </w:rPr>
      </w:pPr>
    </w:p>
    <w:p w14:paraId="0F5DEB17" w14:textId="63228CB4" w:rsidR="00084C12" w:rsidRDefault="00D10AB4" w:rsidP="008D40EC">
      <w:pPr>
        <w:pStyle w:val="Heading1"/>
        <w:rPr>
          <w:lang w:val="en-US"/>
        </w:rPr>
      </w:pPr>
      <w:bookmarkStart w:id="8" w:name="_Toc215150020"/>
      <w:r w:rsidRPr="00084C12">
        <w:rPr>
          <w:lang w:val="en-US"/>
        </w:rPr>
        <w:t>Conclusion</w:t>
      </w:r>
      <w:bookmarkEnd w:id="8"/>
    </w:p>
    <w:p w14:paraId="4269DE26" w14:textId="56D8F21C" w:rsidR="00CF6E58" w:rsidRPr="00C7531D" w:rsidRDefault="00D10AB4" w:rsidP="00C7531D">
      <w:r w:rsidRPr="00CF6E58">
        <w:t>L&amp;D continues to be at the core of organisational flexibility, competitiveness, and inclusiveness. It helps employees to sail through technological amusements, changing work patterns, and international pressures with composure. The organisations are perpetually influenced by internal and external factors in the way they plan and implement development programmes. The organisational reaction to these forces in a strategic manner establishes learning systems that enhance capacity and sustainable independence. Formulated L&amp;D models and strict appraisal also play a significant role in ensuring that development initiatives have real behavioural and performance consequences. Continuous investment in constant improvement, inclusivity, and future-oriented skills is thus the key to maintaining a competent and futuristic workforce.</w:t>
      </w:r>
    </w:p>
    <w:p w14:paraId="40979012" w14:textId="117ED5A3" w:rsidR="001D6EDA" w:rsidRDefault="001D6EDA"/>
    <w:p w14:paraId="49D6928D" w14:textId="47C0F7E0" w:rsidR="001D6EDA" w:rsidRDefault="001D6EDA"/>
    <w:p w14:paraId="50F21F3F" w14:textId="73A589AD" w:rsidR="001D6EDA" w:rsidRDefault="00D10AB4">
      <w:pPr>
        <w:spacing w:line="259" w:lineRule="auto"/>
      </w:pPr>
      <w:r>
        <w:br w:type="page"/>
      </w:r>
    </w:p>
    <w:p w14:paraId="309FB13A" w14:textId="6CB9A9A7" w:rsidR="001D6EDA" w:rsidRDefault="00D10AB4" w:rsidP="001D6EDA">
      <w:pPr>
        <w:pStyle w:val="Heading1"/>
      </w:pPr>
      <w:bookmarkStart w:id="9" w:name="_Toc215150021"/>
      <w:r>
        <w:lastRenderedPageBreak/>
        <w:t>Reference</w:t>
      </w:r>
      <w:bookmarkEnd w:id="9"/>
    </w:p>
    <w:p w14:paraId="115E479E" w14:textId="36A2CFFF" w:rsidR="005B409E" w:rsidRDefault="00D10AB4" w:rsidP="0015436C">
      <w:pPr>
        <w:ind w:left="720" w:hanging="720"/>
        <w:jc w:val="both"/>
      </w:pPr>
      <w:r w:rsidRPr="00C55AE9">
        <w:t xml:space="preserve">Aduwo, M.O., Akonobi, A.B. and Okpokwu, C.O., </w:t>
      </w:r>
      <w:r>
        <w:t>(</w:t>
      </w:r>
      <w:r w:rsidRPr="00C55AE9">
        <w:t>2021</w:t>
      </w:r>
      <w:r w:rsidR="004B0DB5" w:rsidRPr="004B0DB5">
        <w:t>)</w:t>
      </w:r>
      <w:r w:rsidRPr="00C55AE9">
        <w:t>. Leadership development and succession planning framework for multicultural organizations: Ensuring sustainable corporate leadership pipelines. </w:t>
      </w:r>
      <w:r w:rsidRPr="00C55AE9">
        <w:rPr>
          <w:i/>
          <w:iCs/>
        </w:rPr>
        <w:t>Leadership</w:t>
      </w:r>
      <w:r w:rsidRPr="00C55AE9">
        <w:t>, </w:t>
      </w:r>
      <w:r w:rsidRPr="00C55AE9">
        <w:rPr>
          <w:i/>
          <w:iCs/>
        </w:rPr>
        <w:t>2</w:t>
      </w:r>
      <w:r w:rsidRPr="00C55AE9">
        <w:t>(4).</w:t>
      </w:r>
    </w:p>
    <w:p w14:paraId="68EE29ED" w14:textId="2DF07026" w:rsidR="005B409E" w:rsidRDefault="00D10AB4" w:rsidP="0015436C">
      <w:pPr>
        <w:ind w:left="720" w:hanging="720"/>
        <w:jc w:val="both"/>
      </w:pPr>
      <w:r w:rsidRPr="00C55AE9">
        <w:t xml:space="preserve">Al Doghan, M.A. and Piaralal, S.K., </w:t>
      </w:r>
      <w:r w:rsidRPr="005B409E">
        <w:t>(</w:t>
      </w:r>
      <w:r w:rsidRPr="00C55AE9">
        <w:t>2024</w:t>
      </w:r>
      <w:r w:rsidR="004B0DB5" w:rsidRPr="004B0DB5">
        <w:t>)</w:t>
      </w:r>
      <w:r w:rsidRPr="00C55AE9">
        <w:t>. Exploring the impact of e-learning initiatives on students' self-efficacy and e-learning experiences. </w:t>
      </w:r>
      <w:r w:rsidRPr="00C55AE9">
        <w:rPr>
          <w:i/>
          <w:iCs/>
        </w:rPr>
        <w:t>Eurasian Journal of Educational Research</w:t>
      </w:r>
      <w:r w:rsidRPr="00C55AE9">
        <w:t>, </w:t>
      </w:r>
      <w:r w:rsidRPr="00C55AE9">
        <w:rPr>
          <w:i/>
          <w:iCs/>
        </w:rPr>
        <w:t>109</w:t>
      </w:r>
      <w:r w:rsidRPr="00C55AE9">
        <w:t>(109), pp.158-176.</w:t>
      </w:r>
    </w:p>
    <w:p w14:paraId="13CB456A" w14:textId="258DED99" w:rsidR="005B409E" w:rsidRDefault="00D10AB4" w:rsidP="0015436C">
      <w:pPr>
        <w:ind w:left="720" w:hanging="720"/>
        <w:jc w:val="both"/>
      </w:pPr>
      <w:r w:rsidRPr="00C55AE9">
        <w:t xml:space="preserve">Ambu-Saidi, B., Fung, C.Y., Turner, K. and Lim, A.S.S., </w:t>
      </w:r>
      <w:r w:rsidRPr="005B409E">
        <w:t>(</w:t>
      </w:r>
      <w:r w:rsidRPr="00C55AE9">
        <w:t>2024</w:t>
      </w:r>
      <w:r w:rsidR="004B0DB5" w:rsidRPr="004B0DB5">
        <w:t>)</w:t>
      </w:r>
      <w:r w:rsidRPr="00C55AE9">
        <w:t>. A critical review on training evaluation models: a search for future agenda. </w:t>
      </w:r>
      <w:r w:rsidRPr="00C55AE9">
        <w:rPr>
          <w:i/>
          <w:iCs/>
        </w:rPr>
        <w:t>Journal of Cognitive Sciences and Human Development. Vol</w:t>
      </w:r>
      <w:r w:rsidRPr="00C55AE9">
        <w:t>, </w:t>
      </w:r>
      <w:r w:rsidRPr="00C55AE9">
        <w:rPr>
          <w:i/>
          <w:iCs/>
        </w:rPr>
        <w:t>10</w:t>
      </w:r>
      <w:r w:rsidRPr="00C55AE9">
        <w:t>(1).</w:t>
      </w:r>
    </w:p>
    <w:p w14:paraId="78329E97" w14:textId="146D9D25" w:rsidR="005B409E" w:rsidRDefault="00D10AB4" w:rsidP="0015436C">
      <w:pPr>
        <w:ind w:left="720" w:hanging="720"/>
        <w:jc w:val="both"/>
      </w:pPr>
      <w:r w:rsidRPr="00C83353">
        <w:t xml:space="preserve">Avsec, S., Jagiełło-Kowalczyk, M., Żabicka, A., Gawlak, A. and Gil-Mastalerczyk, J., </w:t>
      </w:r>
      <w:r w:rsidRPr="005B409E">
        <w:t>(</w:t>
      </w:r>
      <w:r w:rsidRPr="00C83353">
        <w:t>2023</w:t>
      </w:r>
      <w:r w:rsidR="004B0DB5" w:rsidRPr="004B0DB5">
        <w:t>)</w:t>
      </w:r>
      <w:r w:rsidRPr="00C83353">
        <w:t>. Leveraging systems thinking, engagement, and digital competencies to enhance first-year architecture students’ achievement in design-based learning. </w:t>
      </w:r>
      <w:r w:rsidRPr="00C83353">
        <w:rPr>
          <w:i/>
          <w:iCs/>
        </w:rPr>
        <w:t>Sustainability</w:t>
      </w:r>
      <w:r w:rsidRPr="00C83353">
        <w:t>, </w:t>
      </w:r>
      <w:r w:rsidRPr="00C83353">
        <w:rPr>
          <w:i/>
          <w:iCs/>
        </w:rPr>
        <w:t>15</w:t>
      </w:r>
      <w:r w:rsidRPr="00C83353">
        <w:t>(20), p.15115.</w:t>
      </w:r>
    </w:p>
    <w:p w14:paraId="48FAF1B4" w14:textId="72DBC304" w:rsidR="005B409E" w:rsidRDefault="00D10AB4" w:rsidP="0015436C">
      <w:pPr>
        <w:ind w:left="720" w:hanging="720"/>
        <w:jc w:val="both"/>
      </w:pPr>
      <w:r w:rsidRPr="00C83353">
        <w:t xml:space="preserve">Bashar, A., Sakib, M.N., Rahman, M.M., Tabassum, F. and Sabah, S., </w:t>
      </w:r>
      <w:r w:rsidRPr="005B409E">
        <w:t>(</w:t>
      </w:r>
      <w:r w:rsidRPr="00C83353">
        <w:t>2024</w:t>
      </w:r>
      <w:r w:rsidR="004B0DB5" w:rsidRPr="004B0DB5">
        <w:t>)</w:t>
      </w:r>
      <w:r w:rsidRPr="00C83353">
        <w:t>. The role of top management commitment, employee involvement, and training and development on employee performance: evidence from the banking sector of an emerging economy. </w:t>
      </w:r>
      <w:r w:rsidRPr="00C83353">
        <w:rPr>
          <w:i/>
          <w:iCs/>
        </w:rPr>
        <w:t>Quality Management Journal</w:t>
      </w:r>
      <w:r w:rsidRPr="00C83353">
        <w:t>, </w:t>
      </w:r>
      <w:r w:rsidRPr="00C83353">
        <w:rPr>
          <w:i/>
          <w:iCs/>
        </w:rPr>
        <w:t>31</w:t>
      </w:r>
      <w:r w:rsidRPr="00C83353">
        <w:t>(1), pp.58-74.</w:t>
      </w:r>
    </w:p>
    <w:p w14:paraId="5E176121" w14:textId="52E7B41B" w:rsidR="005B409E" w:rsidRDefault="00D10AB4" w:rsidP="0015436C">
      <w:pPr>
        <w:ind w:left="720" w:hanging="720"/>
        <w:jc w:val="both"/>
      </w:pPr>
      <w:r w:rsidRPr="00C83353">
        <w:t xml:space="preserve">Bhumika, M., Samal, R., Sharma, N. and Sharma, N., </w:t>
      </w:r>
      <w:r w:rsidRPr="005B409E">
        <w:t>(</w:t>
      </w:r>
      <w:r w:rsidRPr="00C83353">
        <w:t>2024</w:t>
      </w:r>
      <w:r w:rsidR="004B0DB5" w:rsidRPr="004B0DB5">
        <w:t>)</w:t>
      </w:r>
      <w:r w:rsidRPr="00C83353">
        <w:t>. Employee Training And Development In The 21st Century: Trends And Innovations. </w:t>
      </w:r>
      <w:r w:rsidRPr="00C83353">
        <w:rPr>
          <w:i/>
          <w:iCs/>
        </w:rPr>
        <w:t>Bhartiyam International Journal Of Education &amp; Research</w:t>
      </w:r>
      <w:r w:rsidRPr="00C83353">
        <w:t>, </w:t>
      </w:r>
      <w:r w:rsidRPr="00C83353">
        <w:rPr>
          <w:i/>
          <w:iCs/>
        </w:rPr>
        <w:t>13</w:t>
      </w:r>
      <w:r w:rsidRPr="00C83353">
        <w:t>(2).</w:t>
      </w:r>
    </w:p>
    <w:p w14:paraId="41F6078E" w14:textId="549B0826" w:rsidR="005B409E" w:rsidRDefault="00D10AB4" w:rsidP="0015436C">
      <w:pPr>
        <w:ind w:left="720" w:hanging="720"/>
        <w:jc w:val="both"/>
      </w:pPr>
      <w:r w:rsidRPr="00C83353">
        <w:t xml:space="preserve">Dang Khanh, G., </w:t>
      </w:r>
      <w:r w:rsidRPr="005B409E">
        <w:t>(</w:t>
      </w:r>
      <w:r w:rsidRPr="00C83353">
        <w:t>2024</w:t>
      </w:r>
      <w:r w:rsidR="004B0DB5" w:rsidRPr="004B0DB5">
        <w:t>)</w:t>
      </w:r>
      <w:r w:rsidRPr="00C83353">
        <w:t>. Integrating Environmental, Social and Governance Factors into Strategic Management: A Comparative Case Study of Unilever and Neste.</w:t>
      </w:r>
    </w:p>
    <w:p w14:paraId="168CA0E4" w14:textId="377D5DBA" w:rsidR="005B409E" w:rsidRDefault="00D10AB4" w:rsidP="0015436C">
      <w:pPr>
        <w:ind w:left="720" w:hanging="720"/>
        <w:jc w:val="both"/>
      </w:pPr>
      <w:r w:rsidRPr="00C55AE9">
        <w:t xml:space="preserve">Darno, S.J., </w:t>
      </w:r>
      <w:r w:rsidRPr="005B409E">
        <w:t>(</w:t>
      </w:r>
      <w:r w:rsidRPr="00C55AE9">
        <w:t>2025</w:t>
      </w:r>
      <w:r w:rsidR="004B0DB5" w:rsidRPr="004B0DB5">
        <w:t>)</w:t>
      </w:r>
      <w:r w:rsidRPr="00C55AE9">
        <w:t>. </w:t>
      </w:r>
      <w:r w:rsidRPr="00C55AE9">
        <w:rPr>
          <w:i/>
          <w:iCs/>
        </w:rPr>
        <w:t>Employee Resource Groups: An Exploration of Inclusion or Illusion</w:t>
      </w:r>
      <w:r w:rsidRPr="00C55AE9">
        <w:t>. Benedictine University.</w:t>
      </w:r>
    </w:p>
    <w:p w14:paraId="2C04F730" w14:textId="57D3F13B" w:rsidR="005B409E" w:rsidRDefault="00D10AB4" w:rsidP="0015436C">
      <w:pPr>
        <w:ind w:left="720" w:hanging="720"/>
        <w:jc w:val="both"/>
      </w:pPr>
      <w:r w:rsidRPr="00C55AE9">
        <w:t xml:space="preserve">Data, E.E.O.C., </w:t>
      </w:r>
      <w:r w:rsidRPr="005B409E">
        <w:t>(</w:t>
      </w:r>
      <w:r w:rsidRPr="00C55AE9">
        <w:t>2024</w:t>
      </w:r>
      <w:r w:rsidR="004B0DB5" w:rsidRPr="004B0DB5">
        <w:t>)</w:t>
      </w:r>
      <w:r w:rsidRPr="00C55AE9">
        <w:t>. The Complexity of Colorism. </w:t>
      </w:r>
      <w:r w:rsidRPr="00C55AE9">
        <w:rPr>
          <w:i/>
          <w:iCs/>
        </w:rPr>
        <w:t>The Routledge International Handbook of Colorism</w:t>
      </w:r>
      <w:r w:rsidRPr="00C55AE9">
        <w:t>.</w:t>
      </w:r>
    </w:p>
    <w:p w14:paraId="558BB44B" w14:textId="1C22AD32" w:rsidR="005B409E" w:rsidRDefault="00D10AB4" w:rsidP="0015436C">
      <w:pPr>
        <w:ind w:left="720" w:hanging="720"/>
        <w:jc w:val="both"/>
      </w:pPr>
      <w:r w:rsidRPr="00C55AE9">
        <w:t xml:space="preserve">Dixit, A.C., Harshavardhan, B., Ashok, B.C., Sriraj, M.A. and Prakasha, K.N., </w:t>
      </w:r>
      <w:r w:rsidRPr="005B409E">
        <w:t>(</w:t>
      </w:r>
      <w:r w:rsidRPr="00C55AE9">
        <w:t>2024</w:t>
      </w:r>
      <w:r w:rsidR="004B0DB5" w:rsidRPr="004B0DB5">
        <w:t>)</w:t>
      </w:r>
      <w:r w:rsidRPr="00C55AE9">
        <w:t>. Innovative pedagogical approaches for diverse learning styles and student-centric learning. </w:t>
      </w:r>
      <w:r w:rsidRPr="00C55AE9">
        <w:rPr>
          <w:i/>
          <w:iCs/>
        </w:rPr>
        <w:t>Journal of Engineering Education Transformations</w:t>
      </w:r>
      <w:r w:rsidRPr="00C55AE9">
        <w:t>, pp.178-188.</w:t>
      </w:r>
    </w:p>
    <w:p w14:paraId="6B908280" w14:textId="68F4C43D" w:rsidR="005B409E" w:rsidRDefault="00D10AB4" w:rsidP="0015436C">
      <w:pPr>
        <w:ind w:left="720" w:hanging="720"/>
        <w:jc w:val="both"/>
      </w:pPr>
      <w:r w:rsidRPr="00C83353">
        <w:t xml:space="preserve">FEHINTOLA, V.A., </w:t>
      </w:r>
      <w:r w:rsidRPr="005B409E">
        <w:t>(</w:t>
      </w:r>
      <w:r w:rsidRPr="00C83353">
        <w:t>2023</w:t>
      </w:r>
      <w:r w:rsidR="004B0DB5" w:rsidRPr="004B0DB5">
        <w:t>)</w:t>
      </w:r>
      <w:r w:rsidRPr="00C83353">
        <w:t>. </w:t>
      </w:r>
      <w:r w:rsidRPr="00C83353">
        <w:rPr>
          <w:i/>
          <w:iCs/>
        </w:rPr>
        <w:t>GOAL-SETTING AND RELATIONAL INTELLIGENCE TRAINING IN FOSTERING ENTREPRENEURIAL MOTIVATION AND ORGANISATIONAL SUCCESS AMONG SMALL-SCALE BUSINESS OWNERS IN IBADAN, NIGERIA</w:t>
      </w:r>
      <w:r w:rsidRPr="00C83353">
        <w:t> (Doctoral dissertation).</w:t>
      </w:r>
      <w:r>
        <w:t xml:space="preserve"> </w:t>
      </w:r>
    </w:p>
    <w:p w14:paraId="21EB5FDD" w14:textId="21BA8577" w:rsidR="005B409E" w:rsidRDefault="00D10AB4" w:rsidP="0015436C">
      <w:pPr>
        <w:ind w:left="720" w:hanging="720"/>
        <w:jc w:val="both"/>
      </w:pPr>
      <w:r w:rsidRPr="00C55AE9">
        <w:lastRenderedPageBreak/>
        <w:t xml:space="preserve">Fuad, D.R.S.M., Musa, K. and Hashim, Z., </w:t>
      </w:r>
      <w:r w:rsidRPr="005B409E">
        <w:t>(</w:t>
      </w:r>
      <w:r w:rsidRPr="00C55AE9">
        <w:t>2022</w:t>
      </w:r>
      <w:r w:rsidR="004B0DB5" w:rsidRPr="004B0DB5">
        <w:t>)</w:t>
      </w:r>
      <w:r w:rsidRPr="00C55AE9">
        <w:t>. Innovation culture in education: A systematic review of the literature. </w:t>
      </w:r>
      <w:r w:rsidRPr="00C55AE9">
        <w:rPr>
          <w:i/>
          <w:iCs/>
        </w:rPr>
        <w:t>Management in Education</w:t>
      </w:r>
      <w:r w:rsidRPr="00C55AE9">
        <w:t>, </w:t>
      </w:r>
      <w:r w:rsidRPr="00C55AE9">
        <w:rPr>
          <w:i/>
          <w:iCs/>
        </w:rPr>
        <w:t>36</w:t>
      </w:r>
      <w:r w:rsidRPr="00C55AE9">
        <w:t>(3), pp.135-149.</w:t>
      </w:r>
    </w:p>
    <w:p w14:paraId="5DC96265" w14:textId="4699FBCC" w:rsidR="005B409E" w:rsidRDefault="00D10AB4" w:rsidP="0015436C">
      <w:pPr>
        <w:ind w:left="720" w:hanging="720"/>
        <w:jc w:val="both"/>
      </w:pPr>
      <w:r w:rsidRPr="00C55AE9">
        <w:t xml:space="preserve">Guo, W., </w:t>
      </w:r>
      <w:r w:rsidRPr="005B409E">
        <w:t>(</w:t>
      </w:r>
      <w:r w:rsidRPr="00C55AE9">
        <w:t>2025</w:t>
      </w:r>
      <w:r w:rsidR="004B0DB5" w:rsidRPr="004B0DB5">
        <w:t>)</w:t>
      </w:r>
      <w:r w:rsidRPr="00C55AE9">
        <w:t>. Conflict resolution in intercultural communication: strategies for managing cultural conflicts. </w:t>
      </w:r>
      <w:r w:rsidRPr="00C55AE9">
        <w:rPr>
          <w:i/>
          <w:iCs/>
        </w:rPr>
        <w:t>Humanities and Social Sciences Communications</w:t>
      </w:r>
      <w:r w:rsidRPr="00C55AE9">
        <w:t>, </w:t>
      </w:r>
      <w:r w:rsidRPr="00C55AE9">
        <w:rPr>
          <w:i/>
          <w:iCs/>
        </w:rPr>
        <w:t>12</w:t>
      </w:r>
      <w:r w:rsidRPr="00C55AE9">
        <w:t>(1), pp.1-10.</w:t>
      </w:r>
    </w:p>
    <w:p w14:paraId="11D0B6FA" w14:textId="231F58C5" w:rsidR="005B409E" w:rsidRPr="001D6EDA" w:rsidRDefault="00D10AB4" w:rsidP="0015436C">
      <w:pPr>
        <w:ind w:left="720" w:hanging="720"/>
        <w:jc w:val="both"/>
      </w:pPr>
      <w:r w:rsidRPr="005B409E">
        <w:t>Huang, X., Yang, F., Zheng, J., Feng, C. and Zhang, L., (2023</w:t>
      </w:r>
      <w:r w:rsidR="004B0DB5" w:rsidRPr="004B0DB5">
        <w:t>)</w:t>
      </w:r>
      <w:r w:rsidRPr="005B409E">
        <w:t>. Personalized human resource management via HR analytics and artificial intelligence: Theory and implications. </w:t>
      </w:r>
      <w:r w:rsidRPr="005B409E">
        <w:rPr>
          <w:i/>
          <w:iCs/>
        </w:rPr>
        <w:t>Asia Pacific Management Review</w:t>
      </w:r>
      <w:r w:rsidRPr="005B409E">
        <w:t>, </w:t>
      </w:r>
      <w:r w:rsidRPr="005B409E">
        <w:rPr>
          <w:i/>
          <w:iCs/>
        </w:rPr>
        <w:t>28</w:t>
      </w:r>
      <w:r w:rsidRPr="005B409E">
        <w:t>(4), pp.598-610.</w:t>
      </w:r>
    </w:p>
    <w:p w14:paraId="0F085915" w14:textId="28CC2F3A" w:rsidR="005B409E" w:rsidRDefault="00D10AB4" w:rsidP="0015436C">
      <w:pPr>
        <w:ind w:left="720" w:hanging="720"/>
        <w:jc w:val="both"/>
      </w:pPr>
      <w:r w:rsidRPr="00C83353">
        <w:t xml:space="preserve">John, B., </w:t>
      </w:r>
      <w:r w:rsidRPr="005B409E">
        <w:t>(</w:t>
      </w:r>
      <w:r w:rsidRPr="00C83353">
        <w:t>2024</w:t>
      </w:r>
      <w:r w:rsidR="004B0DB5" w:rsidRPr="004B0DB5">
        <w:t>)</w:t>
      </w:r>
      <w:r w:rsidRPr="00C83353">
        <w:t>. The Role of Continuous Learning and Development in Sustaining Employee Competence and High Performance.</w:t>
      </w:r>
    </w:p>
    <w:p w14:paraId="4E4E4050" w14:textId="313D8C30" w:rsidR="005B409E" w:rsidRDefault="00D10AB4" w:rsidP="0015436C">
      <w:pPr>
        <w:ind w:left="720" w:hanging="720"/>
        <w:jc w:val="both"/>
      </w:pPr>
      <w:r w:rsidRPr="00C83353">
        <w:t xml:space="preserve">Kolb, A.Y., </w:t>
      </w:r>
      <w:r w:rsidRPr="005B409E">
        <w:t>(</w:t>
      </w:r>
      <w:r w:rsidRPr="00C83353">
        <w:t>2021</w:t>
      </w:r>
      <w:r w:rsidR="004B0DB5" w:rsidRPr="004B0DB5">
        <w:t>)</w:t>
      </w:r>
      <w:r w:rsidRPr="00C83353">
        <w:t>. The Kolb Experiential Learning Profile. </w:t>
      </w:r>
      <w:r w:rsidRPr="00C83353">
        <w:rPr>
          <w:i/>
          <w:iCs/>
        </w:rPr>
        <w:t>Home Retrieved</w:t>
      </w:r>
      <w:r w:rsidRPr="00C83353">
        <w:t>, pp.1-154.</w:t>
      </w:r>
    </w:p>
    <w:p w14:paraId="2B06140E" w14:textId="72EB5824" w:rsidR="005B409E" w:rsidRDefault="00D10AB4" w:rsidP="0015436C">
      <w:pPr>
        <w:ind w:left="720" w:hanging="720"/>
        <w:jc w:val="both"/>
      </w:pPr>
      <w:r w:rsidRPr="00C55AE9">
        <w:t xml:space="preserve">Lieu, P.T.H., Arunjit, N., Buapradabkul, S. and Nathaniel, D., </w:t>
      </w:r>
      <w:r w:rsidRPr="005B409E">
        <w:t>(</w:t>
      </w:r>
      <w:r w:rsidRPr="00C55AE9">
        <w:t>2021. Unilever Company Strategic Business Analysis.</w:t>
      </w:r>
    </w:p>
    <w:p w14:paraId="233C3282" w14:textId="2AE5AD7B" w:rsidR="005B409E" w:rsidRDefault="00D10AB4" w:rsidP="0015436C">
      <w:pPr>
        <w:ind w:left="720" w:hanging="720"/>
        <w:jc w:val="both"/>
      </w:pPr>
      <w:r w:rsidRPr="00C55AE9">
        <w:t xml:space="preserve">Mashihi, S. and Nowack, K.M., </w:t>
      </w:r>
      <w:r w:rsidRPr="005B409E">
        <w:t>(</w:t>
      </w:r>
      <w:r w:rsidRPr="00C55AE9">
        <w:t>2025</w:t>
      </w:r>
      <w:r w:rsidR="004B0DB5" w:rsidRPr="004B0DB5">
        <w:t>)</w:t>
      </w:r>
      <w:r w:rsidRPr="00C55AE9">
        <w:t>. </w:t>
      </w:r>
      <w:r w:rsidRPr="00C55AE9">
        <w:rPr>
          <w:i/>
          <w:iCs/>
        </w:rPr>
        <w:t>Performance Feedback Strategies: Driving Successful Behavior Change</w:t>
      </w:r>
      <w:r w:rsidRPr="00C55AE9">
        <w:t>. American Society for Training and Development.</w:t>
      </w:r>
    </w:p>
    <w:p w14:paraId="576A5B66" w14:textId="59C0A662" w:rsidR="005B409E" w:rsidRDefault="00D10AB4" w:rsidP="0015436C">
      <w:pPr>
        <w:ind w:left="720" w:hanging="720"/>
        <w:jc w:val="both"/>
      </w:pPr>
      <w:r w:rsidRPr="00C83353">
        <w:t xml:space="preserve">Mishra, J.K. and Painoli, G.K., </w:t>
      </w:r>
      <w:r w:rsidRPr="005B409E">
        <w:t>(</w:t>
      </w:r>
      <w:r w:rsidRPr="00C83353">
        <w:t>2024</w:t>
      </w:r>
      <w:r w:rsidR="004B0DB5" w:rsidRPr="004B0DB5">
        <w:t>)</w:t>
      </w:r>
      <w:r w:rsidRPr="00C83353">
        <w:t>. Learning and development initiatives: Adapting human resources practices to upskill higher education institution employees in a pandemic. </w:t>
      </w:r>
      <w:r w:rsidRPr="00C83353">
        <w:rPr>
          <w:i/>
          <w:iCs/>
        </w:rPr>
        <w:t>The International Journal of Interdisciplinary Organizational Studies</w:t>
      </w:r>
      <w:r w:rsidRPr="00C83353">
        <w:t>, </w:t>
      </w:r>
      <w:r w:rsidRPr="00C83353">
        <w:rPr>
          <w:i/>
          <w:iCs/>
        </w:rPr>
        <w:t>19</w:t>
      </w:r>
      <w:r w:rsidRPr="00C83353">
        <w:t>(1).</w:t>
      </w:r>
    </w:p>
    <w:p w14:paraId="26413E69" w14:textId="6E9C460E" w:rsidR="005B409E" w:rsidRDefault="00D10AB4" w:rsidP="0015436C">
      <w:pPr>
        <w:ind w:left="720" w:hanging="720"/>
        <w:jc w:val="both"/>
      </w:pPr>
      <w:r w:rsidRPr="00C83353">
        <w:t xml:space="preserve">Pokojski, Z., Kister, A. and Lipowski, M., </w:t>
      </w:r>
      <w:r w:rsidRPr="005B409E">
        <w:t>(</w:t>
      </w:r>
      <w:r w:rsidRPr="00C83353">
        <w:t>2022</w:t>
      </w:r>
      <w:r w:rsidR="004B0DB5" w:rsidRPr="004B0DB5">
        <w:t>)</w:t>
      </w:r>
      <w:r w:rsidRPr="00C83353">
        <w:t>. Remote work efficiency from the employers’ perspective—What’s next?. </w:t>
      </w:r>
      <w:r w:rsidRPr="00C83353">
        <w:rPr>
          <w:i/>
          <w:iCs/>
        </w:rPr>
        <w:t>Sustainability</w:t>
      </w:r>
      <w:r w:rsidRPr="00C83353">
        <w:t>, </w:t>
      </w:r>
      <w:r w:rsidRPr="00C83353">
        <w:rPr>
          <w:i/>
          <w:iCs/>
        </w:rPr>
        <w:t>14</w:t>
      </w:r>
      <w:r w:rsidRPr="00C83353">
        <w:t>(7), p.4220.</w:t>
      </w:r>
    </w:p>
    <w:p w14:paraId="3003FA44" w14:textId="30225026" w:rsidR="005B409E" w:rsidRDefault="00D10AB4" w:rsidP="0015436C">
      <w:pPr>
        <w:ind w:left="720" w:hanging="720"/>
        <w:jc w:val="both"/>
      </w:pPr>
      <w:r w:rsidRPr="00C83353">
        <w:t xml:space="preserve">Portaankorva, L., </w:t>
      </w:r>
      <w:r w:rsidRPr="005B409E">
        <w:t>(</w:t>
      </w:r>
      <w:r w:rsidRPr="00C83353">
        <w:t>2024</w:t>
      </w:r>
      <w:r w:rsidR="004B0DB5" w:rsidRPr="004B0DB5">
        <w:t>)</w:t>
      </w:r>
      <w:r w:rsidRPr="00C83353">
        <w:t>. Values-Based Model to Foster Inclusive Organizational Culture.</w:t>
      </w:r>
    </w:p>
    <w:p w14:paraId="23A4DE6B" w14:textId="5A737333" w:rsidR="005B409E" w:rsidRDefault="00D10AB4" w:rsidP="0015436C">
      <w:pPr>
        <w:ind w:left="720" w:hanging="720"/>
        <w:jc w:val="both"/>
      </w:pPr>
      <w:r w:rsidRPr="00C83353">
        <w:t xml:space="preserve">Pradhan, I.P. and Saxena, P., </w:t>
      </w:r>
      <w:r w:rsidRPr="005B409E">
        <w:t>(</w:t>
      </w:r>
      <w:r w:rsidRPr="00C83353">
        <w:t>2023</w:t>
      </w:r>
      <w:r w:rsidR="004B0DB5" w:rsidRPr="004B0DB5">
        <w:t>)</w:t>
      </w:r>
      <w:r w:rsidRPr="00C83353">
        <w:t>. Reskilling workforce for the Artificial Intelligence age: Challenges and the way forward. In </w:t>
      </w:r>
      <w:r w:rsidRPr="00C83353">
        <w:rPr>
          <w:i/>
          <w:iCs/>
        </w:rPr>
        <w:t>The adoption and effect of artificial intelligence on human resources management, Part B</w:t>
      </w:r>
      <w:r w:rsidRPr="00C83353">
        <w:t> (pp. 181-197). Emerald Publishing Limited.</w:t>
      </w:r>
    </w:p>
    <w:p w14:paraId="06F56EF0" w14:textId="51DB569B" w:rsidR="005B409E" w:rsidRDefault="00D10AB4" w:rsidP="0015436C">
      <w:pPr>
        <w:ind w:left="720" w:hanging="720"/>
        <w:jc w:val="both"/>
      </w:pPr>
      <w:r w:rsidRPr="005B409E">
        <w:t>Rahman, M.A., Zamil, M.H. and Hoque, A.B., (2025</w:t>
      </w:r>
      <w:r w:rsidR="004B0DB5" w:rsidRPr="004B0DB5">
        <w:t>)</w:t>
      </w:r>
      <w:r w:rsidRPr="005B409E">
        <w:t>. A meta-analysis of ERP and CRM integration tools in business process optimization. </w:t>
      </w:r>
      <w:r w:rsidRPr="005B409E">
        <w:rPr>
          <w:i/>
          <w:iCs/>
        </w:rPr>
        <w:t>ASRC Procedia: Global Perspectives in Science and Scholarship</w:t>
      </w:r>
      <w:r w:rsidRPr="005B409E">
        <w:t>, </w:t>
      </w:r>
      <w:r w:rsidRPr="005B409E">
        <w:rPr>
          <w:i/>
          <w:iCs/>
        </w:rPr>
        <w:t>1</w:t>
      </w:r>
      <w:r w:rsidRPr="005B409E">
        <w:t>(01), pp.278-312.</w:t>
      </w:r>
    </w:p>
    <w:p w14:paraId="10ADAC48" w14:textId="30507771" w:rsidR="005B409E" w:rsidRDefault="00D10AB4" w:rsidP="0015436C">
      <w:pPr>
        <w:ind w:left="720" w:hanging="720"/>
        <w:jc w:val="both"/>
      </w:pPr>
      <w:r w:rsidRPr="00C83353">
        <w:t xml:space="preserve">Shet, S.V., </w:t>
      </w:r>
      <w:r w:rsidRPr="005B409E">
        <w:t>(</w:t>
      </w:r>
      <w:r w:rsidRPr="00C83353">
        <w:t>2024. A VUCA-ready workforce: exploring employee competencies and learning and development implications. </w:t>
      </w:r>
      <w:r w:rsidRPr="00C83353">
        <w:rPr>
          <w:i/>
          <w:iCs/>
        </w:rPr>
        <w:t>Personnel Review</w:t>
      </w:r>
      <w:r w:rsidRPr="00C83353">
        <w:t>, </w:t>
      </w:r>
      <w:r w:rsidRPr="00C83353">
        <w:rPr>
          <w:i/>
          <w:iCs/>
        </w:rPr>
        <w:t>53</w:t>
      </w:r>
      <w:r w:rsidRPr="00C83353">
        <w:t>(3), pp.674-703.</w:t>
      </w:r>
    </w:p>
    <w:p w14:paraId="71B6F762" w14:textId="3125B783" w:rsidR="005B409E" w:rsidRDefault="00D10AB4" w:rsidP="0015436C">
      <w:pPr>
        <w:ind w:left="720" w:hanging="720"/>
        <w:jc w:val="both"/>
      </w:pPr>
      <w:r w:rsidRPr="00C55AE9">
        <w:t xml:space="preserve">Thusi, X. and Chauke, R., </w:t>
      </w:r>
      <w:r w:rsidRPr="005B409E">
        <w:t>(</w:t>
      </w:r>
      <w:r w:rsidRPr="00C55AE9">
        <w:t>2023</w:t>
      </w:r>
      <w:r w:rsidR="004B0DB5" w:rsidRPr="004B0DB5">
        <w:t>)</w:t>
      </w:r>
      <w:r w:rsidRPr="00C55AE9">
        <w:t>. Strategies for retaining scarce skills and reducing turnover in the South African public sector. </w:t>
      </w:r>
      <w:r w:rsidRPr="00C55AE9">
        <w:rPr>
          <w:i/>
          <w:iCs/>
        </w:rPr>
        <w:t>International Journal of Management, Entrepreneurship, Social Science and Humanities</w:t>
      </w:r>
      <w:r w:rsidRPr="00C55AE9">
        <w:t>, </w:t>
      </w:r>
      <w:r w:rsidRPr="00C55AE9">
        <w:rPr>
          <w:i/>
          <w:iCs/>
        </w:rPr>
        <w:t>6</w:t>
      </w:r>
      <w:r w:rsidRPr="00C55AE9">
        <w:t>(1), pp.120-134.</w:t>
      </w:r>
    </w:p>
    <w:p w14:paraId="133D5168" w14:textId="09F43E79" w:rsidR="005B409E" w:rsidRDefault="00D10AB4" w:rsidP="0015436C">
      <w:pPr>
        <w:ind w:left="720" w:hanging="720"/>
        <w:jc w:val="both"/>
      </w:pPr>
      <w:r w:rsidRPr="00C55AE9">
        <w:lastRenderedPageBreak/>
        <w:t xml:space="preserve">Zhou, Q., Chen, S., Deng, X. and Mahmoudi, A., </w:t>
      </w:r>
      <w:r w:rsidRPr="005B409E">
        <w:t>(</w:t>
      </w:r>
      <w:r w:rsidRPr="00C55AE9">
        <w:t>2023</w:t>
      </w:r>
      <w:r w:rsidR="004B0DB5">
        <w:t>)</w:t>
      </w:r>
      <w:r w:rsidRPr="00C55AE9">
        <w:t>. Knowledge transfer among members within cross-cultural teams of international construction projects. </w:t>
      </w:r>
      <w:r w:rsidRPr="00C55AE9">
        <w:rPr>
          <w:i/>
          <w:iCs/>
        </w:rPr>
        <w:t>Engineering, Construction and Architectural Management</w:t>
      </w:r>
      <w:r w:rsidRPr="00C55AE9">
        <w:t>, </w:t>
      </w:r>
      <w:r w:rsidRPr="00C55AE9">
        <w:rPr>
          <w:i/>
          <w:iCs/>
        </w:rPr>
        <w:t>30</w:t>
      </w:r>
      <w:r w:rsidRPr="00C55AE9">
        <w:t>(4), pp.1787-1808.</w:t>
      </w:r>
    </w:p>
    <w:sectPr w:rsidR="005B409E">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34F6B01" w14:textId="77777777" w:rsidR="00CD2251" w:rsidRDefault="00CD2251">
      <w:pPr>
        <w:spacing w:after="0" w:line="240" w:lineRule="auto"/>
      </w:pPr>
      <w:r>
        <w:separator/>
      </w:r>
    </w:p>
  </w:endnote>
  <w:endnote w:type="continuationSeparator" w:id="0">
    <w:p w14:paraId="4EA02E9F" w14:textId="77777777" w:rsidR="00CD2251" w:rsidRDefault="00CD22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1634DC" w14:textId="77777777" w:rsidR="00540FF6" w:rsidRDefault="00540F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4A205B" w14:textId="77777777" w:rsidR="00540FF6" w:rsidRDefault="00540F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430A06" w14:textId="77777777" w:rsidR="00540FF6" w:rsidRDefault="00540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13D76B1" w14:textId="77777777" w:rsidR="00CD2251" w:rsidRDefault="00CD2251">
      <w:pPr>
        <w:spacing w:after="0" w:line="240" w:lineRule="auto"/>
      </w:pPr>
      <w:r>
        <w:separator/>
      </w:r>
    </w:p>
  </w:footnote>
  <w:footnote w:type="continuationSeparator" w:id="0">
    <w:p w14:paraId="764182C1" w14:textId="77777777" w:rsidR="00CD2251" w:rsidRDefault="00CD22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A8DDB8" w14:textId="77777777" w:rsidR="00540FF6" w:rsidRDefault="00540F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94327924"/>
      <w:docPartObj>
        <w:docPartGallery w:val="Page Numbers (Top of Page)"/>
        <w:docPartUnique/>
      </w:docPartObj>
    </w:sdtPr>
    <w:sdtEndPr>
      <w:rPr>
        <w:noProof/>
      </w:rPr>
    </w:sdtEndPr>
    <w:sdtContent>
      <w:p w14:paraId="4A3AFE00" w14:textId="205623C8" w:rsidR="00540FF6" w:rsidRDefault="00D10AB4">
        <w:pPr>
          <w:pStyle w:val="Header"/>
          <w:jc w:val="right"/>
        </w:pPr>
        <w:r>
          <w:fldChar w:fldCharType="begin"/>
        </w:r>
        <w:r>
          <w:instrText xml:space="preserve"> PAGE   \* MERGEFORMAT </w:instrText>
        </w:r>
        <w:r>
          <w:fldChar w:fldCharType="separate"/>
        </w:r>
        <w:r w:rsidR="00123419">
          <w:rPr>
            <w:noProof/>
          </w:rPr>
          <w:t>11</w:t>
        </w:r>
        <w:r>
          <w:rPr>
            <w:noProof/>
          </w:rPr>
          <w:fldChar w:fldCharType="end"/>
        </w:r>
      </w:p>
    </w:sdtContent>
  </w:sdt>
  <w:p w14:paraId="5FB6753B" w14:textId="77777777" w:rsidR="00A87576" w:rsidRDefault="00A87576" w:rsidP="007029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9D13B0" w14:textId="77777777" w:rsidR="00540FF6" w:rsidRDefault="00540F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A11F25"/>
    <w:multiLevelType w:val="hybridMultilevel"/>
    <w:tmpl w:val="25F0AD82"/>
    <w:lvl w:ilvl="0" w:tplc="3F18CBCA">
      <w:start w:val="1"/>
      <w:numFmt w:val="bullet"/>
      <w:lvlText w:val=""/>
      <w:lvlJc w:val="left"/>
      <w:pPr>
        <w:ind w:left="720" w:hanging="360"/>
      </w:pPr>
      <w:rPr>
        <w:rFonts w:ascii="Symbol" w:hAnsi="Symbol" w:hint="default"/>
      </w:rPr>
    </w:lvl>
    <w:lvl w:ilvl="1" w:tplc="AE1035FA" w:tentative="1">
      <w:start w:val="1"/>
      <w:numFmt w:val="bullet"/>
      <w:lvlText w:val="o"/>
      <w:lvlJc w:val="left"/>
      <w:pPr>
        <w:ind w:left="1440" w:hanging="360"/>
      </w:pPr>
      <w:rPr>
        <w:rFonts w:ascii="Courier New" w:hAnsi="Courier New" w:cs="Courier New" w:hint="default"/>
      </w:rPr>
    </w:lvl>
    <w:lvl w:ilvl="2" w:tplc="433EF5F6" w:tentative="1">
      <w:start w:val="1"/>
      <w:numFmt w:val="bullet"/>
      <w:lvlText w:val=""/>
      <w:lvlJc w:val="left"/>
      <w:pPr>
        <w:ind w:left="2160" w:hanging="360"/>
      </w:pPr>
      <w:rPr>
        <w:rFonts w:ascii="Wingdings" w:hAnsi="Wingdings" w:hint="default"/>
      </w:rPr>
    </w:lvl>
    <w:lvl w:ilvl="3" w:tplc="71564B78" w:tentative="1">
      <w:start w:val="1"/>
      <w:numFmt w:val="bullet"/>
      <w:lvlText w:val=""/>
      <w:lvlJc w:val="left"/>
      <w:pPr>
        <w:ind w:left="2880" w:hanging="360"/>
      </w:pPr>
      <w:rPr>
        <w:rFonts w:ascii="Symbol" w:hAnsi="Symbol" w:hint="default"/>
      </w:rPr>
    </w:lvl>
    <w:lvl w:ilvl="4" w:tplc="96D0455C" w:tentative="1">
      <w:start w:val="1"/>
      <w:numFmt w:val="bullet"/>
      <w:lvlText w:val="o"/>
      <w:lvlJc w:val="left"/>
      <w:pPr>
        <w:ind w:left="3600" w:hanging="360"/>
      </w:pPr>
      <w:rPr>
        <w:rFonts w:ascii="Courier New" w:hAnsi="Courier New" w:cs="Courier New" w:hint="default"/>
      </w:rPr>
    </w:lvl>
    <w:lvl w:ilvl="5" w:tplc="28FE1D7E" w:tentative="1">
      <w:start w:val="1"/>
      <w:numFmt w:val="bullet"/>
      <w:lvlText w:val=""/>
      <w:lvlJc w:val="left"/>
      <w:pPr>
        <w:ind w:left="4320" w:hanging="360"/>
      </w:pPr>
      <w:rPr>
        <w:rFonts w:ascii="Wingdings" w:hAnsi="Wingdings" w:hint="default"/>
      </w:rPr>
    </w:lvl>
    <w:lvl w:ilvl="6" w:tplc="E53478A8" w:tentative="1">
      <w:start w:val="1"/>
      <w:numFmt w:val="bullet"/>
      <w:lvlText w:val=""/>
      <w:lvlJc w:val="left"/>
      <w:pPr>
        <w:ind w:left="5040" w:hanging="360"/>
      </w:pPr>
      <w:rPr>
        <w:rFonts w:ascii="Symbol" w:hAnsi="Symbol" w:hint="default"/>
      </w:rPr>
    </w:lvl>
    <w:lvl w:ilvl="7" w:tplc="4EFEDD80" w:tentative="1">
      <w:start w:val="1"/>
      <w:numFmt w:val="bullet"/>
      <w:lvlText w:val="o"/>
      <w:lvlJc w:val="left"/>
      <w:pPr>
        <w:ind w:left="5760" w:hanging="360"/>
      </w:pPr>
      <w:rPr>
        <w:rFonts w:ascii="Courier New" w:hAnsi="Courier New" w:cs="Courier New" w:hint="default"/>
      </w:rPr>
    </w:lvl>
    <w:lvl w:ilvl="8" w:tplc="25966600" w:tentative="1">
      <w:start w:val="1"/>
      <w:numFmt w:val="bullet"/>
      <w:lvlText w:val=""/>
      <w:lvlJc w:val="left"/>
      <w:pPr>
        <w:ind w:left="6480" w:hanging="360"/>
      </w:pPr>
      <w:rPr>
        <w:rFonts w:ascii="Wingdings" w:hAnsi="Wingdings" w:hint="default"/>
      </w:rPr>
    </w:lvl>
  </w:abstractNum>
  <w:abstractNum w:abstractNumId="1" w15:restartNumberingAfterBreak="0">
    <w:nsid w:val="1309716E"/>
    <w:multiLevelType w:val="multilevel"/>
    <w:tmpl w:val="CA862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586BF2"/>
    <w:multiLevelType w:val="hybridMultilevel"/>
    <w:tmpl w:val="E5C8BE4E"/>
    <w:lvl w:ilvl="0" w:tplc="3AC61024">
      <w:start w:val="1"/>
      <w:numFmt w:val="bullet"/>
      <w:lvlText w:val=""/>
      <w:lvlJc w:val="left"/>
      <w:pPr>
        <w:ind w:left="720" w:hanging="360"/>
      </w:pPr>
      <w:rPr>
        <w:rFonts w:ascii="Symbol" w:hAnsi="Symbol" w:hint="default"/>
      </w:rPr>
    </w:lvl>
    <w:lvl w:ilvl="1" w:tplc="8EAAB3D2" w:tentative="1">
      <w:start w:val="1"/>
      <w:numFmt w:val="bullet"/>
      <w:lvlText w:val="o"/>
      <w:lvlJc w:val="left"/>
      <w:pPr>
        <w:ind w:left="1440" w:hanging="360"/>
      </w:pPr>
      <w:rPr>
        <w:rFonts w:ascii="Courier New" w:hAnsi="Courier New" w:cs="Courier New" w:hint="default"/>
      </w:rPr>
    </w:lvl>
    <w:lvl w:ilvl="2" w:tplc="057016FC" w:tentative="1">
      <w:start w:val="1"/>
      <w:numFmt w:val="bullet"/>
      <w:lvlText w:val=""/>
      <w:lvlJc w:val="left"/>
      <w:pPr>
        <w:ind w:left="2160" w:hanging="360"/>
      </w:pPr>
      <w:rPr>
        <w:rFonts w:ascii="Wingdings" w:hAnsi="Wingdings" w:hint="default"/>
      </w:rPr>
    </w:lvl>
    <w:lvl w:ilvl="3" w:tplc="24C6376C" w:tentative="1">
      <w:start w:val="1"/>
      <w:numFmt w:val="bullet"/>
      <w:lvlText w:val=""/>
      <w:lvlJc w:val="left"/>
      <w:pPr>
        <w:ind w:left="2880" w:hanging="360"/>
      </w:pPr>
      <w:rPr>
        <w:rFonts w:ascii="Symbol" w:hAnsi="Symbol" w:hint="default"/>
      </w:rPr>
    </w:lvl>
    <w:lvl w:ilvl="4" w:tplc="9A7622EE" w:tentative="1">
      <w:start w:val="1"/>
      <w:numFmt w:val="bullet"/>
      <w:lvlText w:val="o"/>
      <w:lvlJc w:val="left"/>
      <w:pPr>
        <w:ind w:left="3600" w:hanging="360"/>
      </w:pPr>
      <w:rPr>
        <w:rFonts w:ascii="Courier New" w:hAnsi="Courier New" w:cs="Courier New" w:hint="default"/>
      </w:rPr>
    </w:lvl>
    <w:lvl w:ilvl="5" w:tplc="48DCA2D8" w:tentative="1">
      <w:start w:val="1"/>
      <w:numFmt w:val="bullet"/>
      <w:lvlText w:val=""/>
      <w:lvlJc w:val="left"/>
      <w:pPr>
        <w:ind w:left="4320" w:hanging="360"/>
      </w:pPr>
      <w:rPr>
        <w:rFonts w:ascii="Wingdings" w:hAnsi="Wingdings" w:hint="default"/>
      </w:rPr>
    </w:lvl>
    <w:lvl w:ilvl="6" w:tplc="A35EE050" w:tentative="1">
      <w:start w:val="1"/>
      <w:numFmt w:val="bullet"/>
      <w:lvlText w:val=""/>
      <w:lvlJc w:val="left"/>
      <w:pPr>
        <w:ind w:left="5040" w:hanging="360"/>
      </w:pPr>
      <w:rPr>
        <w:rFonts w:ascii="Symbol" w:hAnsi="Symbol" w:hint="default"/>
      </w:rPr>
    </w:lvl>
    <w:lvl w:ilvl="7" w:tplc="FC1A167A" w:tentative="1">
      <w:start w:val="1"/>
      <w:numFmt w:val="bullet"/>
      <w:lvlText w:val="o"/>
      <w:lvlJc w:val="left"/>
      <w:pPr>
        <w:ind w:left="5760" w:hanging="360"/>
      </w:pPr>
      <w:rPr>
        <w:rFonts w:ascii="Courier New" w:hAnsi="Courier New" w:cs="Courier New" w:hint="default"/>
      </w:rPr>
    </w:lvl>
    <w:lvl w:ilvl="8" w:tplc="9CE47E18" w:tentative="1">
      <w:start w:val="1"/>
      <w:numFmt w:val="bullet"/>
      <w:lvlText w:val=""/>
      <w:lvlJc w:val="left"/>
      <w:pPr>
        <w:ind w:left="6480" w:hanging="360"/>
      </w:pPr>
      <w:rPr>
        <w:rFonts w:ascii="Wingdings" w:hAnsi="Wingdings" w:hint="default"/>
      </w:rPr>
    </w:lvl>
  </w:abstractNum>
  <w:abstractNum w:abstractNumId="3" w15:restartNumberingAfterBreak="0">
    <w:nsid w:val="2C0E46D9"/>
    <w:multiLevelType w:val="multilevel"/>
    <w:tmpl w:val="622A7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E81ECC"/>
    <w:multiLevelType w:val="multilevel"/>
    <w:tmpl w:val="3B08F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143F8C"/>
    <w:multiLevelType w:val="multilevel"/>
    <w:tmpl w:val="5E9E4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671407"/>
    <w:multiLevelType w:val="hybridMultilevel"/>
    <w:tmpl w:val="274E4772"/>
    <w:lvl w:ilvl="0" w:tplc="F348C876">
      <w:start w:val="1"/>
      <w:numFmt w:val="decimal"/>
      <w:lvlText w:val="%1."/>
      <w:lvlJc w:val="left"/>
      <w:pPr>
        <w:ind w:left="720" w:hanging="360"/>
      </w:pPr>
    </w:lvl>
    <w:lvl w:ilvl="1" w:tplc="D7FEB12A" w:tentative="1">
      <w:start w:val="1"/>
      <w:numFmt w:val="lowerLetter"/>
      <w:lvlText w:val="%2."/>
      <w:lvlJc w:val="left"/>
      <w:pPr>
        <w:ind w:left="1440" w:hanging="360"/>
      </w:pPr>
    </w:lvl>
    <w:lvl w:ilvl="2" w:tplc="47F264B4" w:tentative="1">
      <w:start w:val="1"/>
      <w:numFmt w:val="lowerRoman"/>
      <w:lvlText w:val="%3."/>
      <w:lvlJc w:val="right"/>
      <w:pPr>
        <w:ind w:left="2160" w:hanging="180"/>
      </w:pPr>
    </w:lvl>
    <w:lvl w:ilvl="3" w:tplc="E2382534" w:tentative="1">
      <w:start w:val="1"/>
      <w:numFmt w:val="decimal"/>
      <w:lvlText w:val="%4."/>
      <w:lvlJc w:val="left"/>
      <w:pPr>
        <w:ind w:left="2880" w:hanging="360"/>
      </w:pPr>
    </w:lvl>
    <w:lvl w:ilvl="4" w:tplc="C8E8280A" w:tentative="1">
      <w:start w:val="1"/>
      <w:numFmt w:val="lowerLetter"/>
      <w:lvlText w:val="%5."/>
      <w:lvlJc w:val="left"/>
      <w:pPr>
        <w:ind w:left="3600" w:hanging="360"/>
      </w:pPr>
    </w:lvl>
    <w:lvl w:ilvl="5" w:tplc="5D0E4E4C" w:tentative="1">
      <w:start w:val="1"/>
      <w:numFmt w:val="lowerRoman"/>
      <w:lvlText w:val="%6."/>
      <w:lvlJc w:val="right"/>
      <w:pPr>
        <w:ind w:left="4320" w:hanging="180"/>
      </w:pPr>
    </w:lvl>
    <w:lvl w:ilvl="6" w:tplc="466E3694" w:tentative="1">
      <w:start w:val="1"/>
      <w:numFmt w:val="decimal"/>
      <w:lvlText w:val="%7."/>
      <w:lvlJc w:val="left"/>
      <w:pPr>
        <w:ind w:left="5040" w:hanging="360"/>
      </w:pPr>
    </w:lvl>
    <w:lvl w:ilvl="7" w:tplc="2CB22818" w:tentative="1">
      <w:start w:val="1"/>
      <w:numFmt w:val="lowerLetter"/>
      <w:lvlText w:val="%8."/>
      <w:lvlJc w:val="left"/>
      <w:pPr>
        <w:ind w:left="5760" w:hanging="360"/>
      </w:pPr>
    </w:lvl>
    <w:lvl w:ilvl="8" w:tplc="94B8F898" w:tentative="1">
      <w:start w:val="1"/>
      <w:numFmt w:val="lowerRoman"/>
      <w:lvlText w:val="%9."/>
      <w:lvlJc w:val="right"/>
      <w:pPr>
        <w:ind w:left="6480" w:hanging="180"/>
      </w:pPr>
    </w:lvl>
  </w:abstractNum>
  <w:abstractNum w:abstractNumId="7" w15:restartNumberingAfterBreak="0">
    <w:nsid w:val="5C95008F"/>
    <w:multiLevelType w:val="multilevel"/>
    <w:tmpl w:val="5A76D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7A7458"/>
    <w:multiLevelType w:val="multilevel"/>
    <w:tmpl w:val="52FE4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FB71E8"/>
    <w:multiLevelType w:val="multilevel"/>
    <w:tmpl w:val="5D6C8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214AE6"/>
    <w:multiLevelType w:val="multilevel"/>
    <w:tmpl w:val="3BEC1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4E2AFF"/>
    <w:multiLevelType w:val="multilevel"/>
    <w:tmpl w:val="785A7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9675072"/>
    <w:multiLevelType w:val="multilevel"/>
    <w:tmpl w:val="FD9C0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B35C11"/>
    <w:multiLevelType w:val="multilevel"/>
    <w:tmpl w:val="82662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6"/>
  </w:num>
  <w:num w:numId="4">
    <w:abstractNumId w:val="3"/>
  </w:num>
  <w:num w:numId="5">
    <w:abstractNumId w:val="11"/>
  </w:num>
  <w:num w:numId="6">
    <w:abstractNumId w:val="1"/>
  </w:num>
  <w:num w:numId="7">
    <w:abstractNumId w:val="8"/>
  </w:num>
  <w:num w:numId="8">
    <w:abstractNumId w:val="12"/>
  </w:num>
  <w:num w:numId="9">
    <w:abstractNumId w:val="13"/>
  </w:num>
  <w:num w:numId="10">
    <w:abstractNumId w:val="7"/>
  </w:num>
  <w:num w:numId="11">
    <w:abstractNumId w:val="9"/>
  </w:num>
  <w:num w:numId="12">
    <w:abstractNumId w:val="4"/>
  </w:num>
  <w:num w:numId="13">
    <w:abstractNumId w:val="10"/>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1F89"/>
    <w:rsid w:val="00001AA3"/>
    <w:rsid w:val="000023DB"/>
    <w:rsid w:val="00016FB3"/>
    <w:rsid w:val="00017183"/>
    <w:rsid w:val="00022609"/>
    <w:rsid w:val="00034E85"/>
    <w:rsid w:val="000403DC"/>
    <w:rsid w:val="00040DA7"/>
    <w:rsid w:val="00042679"/>
    <w:rsid w:val="00043794"/>
    <w:rsid w:val="000528D5"/>
    <w:rsid w:val="00052FD0"/>
    <w:rsid w:val="0006684D"/>
    <w:rsid w:val="00071CEB"/>
    <w:rsid w:val="0007533D"/>
    <w:rsid w:val="0008149D"/>
    <w:rsid w:val="00084C12"/>
    <w:rsid w:val="00093C6D"/>
    <w:rsid w:val="000A31C2"/>
    <w:rsid w:val="000B2B02"/>
    <w:rsid w:val="000D097D"/>
    <w:rsid w:val="000D56EF"/>
    <w:rsid w:val="000E4057"/>
    <w:rsid w:val="000E5C39"/>
    <w:rsid w:val="000F0C31"/>
    <w:rsid w:val="0010017B"/>
    <w:rsid w:val="00102444"/>
    <w:rsid w:val="00104C71"/>
    <w:rsid w:val="00107498"/>
    <w:rsid w:val="00116CBF"/>
    <w:rsid w:val="001211F7"/>
    <w:rsid w:val="00121229"/>
    <w:rsid w:val="00123419"/>
    <w:rsid w:val="00124993"/>
    <w:rsid w:val="00135AA9"/>
    <w:rsid w:val="00144F69"/>
    <w:rsid w:val="00145914"/>
    <w:rsid w:val="00145C7E"/>
    <w:rsid w:val="0015436C"/>
    <w:rsid w:val="001548B2"/>
    <w:rsid w:val="001574FE"/>
    <w:rsid w:val="00160724"/>
    <w:rsid w:val="001732CE"/>
    <w:rsid w:val="001817CB"/>
    <w:rsid w:val="0018235D"/>
    <w:rsid w:val="0018545A"/>
    <w:rsid w:val="001863CD"/>
    <w:rsid w:val="00191971"/>
    <w:rsid w:val="00192B0D"/>
    <w:rsid w:val="001A3032"/>
    <w:rsid w:val="001B0942"/>
    <w:rsid w:val="001B4F38"/>
    <w:rsid w:val="001C159B"/>
    <w:rsid w:val="001C2F35"/>
    <w:rsid w:val="001D44E0"/>
    <w:rsid w:val="001D6EDA"/>
    <w:rsid w:val="001D7C27"/>
    <w:rsid w:val="00205FBC"/>
    <w:rsid w:val="00217349"/>
    <w:rsid w:val="0022050C"/>
    <w:rsid w:val="00250BAF"/>
    <w:rsid w:val="00252656"/>
    <w:rsid w:val="00256E5C"/>
    <w:rsid w:val="00257C58"/>
    <w:rsid w:val="00263280"/>
    <w:rsid w:val="00270E7D"/>
    <w:rsid w:val="00287DEB"/>
    <w:rsid w:val="0029416C"/>
    <w:rsid w:val="002B369B"/>
    <w:rsid w:val="002D306B"/>
    <w:rsid w:val="002D45C2"/>
    <w:rsid w:val="002D4E24"/>
    <w:rsid w:val="002F31F6"/>
    <w:rsid w:val="00307E34"/>
    <w:rsid w:val="003152C1"/>
    <w:rsid w:val="00317630"/>
    <w:rsid w:val="00324C80"/>
    <w:rsid w:val="00350909"/>
    <w:rsid w:val="00354E9B"/>
    <w:rsid w:val="00363C3E"/>
    <w:rsid w:val="003753C7"/>
    <w:rsid w:val="00381AFE"/>
    <w:rsid w:val="00392165"/>
    <w:rsid w:val="003966CB"/>
    <w:rsid w:val="00397A12"/>
    <w:rsid w:val="003B2E32"/>
    <w:rsid w:val="003B6220"/>
    <w:rsid w:val="003B6D98"/>
    <w:rsid w:val="003D3815"/>
    <w:rsid w:val="003D6723"/>
    <w:rsid w:val="003F0F03"/>
    <w:rsid w:val="003F1E6B"/>
    <w:rsid w:val="003F2565"/>
    <w:rsid w:val="003F3465"/>
    <w:rsid w:val="003F4EFA"/>
    <w:rsid w:val="004033EF"/>
    <w:rsid w:val="00404C96"/>
    <w:rsid w:val="00407E47"/>
    <w:rsid w:val="00440D8C"/>
    <w:rsid w:val="00451FE3"/>
    <w:rsid w:val="00454DC2"/>
    <w:rsid w:val="00463A29"/>
    <w:rsid w:val="0046442B"/>
    <w:rsid w:val="00466B61"/>
    <w:rsid w:val="00466B91"/>
    <w:rsid w:val="004768E0"/>
    <w:rsid w:val="00486402"/>
    <w:rsid w:val="004959F3"/>
    <w:rsid w:val="0049655F"/>
    <w:rsid w:val="00496A07"/>
    <w:rsid w:val="004A02E4"/>
    <w:rsid w:val="004A351B"/>
    <w:rsid w:val="004B0727"/>
    <w:rsid w:val="004B0DB5"/>
    <w:rsid w:val="004C085F"/>
    <w:rsid w:val="004C0D17"/>
    <w:rsid w:val="004C30B1"/>
    <w:rsid w:val="004C5212"/>
    <w:rsid w:val="004D1F75"/>
    <w:rsid w:val="004F5E58"/>
    <w:rsid w:val="0050490C"/>
    <w:rsid w:val="005068AD"/>
    <w:rsid w:val="005144EF"/>
    <w:rsid w:val="0051557A"/>
    <w:rsid w:val="00521BE3"/>
    <w:rsid w:val="005236E9"/>
    <w:rsid w:val="00530A4C"/>
    <w:rsid w:val="00532E4D"/>
    <w:rsid w:val="0054023C"/>
    <w:rsid w:val="00540FF6"/>
    <w:rsid w:val="00543EF1"/>
    <w:rsid w:val="005475A8"/>
    <w:rsid w:val="005A0FCA"/>
    <w:rsid w:val="005A6D79"/>
    <w:rsid w:val="005B2A8C"/>
    <w:rsid w:val="005B409E"/>
    <w:rsid w:val="005B5818"/>
    <w:rsid w:val="005B61EA"/>
    <w:rsid w:val="005C0391"/>
    <w:rsid w:val="005C1D9B"/>
    <w:rsid w:val="005C57F1"/>
    <w:rsid w:val="005E1D3B"/>
    <w:rsid w:val="005F1FBF"/>
    <w:rsid w:val="005F5DF8"/>
    <w:rsid w:val="00600F84"/>
    <w:rsid w:val="0060528A"/>
    <w:rsid w:val="0061512A"/>
    <w:rsid w:val="00632FB5"/>
    <w:rsid w:val="006366F1"/>
    <w:rsid w:val="006468C0"/>
    <w:rsid w:val="006475B8"/>
    <w:rsid w:val="0065581E"/>
    <w:rsid w:val="006571B3"/>
    <w:rsid w:val="00693C5D"/>
    <w:rsid w:val="006A3C3F"/>
    <w:rsid w:val="006B4711"/>
    <w:rsid w:val="006D0C51"/>
    <w:rsid w:val="006D4A86"/>
    <w:rsid w:val="006D7BF8"/>
    <w:rsid w:val="006E4C6E"/>
    <w:rsid w:val="006E6917"/>
    <w:rsid w:val="006E7D34"/>
    <w:rsid w:val="006F5378"/>
    <w:rsid w:val="006F789B"/>
    <w:rsid w:val="007029F9"/>
    <w:rsid w:val="00713C96"/>
    <w:rsid w:val="007241ED"/>
    <w:rsid w:val="00730027"/>
    <w:rsid w:val="00737ABE"/>
    <w:rsid w:val="00742BA4"/>
    <w:rsid w:val="00745758"/>
    <w:rsid w:val="007521CF"/>
    <w:rsid w:val="00762475"/>
    <w:rsid w:val="0076658B"/>
    <w:rsid w:val="00771CDA"/>
    <w:rsid w:val="00791442"/>
    <w:rsid w:val="007978B8"/>
    <w:rsid w:val="007A3A32"/>
    <w:rsid w:val="007B21A0"/>
    <w:rsid w:val="007B3780"/>
    <w:rsid w:val="007B39A9"/>
    <w:rsid w:val="007B60C9"/>
    <w:rsid w:val="007C5313"/>
    <w:rsid w:val="007C6461"/>
    <w:rsid w:val="007E07BB"/>
    <w:rsid w:val="007E54D6"/>
    <w:rsid w:val="007E74A7"/>
    <w:rsid w:val="007F54F4"/>
    <w:rsid w:val="008006A9"/>
    <w:rsid w:val="00823052"/>
    <w:rsid w:val="00826083"/>
    <w:rsid w:val="00840E87"/>
    <w:rsid w:val="00843547"/>
    <w:rsid w:val="00843E71"/>
    <w:rsid w:val="00853131"/>
    <w:rsid w:val="00854362"/>
    <w:rsid w:val="00870322"/>
    <w:rsid w:val="008718F9"/>
    <w:rsid w:val="008739CD"/>
    <w:rsid w:val="0088274F"/>
    <w:rsid w:val="008B64C8"/>
    <w:rsid w:val="008D2538"/>
    <w:rsid w:val="008D27B5"/>
    <w:rsid w:val="008D404B"/>
    <w:rsid w:val="008D40EC"/>
    <w:rsid w:val="008E78C9"/>
    <w:rsid w:val="009029C5"/>
    <w:rsid w:val="009112AA"/>
    <w:rsid w:val="00914673"/>
    <w:rsid w:val="0091483F"/>
    <w:rsid w:val="0091704F"/>
    <w:rsid w:val="00921602"/>
    <w:rsid w:val="0092632C"/>
    <w:rsid w:val="00927825"/>
    <w:rsid w:val="00930600"/>
    <w:rsid w:val="00935075"/>
    <w:rsid w:val="00937C07"/>
    <w:rsid w:val="00937C4B"/>
    <w:rsid w:val="0094411A"/>
    <w:rsid w:val="00945FD6"/>
    <w:rsid w:val="00953888"/>
    <w:rsid w:val="00955871"/>
    <w:rsid w:val="009721F0"/>
    <w:rsid w:val="00973856"/>
    <w:rsid w:val="00983947"/>
    <w:rsid w:val="00991F89"/>
    <w:rsid w:val="0099341C"/>
    <w:rsid w:val="00993DE1"/>
    <w:rsid w:val="009953C5"/>
    <w:rsid w:val="009A4EAD"/>
    <w:rsid w:val="009A5B17"/>
    <w:rsid w:val="009A5F09"/>
    <w:rsid w:val="009B6724"/>
    <w:rsid w:val="009C60F1"/>
    <w:rsid w:val="009F4AB6"/>
    <w:rsid w:val="009F581F"/>
    <w:rsid w:val="009F660E"/>
    <w:rsid w:val="009F6BDF"/>
    <w:rsid w:val="00A030FF"/>
    <w:rsid w:val="00A05A71"/>
    <w:rsid w:val="00A0768B"/>
    <w:rsid w:val="00A105DC"/>
    <w:rsid w:val="00A478DB"/>
    <w:rsid w:val="00A50302"/>
    <w:rsid w:val="00A53E0A"/>
    <w:rsid w:val="00A56384"/>
    <w:rsid w:val="00A610B5"/>
    <w:rsid w:val="00A64C44"/>
    <w:rsid w:val="00A652D9"/>
    <w:rsid w:val="00A658FF"/>
    <w:rsid w:val="00A67CE4"/>
    <w:rsid w:val="00A723F4"/>
    <w:rsid w:val="00A731A5"/>
    <w:rsid w:val="00A74605"/>
    <w:rsid w:val="00A85BE5"/>
    <w:rsid w:val="00A864E4"/>
    <w:rsid w:val="00A87576"/>
    <w:rsid w:val="00A87622"/>
    <w:rsid w:val="00A94AE9"/>
    <w:rsid w:val="00AA2F2D"/>
    <w:rsid w:val="00AD3547"/>
    <w:rsid w:val="00AD4684"/>
    <w:rsid w:val="00AD5B39"/>
    <w:rsid w:val="00AF01F3"/>
    <w:rsid w:val="00AF1065"/>
    <w:rsid w:val="00B039BA"/>
    <w:rsid w:val="00B04C54"/>
    <w:rsid w:val="00B07193"/>
    <w:rsid w:val="00B12550"/>
    <w:rsid w:val="00B214DE"/>
    <w:rsid w:val="00B262B8"/>
    <w:rsid w:val="00B366CB"/>
    <w:rsid w:val="00B41C14"/>
    <w:rsid w:val="00B44CA7"/>
    <w:rsid w:val="00B45FD2"/>
    <w:rsid w:val="00B46594"/>
    <w:rsid w:val="00B47BEB"/>
    <w:rsid w:val="00B55170"/>
    <w:rsid w:val="00B57DCE"/>
    <w:rsid w:val="00B76030"/>
    <w:rsid w:val="00B83D0E"/>
    <w:rsid w:val="00B91E54"/>
    <w:rsid w:val="00B96813"/>
    <w:rsid w:val="00BA4BE3"/>
    <w:rsid w:val="00BA5040"/>
    <w:rsid w:val="00BA6AFE"/>
    <w:rsid w:val="00BB7F9F"/>
    <w:rsid w:val="00BC14BB"/>
    <w:rsid w:val="00BC6237"/>
    <w:rsid w:val="00BD7444"/>
    <w:rsid w:val="00BE1926"/>
    <w:rsid w:val="00C019D3"/>
    <w:rsid w:val="00C065E5"/>
    <w:rsid w:val="00C07098"/>
    <w:rsid w:val="00C23CE5"/>
    <w:rsid w:val="00C317B0"/>
    <w:rsid w:val="00C33318"/>
    <w:rsid w:val="00C404C2"/>
    <w:rsid w:val="00C40DF5"/>
    <w:rsid w:val="00C4185F"/>
    <w:rsid w:val="00C46C91"/>
    <w:rsid w:val="00C4786A"/>
    <w:rsid w:val="00C51561"/>
    <w:rsid w:val="00C55AE9"/>
    <w:rsid w:val="00C579D7"/>
    <w:rsid w:val="00C60C92"/>
    <w:rsid w:val="00C67B6F"/>
    <w:rsid w:val="00C71C6A"/>
    <w:rsid w:val="00C747AA"/>
    <w:rsid w:val="00C7531D"/>
    <w:rsid w:val="00C76260"/>
    <w:rsid w:val="00C809C2"/>
    <w:rsid w:val="00C83353"/>
    <w:rsid w:val="00C87318"/>
    <w:rsid w:val="00C91D4B"/>
    <w:rsid w:val="00C9395F"/>
    <w:rsid w:val="00C93A96"/>
    <w:rsid w:val="00C95CF4"/>
    <w:rsid w:val="00C96244"/>
    <w:rsid w:val="00CA0925"/>
    <w:rsid w:val="00CA4D05"/>
    <w:rsid w:val="00CC6206"/>
    <w:rsid w:val="00CD2251"/>
    <w:rsid w:val="00CE149A"/>
    <w:rsid w:val="00CE20FE"/>
    <w:rsid w:val="00CE2DED"/>
    <w:rsid w:val="00CF40DB"/>
    <w:rsid w:val="00CF6E58"/>
    <w:rsid w:val="00D10AB4"/>
    <w:rsid w:val="00D150D6"/>
    <w:rsid w:val="00D165ED"/>
    <w:rsid w:val="00D173DE"/>
    <w:rsid w:val="00D33EED"/>
    <w:rsid w:val="00D34C9C"/>
    <w:rsid w:val="00D35459"/>
    <w:rsid w:val="00D410CC"/>
    <w:rsid w:val="00D51288"/>
    <w:rsid w:val="00D52672"/>
    <w:rsid w:val="00D82749"/>
    <w:rsid w:val="00D82995"/>
    <w:rsid w:val="00D85F1E"/>
    <w:rsid w:val="00D9192D"/>
    <w:rsid w:val="00D9524A"/>
    <w:rsid w:val="00D9631C"/>
    <w:rsid w:val="00DB6CEB"/>
    <w:rsid w:val="00DD1E7C"/>
    <w:rsid w:val="00DD274D"/>
    <w:rsid w:val="00DD3AB6"/>
    <w:rsid w:val="00DD5E48"/>
    <w:rsid w:val="00DD6690"/>
    <w:rsid w:val="00DE1E73"/>
    <w:rsid w:val="00E11AE4"/>
    <w:rsid w:val="00E12ABF"/>
    <w:rsid w:val="00E13095"/>
    <w:rsid w:val="00E13BAC"/>
    <w:rsid w:val="00E30880"/>
    <w:rsid w:val="00E47C7D"/>
    <w:rsid w:val="00E56D9A"/>
    <w:rsid w:val="00E664E2"/>
    <w:rsid w:val="00E669F1"/>
    <w:rsid w:val="00E7014C"/>
    <w:rsid w:val="00EB191A"/>
    <w:rsid w:val="00EB5E21"/>
    <w:rsid w:val="00EB6749"/>
    <w:rsid w:val="00EB7F43"/>
    <w:rsid w:val="00ED63A9"/>
    <w:rsid w:val="00EF3EF6"/>
    <w:rsid w:val="00EF6D1E"/>
    <w:rsid w:val="00EF7B52"/>
    <w:rsid w:val="00F01B92"/>
    <w:rsid w:val="00F02C30"/>
    <w:rsid w:val="00F04923"/>
    <w:rsid w:val="00F1212A"/>
    <w:rsid w:val="00F150A3"/>
    <w:rsid w:val="00F307B6"/>
    <w:rsid w:val="00F3236E"/>
    <w:rsid w:val="00F32EE3"/>
    <w:rsid w:val="00F3521B"/>
    <w:rsid w:val="00F3599C"/>
    <w:rsid w:val="00F42366"/>
    <w:rsid w:val="00F42650"/>
    <w:rsid w:val="00F469A5"/>
    <w:rsid w:val="00F47358"/>
    <w:rsid w:val="00F47FFB"/>
    <w:rsid w:val="00F51511"/>
    <w:rsid w:val="00F60AE5"/>
    <w:rsid w:val="00F615CB"/>
    <w:rsid w:val="00F66DA6"/>
    <w:rsid w:val="00F66F3F"/>
    <w:rsid w:val="00F720F0"/>
    <w:rsid w:val="00F76964"/>
    <w:rsid w:val="00F83BA0"/>
    <w:rsid w:val="00F859EC"/>
    <w:rsid w:val="00F9239F"/>
    <w:rsid w:val="00F9787E"/>
    <w:rsid w:val="00FB23ED"/>
    <w:rsid w:val="00FC32D4"/>
    <w:rsid w:val="00FC46A5"/>
    <w:rsid w:val="00FC501E"/>
    <w:rsid w:val="00FC7D50"/>
    <w:rsid w:val="00FD06D8"/>
    <w:rsid w:val="00FE5044"/>
    <w:rsid w:val="00FF0351"/>
    <w:rsid w:val="00FF2BCC"/>
    <w:rsid w:val="00FF43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60C50"/>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29F9"/>
    <w:pPr>
      <w:spacing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991F89"/>
    <w:pPr>
      <w:keepNext/>
      <w:keepLines/>
      <w:spacing w:after="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91F89"/>
    <w:pPr>
      <w:keepNext/>
      <w:keepLines/>
      <w:spacing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F8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91F8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customStyle="1" w:styleId="UnresolvedMention">
    <w:name w:val="Unresolved Mention"/>
    <w:basedOn w:val="DefaultParagraphFont"/>
    <w:uiPriority w:val="99"/>
    <w:semiHidden/>
    <w:unhideWhenUsed/>
    <w:rsid w:val="00F307B6"/>
    <w:rPr>
      <w:color w:val="605E5C"/>
      <w:shd w:val="clear" w:color="auto" w:fill="E1DFDD"/>
    </w:rPr>
  </w:style>
  <w:style w:type="paragraph" w:styleId="NormalWeb">
    <w:name w:val="Normal (Web)"/>
    <w:basedOn w:val="Normal"/>
    <w:uiPriority w:val="99"/>
    <w:semiHidden/>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unhideWhenUsed/>
    <w:qFormat/>
    <w:rsid w:val="005068AD"/>
    <w:pPr>
      <w:spacing w:before="240" w:after="0" w:line="259" w:lineRule="auto"/>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5068A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14AD06-8617-4633-B260-DFF2512F30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11</Pages>
  <Words>3488</Words>
  <Characters>19886</Characters>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2025-11-26T16:04:00Z</dcterms:created>
  <dcterms:modified xsi:type="dcterms:W3CDTF">2025-11-28T13:48:00Z</dcterms:modified>
</cp:coreProperties>
</file>