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5EB" w:rsidRPr="00331D81" w:rsidRDefault="003975EB" w:rsidP="00331D81">
      <w:pPr>
        <w:spacing w:after="120"/>
        <w:rPr>
          <w:rFonts w:ascii="Palatino Linotype" w:hAnsi="Palatino Linotype"/>
          <w:b/>
          <w:u w:val="single"/>
        </w:rPr>
      </w:pPr>
      <w:proofErr w:type="spellStart"/>
      <w:r w:rsidRPr="00331D81">
        <w:rPr>
          <w:rFonts w:ascii="Palatino Linotype" w:hAnsi="Palatino Linotype"/>
          <w:b/>
          <w:u w:val="single"/>
        </w:rPr>
        <w:t>Wilkie</w:t>
      </w:r>
      <w:proofErr w:type="spellEnd"/>
      <w:r w:rsidRPr="00331D81">
        <w:rPr>
          <w:rFonts w:ascii="Palatino Linotype" w:hAnsi="Palatino Linotype"/>
          <w:b/>
          <w:u w:val="single"/>
        </w:rPr>
        <w:t xml:space="preserve"> Collins: Mesmerism, Anti-Catholicism</w:t>
      </w:r>
    </w:p>
    <w:p w:rsidR="00E93143" w:rsidRPr="00331D81" w:rsidRDefault="00195484" w:rsidP="00331D81">
      <w:pPr>
        <w:spacing w:after="120"/>
        <w:rPr>
          <w:rFonts w:ascii="Palatino Linotype" w:hAnsi="Palatino Linotype"/>
          <w:i/>
        </w:rPr>
      </w:pPr>
      <w:r w:rsidRPr="00331D81">
        <w:rPr>
          <w:rFonts w:ascii="Palatino Linotype" w:hAnsi="Palatino Linotype"/>
          <w:b/>
        </w:rPr>
        <w:t xml:space="preserve">Mesmerism in </w:t>
      </w:r>
      <w:r w:rsidRPr="00331D81">
        <w:rPr>
          <w:rFonts w:ascii="Palatino Linotype" w:hAnsi="Palatino Linotype"/>
          <w:b/>
          <w:i/>
        </w:rPr>
        <w:t>The Woman in White</w:t>
      </w:r>
      <w:r w:rsidRPr="00331D81">
        <w:rPr>
          <w:rFonts w:ascii="Palatino Linotype" w:hAnsi="Palatino Linotype"/>
          <w:i/>
        </w:rPr>
        <w:t>:</w:t>
      </w:r>
    </w:p>
    <w:p w:rsidR="004B5971" w:rsidRPr="00331D81" w:rsidRDefault="004B5971" w:rsidP="00331D81">
      <w:pPr>
        <w:spacing w:after="120"/>
        <w:rPr>
          <w:rFonts w:ascii="Palatino Linotype" w:hAnsi="Palatino Linotype"/>
        </w:rPr>
      </w:pPr>
      <w:r w:rsidRPr="00331D81">
        <w:rPr>
          <w:rFonts w:ascii="Palatino Linotype" w:hAnsi="Palatino Linotype"/>
          <w:i/>
        </w:rPr>
        <w:t xml:space="preserve">Marion </w:t>
      </w:r>
      <w:proofErr w:type="spellStart"/>
      <w:r w:rsidRPr="00331D81">
        <w:rPr>
          <w:rFonts w:ascii="Palatino Linotype" w:hAnsi="Palatino Linotype"/>
          <w:i/>
        </w:rPr>
        <w:t>Halcombe</w:t>
      </w:r>
      <w:proofErr w:type="spellEnd"/>
      <w:r w:rsidRPr="00331D81">
        <w:rPr>
          <w:rFonts w:ascii="Palatino Linotype" w:hAnsi="Palatino Linotype"/>
          <w:i/>
        </w:rPr>
        <w:t xml:space="preserve"> on Count </w:t>
      </w:r>
      <w:proofErr w:type="spellStart"/>
      <w:r w:rsidRPr="00331D81">
        <w:rPr>
          <w:rFonts w:ascii="Palatino Linotype" w:hAnsi="Palatino Linotype"/>
          <w:i/>
        </w:rPr>
        <w:t>Fosco’s</w:t>
      </w:r>
      <w:proofErr w:type="spellEnd"/>
      <w:r w:rsidRPr="00331D81">
        <w:rPr>
          <w:rFonts w:ascii="Palatino Linotype" w:hAnsi="Palatino Linotype"/>
          <w:i/>
        </w:rPr>
        <w:t xml:space="preserve"> eyes</w:t>
      </w:r>
      <w:r w:rsidR="002369D6" w:rsidRPr="00331D81">
        <w:rPr>
          <w:rFonts w:ascii="Palatino Linotype" w:hAnsi="Palatino Linotype"/>
          <w:i/>
        </w:rPr>
        <w:t xml:space="preserve"> and influence</w:t>
      </w:r>
      <w:r w:rsidRPr="00331D81">
        <w:rPr>
          <w:rFonts w:ascii="Palatino Linotype" w:hAnsi="Palatino Linotype"/>
        </w:rPr>
        <w:t>: ‘</w:t>
      </w:r>
      <w:r w:rsidR="002369D6" w:rsidRPr="00331D81">
        <w:rPr>
          <w:rFonts w:ascii="Palatino Linotype" w:hAnsi="Palatino Linotype"/>
        </w:rPr>
        <w:t xml:space="preserve">His features have Napoleon’s magnificent regularity; his expression recalls the grandly calm, immovable power of the Great Soldier’s face. This striking resemblance certainly impressed me, to begin with; but there is something in him besides the resemblance, which has impressed me more. I think the influence I am now trying to find, is in his eyes. </w:t>
      </w:r>
      <w:r w:rsidRPr="00331D81">
        <w:rPr>
          <w:rFonts w:ascii="Palatino Linotype" w:hAnsi="Palatino Linotype"/>
        </w:rPr>
        <w:t>They are the most unfathomable gray eyes I ever saw: and they have at times a cold, clear, beautiful, irresistible glitter in them, which forces me to look at him, and yet causes me sensations, when I do look, which I would rather not feel’</w:t>
      </w:r>
      <w:r w:rsidR="002369D6" w:rsidRPr="00331D81">
        <w:rPr>
          <w:rFonts w:ascii="Palatino Linotype" w:hAnsi="Palatino Linotype"/>
        </w:rPr>
        <w:t>….</w:t>
      </w:r>
      <w:r w:rsidR="001E3880" w:rsidRPr="00331D81">
        <w:rPr>
          <w:rFonts w:ascii="Palatino Linotype" w:hAnsi="Palatino Linotype"/>
        </w:rPr>
        <w:t>‘</w:t>
      </w:r>
      <w:r w:rsidR="002369D6" w:rsidRPr="00331D81">
        <w:rPr>
          <w:rFonts w:ascii="Palatino Linotype" w:hAnsi="Palatino Linotype"/>
        </w:rPr>
        <w:t>The marked  peculiarity which singles him out from the rank and file of humanity, lies, entirely, so far as I can tell at present, in the extraordinary expression and extraordinary power of his eyes’ (Part the Second, Section II).</w:t>
      </w:r>
    </w:p>
    <w:p w:rsidR="001E3880" w:rsidRPr="00331D81" w:rsidRDefault="001E3880" w:rsidP="00331D81">
      <w:pPr>
        <w:spacing w:after="120"/>
        <w:rPr>
          <w:rFonts w:ascii="Palatino Linotype" w:hAnsi="Palatino Linotype"/>
        </w:rPr>
      </w:pPr>
      <w:r w:rsidRPr="00331D81">
        <w:rPr>
          <w:rFonts w:ascii="Palatino Linotype" w:hAnsi="Palatino Linotype"/>
          <w:i/>
        </w:rPr>
        <w:t xml:space="preserve">Marion </w:t>
      </w:r>
      <w:proofErr w:type="spellStart"/>
      <w:r w:rsidRPr="00331D81">
        <w:rPr>
          <w:rFonts w:ascii="Palatino Linotype" w:hAnsi="Palatino Linotype"/>
          <w:i/>
        </w:rPr>
        <w:t>Halcombe</w:t>
      </w:r>
      <w:proofErr w:type="spellEnd"/>
      <w:r w:rsidRPr="00331D81">
        <w:rPr>
          <w:rFonts w:ascii="Palatino Linotype" w:hAnsi="Palatino Linotype"/>
          <w:i/>
        </w:rPr>
        <w:t xml:space="preserve"> on Madame </w:t>
      </w:r>
      <w:proofErr w:type="spellStart"/>
      <w:r w:rsidRPr="00331D81">
        <w:rPr>
          <w:rFonts w:ascii="Palatino Linotype" w:hAnsi="Palatino Linotype"/>
          <w:i/>
        </w:rPr>
        <w:t>Fosco</w:t>
      </w:r>
      <w:proofErr w:type="spellEnd"/>
      <w:r w:rsidRPr="00331D81">
        <w:rPr>
          <w:rFonts w:ascii="Palatino Linotype" w:hAnsi="Palatino Linotype"/>
          <w:i/>
        </w:rPr>
        <w:t xml:space="preserve">, Laura </w:t>
      </w:r>
      <w:proofErr w:type="spellStart"/>
      <w:r w:rsidRPr="00331D81">
        <w:rPr>
          <w:rFonts w:ascii="Palatino Linotype" w:hAnsi="Palatino Linotype"/>
          <w:i/>
        </w:rPr>
        <w:t>Fairlie’s</w:t>
      </w:r>
      <w:proofErr w:type="spellEnd"/>
      <w:r w:rsidRPr="00331D81">
        <w:rPr>
          <w:rFonts w:ascii="Palatino Linotype" w:hAnsi="Palatino Linotype"/>
          <w:i/>
        </w:rPr>
        <w:t xml:space="preserve"> aunt</w:t>
      </w:r>
      <w:r w:rsidRPr="00331D81">
        <w:rPr>
          <w:rFonts w:ascii="Palatino Linotype" w:hAnsi="Palatino Linotype"/>
        </w:rPr>
        <w:t>:</w:t>
      </w:r>
    </w:p>
    <w:p w:rsidR="001E3880" w:rsidRPr="00331D81" w:rsidRDefault="001E3880" w:rsidP="00331D81">
      <w:pPr>
        <w:spacing w:after="120"/>
        <w:rPr>
          <w:rFonts w:ascii="Palatino Linotype" w:hAnsi="Palatino Linotype"/>
        </w:rPr>
      </w:pPr>
      <w:r w:rsidRPr="00331D81">
        <w:rPr>
          <w:rFonts w:ascii="Palatino Linotype" w:hAnsi="Palatino Linotype"/>
        </w:rPr>
        <w:t xml:space="preserve"> ‘Never before have I beheld such a change produced in a woman by her marriage as has been produced in Madame </w:t>
      </w:r>
      <w:proofErr w:type="spellStart"/>
      <w:r w:rsidRPr="00331D81">
        <w:rPr>
          <w:rFonts w:ascii="Palatino Linotype" w:hAnsi="Palatino Linotype"/>
        </w:rPr>
        <w:t>Fosco</w:t>
      </w:r>
      <w:proofErr w:type="spellEnd"/>
      <w:r w:rsidRPr="00331D81">
        <w:rPr>
          <w:rFonts w:ascii="Palatino Linotype" w:hAnsi="Palatino Linotype"/>
        </w:rPr>
        <w:t>.</w:t>
      </w:r>
    </w:p>
    <w:p w:rsidR="001E3880" w:rsidRPr="00331D81" w:rsidRDefault="001E3880" w:rsidP="00331D81">
      <w:pPr>
        <w:spacing w:after="120"/>
        <w:rPr>
          <w:rFonts w:ascii="Palatino Linotype" w:hAnsi="Palatino Linotype"/>
        </w:rPr>
      </w:pPr>
      <w:r w:rsidRPr="00331D81">
        <w:rPr>
          <w:rFonts w:ascii="Palatino Linotype" w:hAnsi="Palatino Linotype"/>
        </w:rPr>
        <w:t xml:space="preserve">            As Eleanor </w:t>
      </w:r>
      <w:proofErr w:type="spellStart"/>
      <w:r w:rsidRPr="00331D81">
        <w:rPr>
          <w:rFonts w:ascii="Palatino Linotype" w:hAnsi="Palatino Linotype"/>
        </w:rPr>
        <w:t>Fairlie</w:t>
      </w:r>
      <w:proofErr w:type="spellEnd"/>
      <w:r w:rsidRPr="00331D81">
        <w:rPr>
          <w:rFonts w:ascii="Palatino Linotype" w:hAnsi="Palatino Linotype"/>
        </w:rPr>
        <w:t xml:space="preserve"> (aged seven-and-thirty), she was always talking pretentious nonsense, and always worrying the unfortunate men with every small exaction which a vain and foolish woman can impose on long-suffering male humanity. As Madame </w:t>
      </w:r>
      <w:proofErr w:type="spellStart"/>
      <w:r w:rsidRPr="00331D81">
        <w:rPr>
          <w:rFonts w:ascii="Palatino Linotype" w:hAnsi="Palatino Linotype"/>
        </w:rPr>
        <w:t>Fosco</w:t>
      </w:r>
      <w:proofErr w:type="spellEnd"/>
      <w:r w:rsidRPr="00331D81">
        <w:rPr>
          <w:rFonts w:ascii="Palatino Linotype" w:hAnsi="Palatino Linotype"/>
        </w:rPr>
        <w:t xml:space="preserve"> (aged three-and-forty), she sits for hours together without saying a word, frozen up in the strangest manner in herself. ….Clad in quiet black or grey gowns, made high round the throat – dresses that she would have laughed at, or screamed at, as the whim of the moment inclined her, in her maiden days – she sits speechless in corners; her dry white hands (so dry that the pores of her skin look chalky) incessantly engaged, either in monotonous embroidery work, or in rolling up endless cigarettes for the Count’s own particular smoking. On the few occasions when her cold blue eyes are off her work, they are generally turned on her husband, with the look of mute submissive inquiry which we are all familiar with in the eyes of a faithful dog. The only approach to an inward thaw which I have yet detected under her outer covering of icy constraint, has betrayed itself, once or twice, in the form of a suppressed </w:t>
      </w:r>
      <w:proofErr w:type="spellStart"/>
      <w:r w:rsidRPr="00331D81">
        <w:rPr>
          <w:rFonts w:ascii="Palatino Linotype" w:hAnsi="Palatino Linotype"/>
        </w:rPr>
        <w:t>tigerish</w:t>
      </w:r>
      <w:proofErr w:type="spellEnd"/>
      <w:r w:rsidRPr="00331D81">
        <w:rPr>
          <w:rFonts w:ascii="Palatino Linotype" w:hAnsi="Palatino Linotype"/>
        </w:rPr>
        <w:t xml:space="preserve"> jealousy of any woman in the house (the maids included) to whom the Count speaks, or on whom he looks, with anything approaching to special interest or attention. Except in this one particular, she is always, morning, noon, and night, indoors and out, fair weat</w:t>
      </w:r>
      <w:r w:rsidR="00402722" w:rsidRPr="00331D81">
        <w:rPr>
          <w:rFonts w:ascii="Palatino Linotype" w:hAnsi="Palatino Linotype"/>
        </w:rPr>
        <w:t>her or foul, as cold as a statu</w:t>
      </w:r>
      <w:r w:rsidRPr="00331D81">
        <w:rPr>
          <w:rFonts w:ascii="Palatino Linotype" w:hAnsi="Palatino Linotype"/>
        </w:rPr>
        <w:t xml:space="preserve">e, and as impenetrable as the stone out of which it is cut. For the common purposes of society the </w:t>
      </w:r>
      <w:r w:rsidR="00CE761E" w:rsidRPr="00331D81">
        <w:rPr>
          <w:rFonts w:ascii="Palatino Linotype" w:hAnsi="Palatino Linotype"/>
        </w:rPr>
        <w:t xml:space="preserve">extraordinary change thus produced in her, is, beyond all doubt, a change for the better, seeing that it has transformed her into a civil, silent, unobtrusive woman, who is never in the way. How far she is really reformed or deteriorated in her secret self, is another question. I have once or twice seen sudden changes of expression on her pinched lips, and heard sudden inflexions of tone in her calm voice, which have led me to suspect that her present state of suppression may have sealed up something dangerous in her nature, which used to evaporate harmlessly in the freedom of </w:t>
      </w:r>
      <w:r w:rsidR="00CE761E" w:rsidRPr="00331D81">
        <w:rPr>
          <w:rFonts w:ascii="Palatino Linotype" w:hAnsi="Palatino Linotype"/>
        </w:rPr>
        <w:lastRenderedPageBreak/>
        <w:t xml:space="preserve">her former life. It is quite possible that I may be altogether wrong in this idea. My own impression, however, is that I am right. Time will show. </w:t>
      </w:r>
    </w:p>
    <w:p w:rsidR="00CE761E" w:rsidRPr="00331D81" w:rsidRDefault="00CE761E" w:rsidP="00331D81">
      <w:pPr>
        <w:spacing w:after="120"/>
        <w:rPr>
          <w:rFonts w:ascii="Palatino Linotype" w:hAnsi="Palatino Linotype"/>
        </w:rPr>
      </w:pPr>
      <w:r w:rsidRPr="00331D81">
        <w:rPr>
          <w:rFonts w:ascii="Palatino Linotype" w:hAnsi="Palatino Linotype"/>
        </w:rPr>
        <w:t xml:space="preserve">     And the magician who has wrought this wonderful transformation – the foreign husband who has tamed this once wayward Englishwoman till her own relations hardly know her again – the Count himself? What of the Count?</w:t>
      </w:r>
    </w:p>
    <w:p w:rsidR="00CE761E" w:rsidRPr="00331D81" w:rsidRDefault="00CE761E" w:rsidP="00331D81">
      <w:pPr>
        <w:spacing w:after="120"/>
        <w:rPr>
          <w:rFonts w:ascii="Palatino Linotype" w:hAnsi="Palatino Linotype"/>
        </w:rPr>
      </w:pPr>
      <w:r w:rsidRPr="00331D81">
        <w:rPr>
          <w:rFonts w:ascii="Palatino Linotype" w:hAnsi="Palatino Linotype"/>
        </w:rPr>
        <w:t xml:space="preserve">      This in two words: He looks like a man who could tame anything. If he had married a tigress, instead of a woman, he would have tamed the tigress. If he had married </w:t>
      </w:r>
      <w:r w:rsidRPr="00331D81">
        <w:rPr>
          <w:rFonts w:ascii="Palatino Linotype" w:hAnsi="Palatino Linotype"/>
          <w:i/>
        </w:rPr>
        <w:t>me</w:t>
      </w:r>
      <w:r w:rsidRPr="00331D81">
        <w:rPr>
          <w:rFonts w:ascii="Palatino Linotype" w:hAnsi="Palatino Linotype"/>
        </w:rPr>
        <w:t xml:space="preserve">, I should have made his cigarettes as his wife does – I should have held my tongue when he looked at me, as she holds hers. </w:t>
      </w:r>
    </w:p>
    <w:p w:rsidR="00CE761E" w:rsidRPr="00331D81" w:rsidRDefault="00CE761E" w:rsidP="00331D81">
      <w:pPr>
        <w:spacing w:after="120"/>
        <w:rPr>
          <w:rFonts w:ascii="Palatino Linotype" w:hAnsi="Palatino Linotype"/>
        </w:rPr>
      </w:pPr>
      <w:r w:rsidRPr="00331D81">
        <w:rPr>
          <w:rFonts w:ascii="Palatino Linotype" w:hAnsi="Palatino Linotype"/>
        </w:rPr>
        <w:t xml:space="preserve">      I am almost afraid to confess it, even to these secret pages. The man has interested me, has attracted me, has forced me to like him. In two short days, he has made his way straight into my favourable estimation – and how he has worked the miracle, is more than I can tell.’ (Part the Second, Section II)</w:t>
      </w:r>
    </w:p>
    <w:p w:rsidR="004B5971" w:rsidRPr="00331D81" w:rsidRDefault="002369D6" w:rsidP="00331D81">
      <w:pPr>
        <w:spacing w:after="120"/>
        <w:rPr>
          <w:rFonts w:ascii="Palatino Linotype" w:hAnsi="Palatino Linotype"/>
        </w:rPr>
      </w:pPr>
      <w:r w:rsidRPr="00331D81">
        <w:rPr>
          <w:rFonts w:ascii="Palatino Linotype" w:hAnsi="Palatino Linotype"/>
        </w:rPr>
        <w:t>[</w:t>
      </w:r>
      <w:r w:rsidRPr="00331D81">
        <w:rPr>
          <w:rFonts w:ascii="Palatino Linotype" w:hAnsi="Palatino Linotype"/>
          <w:i/>
        </w:rPr>
        <w:t xml:space="preserve">From Marion </w:t>
      </w:r>
      <w:proofErr w:type="spellStart"/>
      <w:r w:rsidRPr="00331D81">
        <w:rPr>
          <w:rFonts w:ascii="Palatino Linotype" w:hAnsi="Palatino Linotype"/>
          <w:i/>
        </w:rPr>
        <w:t>Halcombe’s</w:t>
      </w:r>
      <w:proofErr w:type="spellEnd"/>
      <w:r w:rsidRPr="00331D81">
        <w:rPr>
          <w:rFonts w:ascii="Palatino Linotype" w:hAnsi="Palatino Linotype"/>
          <w:i/>
        </w:rPr>
        <w:t xml:space="preserve"> narrative</w:t>
      </w:r>
      <w:r w:rsidR="008914B6" w:rsidRPr="00331D81">
        <w:rPr>
          <w:rFonts w:ascii="Palatino Linotype" w:hAnsi="Palatino Linotype"/>
        </w:rPr>
        <w:t>]</w:t>
      </w:r>
      <w:r w:rsidRPr="00331D81">
        <w:rPr>
          <w:rFonts w:ascii="Palatino Linotype" w:hAnsi="Palatino Linotype"/>
        </w:rPr>
        <w:t xml:space="preserve">: </w:t>
      </w:r>
      <w:r w:rsidR="004B5971" w:rsidRPr="00331D81">
        <w:rPr>
          <w:rFonts w:ascii="Palatino Linotype" w:hAnsi="Palatino Linotype"/>
        </w:rPr>
        <w:t xml:space="preserve">‘He fixed his unfathomable gray eyes on me, with that cold, clear, irresistible glitter in them, which always forces me to look at him, and always makes me uneasy, while I do look. An unutterable suspicion that his mind is prying into mine, overcomes me at these times; and it overcame me now. </w:t>
      </w:r>
    </w:p>
    <w:p w:rsidR="004B5971" w:rsidRPr="00331D81" w:rsidRDefault="004B5971" w:rsidP="00331D81">
      <w:pPr>
        <w:spacing w:after="120"/>
        <w:rPr>
          <w:rFonts w:ascii="Palatino Linotype" w:hAnsi="Palatino Linotype"/>
        </w:rPr>
      </w:pPr>
      <w:r w:rsidRPr="00331D81">
        <w:rPr>
          <w:rFonts w:ascii="Palatino Linotype" w:hAnsi="Palatino Linotype"/>
        </w:rPr>
        <w:t xml:space="preserve">    “No, I said shortl</w:t>
      </w:r>
      <w:bookmarkStart w:id="0" w:name="_GoBack"/>
      <w:bookmarkEnd w:id="0"/>
      <w:r w:rsidRPr="00331D81">
        <w:rPr>
          <w:rFonts w:ascii="Palatino Linotype" w:hAnsi="Palatino Linotype"/>
        </w:rPr>
        <w:t>y”, “no adventure – no discoveries.”</w:t>
      </w:r>
    </w:p>
    <w:p w:rsidR="004B5971" w:rsidRPr="00331D81" w:rsidRDefault="002369D6" w:rsidP="00331D81">
      <w:pPr>
        <w:spacing w:after="120"/>
        <w:rPr>
          <w:rFonts w:ascii="Palatino Linotype" w:hAnsi="Palatino Linotype"/>
        </w:rPr>
      </w:pPr>
      <w:r w:rsidRPr="00331D81">
        <w:rPr>
          <w:rFonts w:ascii="Palatino Linotype" w:hAnsi="Palatino Linotype"/>
        </w:rPr>
        <w:t xml:space="preserve">    </w:t>
      </w:r>
      <w:r w:rsidR="004B5971" w:rsidRPr="00331D81">
        <w:rPr>
          <w:rFonts w:ascii="Palatino Linotype" w:hAnsi="Palatino Linotype"/>
        </w:rPr>
        <w:t xml:space="preserve">I tried to look away from him, and leave the room. Strange as it seems, I hardly think I should have succeeded in the attempt, if Madame </w:t>
      </w:r>
      <w:proofErr w:type="spellStart"/>
      <w:r w:rsidR="004B5971" w:rsidRPr="00331D81">
        <w:rPr>
          <w:rFonts w:ascii="Palatino Linotype" w:hAnsi="Palatino Linotype"/>
        </w:rPr>
        <w:t>Fosco</w:t>
      </w:r>
      <w:proofErr w:type="spellEnd"/>
      <w:r w:rsidR="004B5971" w:rsidRPr="00331D81">
        <w:rPr>
          <w:rFonts w:ascii="Palatino Linotype" w:hAnsi="Palatino Linotype"/>
        </w:rPr>
        <w:t xml:space="preserve"> had not helped me by causing him to move and look away first.</w:t>
      </w:r>
    </w:p>
    <w:p w:rsidR="004B5971" w:rsidRPr="00331D81" w:rsidRDefault="004B5971" w:rsidP="00331D81">
      <w:pPr>
        <w:spacing w:after="120"/>
        <w:rPr>
          <w:rFonts w:ascii="Palatino Linotype" w:hAnsi="Palatino Linotype"/>
        </w:rPr>
      </w:pPr>
      <w:r w:rsidRPr="00331D81">
        <w:rPr>
          <w:rFonts w:ascii="Palatino Linotype" w:hAnsi="Palatino Linotype"/>
        </w:rPr>
        <w:t xml:space="preserve">    “Count, you are keeping Miss </w:t>
      </w:r>
      <w:proofErr w:type="spellStart"/>
      <w:r w:rsidRPr="00331D81">
        <w:rPr>
          <w:rFonts w:ascii="Palatino Linotype" w:hAnsi="Palatino Linotype"/>
        </w:rPr>
        <w:t>Halcombe</w:t>
      </w:r>
      <w:proofErr w:type="spellEnd"/>
      <w:r w:rsidRPr="00331D81">
        <w:rPr>
          <w:rFonts w:ascii="Palatino Linotype" w:hAnsi="Palatino Linotype"/>
        </w:rPr>
        <w:t xml:space="preserve"> standing,” she said.</w:t>
      </w:r>
    </w:p>
    <w:p w:rsidR="004B5971" w:rsidRPr="00331D81" w:rsidRDefault="004B5971" w:rsidP="00331D81">
      <w:pPr>
        <w:spacing w:after="120"/>
        <w:rPr>
          <w:rFonts w:ascii="Palatino Linotype" w:hAnsi="Palatino Linotype"/>
        </w:rPr>
      </w:pPr>
      <w:r w:rsidRPr="00331D81">
        <w:rPr>
          <w:rFonts w:ascii="Palatino Linotype" w:hAnsi="Palatino Linotype"/>
        </w:rPr>
        <w:t xml:space="preserve">    The moment he turned round to get me a chair, I seized my opportunity – thanked him – made my excuses – and slipped out.  (Part the Second, Section V)</w:t>
      </w:r>
    </w:p>
    <w:p w:rsidR="00C84E7B" w:rsidRPr="00331D81" w:rsidRDefault="00C84E7B" w:rsidP="00331D81">
      <w:pPr>
        <w:spacing w:after="120"/>
        <w:rPr>
          <w:rFonts w:ascii="Palatino Linotype" w:hAnsi="Palatino Linotype"/>
        </w:rPr>
      </w:pPr>
      <w:proofErr w:type="spellStart"/>
      <w:r w:rsidRPr="00331D81">
        <w:rPr>
          <w:rFonts w:ascii="Palatino Linotype" w:hAnsi="Palatino Linotype"/>
          <w:i/>
        </w:rPr>
        <w:t>Fosco</w:t>
      </w:r>
      <w:proofErr w:type="spellEnd"/>
      <w:r w:rsidRPr="00331D81">
        <w:rPr>
          <w:rFonts w:ascii="Palatino Linotype" w:hAnsi="Palatino Linotype"/>
          <w:i/>
        </w:rPr>
        <w:t xml:space="preserve"> speaks to Marion at the time of the crisis over Laura’s signature to the document which he and Madame </w:t>
      </w:r>
      <w:proofErr w:type="spellStart"/>
      <w:r w:rsidRPr="00331D81">
        <w:rPr>
          <w:rFonts w:ascii="Palatino Linotype" w:hAnsi="Palatino Linotype"/>
          <w:i/>
        </w:rPr>
        <w:t>Fosco</w:t>
      </w:r>
      <w:proofErr w:type="spellEnd"/>
      <w:r w:rsidRPr="00331D81">
        <w:rPr>
          <w:rFonts w:ascii="Palatino Linotype" w:hAnsi="Palatino Linotype"/>
          <w:i/>
        </w:rPr>
        <w:t xml:space="preserve"> are to witness</w:t>
      </w:r>
      <w:r w:rsidRPr="00331D81">
        <w:rPr>
          <w:rFonts w:ascii="Palatino Linotype" w:hAnsi="Palatino Linotype"/>
        </w:rPr>
        <w:t xml:space="preserve">: ‘“A thousand pardons, Miss </w:t>
      </w:r>
      <w:proofErr w:type="spellStart"/>
      <w:r w:rsidRPr="00331D81">
        <w:rPr>
          <w:rFonts w:ascii="Palatino Linotype" w:hAnsi="Palatino Linotype"/>
        </w:rPr>
        <w:t>Halcombe</w:t>
      </w:r>
      <w:proofErr w:type="spellEnd"/>
      <w:r w:rsidRPr="00331D81">
        <w:rPr>
          <w:rFonts w:ascii="Palatino Linotype" w:hAnsi="Palatino Linotype"/>
        </w:rPr>
        <w:t>,” he said. “You know the character which is given to my countrymen by the English? We Italians are all wily and suspicious</w:t>
      </w:r>
      <w:r w:rsidR="00FC7323" w:rsidRPr="00331D81">
        <w:rPr>
          <w:rStyle w:val="FootnoteReference"/>
          <w:rFonts w:ascii="Palatino Linotype" w:hAnsi="Palatino Linotype"/>
        </w:rPr>
        <w:footnoteReference w:id="1"/>
      </w:r>
      <w:r w:rsidR="00FC7323" w:rsidRPr="00331D81">
        <w:rPr>
          <w:rFonts w:ascii="Palatino Linotype" w:hAnsi="Palatino Linotype"/>
        </w:rPr>
        <w:t xml:space="preserve"> </w:t>
      </w:r>
      <w:r w:rsidRPr="00331D81">
        <w:rPr>
          <w:rFonts w:ascii="Palatino Linotype" w:hAnsi="Palatino Linotype"/>
        </w:rPr>
        <w:t xml:space="preserve"> by nature, in the estimation of the good John Bull. Set me down, if you please, as being no better than the rest of my race. I am a wily Italian and a suspicious Italian. You have thought so yourself, </w:t>
      </w:r>
      <w:r w:rsidR="00040F16" w:rsidRPr="00331D81">
        <w:rPr>
          <w:rFonts w:ascii="Palatino Linotype" w:hAnsi="Palatino Linotype"/>
        </w:rPr>
        <w:t>dear lady, have you not? Well! I</w:t>
      </w:r>
      <w:r w:rsidRPr="00331D81">
        <w:rPr>
          <w:rFonts w:ascii="Palatino Linotype" w:hAnsi="Palatino Linotype"/>
        </w:rPr>
        <w:t xml:space="preserve">t is part of my wiliness and part of my suspicion to object to Madame </w:t>
      </w:r>
      <w:proofErr w:type="spellStart"/>
      <w:r w:rsidRPr="00331D81">
        <w:rPr>
          <w:rFonts w:ascii="Palatino Linotype" w:hAnsi="Palatino Linotype"/>
        </w:rPr>
        <w:t>Fosco</w:t>
      </w:r>
      <w:proofErr w:type="spellEnd"/>
      <w:r w:rsidRPr="00331D81">
        <w:rPr>
          <w:rFonts w:ascii="Palatino Linotype" w:hAnsi="Palatino Linotype"/>
        </w:rPr>
        <w:t xml:space="preserve"> being a witness to Lady </w:t>
      </w:r>
      <w:proofErr w:type="spellStart"/>
      <w:r w:rsidRPr="00331D81">
        <w:rPr>
          <w:rFonts w:ascii="Palatino Linotype" w:hAnsi="Palatino Linotype"/>
        </w:rPr>
        <w:t>Glyde’s</w:t>
      </w:r>
      <w:proofErr w:type="spellEnd"/>
      <w:r w:rsidRPr="00331D81">
        <w:rPr>
          <w:rFonts w:ascii="Palatino Linotype" w:hAnsi="Palatino Linotype"/>
        </w:rPr>
        <w:t xml:space="preserve"> signature, when I am also a witness myself.”’ (Part the Second, Section IV)</w:t>
      </w:r>
    </w:p>
    <w:p w:rsidR="003B1477" w:rsidRPr="00331D81" w:rsidRDefault="003B1477" w:rsidP="00331D81">
      <w:pPr>
        <w:spacing w:after="120"/>
        <w:rPr>
          <w:rFonts w:ascii="Palatino Linotype" w:hAnsi="Palatino Linotype"/>
        </w:rPr>
      </w:pPr>
      <w:r w:rsidRPr="00331D81">
        <w:rPr>
          <w:rFonts w:ascii="Palatino Linotype" w:hAnsi="Palatino Linotype"/>
        </w:rPr>
        <w:t>**********************************************************************************</w:t>
      </w:r>
    </w:p>
    <w:p w:rsidR="003B1477" w:rsidRPr="00331D81" w:rsidRDefault="003B1477" w:rsidP="00331D81">
      <w:pPr>
        <w:spacing w:after="120"/>
        <w:rPr>
          <w:rFonts w:ascii="Palatino Linotype" w:hAnsi="Palatino Linotype"/>
          <w:b/>
        </w:rPr>
      </w:pPr>
      <w:r w:rsidRPr="00331D81">
        <w:rPr>
          <w:rFonts w:ascii="Palatino Linotype" w:hAnsi="Palatino Linotype"/>
          <w:i/>
        </w:rPr>
        <w:lastRenderedPageBreak/>
        <w:t>From</w:t>
      </w:r>
      <w:r w:rsidRPr="00331D81">
        <w:rPr>
          <w:rFonts w:ascii="Palatino Linotype" w:hAnsi="Palatino Linotype"/>
        </w:rPr>
        <w:t xml:space="preserve"> </w:t>
      </w:r>
      <w:r w:rsidRPr="00331D81">
        <w:rPr>
          <w:rFonts w:ascii="Palatino Linotype" w:hAnsi="Palatino Linotype"/>
          <w:b/>
        </w:rPr>
        <w:t xml:space="preserve">Susan M. Griffin, ‘The Yellow Mask, the Black Robe, and the Woman in White: </w:t>
      </w:r>
      <w:proofErr w:type="spellStart"/>
      <w:r w:rsidRPr="00331D81">
        <w:rPr>
          <w:rFonts w:ascii="Palatino Linotype" w:hAnsi="Palatino Linotype"/>
          <w:b/>
        </w:rPr>
        <w:t>Wilkie</w:t>
      </w:r>
      <w:proofErr w:type="spellEnd"/>
      <w:r w:rsidRPr="00331D81">
        <w:rPr>
          <w:rFonts w:ascii="Palatino Linotype" w:hAnsi="Palatino Linotype"/>
          <w:b/>
        </w:rPr>
        <w:t xml:space="preserve"> Collins, Anti-Catholic Discourse, and the Sensation Novel’, </w:t>
      </w:r>
      <w:r w:rsidRPr="00331D81">
        <w:rPr>
          <w:rFonts w:ascii="Palatino Linotype" w:hAnsi="Palatino Linotype"/>
          <w:b/>
          <w:i/>
        </w:rPr>
        <w:t>Narrative</w:t>
      </w:r>
      <w:r w:rsidRPr="00331D81">
        <w:rPr>
          <w:rFonts w:ascii="Palatino Linotype" w:hAnsi="Palatino Linotype"/>
          <w:b/>
        </w:rPr>
        <w:t>, 12 (2004), 55-73:</w:t>
      </w:r>
    </w:p>
    <w:p w:rsidR="00094CF0" w:rsidRPr="00331D81" w:rsidRDefault="00094CF0" w:rsidP="00331D81">
      <w:pPr>
        <w:spacing w:after="120"/>
        <w:rPr>
          <w:rFonts w:ascii="Palatino Linotype" w:hAnsi="Palatino Linotype"/>
        </w:rPr>
      </w:pPr>
      <w:r w:rsidRPr="00331D81">
        <w:rPr>
          <w:rFonts w:ascii="Palatino Linotype" w:hAnsi="Palatino Linotype"/>
        </w:rPr>
        <w:t xml:space="preserve">‘The phrase “preaching to the nerves” </w:t>
      </w:r>
      <w:r w:rsidR="00A234FB" w:rsidRPr="00331D81">
        <w:rPr>
          <w:rFonts w:ascii="Palatino Linotype" w:hAnsi="Palatino Linotype"/>
        </w:rPr>
        <w:t>[used disapprovingly by the reviewer John Murray in 1863]</w:t>
      </w:r>
      <w:r w:rsidR="00A234FB" w:rsidRPr="00331D81">
        <w:rPr>
          <w:rStyle w:val="FootnoteReference"/>
          <w:rFonts w:ascii="Palatino Linotype" w:hAnsi="Palatino Linotype"/>
        </w:rPr>
        <w:footnoteReference w:id="2"/>
      </w:r>
      <w:r w:rsidR="00A234FB" w:rsidRPr="00331D81">
        <w:rPr>
          <w:rFonts w:ascii="Palatino Linotype" w:hAnsi="Palatino Linotype"/>
        </w:rPr>
        <w:t xml:space="preserve"> </w:t>
      </w:r>
      <w:r w:rsidRPr="00331D81">
        <w:rPr>
          <w:rFonts w:ascii="Palatino Linotype" w:hAnsi="Palatino Linotype"/>
        </w:rPr>
        <w:t xml:space="preserve">not only captures sensationalism’s secularizing of religious rhetorical forms, but also indicates how sensationalism physicalizes ideology. … The techniques of sensationalism underscore narrative’s intimate and intricate dependence upon readerly affect [that is, the way in which the text aims to affect the reader’s feelings]. …Individual Victorian reading experiences were, of course, diverse, but the majority of those readers who consumed Collins’s narratives would have shared a history of experience with anti-Catholic discourse. Reinforcing a set of polemical Protestant prejudices in their audience and presenting the Papacy as a cultural, political, and economic force in nineteenth-century Britain, fictions that borrow from anti-Catholic discourse play on readers’ fears, arousing their suspense and subsequent speculation. My argument, then, is not simply that the </w:t>
      </w:r>
      <w:r w:rsidRPr="00331D81">
        <w:rPr>
          <w:rFonts w:ascii="Palatino Linotype" w:hAnsi="Palatino Linotype"/>
          <w:i/>
        </w:rPr>
        <w:t>motifs</w:t>
      </w:r>
      <w:r w:rsidRPr="00331D81">
        <w:rPr>
          <w:rFonts w:ascii="Palatino Linotype" w:hAnsi="Palatino Linotype"/>
        </w:rPr>
        <w:t xml:space="preserve"> of no-Popery found their way into sensation fiction (although they did), but that sensationalism’s </w:t>
      </w:r>
      <w:r w:rsidRPr="00331D81">
        <w:rPr>
          <w:rFonts w:ascii="Palatino Linotype" w:hAnsi="Palatino Linotype"/>
          <w:i/>
        </w:rPr>
        <w:t>narrative</w:t>
      </w:r>
      <w:r w:rsidRPr="00331D81">
        <w:rPr>
          <w:rFonts w:ascii="Palatino Linotype" w:hAnsi="Palatino Linotype"/>
        </w:rPr>
        <w:t xml:space="preserve"> </w:t>
      </w:r>
      <w:r w:rsidRPr="00331D81">
        <w:rPr>
          <w:rFonts w:ascii="Palatino Linotype" w:hAnsi="Palatino Linotype"/>
          <w:i/>
        </w:rPr>
        <w:t>structures</w:t>
      </w:r>
      <w:r w:rsidRPr="00331D81">
        <w:rPr>
          <w:rFonts w:ascii="Palatino Linotype" w:hAnsi="Palatino Linotype"/>
        </w:rPr>
        <w:t>, forming and formed by the learned associations of its audience, are borrowed in part from anti-Catholicism’. [For example, the narrative structure of the ‘memoirs’ of escaped nuns, which would include documentary testimony to the truth of the tale, and witness accounts from different people</w:t>
      </w:r>
      <w:r w:rsidR="00A2146A" w:rsidRPr="00331D81">
        <w:rPr>
          <w:rFonts w:ascii="Palatino Linotype" w:hAnsi="Palatino Linotype"/>
        </w:rPr>
        <w:t xml:space="preserve"> – see paragraph below</w:t>
      </w:r>
      <w:r w:rsidRPr="00331D81">
        <w:rPr>
          <w:rFonts w:ascii="Palatino Linotype" w:hAnsi="Palatino Linotype"/>
        </w:rPr>
        <w:t>].</w:t>
      </w:r>
      <w:r w:rsidR="00D449CD" w:rsidRPr="00331D81">
        <w:rPr>
          <w:rFonts w:ascii="Palatino Linotype" w:hAnsi="Palatino Linotype"/>
        </w:rPr>
        <w:t xml:space="preserve"> (Griffin, p. 56; my italics).</w:t>
      </w:r>
    </w:p>
    <w:p w:rsidR="00D449CD" w:rsidRPr="00331D81" w:rsidRDefault="00D449CD" w:rsidP="00331D81">
      <w:pPr>
        <w:spacing w:after="120"/>
        <w:rPr>
          <w:rFonts w:ascii="Palatino Linotype" w:hAnsi="Palatino Linotype"/>
        </w:rPr>
      </w:pPr>
      <w:r w:rsidRPr="00331D81">
        <w:rPr>
          <w:rFonts w:ascii="Palatino Linotype" w:hAnsi="Palatino Linotype"/>
        </w:rPr>
        <w:t>‘Anti-Catholicism, which had been allied to the novel from its eighteenth-century beginnings</w:t>
      </w:r>
      <w:r w:rsidR="0030065C" w:rsidRPr="00331D81">
        <w:rPr>
          <w:rFonts w:ascii="Palatino Linotype" w:hAnsi="Palatino Linotype"/>
        </w:rPr>
        <w:t xml:space="preserve"> in the work of Ann Radcliffe and other Gothic writers, persisted throughout most of the nineteenth century and manifested itself in characteristic fictional form. Its rhetoric, plots, imagery, and characters would have been familiar to Collins’s popular readership.’ (Griffin, pp. 56-57). </w:t>
      </w:r>
    </w:p>
    <w:p w:rsidR="00E244D1" w:rsidRPr="00331D81" w:rsidRDefault="00E244D1" w:rsidP="00331D81">
      <w:pPr>
        <w:spacing w:after="120"/>
        <w:rPr>
          <w:rFonts w:ascii="Palatino Linotype" w:hAnsi="Palatino Linotype"/>
        </w:rPr>
      </w:pPr>
      <w:r w:rsidRPr="00331D81">
        <w:rPr>
          <w:rFonts w:ascii="Palatino Linotype" w:hAnsi="Palatino Linotype"/>
        </w:rPr>
        <w:t xml:space="preserve">‘The Jesuit’s infamous ability to control minds, depicted in novels ranging from Trollope’s </w:t>
      </w:r>
      <w:r w:rsidRPr="00331D81">
        <w:rPr>
          <w:rFonts w:ascii="Palatino Linotype" w:hAnsi="Palatino Linotype"/>
          <w:i/>
        </w:rPr>
        <w:t>Father</w:t>
      </w:r>
      <w:r w:rsidRPr="00331D81">
        <w:rPr>
          <w:rFonts w:ascii="Palatino Linotype" w:hAnsi="Palatino Linotype"/>
        </w:rPr>
        <w:t xml:space="preserve"> </w:t>
      </w:r>
      <w:r w:rsidRPr="00331D81">
        <w:rPr>
          <w:rFonts w:ascii="Palatino Linotype" w:hAnsi="Palatino Linotype"/>
          <w:i/>
        </w:rPr>
        <w:t xml:space="preserve">Eustace </w:t>
      </w:r>
      <w:r w:rsidRPr="00331D81">
        <w:rPr>
          <w:rFonts w:ascii="Palatino Linotype" w:hAnsi="Palatino Linotype"/>
        </w:rPr>
        <w:t xml:space="preserve">to Eugene Sue’s </w:t>
      </w:r>
      <w:r w:rsidRPr="00331D81">
        <w:rPr>
          <w:rFonts w:ascii="Palatino Linotype" w:hAnsi="Palatino Linotype"/>
          <w:i/>
        </w:rPr>
        <w:t xml:space="preserve">Wandering </w:t>
      </w:r>
      <w:r w:rsidRPr="00331D81">
        <w:rPr>
          <w:rFonts w:ascii="Palatino Linotype" w:hAnsi="Palatino Linotype"/>
        </w:rPr>
        <w:t xml:space="preserve">Jew, is detailed step by step, helping to structure Collins’s plot [in his novel </w:t>
      </w:r>
      <w:r w:rsidRPr="00331D81">
        <w:rPr>
          <w:rFonts w:ascii="Palatino Linotype" w:hAnsi="Palatino Linotype"/>
          <w:i/>
        </w:rPr>
        <w:t xml:space="preserve">The Black </w:t>
      </w:r>
      <w:proofErr w:type="spellStart"/>
      <w:r w:rsidRPr="00331D81">
        <w:rPr>
          <w:rFonts w:ascii="Palatino Linotype" w:hAnsi="Palatino Linotype"/>
          <w:i/>
        </w:rPr>
        <w:t>Robe,</w:t>
      </w:r>
      <w:r w:rsidRPr="00331D81">
        <w:rPr>
          <w:rFonts w:ascii="Palatino Linotype" w:hAnsi="Palatino Linotype"/>
        </w:rPr>
        <w:t>first</w:t>
      </w:r>
      <w:proofErr w:type="spellEnd"/>
      <w:r w:rsidRPr="00331D81">
        <w:rPr>
          <w:rFonts w:ascii="Palatino Linotype" w:hAnsi="Palatino Linotype"/>
        </w:rPr>
        <w:t xml:space="preserve"> serialised, and then published in three volumes in 1881]. Here Collins’s personal interest in the mesmerism that finds its way into novels like </w:t>
      </w:r>
      <w:r w:rsidRPr="00331D81">
        <w:rPr>
          <w:rFonts w:ascii="Palatino Linotype" w:hAnsi="Palatino Linotype"/>
          <w:i/>
        </w:rPr>
        <w:t xml:space="preserve">The Woman in White </w:t>
      </w:r>
      <w:r w:rsidRPr="00331D81">
        <w:rPr>
          <w:rFonts w:ascii="Palatino Linotype" w:hAnsi="Palatino Linotype"/>
        </w:rPr>
        <w:t xml:space="preserve">and </w:t>
      </w:r>
      <w:r w:rsidRPr="00331D81">
        <w:rPr>
          <w:rFonts w:ascii="Palatino Linotype" w:hAnsi="Palatino Linotype"/>
          <w:i/>
        </w:rPr>
        <w:t>The Moonstone</w:t>
      </w:r>
      <w:r w:rsidRPr="00331D81">
        <w:rPr>
          <w:rFonts w:ascii="Palatino Linotype" w:hAnsi="Palatino Linotype"/>
        </w:rPr>
        <w:t xml:space="preserve"> is expressed through the machinations of “the Catholic system [that] …showed to perfection its masterly knowledge of the weakness of human nature, and its inexhaustible dexterity in adapting the means to the end” (336-7). In an 1854 letter regarding the Immaculate Conception, Collins describes what he saw as the readiness of Catholics to abandon their individual judgement and give themselves over to priestly control: “Does any Papist make use of his reason when he lets his Church give him his religion? Does not his Church expressly tell him he must give up his reason, and accept mysteries which outrage it, implicitly as matters of faith. Does not every good Papist</w:t>
      </w:r>
      <w:r w:rsidR="00380235" w:rsidRPr="00331D81">
        <w:rPr>
          <w:rFonts w:ascii="Palatino Linotype" w:hAnsi="Palatino Linotype"/>
        </w:rPr>
        <w:t xml:space="preserve"> who will not let his butcher, baker, wife, or children, rob him of one particle of his common sense </w:t>
      </w:r>
      <w:r w:rsidR="00380235" w:rsidRPr="00331D81">
        <w:rPr>
          <w:rFonts w:ascii="Palatino Linotype" w:hAnsi="Palatino Linotype"/>
        </w:rPr>
        <w:lastRenderedPageBreak/>
        <w:t xml:space="preserve">if he can help it, voluntarily hand that common sense over altogether to the keeping of his Priest whenever his Priest asks for it?”’ </w:t>
      </w:r>
      <w:r w:rsidR="00FA6701" w:rsidRPr="00331D81">
        <w:rPr>
          <w:rFonts w:ascii="Palatino Linotype" w:hAnsi="Palatino Linotype"/>
        </w:rPr>
        <w:t>(Griffin, p. 64).</w:t>
      </w:r>
    </w:p>
    <w:p w:rsidR="00FA6701" w:rsidRPr="00331D81" w:rsidRDefault="00FA6701" w:rsidP="00331D81">
      <w:pPr>
        <w:spacing w:after="120"/>
        <w:rPr>
          <w:rFonts w:ascii="Palatino Linotype" w:hAnsi="Palatino Linotype"/>
        </w:rPr>
      </w:pPr>
      <w:r w:rsidRPr="00331D81">
        <w:rPr>
          <w:rFonts w:ascii="Palatino Linotype" w:hAnsi="Palatino Linotype"/>
        </w:rPr>
        <w:t xml:space="preserve">   </w:t>
      </w:r>
      <w:r w:rsidR="00AF1C1A" w:rsidRPr="00331D81">
        <w:rPr>
          <w:rFonts w:ascii="Palatino Linotype" w:hAnsi="Palatino Linotype"/>
        </w:rPr>
        <w:t>‘</w:t>
      </w:r>
      <w:proofErr w:type="spellStart"/>
      <w:r w:rsidR="00AF1C1A" w:rsidRPr="00331D81">
        <w:rPr>
          <w:rFonts w:ascii="Palatino Linotype" w:hAnsi="Palatino Linotype"/>
        </w:rPr>
        <w:t>Fosco</w:t>
      </w:r>
      <w:proofErr w:type="spellEnd"/>
      <w:r w:rsidR="00AF1C1A" w:rsidRPr="00331D81">
        <w:rPr>
          <w:rFonts w:ascii="Palatino Linotype" w:hAnsi="Palatino Linotype"/>
        </w:rPr>
        <w:t xml:space="preserve"> himself lightly suggests, “I am a Jesuit, if you please to think so – a splitter of straws – a man of trifles and crotchets and scruples” (246), but the catalogue of Jesuitical characteristics that Collins’s audience would recognize is less benign: a learned member of a secret society, clever at disguise, part of an international system of spies based in Rome, confessor-like in his knowledge of others’ secret sins and failings, engaged in a voluminous foreign correspondence even as he intercepts others’ missives, an Italian with ties to France. </w:t>
      </w:r>
      <w:proofErr w:type="spellStart"/>
      <w:r w:rsidR="00AF1C1A" w:rsidRPr="00331D81">
        <w:rPr>
          <w:rFonts w:ascii="Palatino Linotype" w:hAnsi="Palatino Linotype"/>
        </w:rPr>
        <w:t>Fosco</w:t>
      </w:r>
      <w:proofErr w:type="spellEnd"/>
      <w:r w:rsidR="00AF1C1A" w:rsidRPr="00331D81">
        <w:rPr>
          <w:rFonts w:ascii="Palatino Linotype" w:hAnsi="Palatino Linotype"/>
        </w:rPr>
        <w:t xml:space="preserve"> walks with the Jesuit’s silent tread, and looks with his penetrating, mesmerizing state. He even shares a trait commonly attributed to Catholic priests and nuns – a childlike greed for sweets – a trope that typically points to thwarted sexuality. And of course there is the eminently </w:t>
      </w:r>
      <w:proofErr w:type="spellStart"/>
      <w:r w:rsidR="00AF1C1A" w:rsidRPr="00331D81">
        <w:rPr>
          <w:rFonts w:ascii="Palatino Linotype" w:hAnsi="Palatino Linotype"/>
        </w:rPr>
        <w:t>jesuitical</w:t>
      </w:r>
      <w:proofErr w:type="spellEnd"/>
      <w:r w:rsidR="00AF1C1A" w:rsidRPr="00331D81">
        <w:rPr>
          <w:rFonts w:ascii="Palatino Linotype" w:hAnsi="Palatino Linotype"/>
        </w:rPr>
        <w:t xml:space="preserve"> plot he concocts: a marriage triangle, a contested inheritance, a kidnapping, blackmail, a d</w:t>
      </w:r>
      <w:r w:rsidR="0032628F" w:rsidRPr="00331D81">
        <w:rPr>
          <w:rFonts w:ascii="Palatino Linotype" w:hAnsi="Palatino Linotype"/>
        </w:rPr>
        <w:t>eathbed defrauding of a fortune.</w:t>
      </w:r>
      <w:r w:rsidR="00AF1C1A" w:rsidRPr="00331D81">
        <w:rPr>
          <w:rFonts w:ascii="Palatino Linotype" w:hAnsi="Palatino Linotype"/>
        </w:rPr>
        <w:t xml:space="preserve"> Laura’s warning about the man who has come between her and her husband- “Do not make an enemy of Count </w:t>
      </w:r>
      <w:proofErr w:type="spellStart"/>
      <w:r w:rsidR="00AF1C1A" w:rsidRPr="00331D81">
        <w:rPr>
          <w:rFonts w:ascii="Palatino Linotype" w:hAnsi="Palatino Linotype"/>
        </w:rPr>
        <w:t>Fosco</w:t>
      </w:r>
      <w:proofErr w:type="spellEnd"/>
      <w:r w:rsidR="00AF1C1A" w:rsidRPr="00331D81">
        <w:rPr>
          <w:rFonts w:ascii="Palatino Linotype" w:hAnsi="Palatino Linotype"/>
        </w:rPr>
        <w:t xml:space="preserve">” – reverberates with the frightened cries of heroines </w:t>
      </w:r>
      <w:r w:rsidR="008914B6" w:rsidRPr="00331D81">
        <w:rPr>
          <w:rFonts w:ascii="Palatino Linotype" w:hAnsi="Palatino Linotype"/>
        </w:rPr>
        <w:t xml:space="preserve">[in </w:t>
      </w:r>
      <w:r w:rsidR="000E7EB6" w:rsidRPr="00331D81">
        <w:rPr>
          <w:rFonts w:ascii="Palatino Linotype" w:hAnsi="Palatino Linotype"/>
        </w:rPr>
        <w:t>British</w:t>
      </w:r>
      <w:r w:rsidR="00040F16" w:rsidRPr="00331D81">
        <w:rPr>
          <w:rFonts w:ascii="Palatino Linotype" w:hAnsi="Palatino Linotype"/>
        </w:rPr>
        <w:t xml:space="preserve"> </w:t>
      </w:r>
      <w:r w:rsidR="008914B6" w:rsidRPr="00331D81">
        <w:rPr>
          <w:rFonts w:ascii="Palatino Linotype" w:hAnsi="Palatino Linotype"/>
        </w:rPr>
        <w:t xml:space="preserve">anti-Catholic literature] </w:t>
      </w:r>
      <w:r w:rsidR="00AF1C1A" w:rsidRPr="00331D81">
        <w:rPr>
          <w:rFonts w:ascii="Palatino Linotype" w:hAnsi="Palatino Linotype"/>
        </w:rPr>
        <w:t xml:space="preserve">whose homes and marriages are invaded by priests…’ </w:t>
      </w:r>
      <w:r w:rsidRPr="00331D81">
        <w:rPr>
          <w:rFonts w:ascii="Palatino Linotype" w:hAnsi="Palatino Linotype"/>
        </w:rPr>
        <w:t xml:space="preserve"> (Griffin, p. 65).</w:t>
      </w:r>
    </w:p>
    <w:p w:rsidR="00AF1C1A" w:rsidRPr="00331D81" w:rsidRDefault="00FA6701" w:rsidP="00331D81">
      <w:pPr>
        <w:spacing w:after="120"/>
        <w:rPr>
          <w:rFonts w:ascii="Palatino Linotype" w:hAnsi="Palatino Linotype"/>
        </w:rPr>
      </w:pPr>
      <w:r w:rsidRPr="00331D81">
        <w:rPr>
          <w:rFonts w:ascii="Palatino Linotype" w:hAnsi="Palatino Linotype"/>
        </w:rPr>
        <w:t xml:space="preserve">‘The story of Anne </w:t>
      </w:r>
      <w:proofErr w:type="spellStart"/>
      <w:r w:rsidRPr="00331D81">
        <w:rPr>
          <w:rFonts w:ascii="Palatino Linotype" w:hAnsi="Palatino Linotype"/>
        </w:rPr>
        <w:t>Catherick’s</w:t>
      </w:r>
      <w:proofErr w:type="spellEnd"/>
      <w:r w:rsidRPr="00331D81">
        <w:rPr>
          <w:rFonts w:ascii="Palatino Linotype" w:hAnsi="Palatino Linotype"/>
        </w:rPr>
        <w:t xml:space="preserve"> and then Laura </w:t>
      </w:r>
      <w:proofErr w:type="spellStart"/>
      <w:r w:rsidRPr="00331D81">
        <w:rPr>
          <w:rFonts w:ascii="Palatino Linotype" w:hAnsi="Palatino Linotype"/>
        </w:rPr>
        <w:t>Fairlie’s</w:t>
      </w:r>
      <w:proofErr w:type="spellEnd"/>
      <w:r w:rsidRPr="00331D81">
        <w:rPr>
          <w:rFonts w:ascii="Palatino Linotype" w:hAnsi="Palatino Linotype"/>
        </w:rPr>
        <w:t xml:space="preserve"> enforced immurement in and subsequent escape from an institution echoed popular nineteenth-century tales of escaped nuns, especially given the resemblance between their white clothing [in the case of Carmelite nuns] and a nun’s habit and veil, and the frequent analogy that Protestant polemicists made between convents and lunatic asylums</w:t>
      </w:r>
      <w:r w:rsidR="00AF1C1A" w:rsidRPr="00331D81">
        <w:rPr>
          <w:rFonts w:ascii="Palatino Linotype" w:hAnsi="Palatino Linotype"/>
        </w:rPr>
        <w:t xml:space="preserve">. </w:t>
      </w:r>
      <w:r w:rsidRPr="00331D81">
        <w:rPr>
          <w:rFonts w:ascii="Palatino Linotype" w:hAnsi="Palatino Linotype"/>
        </w:rPr>
        <w:t>(“If lunatic asylums are bound to admit a Government inspector, why should a nunnery, which is but another sort of lunatic asylum, be left altogether uncared for an</w:t>
      </w:r>
      <w:r w:rsidR="0032628F" w:rsidRPr="00331D81">
        <w:rPr>
          <w:rFonts w:ascii="Palatino Linotype" w:hAnsi="Palatino Linotype"/>
        </w:rPr>
        <w:t>d</w:t>
      </w:r>
      <w:r w:rsidRPr="00331D81">
        <w:rPr>
          <w:rFonts w:ascii="Palatino Linotype" w:hAnsi="Palatino Linotype"/>
        </w:rPr>
        <w:t xml:space="preserve"> unwatched?” asked a </w:t>
      </w:r>
      <w:r w:rsidRPr="00331D81">
        <w:rPr>
          <w:rFonts w:ascii="Palatino Linotype" w:hAnsi="Palatino Linotype"/>
          <w:i/>
        </w:rPr>
        <w:t>Morning Advertiser</w:t>
      </w:r>
      <w:r w:rsidRPr="00331D81">
        <w:rPr>
          <w:rFonts w:ascii="Palatino Linotype" w:hAnsi="Palatino Linotype"/>
        </w:rPr>
        <w:t xml:space="preserve"> editorial…). Escaped nuns were much on the English mind in the 1860s, a period in which seventy-one convents were founded in Great Britain, which saw hundreds of petitions calling for government inspection of convents, and, in 1869, a spectacular legal case regarding convent life, </w:t>
      </w:r>
      <w:proofErr w:type="spellStart"/>
      <w:r w:rsidRPr="00331D81">
        <w:rPr>
          <w:rFonts w:ascii="Palatino Linotype" w:hAnsi="Palatino Linotype"/>
          <w:i/>
        </w:rPr>
        <w:t>Saurin</w:t>
      </w:r>
      <w:proofErr w:type="spellEnd"/>
      <w:r w:rsidRPr="00331D81">
        <w:rPr>
          <w:rFonts w:ascii="Palatino Linotype" w:hAnsi="Palatino Linotype"/>
        </w:rPr>
        <w:t xml:space="preserve"> v. </w:t>
      </w:r>
      <w:r w:rsidRPr="00331D81">
        <w:rPr>
          <w:rFonts w:ascii="Palatino Linotype" w:hAnsi="Palatino Linotype"/>
          <w:i/>
        </w:rPr>
        <w:t>Star.</w:t>
      </w:r>
      <w:r w:rsidRPr="00331D81">
        <w:rPr>
          <w:rFonts w:ascii="Palatino Linotype" w:hAnsi="Palatino Linotype"/>
        </w:rPr>
        <w:t>’ …</w:t>
      </w:r>
      <w:r w:rsidR="00A2146A" w:rsidRPr="00331D81">
        <w:rPr>
          <w:rFonts w:ascii="Palatino Linotype" w:hAnsi="Palatino Linotype"/>
        </w:rPr>
        <w:t xml:space="preserve"> </w:t>
      </w:r>
      <w:r w:rsidRPr="00331D81">
        <w:rPr>
          <w:rFonts w:ascii="Palatino Linotype" w:hAnsi="Palatino Linotype"/>
        </w:rPr>
        <w:t xml:space="preserve">[But note that this case is well after the publication date of </w:t>
      </w:r>
      <w:r w:rsidRPr="00331D81">
        <w:rPr>
          <w:rFonts w:ascii="Palatino Linotype" w:hAnsi="Palatino Linotype"/>
          <w:i/>
        </w:rPr>
        <w:t>The Woman in White</w:t>
      </w:r>
      <w:r w:rsidRPr="00331D81">
        <w:rPr>
          <w:rFonts w:ascii="Palatino Linotype" w:hAnsi="Palatino Linotype"/>
        </w:rPr>
        <w:t>, which was published in book form in 1860].(Griffin, p. 65)</w:t>
      </w:r>
    </w:p>
    <w:p w:rsidR="00FA6701" w:rsidRPr="00331D81" w:rsidRDefault="00FA6701" w:rsidP="00331D81">
      <w:pPr>
        <w:spacing w:after="120"/>
        <w:rPr>
          <w:rFonts w:ascii="Palatino Linotype" w:hAnsi="Palatino Linotype"/>
        </w:rPr>
      </w:pPr>
      <w:r w:rsidRPr="00331D81">
        <w:rPr>
          <w:rFonts w:ascii="Palatino Linotype" w:hAnsi="Palatino Linotype"/>
        </w:rPr>
        <w:t xml:space="preserve">   ‘If convent stories are echoed in </w:t>
      </w:r>
      <w:r w:rsidRPr="00331D81">
        <w:rPr>
          <w:rFonts w:ascii="Palatino Linotype" w:hAnsi="Palatino Linotype"/>
          <w:i/>
        </w:rPr>
        <w:t xml:space="preserve">The Woman in White’s </w:t>
      </w:r>
      <w:r w:rsidRPr="00331D81">
        <w:rPr>
          <w:rFonts w:ascii="Palatino Linotype" w:hAnsi="Palatino Linotype"/>
        </w:rPr>
        <w:t xml:space="preserve">confinement plot, they may also provide a less obvious structural model for the novel’s sensationalism. From </w:t>
      </w:r>
      <w:r w:rsidR="00AE5B99" w:rsidRPr="00331D81">
        <w:rPr>
          <w:rFonts w:ascii="Palatino Linotype" w:hAnsi="Palatino Linotype"/>
        </w:rPr>
        <w:t xml:space="preserve">the beginning, what has most compelled </w:t>
      </w:r>
      <w:r w:rsidR="00AE5B99" w:rsidRPr="00331D81">
        <w:rPr>
          <w:rFonts w:ascii="Palatino Linotype" w:hAnsi="Palatino Linotype"/>
          <w:i/>
        </w:rPr>
        <w:t>The Woman in White’</w:t>
      </w:r>
      <w:r w:rsidR="00AE5B99" w:rsidRPr="00331D81">
        <w:rPr>
          <w:rFonts w:ascii="Palatino Linotype" w:hAnsi="Palatino Linotype"/>
        </w:rPr>
        <w:t xml:space="preserve">s audience is its narrative construction: “As the Judge might once have heard it, so the Reader shall hear it now,” Walter </w:t>
      </w:r>
      <w:proofErr w:type="spellStart"/>
      <w:r w:rsidR="00AE5B99" w:rsidRPr="00331D81">
        <w:rPr>
          <w:rFonts w:ascii="Palatino Linotype" w:hAnsi="Palatino Linotype"/>
        </w:rPr>
        <w:t>Hartright</w:t>
      </w:r>
      <w:proofErr w:type="spellEnd"/>
      <w:r w:rsidR="00AE5B99" w:rsidRPr="00331D81">
        <w:rPr>
          <w:rFonts w:ascii="Palatino Linotype" w:hAnsi="Palatino Linotype"/>
        </w:rPr>
        <w:t xml:space="preserve"> announces. Collins claimed to be the first to write a novel in which the narrative is presented by a series of documents by diverse hands from which the reader constructs the full story. Victorian critics, however, were quick to point out precedents (</w:t>
      </w:r>
      <w:r w:rsidR="00AE5B99" w:rsidRPr="00331D81">
        <w:rPr>
          <w:rFonts w:ascii="Palatino Linotype" w:hAnsi="Palatino Linotype"/>
          <w:i/>
        </w:rPr>
        <w:t>Wuthering Heights</w:t>
      </w:r>
      <w:r w:rsidR="00AE5B99" w:rsidRPr="00331D81">
        <w:rPr>
          <w:rFonts w:ascii="Palatino Linotype" w:hAnsi="Palatino Linotype"/>
        </w:rPr>
        <w:t xml:space="preserve"> is a favourite example), and later scholars have followed suit, tracing the sensation novel’s architectonics to trial records and newspaper reports.</w:t>
      </w:r>
      <w:r w:rsidR="00AE5B99" w:rsidRPr="00331D81">
        <w:rPr>
          <w:rStyle w:val="FootnoteReference"/>
          <w:rFonts w:ascii="Palatino Linotype" w:hAnsi="Palatino Linotype"/>
        </w:rPr>
        <w:footnoteReference w:id="3"/>
      </w:r>
      <w:r w:rsidR="00AE5B99" w:rsidRPr="00331D81">
        <w:rPr>
          <w:rFonts w:ascii="Palatino Linotype" w:hAnsi="Palatino Linotype"/>
        </w:rPr>
        <w:t xml:space="preserve"> </w:t>
      </w:r>
      <w:r w:rsidR="001972AE" w:rsidRPr="00331D81">
        <w:rPr>
          <w:rFonts w:ascii="Palatino Linotype" w:hAnsi="Palatino Linotype"/>
        </w:rPr>
        <w:t xml:space="preserve"> </w:t>
      </w:r>
      <w:r w:rsidR="00AE5B99" w:rsidRPr="00331D81">
        <w:rPr>
          <w:rFonts w:ascii="Palatino Linotype" w:hAnsi="Palatino Linotype"/>
        </w:rPr>
        <w:t>Anti-Catholic literature</w:t>
      </w:r>
      <w:r w:rsidR="0080292C" w:rsidRPr="00331D81">
        <w:rPr>
          <w:rFonts w:ascii="Palatino Linotype" w:hAnsi="Palatino Linotype"/>
        </w:rPr>
        <w:t xml:space="preserve">, specifically the renegades’ tales told by escaped nuns and former priests and proliferated in Victorian </w:t>
      </w:r>
      <w:r w:rsidR="0080292C" w:rsidRPr="00331D81">
        <w:rPr>
          <w:rFonts w:ascii="Palatino Linotype" w:hAnsi="Palatino Linotype"/>
        </w:rPr>
        <w:lastRenderedPageBreak/>
        <w:t xml:space="preserve">America and Great Britain, suggests another compelling model. The most famous of these narratives was Maria Monk’s </w:t>
      </w:r>
      <w:r w:rsidR="0080292C" w:rsidRPr="00331D81">
        <w:rPr>
          <w:rFonts w:ascii="Palatino Linotype" w:hAnsi="Palatino Linotype"/>
          <w:i/>
        </w:rPr>
        <w:t>Awful Disclosures of the Hotel Dieu Nunnery</w:t>
      </w:r>
      <w:r w:rsidR="0080292C" w:rsidRPr="00331D81">
        <w:rPr>
          <w:rFonts w:ascii="Palatino Linotype" w:hAnsi="Palatino Linotype"/>
        </w:rPr>
        <w:t>, an international bestseller first published in 1836 and never since out of print, but Monk’s was only one of many such tales. These “factual” accounts are narratively constructed so as to confirm their status as evidence.’ (Griffin, pp.65-66).</w:t>
      </w:r>
    </w:p>
    <w:p w:rsidR="005F09D6" w:rsidRPr="00331D81" w:rsidRDefault="005F09D6" w:rsidP="00331D81">
      <w:pPr>
        <w:spacing w:after="120"/>
        <w:rPr>
          <w:rFonts w:ascii="Palatino Linotype" w:hAnsi="Palatino Linotype"/>
        </w:rPr>
      </w:pPr>
      <w:r w:rsidRPr="00331D81">
        <w:rPr>
          <w:rFonts w:ascii="Palatino Linotype" w:hAnsi="Palatino Linotype"/>
        </w:rPr>
        <w:t>….</w:t>
      </w:r>
      <w:r w:rsidR="0032628F" w:rsidRPr="00331D81">
        <w:rPr>
          <w:rFonts w:ascii="Palatino Linotype" w:hAnsi="Palatino Linotype"/>
        </w:rPr>
        <w:t xml:space="preserve">   '</w:t>
      </w:r>
      <w:r w:rsidRPr="00331D81">
        <w:rPr>
          <w:rFonts w:ascii="Palatino Linotype" w:hAnsi="Palatino Linotype"/>
        </w:rPr>
        <w:t xml:space="preserve">The cultural training in anti-Catholic characters, plots, and narrative structures shared by </w:t>
      </w:r>
      <w:r w:rsidRPr="00331D81">
        <w:rPr>
          <w:rFonts w:ascii="Palatino Linotype" w:hAnsi="Palatino Linotype"/>
          <w:i/>
        </w:rPr>
        <w:t>The Woman in White’</w:t>
      </w:r>
      <w:r w:rsidRPr="00331D81">
        <w:rPr>
          <w:rFonts w:ascii="Palatino Linotype" w:hAnsi="Palatino Linotype"/>
        </w:rPr>
        <w:t>s audience</w:t>
      </w:r>
      <w:r w:rsidR="001972AE" w:rsidRPr="00331D81">
        <w:rPr>
          <w:rFonts w:ascii="Palatino Linotype" w:hAnsi="Palatino Linotype"/>
        </w:rPr>
        <w:t xml:space="preserve"> </w:t>
      </w:r>
      <w:r w:rsidR="00DD14E8" w:rsidRPr="00331D81">
        <w:rPr>
          <w:rFonts w:ascii="Palatino Linotype" w:hAnsi="Palatino Linotype"/>
        </w:rPr>
        <w:t xml:space="preserve">had been heightened by specific historical events at mid-century. Yet the patterns of anti-Catholic polemic which undergird </w:t>
      </w:r>
      <w:r w:rsidR="00DD14E8" w:rsidRPr="00331D81">
        <w:rPr>
          <w:rFonts w:ascii="Palatino Linotype" w:hAnsi="Palatino Linotype"/>
          <w:i/>
        </w:rPr>
        <w:t>The Woman in White</w:t>
      </w:r>
      <w:r w:rsidR="00DD14E8" w:rsidRPr="00331D81">
        <w:rPr>
          <w:rFonts w:ascii="Palatino Linotype" w:hAnsi="Palatino Linotype"/>
        </w:rPr>
        <w:t xml:space="preserve"> do not make it an anti-Catholic fiction. Unlike </w:t>
      </w:r>
      <w:r w:rsidR="00DD14E8" w:rsidRPr="00331D81">
        <w:rPr>
          <w:rFonts w:ascii="Palatino Linotype" w:hAnsi="Palatino Linotype"/>
          <w:i/>
        </w:rPr>
        <w:t>The Black Robe</w:t>
      </w:r>
      <w:r w:rsidR="00DD14E8" w:rsidRPr="00331D81">
        <w:rPr>
          <w:rFonts w:ascii="Palatino Linotype" w:hAnsi="Palatino Linotype"/>
        </w:rPr>
        <w:t xml:space="preserve"> or even the playful “The Yellow Mask,” Collins’s greatest sensation novel is markedly secular. Symptomatic of the fact that, while a church contains the novel’s long-kept secret and serves as the primary scene of violence and punishment, it is only the vestry that is of importance; the mystery uncovered there is legal and moral rather than religious ….In neither visit to the church does Walter </w:t>
      </w:r>
      <w:proofErr w:type="spellStart"/>
      <w:r w:rsidR="00DD14E8" w:rsidRPr="00331D81">
        <w:rPr>
          <w:rFonts w:ascii="Palatino Linotype" w:hAnsi="Palatino Linotype"/>
        </w:rPr>
        <w:t>Hartright</w:t>
      </w:r>
      <w:proofErr w:type="spellEnd"/>
      <w:r w:rsidR="00DD14E8" w:rsidRPr="00331D81">
        <w:rPr>
          <w:rFonts w:ascii="Palatino Linotype" w:hAnsi="Palatino Linotype"/>
        </w:rPr>
        <w:t xml:space="preserve"> encounter a clergyman, only the lay clerk along with a row of empty vestments, described in the </w:t>
      </w:r>
      <w:r w:rsidR="00DD14E8" w:rsidRPr="00331D81">
        <w:rPr>
          <w:rFonts w:ascii="Palatino Linotype" w:hAnsi="Palatino Linotype"/>
          <w:i/>
        </w:rPr>
        <w:t xml:space="preserve">All-the-Year-Round </w:t>
      </w:r>
      <w:r w:rsidR="00DD14E8" w:rsidRPr="00331D81">
        <w:rPr>
          <w:rFonts w:ascii="Palatino Linotype" w:hAnsi="Palatino Linotype"/>
        </w:rPr>
        <w:t xml:space="preserve"> and three-volume versions of the novel as  a “bundle of limp drapery and wanting nothing but legs under them to suggest the idea of a cluster of neglected curates who had committed suicide, by companionably hanging themselves all together. ”  Like these priestly shrouds, the church itself,  “an ancient, weather-beaten building, with heavy buttresses at its sides” – dating back, no doubt, to pre-Reformation England – figures the role of “Romanism” in the novel. Surrounded by an abandoned village, “worm-eaten” and “crumbling,” littered with scraps of </w:t>
      </w:r>
      <w:r w:rsidR="00C13DA9" w:rsidRPr="00331D81">
        <w:rPr>
          <w:rFonts w:ascii="Palatino Linotype" w:hAnsi="Palatino Linotype"/>
        </w:rPr>
        <w:t xml:space="preserve">“old wood carvings from the pulpit, and panels from the chancel, and images from the organ loft,” the building is, in effect, a ruin. In contrast to the organic cultural meaning that John Ruskin read in ancient Catholic cathedrals, this shrine is reduced to fragments that foster associative affect, not theology.’ (Griffin, p. 66). </w:t>
      </w:r>
    </w:p>
    <w:p w:rsidR="00D108FD" w:rsidRPr="00331D81" w:rsidRDefault="004540EB" w:rsidP="00331D81">
      <w:pPr>
        <w:spacing w:after="120"/>
        <w:rPr>
          <w:rFonts w:ascii="Palatino Linotype" w:hAnsi="Palatino Linotype"/>
        </w:rPr>
      </w:pPr>
      <w:r w:rsidRPr="00331D81">
        <w:rPr>
          <w:rFonts w:ascii="Palatino Linotype" w:hAnsi="Palatino Linotype"/>
        </w:rPr>
        <w:t xml:space="preserve">                  '</w:t>
      </w:r>
      <w:r w:rsidR="00D108FD" w:rsidRPr="00331D81">
        <w:rPr>
          <w:rFonts w:ascii="Palatino Linotype" w:hAnsi="Palatino Linotype"/>
        </w:rPr>
        <w:t xml:space="preserve"> ….</w:t>
      </w:r>
      <w:r w:rsidRPr="00331D81">
        <w:rPr>
          <w:rFonts w:ascii="Palatino Linotype" w:hAnsi="Palatino Linotype"/>
        </w:rPr>
        <w:t xml:space="preserve">as in Collins’s ruined church, the structures of anti-Catholicism allow sensationalism to intermix ancient forms and contemporary scandals. It is precisely this mixture that readers of sensation novels have, from the beginning, seen as constitutive of the genre, faulting or praising these fictions’ claim to reveal the dark truths behind the façade of </w:t>
      </w:r>
      <w:r w:rsidR="00173896" w:rsidRPr="00331D81">
        <w:rPr>
          <w:rFonts w:ascii="Palatino Linotype" w:hAnsi="Palatino Linotype"/>
        </w:rPr>
        <w:t>the ordinary. As the archbishop of York complained, “They want to persuade people that in almost every one of the well-ordered houses of their neighbours there [is] a skeleton shut up in some cupboard.” Murray</w:t>
      </w:r>
      <w:r w:rsidR="00173896" w:rsidRPr="00331D81">
        <w:rPr>
          <w:rStyle w:val="FootnoteReference"/>
          <w:rFonts w:ascii="Palatino Linotype" w:hAnsi="Palatino Linotype"/>
        </w:rPr>
        <w:footnoteReference w:id="4"/>
      </w:r>
      <w:r w:rsidR="00173896" w:rsidRPr="00331D81">
        <w:rPr>
          <w:rFonts w:ascii="Palatino Linotype" w:hAnsi="Palatino Linotype"/>
        </w:rPr>
        <w:t xml:space="preserve"> defined “proximity” as “one great element of sensation” (255). Describing what is “sensational” about the “sensation novel,” </w:t>
      </w:r>
      <w:proofErr w:type="spellStart"/>
      <w:r w:rsidR="00173896" w:rsidRPr="00331D81">
        <w:rPr>
          <w:rFonts w:ascii="Palatino Linotype" w:hAnsi="Palatino Linotype"/>
        </w:rPr>
        <w:t>Brantlinger</w:t>
      </w:r>
      <w:proofErr w:type="spellEnd"/>
      <w:r w:rsidR="00173896" w:rsidRPr="00331D81">
        <w:rPr>
          <w:rFonts w:ascii="Palatino Linotype" w:hAnsi="Palatino Linotype"/>
        </w:rPr>
        <w:t xml:space="preserve"> states, “peace masks violence; innocent appearances cloak evil intentions; reality itself functions as a mystery until the sudden revelation of guilt which is always lurking in the shadows” (41).</w:t>
      </w:r>
      <w:r w:rsidR="00173896" w:rsidRPr="00331D81">
        <w:rPr>
          <w:rStyle w:val="FootnoteReference"/>
          <w:rFonts w:ascii="Palatino Linotype" w:hAnsi="Palatino Linotype"/>
        </w:rPr>
        <w:footnoteReference w:id="5"/>
      </w:r>
    </w:p>
    <w:p w:rsidR="008B14B4" w:rsidRPr="00331D81" w:rsidRDefault="00173896" w:rsidP="00331D81">
      <w:pPr>
        <w:spacing w:after="120"/>
        <w:rPr>
          <w:rFonts w:ascii="Palatino Linotype" w:hAnsi="Palatino Linotype"/>
        </w:rPr>
      </w:pPr>
      <w:r w:rsidRPr="00331D81">
        <w:rPr>
          <w:rFonts w:ascii="Palatino Linotype" w:hAnsi="Palatino Linotype"/>
        </w:rPr>
        <w:t xml:space="preserve">      The discourse of anti-Catholic polemic readily served the sensation novelist’s technique of balancing the known and the unknown, inviting the reader’s forward plot projection, </w:t>
      </w:r>
      <w:r w:rsidRPr="00331D81">
        <w:rPr>
          <w:rFonts w:ascii="Palatino Linotype" w:hAnsi="Palatino Linotype"/>
        </w:rPr>
        <w:lastRenderedPageBreak/>
        <w:t>providing recognisable figures of mystery, clothing them in typifying guises.</w:t>
      </w:r>
      <w:r w:rsidR="008B14B4" w:rsidRPr="00331D81">
        <w:rPr>
          <w:rFonts w:ascii="Palatino Linotype" w:hAnsi="Palatino Linotype"/>
        </w:rPr>
        <w:t xml:space="preserve"> Jenny Bourne Taylor</w:t>
      </w:r>
      <w:r w:rsidR="008B14B4" w:rsidRPr="00331D81">
        <w:rPr>
          <w:rStyle w:val="FootnoteReference"/>
          <w:rFonts w:ascii="Palatino Linotype" w:hAnsi="Palatino Linotype"/>
        </w:rPr>
        <w:footnoteReference w:id="6"/>
      </w:r>
      <w:r w:rsidR="008B14B4" w:rsidRPr="00331D81">
        <w:rPr>
          <w:rFonts w:ascii="Palatino Linotype" w:hAnsi="Palatino Linotype"/>
        </w:rPr>
        <w:t xml:space="preserve"> contends that:</w:t>
      </w:r>
    </w:p>
    <w:p w:rsidR="00173896" w:rsidRPr="00331D81" w:rsidRDefault="008B14B4" w:rsidP="00331D81">
      <w:pPr>
        <w:spacing w:after="120"/>
        <w:ind w:left="720"/>
        <w:rPr>
          <w:rFonts w:ascii="Palatino Linotype" w:hAnsi="Palatino Linotype"/>
          <w:sz w:val="20"/>
          <w:szCs w:val="20"/>
        </w:rPr>
      </w:pPr>
      <w:r w:rsidRPr="00331D81">
        <w:rPr>
          <w:rFonts w:ascii="Palatino Linotype" w:hAnsi="Palatino Linotype"/>
        </w:rPr>
        <w:t xml:space="preserve">       </w:t>
      </w:r>
      <w:r w:rsidRPr="00331D81">
        <w:rPr>
          <w:rFonts w:ascii="Palatino Linotype" w:hAnsi="Palatino Linotype"/>
          <w:sz w:val="20"/>
          <w:szCs w:val="20"/>
        </w:rPr>
        <w:t xml:space="preserve">Sensation fiction certainly shared a common pool of narrative tropes, but these were not stable, they    drew on and broke down distinct methods of generating strangeness within familiarity, of creating the sense of a weird and different world within the ordinary, everyday one….And it was through these intricate interactions that its appeal to sensation, to “nerves,” had both such psychological resonance and social complexity, providing it with the means that enabled it to explore “those most mysterious of mysteries, the mysteries that are at our own doors” by bringing into play the possibilities offered by its central narrative feature – </w:t>
      </w:r>
      <w:r w:rsidRPr="00331D81">
        <w:rPr>
          <w:rFonts w:ascii="Palatino Linotype" w:hAnsi="Palatino Linotype"/>
          <w:i/>
          <w:sz w:val="20"/>
          <w:szCs w:val="20"/>
        </w:rPr>
        <w:t>secrecy</w:t>
      </w:r>
      <w:r w:rsidRPr="00331D81">
        <w:rPr>
          <w:rFonts w:ascii="Palatino Linotype" w:hAnsi="Palatino Linotype"/>
          <w:sz w:val="20"/>
          <w:szCs w:val="20"/>
        </w:rPr>
        <w:t xml:space="preserve"> and </w:t>
      </w:r>
      <w:r w:rsidRPr="00331D81">
        <w:rPr>
          <w:rFonts w:ascii="Palatino Linotype" w:hAnsi="Palatino Linotype"/>
          <w:i/>
          <w:sz w:val="20"/>
          <w:szCs w:val="20"/>
        </w:rPr>
        <w:t xml:space="preserve">disguise </w:t>
      </w:r>
      <w:r w:rsidRPr="00331D81">
        <w:rPr>
          <w:rFonts w:ascii="Palatino Linotype" w:hAnsi="Palatino Linotype"/>
          <w:sz w:val="20"/>
          <w:szCs w:val="20"/>
        </w:rPr>
        <w:t>(7)</w:t>
      </w:r>
      <w:r w:rsidR="00173896" w:rsidRPr="00331D81">
        <w:rPr>
          <w:rFonts w:ascii="Palatino Linotype" w:hAnsi="Palatino Linotype"/>
          <w:sz w:val="20"/>
          <w:szCs w:val="20"/>
        </w:rPr>
        <w:t>’</w:t>
      </w:r>
      <w:r w:rsidR="00173896" w:rsidRPr="00331D81">
        <w:rPr>
          <w:rFonts w:ascii="Palatino Linotype" w:hAnsi="Palatino Linotype"/>
        </w:rPr>
        <w:t xml:space="preserve"> (Griffin, p. 67)</w:t>
      </w:r>
    </w:p>
    <w:p w:rsidR="00CB2F55" w:rsidRPr="00331D81" w:rsidRDefault="008B14B4" w:rsidP="00331D81">
      <w:pPr>
        <w:spacing w:after="120"/>
        <w:rPr>
          <w:rFonts w:ascii="Palatino Linotype" w:hAnsi="Palatino Linotype"/>
        </w:rPr>
      </w:pPr>
      <w:r w:rsidRPr="00331D81">
        <w:rPr>
          <w:rFonts w:ascii="Palatino Linotype" w:hAnsi="Palatino Linotype"/>
        </w:rPr>
        <w:t xml:space="preserve">…     Known and unknown, </w:t>
      </w:r>
      <w:proofErr w:type="spellStart"/>
      <w:r w:rsidRPr="00331D81">
        <w:rPr>
          <w:rFonts w:ascii="Palatino Linotype" w:hAnsi="Palatino Linotype"/>
          <w:i/>
        </w:rPr>
        <w:t>heimlich</w:t>
      </w:r>
      <w:proofErr w:type="spellEnd"/>
      <w:r w:rsidRPr="00331D81">
        <w:rPr>
          <w:rFonts w:ascii="Palatino Linotype" w:hAnsi="Palatino Linotype"/>
        </w:rPr>
        <w:t xml:space="preserve"> and </w:t>
      </w:r>
      <w:r w:rsidRPr="00331D81">
        <w:rPr>
          <w:rFonts w:ascii="Palatino Linotype" w:hAnsi="Palatino Linotype"/>
          <w:i/>
        </w:rPr>
        <w:t>unheimlich</w:t>
      </w:r>
      <w:r w:rsidRPr="00331D81">
        <w:rPr>
          <w:rFonts w:ascii="Palatino Linotype" w:hAnsi="Palatino Linotype"/>
        </w:rPr>
        <w:t xml:space="preserve">. </w:t>
      </w:r>
      <w:r w:rsidR="00173896" w:rsidRPr="00331D81">
        <w:rPr>
          <w:rFonts w:ascii="Palatino Linotype" w:hAnsi="Palatino Linotype"/>
        </w:rPr>
        <w:t xml:space="preserve"> </w:t>
      </w:r>
      <w:r w:rsidR="009A19BF" w:rsidRPr="00331D81">
        <w:rPr>
          <w:rFonts w:ascii="Palatino Linotype" w:hAnsi="Palatino Linotype"/>
        </w:rPr>
        <w:t>Understanding the nature of anti</w:t>
      </w:r>
      <w:r w:rsidRPr="00331D81">
        <w:rPr>
          <w:rFonts w:ascii="Palatino Linotype" w:hAnsi="Palatino Linotype"/>
        </w:rPr>
        <w:t xml:space="preserve">-Catholic rhetoric allows us to recognise how this productive tension is both central to sensationalism’s marketing success and generative of the epistemological uncertainty that </w:t>
      </w:r>
      <w:proofErr w:type="spellStart"/>
      <w:r w:rsidRPr="00331D81">
        <w:rPr>
          <w:rFonts w:ascii="Palatino Linotype" w:hAnsi="Palatino Linotype"/>
        </w:rPr>
        <w:t>Brantlinger</w:t>
      </w:r>
      <w:proofErr w:type="spellEnd"/>
      <w:r w:rsidRPr="00331D81">
        <w:rPr>
          <w:rFonts w:ascii="Palatino Linotype" w:hAnsi="Palatino Linotype"/>
        </w:rPr>
        <w:t xml:space="preserve">, among others, sees as foundational to the genre. For modern, nineteenth-century Protestants in Britain and America, the Catholic Church was positioned as the uncanny. The teleology of Protestant history meant that “Romanism” was the primitivism that Protestantism left behind. But, maddeningly, the Church of Rome refused to be bypassed, refused to die. </w:t>
      </w:r>
      <w:r w:rsidR="00CB2F55" w:rsidRPr="00331D81">
        <w:rPr>
          <w:rFonts w:ascii="Palatino Linotype" w:hAnsi="Palatino Linotype"/>
        </w:rPr>
        <w:t>…What makes this (failed) story of religious progress particularly problematic is the fact that Protestantism</w:t>
      </w:r>
      <w:r w:rsidR="00173896" w:rsidRPr="00331D81">
        <w:rPr>
          <w:rFonts w:ascii="Palatino Linotype" w:hAnsi="Palatino Linotype"/>
        </w:rPr>
        <w:t xml:space="preserve"> </w:t>
      </w:r>
      <w:r w:rsidR="00CB2F55" w:rsidRPr="00331D81">
        <w:rPr>
          <w:rFonts w:ascii="Palatino Linotype" w:hAnsi="Palatino Linotype"/>
        </w:rPr>
        <w:t xml:space="preserve"> needs to be able to trace its authority and authenticity back to Catholicism. This imperfectly repressed scene of origination makes Romanists what Catherine Sinclair, in her virulently anti-Catholic novel of 1852, </w:t>
      </w:r>
      <w:r w:rsidR="00CB2F55" w:rsidRPr="00331D81">
        <w:rPr>
          <w:rFonts w:ascii="Palatino Linotype" w:hAnsi="Palatino Linotype"/>
          <w:i/>
        </w:rPr>
        <w:t>Beatrice</w:t>
      </w:r>
      <w:r w:rsidR="00CB2F55" w:rsidRPr="00331D81">
        <w:rPr>
          <w:rFonts w:ascii="Palatino Linotype" w:hAnsi="Palatino Linotype"/>
        </w:rPr>
        <w:t>, calls “the unknown relative”.</w:t>
      </w:r>
    </w:p>
    <w:p w:rsidR="00173896" w:rsidRPr="00331D81" w:rsidRDefault="00CB2F55" w:rsidP="00331D81">
      <w:pPr>
        <w:spacing w:after="120"/>
        <w:rPr>
          <w:rFonts w:ascii="Palatino Linotype" w:hAnsi="Palatino Linotype"/>
        </w:rPr>
      </w:pPr>
      <w:r w:rsidRPr="00331D81">
        <w:rPr>
          <w:rFonts w:ascii="Palatino Linotype" w:hAnsi="Palatino Linotype"/>
        </w:rPr>
        <w:t xml:space="preserve">    </w:t>
      </w:r>
      <w:proofErr w:type="spellStart"/>
      <w:r w:rsidRPr="00331D81">
        <w:rPr>
          <w:rFonts w:ascii="Palatino Linotype" w:hAnsi="Palatino Linotype"/>
        </w:rPr>
        <w:t>Winifed</w:t>
      </w:r>
      <w:proofErr w:type="spellEnd"/>
      <w:r w:rsidRPr="00331D81">
        <w:rPr>
          <w:rFonts w:ascii="Palatino Linotype" w:hAnsi="Palatino Linotype"/>
        </w:rPr>
        <w:t xml:space="preserve"> Hughes’s comment on the role of masks in sensation fiction is suggestive here: “In sensation fiction masks are rarely stripped off to reveal an inner truth, for the mask is both the transformed expression of the ‘true’ self and the means of disclosing its incoherence. In the process identity emerges as a set of elements that are actively constructed within a dominant framework of social interests, perceptions, and values. These novels thus focused on the ambiguity of social and psychological co</w:t>
      </w:r>
      <w:r w:rsidR="0039225D" w:rsidRPr="00331D81">
        <w:rPr>
          <w:rFonts w:ascii="Palatino Linotype" w:hAnsi="Palatino Linotype"/>
        </w:rPr>
        <w:t>des to insinuate [the recognition</w:t>
      </w:r>
      <w:r w:rsidRPr="00331D81">
        <w:rPr>
          <w:rFonts w:ascii="Palatino Linotype" w:hAnsi="Palatino Linotype"/>
        </w:rPr>
        <w:t>] that seeming, too, is not always what it seems to be.”’(Griffin, pp. 67-8)</w:t>
      </w:r>
      <w:r w:rsidR="00173896" w:rsidRPr="00331D81">
        <w:rPr>
          <w:rFonts w:ascii="Palatino Linotype" w:hAnsi="Palatino Linotype"/>
        </w:rPr>
        <w:t xml:space="preserve">   </w:t>
      </w:r>
    </w:p>
    <w:p w:rsidR="003B1477" w:rsidRPr="00331D81" w:rsidRDefault="003B1477" w:rsidP="00331D81">
      <w:pPr>
        <w:spacing w:after="120"/>
        <w:rPr>
          <w:rFonts w:ascii="Palatino Linotype" w:hAnsi="Palatino Linotype"/>
        </w:rPr>
      </w:pPr>
    </w:p>
    <w:sectPr w:rsidR="003B1477" w:rsidRPr="00331D81" w:rsidSect="00331D81">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836" w:rsidRDefault="00632836" w:rsidP="00A234FB">
      <w:pPr>
        <w:spacing w:after="0" w:line="240" w:lineRule="auto"/>
      </w:pPr>
      <w:r>
        <w:separator/>
      </w:r>
    </w:p>
  </w:endnote>
  <w:endnote w:type="continuationSeparator" w:id="0">
    <w:p w:rsidR="00632836" w:rsidRDefault="00632836" w:rsidP="00A23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836" w:rsidRDefault="00632836" w:rsidP="00A234FB">
      <w:pPr>
        <w:spacing w:after="0" w:line="240" w:lineRule="auto"/>
      </w:pPr>
      <w:r>
        <w:separator/>
      </w:r>
    </w:p>
  </w:footnote>
  <w:footnote w:type="continuationSeparator" w:id="0">
    <w:p w:rsidR="00632836" w:rsidRDefault="00632836" w:rsidP="00A234FB">
      <w:pPr>
        <w:spacing w:after="0" w:line="240" w:lineRule="auto"/>
      </w:pPr>
      <w:r>
        <w:continuationSeparator/>
      </w:r>
    </w:p>
  </w:footnote>
  <w:footnote w:id="1">
    <w:p w:rsidR="00FC7323" w:rsidRPr="00FB7A26" w:rsidRDefault="00FC7323">
      <w:pPr>
        <w:pStyle w:val="FootnoteText"/>
        <w:rPr>
          <w:rFonts w:ascii="Garamond" w:hAnsi="Garamond"/>
        </w:rPr>
      </w:pPr>
      <w:r w:rsidRPr="00FB7A26">
        <w:rPr>
          <w:rStyle w:val="FootnoteReference"/>
          <w:rFonts w:ascii="Garamond" w:hAnsi="Garamond"/>
        </w:rPr>
        <w:footnoteRef/>
      </w:r>
      <w:r w:rsidRPr="00FB7A26">
        <w:rPr>
          <w:rFonts w:ascii="Garamond" w:hAnsi="Garamond"/>
        </w:rPr>
        <w:t xml:space="preserve"> The word may be used in the sense of ‘of a suspect nature; not to be trusted’ as well as ‘prone to suspicion’; </w:t>
      </w:r>
      <w:proofErr w:type="spellStart"/>
      <w:r w:rsidRPr="00FB7A26">
        <w:rPr>
          <w:rFonts w:ascii="Garamond" w:hAnsi="Garamond"/>
        </w:rPr>
        <w:t>Fosco’s</w:t>
      </w:r>
      <w:proofErr w:type="spellEnd"/>
      <w:r w:rsidRPr="00FB7A26">
        <w:rPr>
          <w:rFonts w:ascii="Garamond" w:hAnsi="Garamond"/>
        </w:rPr>
        <w:t xml:space="preserve"> words could be taken in either or both senses here.</w:t>
      </w:r>
    </w:p>
  </w:footnote>
  <w:footnote w:id="2">
    <w:p w:rsidR="00A234FB" w:rsidRPr="00FB7A26" w:rsidRDefault="00A234FB">
      <w:pPr>
        <w:pStyle w:val="FootnoteText"/>
        <w:rPr>
          <w:rFonts w:ascii="Garamond" w:hAnsi="Garamond"/>
        </w:rPr>
      </w:pPr>
      <w:r w:rsidRPr="00FB7A26">
        <w:rPr>
          <w:rStyle w:val="FootnoteReference"/>
          <w:rFonts w:ascii="Garamond" w:hAnsi="Garamond"/>
        </w:rPr>
        <w:footnoteRef/>
      </w:r>
      <w:r w:rsidRPr="00FB7A26">
        <w:rPr>
          <w:rFonts w:ascii="Garamond" w:hAnsi="Garamond"/>
        </w:rPr>
        <w:t xml:space="preserve"> ‘A class of literature has grown up around us, usurping in many respects, intentionally or unintentionally, a portion of the preacher’s office, playing no inconsiderable part in moulding the minds and forming the habits and tastes of its generation; and doing so principally, we had almost said exclusively, by “preaching to the nerves”’ [instead of to the judgement]. John Murray, ‘Sensation Novels’, </w:t>
      </w:r>
      <w:r w:rsidRPr="00FB7A26">
        <w:rPr>
          <w:rFonts w:ascii="Garamond" w:hAnsi="Garamond"/>
          <w:i/>
        </w:rPr>
        <w:t>Quarterly Review</w:t>
      </w:r>
      <w:r w:rsidRPr="00FB7A26">
        <w:rPr>
          <w:rFonts w:ascii="Garamond" w:hAnsi="Garamond"/>
        </w:rPr>
        <w:t xml:space="preserve"> 113 (1863), 252-68; p. 252.</w:t>
      </w:r>
    </w:p>
  </w:footnote>
  <w:footnote w:id="3">
    <w:p w:rsidR="00AE5B99" w:rsidRPr="00FB7A26" w:rsidRDefault="00AE5B99">
      <w:pPr>
        <w:pStyle w:val="FootnoteText"/>
        <w:rPr>
          <w:rFonts w:ascii="Garamond" w:hAnsi="Garamond"/>
        </w:rPr>
      </w:pPr>
      <w:r w:rsidRPr="00FB7A26">
        <w:rPr>
          <w:rStyle w:val="FootnoteReference"/>
          <w:rFonts w:ascii="Garamond" w:hAnsi="Garamond"/>
        </w:rPr>
        <w:footnoteRef/>
      </w:r>
      <w:r w:rsidR="0032628F" w:rsidRPr="00FB7A26">
        <w:rPr>
          <w:rFonts w:ascii="Garamond" w:hAnsi="Garamond"/>
        </w:rPr>
        <w:t xml:space="preserve"> [Another</w:t>
      </w:r>
      <w:r w:rsidR="00681B77" w:rsidRPr="00FB7A26">
        <w:rPr>
          <w:rFonts w:ascii="Garamond" w:hAnsi="Garamond"/>
        </w:rPr>
        <w:t xml:space="preserve"> </w:t>
      </w:r>
      <w:r w:rsidRPr="00FB7A26">
        <w:rPr>
          <w:rFonts w:ascii="Garamond" w:hAnsi="Garamond"/>
        </w:rPr>
        <w:t>document-based narrative</w:t>
      </w:r>
      <w:r w:rsidR="00681B77" w:rsidRPr="00FB7A26">
        <w:rPr>
          <w:rFonts w:ascii="Garamond" w:hAnsi="Garamond"/>
        </w:rPr>
        <w:t xml:space="preserve"> dating from 1862-3</w:t>
      </w:r>
      <w:r w:rsidR="0032628F" w:rsidRPr="00FB7A26">
        <w:rPr>
          <w:rFonts w:ascii="Garamond" w:hAnsi="Garamond"/>
        </w:rPr>
        <w:t>, considered as the earliest example of a fully-realised work of detective fiction, is</w:t>
      </w:r>
      <w:r w:rsidRPr="00FB7A26">
        <w:rPr>
          <w:rFonts w:ascii="Garamond" w:hAnsi="Garamond"/>
        </w:rPr>
        <w:t xml:space="preserve"> Charles Felix’s </w:t>
      </w:r>
      <w:r w:rsidRPr="00FB7A26">
        <w:rPr>
          <w:rFonts w:ascii="Garamond" w:hAnsi="Garamond"/>
          <w:i/>
        </w:rPr>
        <w:t>The Notting Hill Mystery</w:t>
      </w:r>
      <w:r w:rsidR="0032628F" w:rsidRPr="00FB7A26">
        <w:rPr>
          <w:rFonts w:ascii="Garamond" w:hAnsi="Garamond"/>
        </w:rPr>
        <w:t>; it is also</w:t>
      </w:r>
      <w:r w:rsidR="00C93D03" w:rsidRPr="00FB7A26">
        <w:rPr>
          <w:rFonts w:ascii="Garamond" w:hAnsi="Garamond"/>
        </w:rPr>
        <w:t xml:space="preserve"> another text which involves</w:t>
      </w:r>
      <w:r w:rsidRPr="00FB7A26">
        <w:rPr>
          <w:rFonts w:ascii="Garamond" w:hAnsi="Garamond"/>
        </w:rPr>
        <w:t xml:space="preserve"> mesmerism as a core element of the plot]</w:t>
      </w:r>
    </w:p>
  </w:footnote>
  <w:footnote w:id="4">
    <w:p w:rsidR="00173896" w:rsidRPr="00FB7A26" w:rsidRDefault="00173896">
      <w:pPr>
        <w:pStyle w:val="FootnoteText"/>
        <w:rPr>
          <w:rFonts w:ascii="Garamond" w:hAnsi="Garamond"/>
        </w:rPr>
      </w:pPr>
      <w:r w:rsidRPr="00FB7A26">
        <w:rPr>
          <w:rStyle w:val="FootnoteReference"/>
          <w:rFonts w:ascii="Garamond" w:hAnsi="Garamond"/>
        </w:rPr>
        <w:footnoteRef/>
      </w:r>
      <w:r w:rsidRPr="00FB7A26">
        <w:rPr>
          <w:rFonts w:ascii="Garamond" w:hAnsi="Garamond"/>
        </w:rPr>
        <w:t xml:space="preserve"> </w:t>
      </w:r>
      <w:r w:rsidRPr="00FB7A26">
        <w:rPr>
          <w:rFonts w:ascii="Garamond" w:hAnsi="Garamond"/>
          <w:i/>
        </w:rPr>
        <w:t>Sensation Novels</w:t>
      </w:r>
      <w:r w:rsidRPr="00FB7A26">
        <w:rPr>
          <w:rFonts w:ascii="Garamond" w:hAnsi="Garamond"/>
        </w:rPr>
        <w:t xml:space="preserve"> (1863), p.255.</w:t>
      </w:r>
    </w:p>
  </w:footnote>
  <w:footnote w:id="5">
    <w:p w:rsidR="00173896" w:rsidRPr="00FB7A26" w:rsidRDefault="00173896">
      <w:pPr>
        <w:pStyle w:val="FootnoteText"/>
        <w:rPr>
          <w:rFonts w:ascii="Garamond" w:hAnsi="Garamond"/>
        </w:rPr>
      </w:pPr>
      <w:r w:rsidRPr="00FB7A26">
        <w:rPr>
          <w:rStyle w:val="FootnoteReference"/>
          <w:rFonts w:ascii="Garamond" w:hAnsi="Garamond"/>
        </w:rPr>
        <w:footnoteRef/>
      </w:r>
      <w:r w:rsidRPr="00FB7A26">
        <w:rPr>
          <w:rFonts w:ascii="Garamond" w:hAnsi="Garamond"/>
        </w:rPr>
        <w:t xml:space="preserve"> Patrick </w:t>
      </w:r>
      <w:proofErr w:type="spellStart"/>
      <w:r w:rsidRPr="00FB7A26">
        <w:rPr>
          <w:rFonts w:ascii="Garamond" w:hAnsi="Garamond"/>
        </w:rPr>
        <w:t>Brantlinger</w:t>
      </w:r>
      <w:proofErr w:type="spellEnd"/>
      <w:r w:rsidRPr="00FB7A26">
        <w:rPr>
          <w:rFonts w:ascii="Garamond" w:hAnsi="Garamond"/>
        </w:rPr>
        <w:t xml:space="preserve">, ‘What is “Sensational” about the “Sensational Novel”?’, </w:t>
      </w:r>
      <w:r w:rsidRPr="00FB7A26">
        <w:rPr>
          <w:rFonts w:ascii="Garamond" w:hAnsi="Garamond"/>
          <w:i/>
        </w:rPr>
        <w:t>Nineteenth-Century Fiction</w:t>
      </w:r>
      <w:r w:rsidRPr="00FB7A26">
        <w:rPr>
          <w:rFonts w:ascii="Garamond" w:hAnsi="Garamond"/>
        </w:rPr>
        <w:t>, 37 (1982), 1-28.</w:t>
      </w:r>
    </w:p>
  </w:footnote>
  <w:footnote w:id="6">
    <w:p w:rsidR="008B14B4" w:rsidRPr="00FB7A26" w:rsidRDefault="008B14B4">
      <w:pPr>
        <w:pStyle w:val="FootnoteText"/>
        <w:rPr>
          <w:rFonts w:ascii="Garamond" w:hAnsi="Garamond"/>
        </w:rPr>
      </w:pPr>
      <w:r w:rsidRPr="00FB7A26">
        <w:rPr>
          <w:rStyle w:val="FootnoteReference"/>
          <w:rFonts w:ascii="Garamond" w:hAnsi="Garamond"/>
        </w:rPr>
        <w:footnoteRef/>
      </w:r>
      <w:r w:rsidRPr="00FB7A26">
        <w:rPr>
          <w:rFonts w:ascii="Garamond" w:hAnsi="Garamond"/>
        </w:rPr>
        <w:t xml:space="preserve"> Taylor, </w:t>
      </w:r>
      <w:r w:rsidRPr="00FB7A26">
        <w:rPr>
          <w:rFonts w:ascii="Garamond" w:hAnsi="Garamond"/>
          <w:i/>
        </w:rPr>
        <w:t xml:space="preserve">In the Secret </w:t>
      </w:r>
      <w:proofErr w:type="spellStart"/>
      <w:r w:rsidRPr="00FB7A26">
        <w:rPr>
          <w:rFonts w:ascii="Garamond" w:hAnsi="Garamond"/>
          <w:i/>
        </w:rPr>
        <w:t>Theater</w:t>
      </w:r>
      <w:proofErr w:type="spellEnd"/>
      <w:r w:rsidRPr="00FB7A26">
        <w:rPr>
          <w:rFonts w:ascii="Garamond" w:hAnsi="Garamond"/>
          <w:i/>
        </w:rPr>
        <w:t xml:space="preserve"> of the Home</w:t>
      </w:r>
      <w:r w:rsidRPr="00FB7A26">
        <w:rPr>
          <w:rFonts w:ascii="Garamond" w:hAnsi="Garamond"/>
        </w:rPr>
        <w:t xml:space="preserve"> (New York: Routledge, 1998), p. 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971"/>
    <w:rsid w:val="00011927"/>
    <w:rsid w:val="00040F16"/>
    <w:rsid w:val="00094CF0"/>
    <w:rsid w:val="000E7EB6"/>
    <w:rsid w:val="00173896"/>
    <w:rsid w:val="00195484"/>
    <w:rsid w:val="001972AE"/>
    <w:rsid w:val="001E3880"/>
    <w:rsid w:val="002369D6"/>
    <w:rsid w:val="0030065C"/>
    <w:rsid w:val="0032628F"/>
    <w:rsid w:val="00331D81"/>
    <w:rsid w:val="00340506"/>
    <w:rsid w:val="00380235"/>
    <w:rsid w:val="0039225D"/>
    <w:rsid w:val="003975EB"/>
    <w:rsid w:val="003B1477"/>
    <w:rsid w:val="00402722"/>
    <w:rsid w:val="00426762"/>
    <w:rsid w:val="004540EB"/>
    <w:rsid w:val="004A39E0"/>
    <w:rsid w:val="004B5971"/>
    <w:rsid w:val="005F09D6"/>
    <w:rsid w:val="00632836"/>
    <w:rsid w:val="00671E37"/>
    <w:rsid w:val="00681B77"/>
    <w:rsid w:val="006A69C1"/>
    <w:rsid w:val="0080292C"/>
    <w:rsid w:val="008557B7"/>
    <w:rsid w:val="008914B6"/>
    <w:rsid w:val="008B14B4"/>
    <w:rsid w:val="009A19BF"/>
    <w:rsid w:val="00A2146A"/>
    <w:rsid w:val="00A234FB"/>
    <w:rsid w:val="00AE5B99"/>
    <w:rsid w:val="00AF1C1A"/>
    <w:rsid w:val="00BD0799"/>
    <w:rsid w:val="00C13DA9"/>
    <w:rsid w:val="00C84E7B"/>
    <w:rsid w:val="00C93D03"/>
    <w:rsid w:val="00CB2F55"/>
    <w:rsid w:val="00CE761E"/>
    <w:rsid w:val="00D108FD"/>
    <w:rsid w:val="00D449CD"/>
    <w:rsid w:val="00DD14E8"/>
    <w:rsid w:val="00E14CDB"/>
    <w:rsid w:val="00E244D1"/>
    <w:rsid w:val="00E93143"/>
    <w:rsid w:val="00EB1A47"/>
    <w:rsid w:val="00F41C11"/>
    <w:rsid w:val="00F5082B"/>
    <w:rsid w:val="00FA6701"/>
    <w:rsid w:val="00FB7A26"/>
    <w:rsid w:val="00FC7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0DD922-FF93-4A56-A6ED-C5B8EB817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234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34FB"/>
    <w:rPr>
      <w:sz w:val="20"/>
      <w:szCs w:val="20"/>
    </w:rPr>
  </w:style>
  <w:style w:type="character" w:styleId="FootnoteReference">
    <w:name w:val="footnote reference"/>
    <w:basedOn w:val="DefaultParagraphFont"/>
    <w:uiPriority w:val="99"/>
    <w:semiHidden/>
    <w:unhideWhenUsed/>
    <w:rsid w:val="00A234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128CF-CFF4-4A1D-B55E-CB080EDEA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sm034</dc:creator>
  <cp:lastModifiedBy>Jeni Williams</cp:lastModifiedBy>
  <cp:revision>2</cp:revision>
  <cp:lastPrinted>2015-04-24T12:26:00Z</cp:lastPrinted>
  <dcterms:created xsi:type="dcterms:W3CDTF">2017-04-26T23:26:00Z</dcterms:created>
  <dcterms:modified xsi:type="dcterms:W3CDTF">2017-04-26T23:26:00Z</dcterms:modified>
</cp:coreProperties>
</file>