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B38EA" w:rsidRDefault="00B0728F">
      <w:pPr>
        <w:shd w:val="clear" w:color="auto" w:fill="FFFFFF"/>
        <w:spacing w:line="360" w:lineRule="auto"/>
        <w:jc w:val="both"/>
        <w:rPr>
          <w:rFonts w:cs="Arial"/>
          <w:b/>
          <w:bCs/>
          <w:sz w:val="24"/>
          <w:szCs w:val="24"/>
        </w:rPr>
      </w:pPr>
      <w:r>
        <w:rPr>
          <w:rFonts w:cs="Arial"/>
          <w:noProof/>
          <w:sz w:val="24"/>
          <w:szCs w:val="24"/>
        </w:rPr>
        <w:drawing>
          <wp:inline distT="0" distB="0" distL="0" distR="0">
            <wp:extent cx="5274310" cy="1978544"/>
            <wp:effectExtent l="0" t="0" r="0" b="0"/>
            <wp:docPr id="1026" name="Picture 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9" cstate="print"/>
                    <a:srcRect/>
                    <a:stretch/>
                  </pic:blipFill>
                  <pic:spPr>
                    <a:xfrm>
                      <a:off x="0" y="0"/>
                      <a:ext cx="5274310" cy="1978544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B38EA" w:rsidRDefault="00FB38EA">
      <w:pPr>
        <w:shd w:val="clear" w:color="auto" w:fill="FFFFFF"/>
        <w:spacing w:line="360" w:lineRule="auto"/>
        <w:jc w:val="both"/>
        <w:rPr>
          <w:rFonts w:cs="Arial"/>
          <w:b/>
          <w:bCs/>
          <w:sz w:val="24"/>
          <w:szCs w:val="24"/>
        </w:rPr>
      </w:pPr>
    </w:p>
    <w:p w:rsidR="00FB38EA" w:rsidRDefault="00FB38EA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:rsidR="00FB38EA" w:rsidRDefault="00FB38EA">
      <w:pPr>
        <w:shd w:val="clear" w:color="auto" w:fill="FFFFFF"/>
        <w:spacing w:line="360" w:lineRule="auto"/>
        <w:jc w:val="both"/>
        <w:rPr>
          <w:rFonts w:cs="Arial"/>
          <w:b/>
          <w:bCs/>
          <w:sz w:val="24"/>
          <w:szCs w:val="24"/>
        </w:rPr>
      </w:pPr>
    </w:p>
    <w:p w:rsidR="00FB38EA" w:rsidRDefault="00FB38EA">
      <w:pPr>
        <w:shd w:val="clear" w:color="auto" w:fill="FFFFFF"/>
        <w:spacing w:line="360" w:lineRule="auto"/>
        <w:jc w:val="both"/>
        <w:rPr>
          <w:rFonts w:cs="Arial"/>
          <w:b/>
          <w:bCs/>
          <w:sz w:val="24"/>
          <w:szCs w:val="24"/>
        </w:rPr>
      </w:pPr>
    </w:p>
    <w:p w:rsidR="00FB38EA" w:rsidRDefault="00B0728F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Name: 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Meskerem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Demissie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Beyene</w:t>
      </w:r>
      <w:proofErr w:type="spellEnd"/>
    </w:p>
    <w:p w:rsidR="00FB38EA" w:rsidRDefault="00B0728F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ID: 2414543</w:t>
      </w:r>
    </w:p>
    <w:p w:rsidR="00FB38EA" w:rsidRDefault="00B0728F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 Code: BMHP502</w:t>
      </w:r>
      <w:r>
        <w:rPr>
          <w:rFonts w:ascii="Arial" w:hAnsi="Arial" w:cs="Arial"/>
          <w:b/>
          <w:bCs/>
          <w:sz w:val="24"/>
          <w:szCs w:val="24"/>
        </w:rPr>
        <w:t>1</w:t>
      </w:r>
    </w:p>
    <w:p w:rsidR="00FB38EA" w:rsidRDefault="00B0728F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Module: </w:t>
      </w:r>
      <w:r>
        <w:rPr>
          <w:rFonts w:ascii="Arial" w:hAnsi="Arial" w:cs="Arial"/>
          <w:b/>
          <w:bCs/>
          <w:sz w:val="24"/>
          <w:szCs w:val="24"/>
        </w:rPr>
        <w:t>protecting and supporting families in health and care</w:t>
      </w:r>
    </w:p>
    <w:p w:rsidR="00FB38EA" w:rsidRDefault="00B0728F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Lecturer: </w:t>
      </w:r>
      <w:r w:rsidR="00030014">
        <w:rPr>
          <w:rFonts w:ascii="Arial" w:hAnsi="Arial" w:cs="Arial"/>
          <w:b/>
          <w:bCs/>
          <w:sz w:val="24"/>
          <w:szCs w:val="24"/>
        </w:rPr>
        <w:t>Amanda Jones</w:t>
      </w:r>
    </w:p>
    <w:p w:rsidR="00FB38EA" w:rsidRDefault="00FB38EA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:rsidR="00FB38EA" w:rsidRDefault="00FB38EA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:rsidR="00FB38EA" w:rsidRDefault="00FB38EA">
      <w:pPr>
        <w:shd w:val="clear" w:color="auto" w:fill="FFFFFF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:rsidR="00FB38EA" w:rsidRDefault="00FB38EA">
      <w:pPr>
        <w:spacing w:before="120" w:after="120" w:line="360" w:lineRule="auto"/>
        <w:jc w:val="both"/>
        <w:rPr>
          <w:rFonts w:ascii="Arial" w:hAnsi="Arial" w:cs="Arial"/>
        </w:rPr>
      </w:pPr>
    </w:p>
    <w:p w:rsidR="00030014" w:rsidRDefault="00030014">
      <w:pPr>
        <w:spacing w:before="120" w:after="120" w:line="360" w:lineRule="auto"/>
        <w:jc w:val="both"/>
        <w:rPr>
          <w:rFonts w:ascii="Arial" w:hAnsi="Arial" w:cs="Arial"/>
        </w:rPr>
      </w:pPr>
    </w:p>
    <w:p w:rsidR="00030014" w:rsidRDefault="00030014">
      <w:pPr>
        <w:spacing w:before="120" w:after="120" w:line="360" w:lineRule="auto"/>
        <w:jc w:val="both"/>
        <w:rPr>
          <w:rFonts w:ascii="Arial" w:hAnsi="Arial" w:cs="Arial"/>
        </w:rPr>
      </w:pPr>
    </w:p>
    <w:p w:rsidR="00030014" w:rsidRDefault="00030014">
      <w:pPr>
        <w:spacing w:before="120" w:after="120" w:line="360" w:lineRule="auto"/>
        <w:jc w:val="both"/>
        <w:rPr>
          <w:rFonts w:ascii="Arial" w:hAnsi="Arial" w:cs="Arial"/>
        </w:rPr>
      </w:pPr>
    </w:p>
    <w:p w:rsidR="00FB38EA" w:rsidRPr="00030014" w:rsidRDefault="00030014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</w:t>
      </w:r>
      <w:r w:rsidRPr="00030014">
        <w:rPr>
          <w:rFonts w:ascii="Arial" w:hAnsi="Arial" w:cs="Arial"/>
          <w:b/>
          <w:sz w:val="24"/>
          <w:szCs w:val="24"/>
        </w:rPr>
        <w:t xml:space="preserve">School Safeguarding </w:t>
      </w:r>
      <w:r w:rsidR="00B0728F" w:rsidRPr="00030014">
        <w:rPr>
          <w:rFonts w:ascii="Arial" w:hAnsi="Arial" w:cs="Arial"/>
          <w:b/>
          <w:sz w:val="24"/>
          <w:szCs w:val="24"/>
        </w:rPr>
        <w:t>Reference</w:t>
      </w:r>
      <w:r w:rsidRPr="00030014">
        <w:rPr>
          <w:rFonts w:ascii="Arial" w:hAnsi="Arial" w:cs="Arial"/>
          <w:b/>
          <w:sz w:val="24"/>
          <w:szCs w:val="24"/>
        </w:rPr>
        <w:t>s</w:t>
      </w:r>
      <w:r w:rsidR="00B0728F" w:rsidRPr="00030014">
        <w:rPr>
          <w:rFonts w:ascii="Arial" w:hAnsi="Arial" w:cs="Arial"/>
          <w:b/>
          <w:sz w:val="24"/>
          <w:szCs w:val="24"/>
        </w:rPr>
        <w:t xml:space="preserve"> 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Brandon, M., </w:t>
      </w:r>
      <w:proofErr w:type="spellStart"/>
      <w:r>
        <w:rPr>
          <w:rFonts w:ascii="Arial" w:hAnsi="Arial" w:cs="Arial"/>
          <w:sz w:val="24"/>
          <w:szCs w:val="24"/>
        </w:rPr>
        <w:t>Sidebotham</w:t>
      </w:r>
      <w:proofErr w:type="spellEnd"/>
      <w:r>
        <w:rPr>
          <w:rFonts w:ascii="Arial" w:hAnsi="Arial" w:cs="Arial"/>
          <w:sz w:val="24"/>
          <w:szCs w:val="24"/>
        </w:rPr>
        <w:t xml:space="preserve">, P., Bailey, S., </w:t>
      </w:r>
      <w:proofErr w:type="spellStart"/>
      <w:r>
        <w:rPr>
          <w:rFonts w:ascii="Arial" w:hAnsi="Arial" w:cs="Arial"/>
          <w:sz w:val="24"/>
          <w:szCs w:val="24"/>
        </w:rPr>
        <w:t>Belderson</w:t>
      </w:r>
      <w:proofErr w:type="spellEnd"/>
      <w:r>
        <w:rPr>
          <w:rFonts w:ascii="Arial" w:hAnsi="Arial" w:cs="Arial"/>
          <w:sz w:val="24"/>
          <w:szCs w:val="24"/>
        </w:rPr>
        <w:t xml:space="preserve">, P., Hawley, C., Ellis, C. and </w:t>
      </w:r>
      <w:proofErr w:type="spellStart"/>
      <w:r>
        <w:rPr>
          <w:rFonts w:ascii="Arial" w:hAnsi="Arial" w:cs="Arial"/>
          <w:sz w:val="24"/>
          <w:szCs w:val="24"/>
        </w:rPr>
        <w:t>Megson</w:t>
      </w:r>
      <w:proofErr w:type="spellEnd"/>
      <w:r>
        <w:rPr>
          <w:rFonts w:ascii="Arial" w:hAnsi="Arial" w:cs="Arial"/>
          <w:sz w:val="24"/>
          <w:szCs w:val="24"/>
        </w:rPr>
        <w:t>, M. (2020) Complexity and challenge: A triennial analysis of serious case reviews 2014–2017. London: Department for Education.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Buchanan, A. (2011) Child protection: Research, policy and practice. London: Palgrave Macmillan.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Carr, J. (2015) Child onl</w:t>
      </w:r>
      <w:r>
        <w:rPr>
          <w:rFonts w:ascii="Arial" w:hAnsi="Arial" w:cs="Arial"/>
          <w:sz w:val="24"/>
          <w:szCs w:val="24"/>
        </w:rPr>
        <w:t xml:space="preserve">ine safety: A guide for teachers and schools. London: </w:t>
      </w:r>
      <w:proofErr w:type="spellStart"/>
      <w:r>
        <w:rPr>
          <w:rFonts w:ascii="Arial" w:hAnsi="Arial" w:cs="Arial"/>
          <w:sz w:val="24"/>
          <w:szCs w:val="24"/>
        </w:rPr>
        <w:t>Routledge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Cocker, C. and </w:t>
      </w:r>
      <w:proofErr w:type="spellStart"/>
      <w:r>
        <w:rPr>
          <w:rFonts w:ascii="Arial" w:hAnsi="Arial" w:cs="Arial"/>
          <w:sz w:val="24"/>
          <w:szCs w:val="24"/>
        </w:rPr>
        <w:t>Allain</w:t>
      </w:r>
      <w:proofErr w:type="spellEnd"/>
      <w:r>
        <w:rPr>
          <w:rFonts w:ascii="Arial" w:hAnsi="Arial" w:cs="Arial"/>
          <w:sz w:val="24"/>
          <w:szCs w:val="24"/>
        </w:rPr>
        <w:t>, L. (2014) Social work with looked after children. London: Sage Publications.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Daniels, H., Porter, J. and Cole, T. (2019) Learning and child development: Safeguarding is</w:t>
      </w:r>
      <w:r>
        <w:rPr>
          <w:rFonts w:ascii="Arial" w:hAnsi="Arial" w:cs="Arial"/>
          <w:sz w:val="24"/>
          <w:szCs w:val="24"/>
        </w:rPr>
        <w:t>sues in education.</w:t>
      </w:r>
      <w:proofErr w:type="gramEnd"/>
      <w:r>
        <w:rPr>
          <w:rFonts w:ascii="Arial" w:hAnsi="Arial" w:cs="Arial"/>
          <w:sz w:val="24"/>
          <w:szCs w:val="24"/>
        </w:rPr>
        <w:t xml:space="preserve"> London: </w:t>
      </w:r>
      <w:proofErr w:type="spellStart"/>
      <w:r>
        <w:rPr>
          <w:rFonts w:ascii="Arial" w:hAnsi="Arial" w:cs="Arial"/>
          <w:sz w:val="24"/>
          <w:szCs w:val="24"/>
        </w:rPr>
        <w:t>Routledge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Department for Education (2018) Working together to safeguard children.</w:t>
      </w:r>
      <w:proofErr w:type="gramEnd"/>
      <w:r>
        <w:rPr>
          <w:rFonts w:ascii="Arial" w:hAnsi="Arial" w:cs="Arial"/>
          <w:sz w:val="24"/>
          <w:szCs w:val="24"/>
        </w:rPr>
        <w:t xml:space="preserve"> London: HMSO.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Department for Education (2023) Keeping children safe in education: Statutory guidance for schools and colleges. London: HMSO.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Edwar</w:t>
      </w:r>
      <w:r>
        <w:rPr>
          <w:rFonts w:ascii="Arial" w:hAnsi="Arial" w:cs="Arial"/>
          <w:sz w:val="24"/>
          <w:szCs w:val="24"/>
        </w:rPr>
        <w:t>ds, A. (2017) Working relationally in and across practices: A cultural-historical approach to collaboration.</w:t>
      </w:r>
      <w:proofErr w:type="gramEnd"/>
      <w:r>
        <w:rPr>
          <w:rFonts w:ascii="Arial" w:hAnsi="Arial" w:cs="Arial"/>
          <w:sz w:val="24"/>
          <w:szCs w:val="24"/>
        </w:rPr>
        <w:t xml:space="preserve"> Cambridge: Cambridge University Press.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Firmin</w:t>
      </w:r>
      <w:proofErr w:type="spellEnd"/>
      <w:r>
        <w:rPr>
          <w:rFonts w:ascii="Arial" w:hAnsi="Arial" w:cs="Arial"/>
          <w:sz w:val="24"/>
          <w:szCs w:val="24"/>
        </w:rPr>
        <w:t xml:space="preserve">, C. (2020) Contextual safeguarding and child protection: Rewriting the rules. London: </w:t>
      </w:r>
      <w:proofErr w:type="spellStart"/>
      <w:r>
        <w:rPr>
          <w:rFonts w:ascii="Arial" w:hAnsi="Arial" w:cs="Arial"/>
          <w:sz w:val="24"/>
          <w:szCs w:val="24"/>
        </w:rPr>
        <w:t>Routledge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>Munro, E. (2011) The Munro review of child protection: Final report – A child-</w:t>
      </w:r>
      <w:proofErr w:type="spellStart"/>
      <w:r>
        <w:rPr>
          <w:rFonts w:ascii="Arial" w:hAnsi="Arial" w:cs="Arial"/>
          <w:sz w:val="24"/>
          <w:szCs w:val="24"/>
        </w:rPr>
        <w:t>centred</w:t>
      </w:r>
      <w:proofErr w:type="spellEnd"/>
      <w:r>
        <w:rPr>
          <w:rFonts w:ascii="Arial" w:hAnsi="Arial" w:cs="Arial"/>
          <w:sz w:val="24"/>
          <w:szCs w:val="24"/>
        </w:rPr>
        <w:t xml:space="preserve"> system. London: Department for Education.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Parton, N. (2014) </w:t>
      </w:r>
      <w:proofErr w:type="gramStart"/>
      <w:r>
        <w:rPr>
          <w:rFonts w:ascii="Arial" w:hAnsi="Arial" w:cs="Arial"/>
          <w:sz w:val="24"/>
          <w:szCs w:val="24"/>
        </w:rPr>
        <w:t>The</w:t>
      </w:r>
      <w:proofErr w:type="gramEnd"/>
      <w:r>
        <w:rPr>
          <w:rFonts w:ascii="Arial" w:hAnsi="Arial" w:cs="Arial"/>
          <w:sz w:val="24"/>
          <w:szCs w:val="24"/>
        </w:rPr>
        <w:t xml:space="preserve"> politics of child</w:t>
      </w:r>
      <w:r>
        <w:rPr>
          <w:rFonts w:ascii="Arial" w:hAnsi="Arial" w:cs="Arial"/>
          <w:sz w:val="24"/>
          <w:szCs w:val="24"/>
        </w:rPr>
        <w:t xml:space="preserve"> protection: Contemporary developments and future directions. London: Palgrave Macmillan.</w:t>
      </w:r>
    </w:p>
    <w:p w:rsidR="00FB38EA" w:rsidRDefault="00B0728F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Taylor, J. and </w:t>
      </w:r>
      <w:proofErr w:type="spellStart"/>
      <w:r>
        <w:rPr>
          <w:rFonts w:ascii="Arial" w:hAnsi="Arial" w:cs="Arial"/>
          <w:sz w:val="24"/>
          <w:szCs w:val="24"/>
        </w:rPr>
        <w:t>Tait</w:t>
      </w:r>
      <w:proofErr w:type="spellEnd"/>
      <w:r>
        <w:rPr>
          <w:rFonts w:ascii="Arial" w:hAnsi="Arial" w:cs="Arial"/>
          <w:sz w:val="24"/>
          <w:szCs w:val="24"/>
        </w:rPr>
        <w:t>, M. (2018) Safeguarding children and young people: A guide for nurses and midwives.</w:t>
      </w:r>
      <w:proofErr w:type="gramEnd"/>
      <w:r>
        <w:rPr>
          <w:rFonts w:ascii="Arial" w:hAnsi="Arial" w:cs="Arial"/>
          <w:sz w:val="24"/>
          <w:szCs w:val="24"/>
        </w:rPr>
        <w:t xml:space="preserve"> London: </w:t>
      </w:r>
      <w:proofErr w:type="spellStart"/>
      <w:r>
        <w:rPr>
          <w:rFonts w:ascii="Arial" w:hAnsi="Arial" w:cs="Arial"/>
          <w:sz w:val="24"/>
          <w:szCs w:val="24"/>
        </w:rPr>
        <w:t>Routledge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FB38EA" w:rsidRDefault="00FB38EA">
      <w:pPr>
        <w:spacing w:before="120" w:after="120" w:line="360" w:lineRule="auto"/>
        <w:jc w:val="both"/>
        <w:rPr>
          <w:rFonts w:ascii="Arial" w:hAnsi="Arial" w:cs="Arial"/>
          <w:sz w:val="24"/>
          <w:szCs w:val="24"/>
        </w:rPr>
      </w:pPr>
    </w:p>
    <w:sectPr w:rsidR="00FB38EA">
      <w:footerReference w:type="default" r:id="rId10"/>
      <w:pgSz w:w="12240" w:h="15840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0728F" w:rsidRDefault="00B0728F">
      <w:pPr>
        <w:spacing w:after="0" w:line="240" w:lineRule="auto"/>
      </w:pPr>
      <w:r>
        <w:separator/>
      </w:r>
    </w:p>
  </w:endnote>
  <w:endnote w:type="continuationSeparator" w:id="0">
    <w:p w:rsidR="00B0728F" w:rsidRDefault="00B072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38EA" w:rsidRDefault="00B0728F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57215F">
      <w:rPr>
        <w:noProof/>
      </w:rPr>
      <w:t>2</w:t>
    </w:r>
    <w:r>
      <w:rPr>
        <w:noProof/>
      </w:rPr>
      <w:fldChar w:fldCharType="end"/>
    </w:r>
  </w:p>
  <w:p w:rsidR="00FB38EA" w:rsidRDefault="00FB38EA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0728F" w:rsidRDefault="00B0728F">
      <w:pPr>
        <w:spacing w:after="0" w:line="240" w:lineRule="auto"/>
      </w:pPr>
      <w:r>
        <w:separator/>
      </w:r>
    </w:p>
  </w:footnote>
  <w:footnote w:type="continuationSeparator" w:id="0">
    <w:p w:rsidR="00B0728F" w:rsidRDefault="00B072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tmpl w:val="31CCDD1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0000001"/>
    <w:multiLevelType w:val="hybridMultilevel"/>
    <w:tmpl w:val="69F090B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38EA"/>
    <w:rsid w:val="00030014"/>
    <w:rsid w:val="0057215F"/>
    <w:rsid w:val="00A2662C"/>
    <w:rsid w:val="00B0728F"/>
    <w:rsid w:val="00E053C1"/>
    <w:rsid w:val="00FB3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SimSun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ascii="Cambria" w:eastAsia="SimSun" w:hAnsi="Cambria"/>
      <w:b/>
      <w:bCs/>
      <w:color w:val="365F9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="Cambria" w:eastAsia="SimSun" w:hAnsi="Cambria" w:cs="SimSun"/>
      <w:b/>
      <w:bCs/>
      <w:color w:val="365F91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qFormat/>
    <w:pPr>
      <w:spacing w:line="240" w:lineRule="auto"/>
    </w:pPr>
    <w:rPr>
      <w:b/>
      <w:bCs/>
      <w:color w:val="4F81BD"/>
      <w:sz w:val="18"/>
      <w:szCs w:val="18"/>
    </w:rPr>
  </w:style>
  <w:style w:type="paragraph" w:styleId="NormalWeb">
    <w:name w:val="Normal (Web)"/>
    <w:basedOn w:val="Normal"/>
    <w:uiPriority w:val="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qFormat/>
    <w:pPr>
      <w:outlineLvl w:val="9"/>
    </w:pPr>
    <w:rPr>
      <w:lang w:eastAsia="ja-JP"/>
    </w:rPr>
  </w:style>
  <w:style w:type="paragraph" w:styleId="TOC1">
    <w:name w:val="toc 1"/>
    <w:basedOn w:val="Normal"/>
    <w:next w:val="Normal"/>
    <w:uiPriority w:val="39"/>
    <w:pPr>
      <w:spacing w:after="100"/>
    </w:pPr>
  </w:style>
  <w:style w:type="character" w:styleId="Hyperlink">
    <w:name w:val="Hyperlink"/>
    <w:basedOn w:val="DefaultParagraphFont"/>
    <w:uiPriority w:val="9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FollowedHyperlink">
    <w:name w:val="FollowedHyperlink"/>
    <w:basedOn w:val="DefaultParagraphFont"/>
    <w:uiPriority w:val="99"/>
    <w:rPr>
      <w:color w:val="800080"/>
      <w:u w:val="single"/>
    </w:rPr>
  </w:style>
  <w:style w:type="character" w:customStyle="1" w:styleId="muibox-root">
    <w:name w:val="muibox-root"/>
    <w:basedOn w:val="DefaultParagraphFont"/>
  </w:style>
  <w:style w:type="character" w:customStyle="1" w:styleId="extn-css-10o52y0">
    <w:name w:val="extn-css-10o52y0"/>
    <w:basedOn w:val="DefaultParagraphFont"/>
  </w:style>
  <w:style w:type="character" w:customStyle="1" w:styleId="extn-css-h5d7i9">
    <w:name w:val="extn-css-h5d7i9"/>
    <w:basedOn w:val="DefaultParagraphFont"/>
  </w:style>
  <w:style w:type="character" w:customStyle="1" w:styleId="extn-css-lq4jk2">
    <w:name w:val="extn-css-lq4jk2"/>
    <w:basedOn w:val="DefaultParagraphFont"/>
  </w:style>
  <w:style w:type="character" w:customStyle="1" w:styleId="extn-css-0">
    <w:name w:val="extn-css-0"/>
    <w:basedOn w:val="DefaultParagraphFont"/>
  </w:style>
  <w:style w:type="character" w:customStyle="1" w:styleId="extn-css-1tmeul0">
    <w:name w:val="extn-css-1tmeul0"/>
    <w:basedOn w:val="DefaultParagraphFont"/>
  </w:style>
  <w:style w:type="character" w:customStyle="1" w:styleId="extn-css-1g9q2al">
    <w:name w:val="extn-css-1g9q2al"/>
    <w:basedOn w:val="DefaultParagraphFont"/>
  </w:style>
  <w:style w:type="character" w:customStyle="1" w:styleId="output-sentence">
    <w:name w:val="output-sentence"/>
    <w:basedOn w:val="DefaultParagraphFont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SimSun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ascii="Cambria" w:eastAsia="SimSun" w:hAnsi="Cambria"/>
      <w:b/>
      <w:bCs/>
      <w:color w:val="365F9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="Cambria" w:eastAsia="SimSun" w:hAnsi="Cambria" w:cs="SimSun"/>
      <w:b/>
      <w:bCs/>
      <w:color w:val="365F91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qFormat/>
    <w:pPr>
      <w:spacing w:line="240" w:lineRule="auto"/>
    </w:pPr>
    <w:rPr>
      <w:b/>
      <w:bCs/>
      <w:color w:val="4F81BD"/>
      <w:sz w:val="18"/>
      <w:szCs w:val="18"/>
    </w:rPr>
  </w:style>
  <w:style w:type="paragraph" w:styleId="NormalWeb">
    <w:name w:val="Normal (Web)"/>
    <w:basedOn w:val="Normal"/>
    <w:uiPriority w:val="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qFormat/>
    <w:pPr>
      <w:outlineLvl w:val="9"/>
    </w:pPr>
    <w:rPr>
      <w:lang w:eastAsia="ja-JP"/>
    </w:rPr>
  </w:style>
  <w:style w:type="paragraph" w:styleId="TOC1">
    <w:name w:val="toc 1"/>
    <w:basedOn w:val="Normal"/>
    <w:next w:val="Normal"/>
    <w:uiPriority w:val="39"/>
    <w:pPr>
      <w:spacing w:after="100"/>
    </w:pPr>
  </w:style>
  <w:style w:type="character" w:styleId="Hyperlink">
    <w:name w:val="Hyperlink"/>
    <w:basedOn w:val="DefaultParagraphFont"/>
    <w:uiPriority w:val="9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FollowedHyperlink">
    <w:name w:val="FollowedHyperlink"/>
    <w:basedOn w:val="DefaultParagraphFont"/>
    <w:uiPriority w:val="99"/>
    <w:rPr>
      <w:color w:val="800080"/>
      <w:u w:val="single"/>
    </w:rPr>
  </w:style>
  <w:style w:type="character" w:customStyle="1" w:styleId="muibox-root">
    <w:name w:val="muibox-root"/>
    <w:basedOn w:val="DefaultParagraphFont"/>
  </w:style>
  <w:style w:type="character" w:customStyle="1" w:styleId="extn-css-10o52y0">
    <w:name w:val="extn-css-10o52y0"/>
    <w:basedOn w:val="DefaultParagraphFont"/>
  </w:style>
  <w:style w:type="character" w:customStyle="1" w:styleId="extn-css-h5d7i9">
    <w:name w:val="extn-css-h5d7i9"/>
    <w:basedOn w:val="DefaultParagraphFont"/>
  </w:style>
  <w:style w:type="character" w:customStyle="1" w:styleId="extn-css-lq4jk2">
    <w:name w:val="extn-css-lq4jk2"/>
    <w:basedOn w:val="DefaultParagraphFont"/>
  </w:style>
  <w:style w:type="character" w:customStyle="1" w:styleId="extn-css-0">
    <w:name w:val="extn-css-0"/>
    <w:basedOn w:val="DefaultParagraphFont"/>
  </w:style>
  <w:style w:type="character" w:customStyle="1" w:styleId="extn-css-1tmeul0">
    <w:name w:val="extn-css-1tmeul0"/>
    <w:basedOn w:val="DefaultParagraphFont"/>
  </w:style>
  <w:style w:type="character" w:customStyle="1" w:styleId="extn-css-1g9q2al">
    <w:name w:val="extn-css-1g9q2al"/>
    <w:basedOn w:val="DefaultParagraphFont"/>
  </w:style>
  <w:style w:type="character" w:customStyle="1" w:styleId="output-sentence">
    <w:name w:val="output-sentence"/>
    <w:basedOn w:val="DefaultParagraphFont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7FEDDD-0CC5-4083-AE60-2B1735AB36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252</Words>
  <Characters>1437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1686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Four</cp:lastModifiedBy>
  <cp:revision>3</cp:revision>
  <dcterms:created xsi:type="dcterms:W3CDTF">2026-03-20T11:18:00Z</dcterms:created>
  <dcterms:modified xsi:type="dcterms:W3CDTF">2026-03-20T11:25:00Z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fd061b97773d4170b2b2145194b1fa8f</vt:lpwstr>
  </property>
</Properties>
</file>