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5BD245A" w:rsidR="005E6C44" w:rsidRPr="004C3A0B" w:rsidRDefault="00F6470F" w:rsidP="00A91894">
            <w:pPr>
              <w:rPr>
                <w:rFonts w:ascii="Arial" w:hAnsi="Arial" w:cs="Arial"/>
                <w:sz w:val="22"/>
                <w:szCs w:val="22"/>
              </w:rPr>
            </w:pPr>
            <w:r>
              <w:rPr>
                <w:rFonts w:ascii="Arial" w:hAnsi="Arial" w:cs="Arial"/>
                <w:sz w:val="22"/>
                <w:szCs w:val="22"/>
              </w:rPr>
              <w:t xml:space="preserve">Andrea – Gabriela Caba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01E1A7" w:rsidR="005E6C44" w:rsidRDefault="00F6470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B9DB837" w:rsidR="005E6C44" w:rsidRDefault="00F6470F" w:rsidP="00A91894">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19A4AB2" w:rsidR="005E6C44" w:rsidRPr="004C3A0B" w:rsidRDefault="00F6470F" w:rsidP="00A91894">
            <w:pPr>
              <w:rPr>
                <w:rFonts w:ascii="Arial" w:hAnsi="Arial" w:cs="Arial"/>
                <w:sz w:val="22"/>
                <w:szCs w:val="22"/>
              </w:rPr>
            </w:pPr>
            <w:r>
              <w:rPr>
                <w:rFonts w:ascii="Arial" w:hAnsi="Arial" w:cs="Arial"/>
                <w:sz w:val="22"/>
                <w:szCs w:val="22"/>
              </w:rPr>
              <w:t xml:space="preserve">Quay Place, Birmingham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E5F7837" w:rsidR="005E6C44" w:rsidRPr="004C3A0B" w:rsidRDefault="00F6470F" w:rsidP="00A91894">
            <w:pPr>
              <w:rPr>
                <w:rFonts w:ascii="Arial" w:hAnsi="Arial" w:cs="Arial"/>
                <w:sz w:val="22"/>
                <w:szCs w:val="22"/>
              </w:rPr>
            </w:pPr>
            <w:r>
              <w:rPr>
                <w:rFonts w:ascii="Arial" w:hAnsi="Arial" w:cs="Arial"/>
                <w:sz w:val="22"/>
                <w:szCs w:val="22"/>
              </w:rPr>
              <w:t>2122564@student.uwtsd.ac.uk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AABDFE" w:rsidR="005E6C44" w:rsidRPr="004C3A0B" w:rsidRDefault="00F6470F" w:rsidP="00A91894">
            <w:pPr>
              <w:rPr>
                <w:rFonts w:ascii="Arial" w:hAnsi="Arial" w:cs="Arial"/>
                <w:sz w:val="22"/>
                <w:szCs w:val="22"/>
              </w:rPr>
            </w:pPr>
            <w:r>
              <w:rPr>
                <w:rFonts w:ascii="Arial" w:hAnsi="Arial" w:cs="Arial"/>
                <w:sz w:val="22"/>
                <w:szCs w:val="22"/>
              </w:rPr>
              <w:t>07495908482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63AF8D4" w:rsidR="005E6C44" w:rsidRPr="004C3A0B" w:rsidRDefault="00F6470F" w:rsidP="00A91894">
            <w:pPr>
              <w:rPr>
                <w:rFonts w:ascii="Arial" w:hAnsi="Arial" w:cs="Arial"/>
                <w:sz w:val="22"/>
                <w:szCs w:val="22"/>
              </w:rPr>
            </w:pPr>
            <w:r>
              <w:rPr>
                <w:rFonts w:ascii="Arial" w:hAnsi="Arial" w:cs="Arial"/>
                <w:sz w:val="22"/>
                <w:szCs w:val="22"/>
              </w:rPr>
              <w:t>2122564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4491EE1" w:rsidR="005E6C44" w:rsidRPr="004C3A0B" w:rsidRDefault="00F6470F" w:rsidP="00A91894">
            <w:pPr>
              <w:rPr>
                <w:rFonts w:ascii="Arial" w:hAnsi="Arial" w:cs="Arial"/>
                <w:sz w:val="22"/>
                <w:szCs w:val="22"/>
              </w:rPr>
            </w:pPr>
            <w:r>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7596AF" w:rsidR="005E6C44" w:rsidRPr="00065801" w:rsidRDefault="00F647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7364786" w:rsidR="003F6F7B" w:rsidRPr="002B55BF" w:rsidRDefault="00F64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B63050B" w:rsidR="003F6F7B" w:rsidRPr="004C3A0B" w:rsidRDefault="00F6470F" w:rsidP="00A91894">
            <w:pPr>
              <w:autoSpaceDE w:val="0"/>
              <w:autoSpaceDN w:val="0"/>
              <w:adjustRightInd w:val="0"/>
              <w:jc w:val="center"/>
              <w:rPr>
                <w:rFonts w:ascii="Arial" w:hAnsi="Arial" w:cs="Arial"/>
                <w:b/>
                <w:bCs/>
                <w:sz w:val="22"/>
                <w:szCs w:val="22"/>
              </w:rPr>
            </w:pPr>
            <w:r>
              <w:rPr>
                <w:rFonts w:ascii="Arial" w:hAnsi="Arial" w:cs="Arial"/>
                <w:b/>
                <w:bCs/>
                <w:sz w:val="22"/>
                <w:szCs w:val="22"/>
              </w:rPr>
              <w:t>Dissertation Module leader</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E6687F" w:rsidR="005E6C44" w:rsidRPr="002B55BF" w:rsidRDefault="00F64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F9EEBA" w:rsidR="005E6C44" w:rsidRPr="002B55BF" w:rsidRDefault="00F647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25D9C79" w:rsidR="00807192" w:rsidRPr="004C3A0B"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9C50043" w:rsidR="00807192" w:rsidRPr="003257BD"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0919CB5" w:rsidR="00807192" w:rsidRPr="003257BD" w:rsidRDefault="005F15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12CBE91C" w:rsidR="004C3D85" w:rsidRPr="004C3A0B"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734282" w:rsidR="004C3D85" w:rsidRPr="004C3A0B" w:rsidRDefault="00F6470F" w:rsidP="00A91894">
            <w:pPr>
              <w:rPr>
                <w:rFonts w:ascii="Arial" w:hAnsi="Arial" w:cs="Arial"/>
                <w:sz w:val="22"/>
                <w:szCs w:val="22"/>
              </w:rPr>
            </w:pPr>
            <w:r>
              <w:t>The Impact of Artificial Intelligence on Operational Efficiency and Risk Management in the Banking Sector: A Comprehensive Study of Back-Office Transformation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688DAB" w:rsidR="004C3D85" w:rsidRPr="00D839CD" w:rsidRDefault="00F6470F" w:rsidP="00A91894">
            <w:pPr>
              <w:rPr>
                <w:rFonts w:ascii="Arial" w:hAnsi="Arial" w:cs="Arial"/>
                <w:sz w:val="22"/>
                <w:szCs w:val="22"/>
              </w:rPr>
            </w:pPr>
            <w:r>
              <w:t>01/08/2025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2ED974" w:rsidR="004C3D85" w:rsidRPr="004C3A0B" w:rsidRDefault="00F6470F" w:rsidP="00A91894">
            <w:pPr>
              <w:rPr>
                <w:rFonts w:ascii="Arial" w:hAnsi="Arial" w:cs="Arial"/>
                <w:sz w:val="22"/>
                <w:szCs w:val="22"/>
              </w:rPr>
            </w:pPr>
            <w:r>
              <w:t>31/12/2025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0636A228"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r w:rsidR="00F6470F">
              <w:rPr>
                <w:rFonts w:ascii="Arial" w:hAnsi="Arial" w:cs="Arial"/>
                <w:i/>
              </w:rPr>
              <w:t xml:space="preserve">: </w:t>
            </w:r>
          </w:p>
          <w:p w14:paraId="51A7B78C" w14:textId="1CD42074" w:rsidR="00F96C3F" w:rsidRPr="006C1FDD" w:rsidRDefault="00F96C3F" w:rsidP="00F6470F">
            <w:pPr>
              <w:rPr>
                <w:rFonts w:ascii="Arial" w:hAnsi="Arial" w:cs="Arial"/>
                <w:i/>
              </w:rPr>
            </w:pPr>
            <w:r w:rsidRPr="006C1FDD">
              <w:rPr>
                <w:rFonts w:ascii="Arial" w:hAnsi="Arial" w:cs="Arial"/>
                <w:i/>
              </w:rPr>
              <w:t>Proposed Research Question</w:t>
            </w:r>
            <w:r w:rsidR="00F6470F">
              <w:rPr>
                <w:rFonts w:ascii="Arial" w:hAnsi="Arial" w:cs="Arial"/>
                <w:i/>
              </w:rPr>
              <w:t xml:space="preserve">: </w:t>
            </w:r>
          </w:p>
          <w:p w14:paraId="2A394C41" w14:textId="307CE586" w:rsidR="00F96C3F" w:rsidRPr="009D2E0B" w:rsidRDefault="00F96C3F" w:rsidP="00F6470F">
            <w:pPr>
              <w:rPr>
                <w:rFonts w:ascii="Arial" w:hAnsi="Arial" w:cs="Arial"/>
                <w:i/>
              </w:rPr>
            </w:pPr>
            <w:r w:rsidRPr="009D2E0B">
              <w:rPr>
                <w:rFonts w:ascii="Arial" w:hAnsi="Arial" w:cs="Arial"/>
                <w:i/>
              </w:rPr>
              <w:t>Aims of Research Activity</w:t>
            </w:r>
            <w:r w:rsidR="00F6470F">
              <w:rPr>
                <w:rFonts w:ascii="Arial" w:hAnsi="Arial" w:cs="Arial"/>
                <w:i/>
              </w:rPr>
              <w:t xml:space="preserve">: </w:t>
            </w:r>
          </w:p>
          <w:p w14:paraId="2AED7A83" w14:textId="28D4B1AD" w:rsidR="00F6470F" w:rsidRDefault="00F96C3F" w:rsidP="00F6470F">
            <w:r w:rsidRPr="009D2E0B">
              <w:rPr>
                <w:rFonts w:ascii="Arial" w:hAnsi="Arial" w:cs="Arial"/>
                <w:i/>
              </w:rPr>
              <w:t>Objectives of Research Activity</w:t>
            </w:r>
            <w:r w:rsidR="00F6470F">
              <w:rPr>
                <w:rFonts w:ascii="Arial" w:hAnsi="Arial" w:cs="Arial"/>
                <w:i/>
              </w:rPr>
              <w:t xml:space="preserve">: </w:t>
            </w:r>
          </w:p>
          <w:p w14:paraId="732F1DA5" w14:textId="7381C0C3" w:rsidR="00F96C3F" w:rsidRPr="009D2E0B" w:rsidRDefault="00F96C3F" w:rsidP="00A91894">
            <w:pPr>
              <w:pStyle w:val="ListParagraph"/>
              <w:numPr>
                <w:ilvl w:val="0"/>
                <w:numId w:val="26"/>
              </w:numPr>
              <w:spacing w:after="240"/>
              <w:ind w:left="0" w:hanging="357"/>
              <w:contextualSpacing w:val="0"/>
              <w:rPr>
                <w:rFonts w:ascii="Arial" w:hAnsi="Arial" w:cs="Arial"/>
                <w:i/>
              </w:rPr>
            </w:pP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8F77D9E" w:rsidR="00F96C3F" w:rsidRDefault="00F6470F" w:rsidP="00A91894">
            <w:pPr>
              <w:rPr>
                <w:rFonts w:ascii="Arial" w:hAnsi="Arial" w:cs="Arial"/>
              </w:rPr>
            </w:pPr>
            <w:r>
              <w:t>This research aims to explore how Artificial Intelligence (AI) is transforming operational efficiency and risk management in banking back-office functions. It will examine AI technologies like Robotic Process Automation (RPA), Machine Learning, and Generative AI, assessing their impact on efficiency metrics, compliance accuracy, and operational resilience. The study seeks to bridge the knowledge gap between technological benefits and organisational challenges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0EDB745" w14:textId="77777777" w:rsidR="00F6470F" w:rsidRDefault="00F6470F" w:rsidP="00F6470F">
            <w:r>
              <w:t>How does the integration of Artificial Intelligence technologies in banking operational functions impact efficiency, risk management, and workforce transformation?</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27E1C26" w14:textId="77777777" w:rsidR="00F6470F" w:rsidRDefault="00F6470F" w:rsidP="00F6470F">
            <w:r>
              <w:t>To investigate AI's transformative impact on banking back-office operations and risk management, and evaluate strategic benefits, challenges, and future implications of AI integration in the banking sector.</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2FAE038" w14:textId="77777777" w:rsidR="00F6470F" w:rsidRDefault="00F6470F" w:rsidP="00F6470F">
            <w:r>
              <w:br/>
              <w:t>1. Identify AI technologies used in banking operations.</w:t>
            </w:r>
            <w:r>
              <w:br/>
              <w:t>2. Measure AI's impact on operational efficiency metrics.</w:t>
            </w:r>
            <w:r>
              <w:br/>
              <w:t>3. Assess AI's role in enhancing risk management processes.</w:t>
            </w:r>
            <w:r>
              <w:br/>
              <w:t>4. Explore challenges in AI adoption (e.g., regulatory, ethical, workforce-related).</w:t>
            </w:r>
            <w:r>
              <w:br/>
              <w:t>5. Develop strategic recommendations for effective AI adoption.</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22A5F540" w:rsidR="00F96C3F" w:rsidRDefault="004C2B20" w:rsidP="00A91894">
            <w:pPr>
              <w:rPr>
                <w:rFonts w:ascii="Arial" w:hAnsi="Arial" w:cs="Arial"/>
                <w:sz w:val="22"/>
                <w:szCs w:val="22"/>
              </w:rPr>
            </w:pPr>
            <w:r w:rsidRPr="004C2B20">
              <w:rPr>
                <w:rFonts w:ascii="Arial" w:hAnsi="Arial" w:cs="Arial"/>
                <w:sz w:val="22"/>
                <w:szCs w:val="22"/>
              </w:rPr>
              <w:t xml:space="preserve">Research </w:t>
            </w:r>
            <w:r w:rsidR="005F1515">
              <w:rPr>
                <w:rFonts w:ascii="Arial" w:hAnsi="Arial" w:cs="Arial"/>
                <w:sz w:val="22"/>
                <w:szCs w:val="22"/>
              </w:rPr>
              <w:t>approach</w:t>
            </w:r>
            <w:r w:rsidRPr="004C2B20">
              <w:rPr>
                <w:rFonts w:ascii="Arial" w:hAnsi="Arial" w:cs="Arial"/>
                <w:sz w:val="22"/>
                <w:szCs w:val="22"/>
              </w:rPr>
              <w:t>: A mixed-methods approach will be employed, combining quantitative surveys and qualitative case studies to provide a comprehensive understanding of AI's impact on banking operations. Quantitative Component: A structured survey will be disseminated among operational managers, IT heads, and risk officers within selected banking institutions. The survey will collect data on KPIs such as processing time reductions, cost savings, error rates, fraud detection improvements, and workforce adaptation strategies pre- and post-AI implementation.</w:t>
            </w:r>
          </w:p>
          <w:p w14:paraId="47718479" w14:textId="77777777" w:rsidR="005F1515" w:rsidRDefault="005F1515" w:rsidP="00A91894">
            <w:pPr>
              <w:rPr>
                <w:rFonts w:ascii="Arial" w:hAnsi="Arial" w:cs="Arial"/>
                <w:sz w:val="22"/>
                <w:szCs w:val="22"/>
              </w:rPr>
            </w:pPr>
          </w:p>
          <w:p w14:paraId="2D597060" w14:textId="77777777" w:rsidR="005F1515" w:rsidRPr="005F1515" w:rsidRDefault="005F1515" w:rsidP="005F1515">
            <w:pPr>
              <w:rPr>
                <w:rFonts w:ascii="Arial" w:hAnsi="Arial" w:cs="Arial"/>
                <w:b/>
                <w:bCs/>
                <w:sz w:val="22"/>
                <w:szCs w:val="22"/>
                <w:lang w:val="en-US"/>
              </w:rPr>
            </w:pPr>
            <w:r w:rsidRPr="005F1515">
              <w:rPr>
                <w:rFonts w:ascii="Arial" w:hAnsi="Arial" w:cs="Arial"/>
                <w:sz w:val="22"/>
                <w:szCs w:val="22"/>
                <w:lang w:val="en-US"/>
              </w:rPr>
              <w:t>Thematic Analysis </w:t>
            </w:r>
          </w:p>
          <w:tbl>
            <w:tblPr>
              <w:tblW w:w="0" w:type="auto"/>
              <w:tblLayout w:type="fixed"/>
              <w:tblLook w:val="04A0" w:firstRow="1" w:lastRow="0" w:firstColumn="1" w:lastColumn="0" w:noHBand="0" w:noVBand="1"/>
            </w:tblPr>
            <w:tblGrid>
              <w:gridCol w:w="1755"/>
              <w:gridCol w:w="2691"/>
              <w:gridCol w:w="2513"/>
              <w:gridCol w:w="2391"/>
            </w:tblGrid>
            <w:tr w:rsidR="005F1515" w:rsidRPr="005F1515" w14:paraId="0BF5895B" w14:textId="77777777">
              <w:tc>
                <w:tcPr>
                  <w:tcW w:w="1755" w:type="dxa"/>
                  <w:tcBorders>
                    <w:top w:val="single" w:sz="4" w:space="0" w:color="000000"/>
                    <w:left w:val="single" w:sz="4" w:space="0" w:color="000000"/>
                    <w:bottom w:val="single" w:sz="4" w:space="0" w:color="000000"/>
                    <w:right w:val="single" w:sz="4" w:space="0" w:color="000000"/>
                  </w:tcBorders>
                  <w:hideMark/>
                </w:tcPr>
                <w:p w14:paraId="5B38D6D5"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Phase</w:t>
                  </w:r>
                </w:p>
              </w:tc>
              <w:tc>
                <w:tcPr>
                  <w:tcW w:w="2691" w:type="dxa"/>
                  <w:tcBorders>
                    <w:top w:val="single" w:sz="4" w:space="0" w:color="000000"/>
                    <w:left w:val="single" w:sz="4" w:space="0" w:color="000000"/>
                    <w:bottom w:val="single" w:sz="4" w:space="0" w:color="000000"/>
                    <w:right w:val="single" w:sz="4" w:space="0" w:color="000000"/>
                  </w:tcBorders>
                  <w:hideMark/>
                </w:tcPr>
                <w:p w14:paraId="2E969FEB"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Description</w:t>
                  </w:r>
                </w:p>
              </w:tc>
              <w:tc>
                <w:tcPr>
                  <w:tcW w:w="2513" w:type="dxa"/>
                  <w:tcBorders>
                    <w:top w:val="single" w:sz="4" w:space="0" w:color="000000"/>
                    <w:left w:val="single" w:sz="4" w:space="0" w:color="000000"/>
                    <w:bottom w:val="single" w:sz="4" w:space="0" w:color="000000"/>
                    <w:right w:val="single" w:sz="4" w:space="0" w:color="000000"/>
                  </w:tcBorders>
                  <w:hideMark/>
                </w:tcPr>
                <w:p w14:paraId="6381BB7B"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Purpose</w:t>
                  </w:r>
                </w:p>
              </w:tc>
              <w:tc>
                <w:tcPr>
                  <w:tcW w:w="2391" w:type="dxa"/>
                  <w:tcBorders>
                    <w:top w:val="single" w:sz="4" w:space="0" w:color="000000"/>
                    <w:left w:val="single" w:sz="4" w:space="0" w:color="000000"/>
                    <w:bottom w:val="single" w:sz="4" w:space="0" w:color="000000"/>
                    <w:right w:val="single" w:sz="4" w:space="0" w:color="000000"/>
                  </w:tcBorders>
                  <w:hideMark/>
                </w:tcPr>
                <w:p w14:paraId="030257F8"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Tools / Notes</w:t>
                  </w:r>
                </w:p>
              </w:tc>
            </w:tr>
            <w:tr w:rsidR="005F1515" w:rsidRPr="005F1515" w14:paraId="0D9E93E1" w14:textId="77777777">
              <w:tc>
                <w:tcPr>
                  <w:tcW w:w="1755" w:type="dxa"/>
                  <w:tcBorders>
                    <w:top w:val="single" w:sz="4" w:space="0" w:color="000000"/>
                    <w:left w:val="single" w:sz="4" w:space="0" w:color="000000"/>
                    <w:bottom w:val="single" w:sz="4" w:space="0" w:color="000000"/>
                    <w:right w:val="single" w:sz="4" w:space="0" w:color="000000"/>
                  </w:tcBorders>
                  <w:hideMark/>
                </w:tcPr>
                <w:p w14:paraId="65A32DBE" w14:textId="5F5AE580"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1. Familiarization</w:t>
                  </w:r>
                </w:p>
              </w:tc>
              <w:tc>
                <w:tcPr>
                  <w:tcW w:w="2691" w:type="dxa"/>
                  <w:tcBorders>
                    <w:top w:val="single" w:sz="4" w:space="0" w:color="000000"/>
                    <w:left w:val="single" w:sz="4" w:space="0" w:color="000000"/>
                    <w:bottom w:val="single" w:sz="4" w:space="0" w:color="000000"/>
                    <w:right w:val="single" w:sz="4" w:space="0" w:color="000000"/>
                  </w:tcBorders>
                  <w:hideMark/>
                </w:tcPr>
                <w:p w14:paraId="401EC002" w14:textId="0CABE126"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Immersive reading, annotating documents, and summarizing initial impressions</w:t>
                  </w:r>
                </w:p>
              </w:tc>
              <w:tc>
                <w:tcPr>
                  <w:tcW w:w="2513" w:type="dxa"/>
                  <w:tcBorders>
                    <w:top w:val="single" w:sz="4" w:space="0" w:color="000000"/>
                    <w:left w:val="single" w:sz="4" w:space="0" w:color="000000"/>
                    <w:bottom w:val="single" w:sz="4" w:space="0" w:color="000000"/>
                    <w:right w:val="single" w:sz="4" w:space="0" w:color="000000"/>
                  </w:tcBorders>
                  <w:hideMark/>
                </w:tcPr>
                <w:p w14:paraId="76B8F027"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Gain deep understanding of content and context</w:t>
                  </w:r>
                </w:p>
              </w:tc>
              <w:tc>
                <w:tcPr>
                  <w:tcW w:w="2391" w:type="dxa"/>
                  <w:tcBorders>
                    <w:top w:val="single" w:sz="4" w:space="0" w:color="000000"/>
                    <w:left w:val="single" w:sz="4" w:space="0" w:color="000000"/>
                    <w:bottom w:val="single" w:sz="4" w:space="0" w:color="000000"/>
                    <w:right w:val="single" w:sz="4" w:space="0" w:color="000000"/>
                  </w:tcBorders>
                  <w:hideMark/>
                </w:tcPr>
                <w:p w14:paraId="2FE209CC"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Manual reading; note-taking; reflexivity journaling </w:t>
                  </w:r>
                </w:p>
              </w:tc>
            </w:tr>
            <w:tr w:rsidR="005F1515" w:rsidRPr="005F1515" w14:paraId="4064D245" w14:textId="77777777">
              <w:tc>
                <w:tcPr>
                  <w:tcW w:w="1755" w:type="dxa"/>
                  <w:tcBorders>
                    <w:top w:val="single" w:sz="4" w:space="0" w:color="000000"/>
                    <w:left w:val="single" w:sz="4" w:space="0" w:color="000000"/>
                    <w:bottom w:val="single" w:sz="4" w:space="0" w:color="000000"/>
                    <w:right w:val="single" w:sz="4" w:space="0" w:color="000000"/>
                  </w:tcBorders>
                  <w:hideMark/>
                </w:tcPr>
                <w:p w14:paraId="179BDE21"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2. Initial Coding</w:t>
                  </w:r>
                </w:p>
              </w:tc>
              <w:tc>
                <w:tcPr>
                  <w:tcW w:w="2691" w:type="dxa"/>
                  <w:tcBorders>
                    <w:top w:val="single" w:sz="4" w:space="0" w:color="000000"/>
                    <w:left w:val="single" w:sz="4" w:space="0" w:color="000000"/>
                    <w:bottom w:val="single" w:sz="4" w:space="0" w:color="000000"/>
                    <w:right w:val="single" w:sz="4" w:space="0" w:color="000000"/>
                  </w:tcBorders>
                  <w:hideMark/>
                </w:tcPr>
                <w:p w14:paraId="51A56517"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Highlight relevant text segments; apply inductive and deductive codes</w:t>
                  </w:r>
                </w:p>
              </w:tc>
              <w:tc>
                <w:tcPr>
                  <w:tcW w:w="2513" w:type="dxa"/>
                  <w:tcBorders>
                    <w:top w:val="single" w:sz="4" w:space="0" w:color="000000"/>
                    <w:left w:val="single" w:sz="4" w:space="0" w:color="000000"/>
                    <w:bottom w:val="single" w:sz="4" w:space="0" w:color="000000"/>
                    <w:right w:val="single" w:sz="4" w:space="0" w:color="000000"/>
                  </w:tcBorders>
                  <w:hideMark/>
                </w:tcPr>
                <w:p w14:paraId="5123F9AC"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Break down data into manageable units linked to research questions &amp; frameworks</w:t>
                  </w:r>
                </w:p>
              </w:tc>
              <w:tc>
                <w:tcPr>
                  <w:tcW w:w="2391" w:type="dxa"/>
                  <w:tcBorders>
                    <w:top w:val="single" w:sz="4" w:space="0" w:color="000000"/>
                    <w:left w:val="single" w:sz="4" w:space="0" w:color="000000"/>
                    <w:bottom w:val="single" w:sz="4" w:space="0" w:color="000000"/>
                    <w:right w:val="single" w:sz="4" w:space="0" w:color="000000"/>
                  </w:tcBorders>
                  <w:hideMark/>
                </w:tcPr>
                <w:p w14:paraId="6C2E1EE9"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NVivo for coding; labels based on DCT and environmental scanning theory </w:t>
                  </w:r>
                </w:p>
              </w:tc>
            </w:tr>
            <w:tr w:rsidR="005F1515" w:rsidRPr="005F1515" w14:paraId="59F423A4" w14:textId="77777777">
              <w:tc>
                <w:tcPr>
                  <w:tcW w:w="1755" w:type="dxa"/>
                  <w:tcBorders>
                    <w:top w:val="single" w:sz="4" w:space="0" w:color="000000"/>
                    <w:left w:val="single" w:sz="4" w:space="0" w:color="000000"/>
                    <w:bottom w:val="single" w:sz="4" w:space="0" w:color="000000"/>
                    <w:right w:val="single" w:sz="4" w:space="0" w:color="000000"/>
                  </w:tcBorders>
                  <w:hideMark/>
                </w:tcPr>
                <w:p w14:paraId="76E38432"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3. Theme Generation</w:t>
                  </w:r>
                </w:p>
              </w:tc>
              <w:tc>
                <w:tcPr>
                  <w:tcW w:w="2691" w:type="dxa"/>
                  <w:tcBorders>
                    <w:top w:val="single" w:sz="4" w:space="0" w:color="000000"/>
                    <w:left w:val="single" w:sz="4" w:space="0" w:color="000000"/>
                    <w:bottom w:val="single" w:sz="4" w:space="0" w:color="000000"/>
                    <w:right w:val="single" w:sz="4" w:space="0" w:color="000000"/>
                  </w:tcBorders>
                  <w:hideMark/>
                </w:tcPr>
                <w:p w14:paraId="115357EB"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Group codes into preliminary themes (e.g., innovation, digital pivot, supply-chain restructuring)</w:t>
                  </w:r>
                </w:p>
              </w:tc>
              <w:tc>
                <w:tcPr>
                  <w:tcW w:w="2513" w:type="dxa"/>
                  <w:tcBorders>
                    <w:top w:val="single" w:sz="4" w:space="0" w:color="000000"/>
                    <w:left w:val="single" w:sz="4" w:space="0" w:color="000000"/>
                    <w:bottom w:val="single" w:sz="4" w:space="0" w:color="000000"/>
                    <w:right w:val="single" w:sz="4" w:space="0" w:color="000000"/>
                  </w:tcBorders>
                  <w:hideMark/>
                </w:tcPr>
                <w:p w14:paraId="45609F9F"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Begin to identify patterns and thematic structures in relation to SME strategic responses</w:t>
                  </w:r>
                </w:p>
              </w:tc>
              <w:tc>
                <w:tcPr>
                  <w:tcW w:w="2391" w:type="dxa"/>
                  <w:tcBorders>
                    <w:top w:val="single" w:sz="4" w:space="0" w:color="000000"/>
                    <w:left w:val="single" w:sz="4" w:space="0" w:color="000000"/>
                    <w:bottom w:val="single" w:sz="4" w:space="0" w:color="000000"/>
                    <w:right w:val="single" w:sz="4" w:space="0" w:color="000000"/>
                  </w:tcBorders>
                  <w:hideMark/>
                </w:tcPr>
                <w:p w14:paraId="26D87B05" w14:textId="653EFA05"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Code tree visualization in NVivo; flexible theme clustering</w:t>
                  </w:r>
                </w:p>
              </w:tc>
            </w:tr>
            <w:tr w:rsidR="005F1515" w:rsidRPr="005F1515" w14:paraId="5EB993C1" w14:textId="77777777">
              <w:tc>
                <w:tcPr>
                  <w:tcW w:w="1755" w:type="dxa"/>
                  <w:tcBorders>
                    <w:top w:val="single" w:sz="4" w:space="0" w:color="000000"/>
                    <w:left w:val="single" w:sz="4" w:space="0" w:color="000000"/>
                    <w:bottom w:val="single" w:sz="4" w:space="0" w:color="000000"/>
                    <w:right w:val="single" w:sz="4" w:space="0" w:color="000000"/>
                  </w:tcBorders>
                  <w:hideMark/>
                </w:tcPr>
                <w:p w14:paraId="06082698"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4. Reviewing Themes</w:t>
                  </w:r>
                </w:p>
              </w:tc>
              <w:tc>
                <w:tcPr>
                  <w:tcW w:w="2691" w:type="dxa"/>
                  <w:tcBorders>
                    <w:top w:val="single" w:sz="4" w:space="0" w:color="000000"/>
                    <w:left w:val="single" w:sz="4" w:space="0" w:color="000000"/>
                    <w:bottom w:val="single" w:sz="4" w:space="0" w:color="000000"/>
                    <w:right w:val="single" w:sz="4" w:space="0" w:color="000000"/>
                  </w:tcBorders>
                  <w:hideMark/>
                </w:tcPr>
                <w:p w14:paraId="01BD4ACC"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Compare candidate themes against coded data and entire dataset; refine or discard weak themes</w:t>
                  </w:r>
                </w:p>
              </w:tc>
              <w:tc>
                <w:tcPr>
                  <w:tcW w:w="2513" w:type="dxa"/>
                  <w:tcBorders>
                    <w:top w:val="single" w:sz="4" w:space="0" w:color="000000"/>
                    <w:left w:val="single" w:sz="4" w:space="0" w:color="000000"/>
                    <w:bottom w:val="single" w:sz="4" w:space="0" w:color="000000"/>
                    <w:right w:val="single" w:sz="4" w:space="0" w:color="000000"/>
                  </w:tcBorders>
                  <w:hideMark/>
                </w:tcPr>
                <w:p w14:paraId="55EB22B7"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Ensure themes are consistent, distinct, and well-supported by data</w:t>
                  </w:r>
                </w:p>
              </w:tc>
              <w:tc>
                <w:tcPr>
                  <w:tcW w:w="2391" w:type="dxa"/>
                  <w:tcBorders>
                    <w:top w:val="single" w:sz="4" w:space="0" w:color="000000"/>
                    <w:left w:val="single" w:sz="4" w:space="0" w:color="000000"/>
                    <w:bottom w:val="single" w:sz="4" w:space="0" w:color="000000"/>
                    <w:right w:val="single" w:sz="4" w:space="0" w:color="000000"/>
                  </w:tcBorders>
                  <w:hideMark/>
                </w:tcPr>
                <w:p w14:paraId="389F9F93"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Iterative cross-checking; peer validation with supervisor </w:t>
                  </w:r>
                </w:p>
              </w:tc>
            </w:tr>
            <w:tr w:rsidR="005F1515" w:rsidRPr="005F1515" w14:paraId="0C190AFD" w14:textId="77777777">
              <w:tc>
                <w:tcPr>
                  <w:tcW w:w="1755" w:type="dxa"/>
                  <w:tcBorders>
                    <w:top w:val="single" w:sz="4" w:space="0" w:color="000000"/>
                    <w:left w:val="single" w:sz="4" w:space="0" w:color="000000"/>
                    <w:bottom w:val="single" w:sz="4" w:space="0" w:color="000000"/>
                    <w:right w:val="single" w:sz="4" w:space="0" w:color="000000"/>
                  </w:tcBorders>
                  <w:hideMark/>
                </w:tcPr>
                <w:p w14:paraId="10664CA6"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5. Defining Themes</w:t>
                  </w:r>
                </w:p>
              </w:tc>
              <w:tc>
                <w:tcPr>
                  <w:tcW w:w="2691" w:type="dxa"/>
                  <w:tcBorders>
                    <w:top w:val="single" w:sz="4" w:space="0" w:color="000000"/>
                    <w:left w:val="single" w:sz="4" w:space="0" w:color="000000"/>
                    <w:bottom w:val="single" w:sz="4" w:space="0" w:color="000000"/>
                    <w:right w:val="single" w:sz="4" w:space="0" w:color="000000"/>
                  </w:tcBorders>
                  <w:hideMark/>
                </w:tcPr>
                <w:p w14:paraId="3F97479C"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Articulate clear definitions and boundaries for each theme</w:t>
                  </w:r>
                </w:p>
              </w:tc>
              <w:tc>
                <w:tcPr>
                  <w:tcW w:w="2513" w:type="dxa"/>
                  <w:tcBorders>
                    <w:top w:val="single" w:sz="4" w:space="0" w:color="000000"/>
                    <w:left w:val="single" w:sz="4" w:space="0" w:color="000000"/>
                    <w:bottom w:val="single" w:sz="4" w:space="0" w:color="000000"/>
                    <w:right w:val="single" w:sz="4" w:space="0" w:color="000000"/>
                  </w:tcBorders>
                  <w:hideMark/>
                </w:tcPr>
                <w:p w14:paraId="29A2F434"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Develop analytical clarity; distinguish between overlapping or vague categories</w:t>
                  </w:r>
                </w:p>
              </w:tc>
              <w:tc>
                <w:tcPr>
                  <w:tcW w:w="2391" w:type="dxa"/>
                  <w:tcBorders>
                    <w:top w:val="single" w:sz="4" w:space="0" w:color="000000"/>
                    <w:left w:val="single" w:sz="4" w:space="0" w:color="000000"/>
                    <w:bottom w:val="single" w:sz="4" w:space="0" w:color="000000"/>
                    <w:right w:val="single" w:sz="4" w:space="0" w:color="000000"/>
                  </w:tcBorders>
                  <w:hideMark/>
                </w:tcPr>
                <w:p w14:paraId="6B7F4222"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Reflexivity journal entries to justify interpretive choices</w:t>
                  </w:r>
                </w:p>
              </w:tc>
            </w:tr>
            <w:tr w:rsidR="005F1515" w:rsidRPr="005F1515" w14:paraId="21A29387" w14:textId="77777777">
              <w:tc>
                <w:tcPr>
                  <w:tcW w:w="1755" w:type="dxa"/>
                  <w:tcBorders>
                    <w:top w:val="single" w:sz="4" w:space="0" w:color="000000"/>
                    <w:left w:val="single" w:sz="4" w:space="0" w:color="000000"/>
                    <w:bottom w:val="single" w:sz="4" w:space="0" w:color="000000"/>
                    <w:right w:val="single" w:sz="4" w:space="0" w:color="000000"/>
                  </w:tcBorders>
                  <w:hideMark/>
                </w:tcPr>
                <w:p w14:paraId="37C75078"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6. Write-up</w:t>
                  </w:r>
                </w:p>
              </w:tc>
              <w:tc>
                <w:tcPr>
                  <w:tcW w:w="2691" w:type="dxa"/>
                  <w:tcBorders>
                    <w:top w:val="single" w:sz="4" w:space="0" w:color="000000"/>
                    <w:left w:val="single" w:sz="4" w:space="0" w:color="000000"/>
                    <w:bottom w:val="single" w:sz="4" w:space="0" w:color="000000"/>
                    <w:right w:val="single" w:sz="4" w:space="0" w:color="000000"/>
                  </w:tcBorders>
                  <w:hideMark/>
                </w:tcPr>
                <w:p w14:paraId="7466ED26"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Link themes to research questions; integrate data extracts, interpretations, and literature</w:t>
                  </w:r>
                </w:p>
              </w:tc>
              <w:tc>
                <w:tcPr>
                  <w:tcW w:w="2513" w:type="dxa"/>
                  <w:tcBorders>
                    <w:top w:val="single" w:sz="4" w:space="0" w:color="000000"/>
                    <w:left w:val="single" w:sz="4" w:space="0" w:color="000000"/>
                    <w:bottom w:val="single" w:sz="4" w:space="0" w:color="000000"/>
                    <w:right w:val="single" w:sz="4" w:space="0" w:color="000000"/>
                  </w:tcBorders>
                  <w:hideMark/>
                </w:tcPr>
                <w:p w14:paraId="2BA4B7AD" w14:textId="77777777" w:rsidR="005F1515" w:rsidRPr="005F1515" w:rsidRDefault="005F1515" w:rsidP="005F1515">
                  <w:pPr>
                    <w:rPr>
                      <w:rFonts w:ascii="Arial" w:hAnsi="Arial" w:cs="Arial"/>
                      <w:sz w:val="22"/>
                      <w:szCs w:val="22"/>
                      <w:lang w:val="en-US"/>
                    </w:rPr>
                  </w:pPr>
                  <w:proofErr w:type="spellStart"/>
                  <w:r w:rsidRPr="005F1515">
                    <w:rPr>
                      <w:rFonts w:ascii="Arial" w:hAnsi="Arial" w:cs="Arial"/>
                      <w:sz w:val="22"/>
                      <w:szCs w:val="22"/>
                      <w:lang w:val="en-US"/>
                    </w:rPr>
                    <w:t>Finalise</w:t>
                  </w:r>
                  <w:proofErr w:type="spellEnd"/>
                  <w:r w:rsidRPr="005F1515">
                    <w:rPr>
                      <w:rFonts w:ascii="Arial" w:hAnsi="Arial" w:cs="Arial"/>
                      <w:sz w:val="22"/>
                      <w:szCs w:val="22"/>
                      <w:lang w:val="en-US"/>
                    </w:rPr>
                    <w:t xml:space="preserve"> results and discussion chapters with coherent thematic narrative</w:t>
                  </w:r>
                </w:p>
              </w:tc>
              <w:tc>
                <w:tcPr>
                  <w:tcW w:w="2391" w:type="dxa"/>
                  <w:tcBorders>
                    <w:top w:val="single" w:sz="4" w:space="0" w:color="000000"/>
                    <w:left w:val="single" w:sz="4" w:space="0" w:color="000000"/>
                    <w:bottom w:val="single" w:sz="4" w:space="0" w:color="000000"/>
                    <w:right w:val="single" w:sz="4" w:space="0" w:color="000000"/>
                  </w:tcBorders>
                  <w:hideMark/>
                </w:tcPr>
                <w:p w14:paraId="69273ED6" w14:textId="77777777" w:rsidR="005F1515" w:rsidRPr="005F1515" w:rsidRDefault="005F1515" w:rsidP="005F1515">
                  <w:pPr>
                    <w:rPr>
                      <w:rFonts w:ascii="Arial" w:hAnsi="Arial" w:cs="Arial"/>
                      <w:sz w:val="22"/>
                      <w:szCs w:val="22"/>
                      <w:lang w:val="en-US"/>
                    </w:rPr>
                  </w:pPr>
                  <w:r w:rsidRPr="005F1515">
                    <w:rPr>
                      <w:rFonts w:ascii="Arial" w:hAnsi="Arial" w:cs="Arial"/>
                      <w:sz w:val="22"/>
                      <w:szCs w:val="22"/>
                      <w:lang w:val="en-US"/>
                    </w:rPr>
                    <w:t xml:space="preserve">Analytical </w:t>
                  </w:r>
                  <w:proofErr w:type="spellStart"/>
                  <w:r w:rsidRPr="005F1515">
                    <w:rPr>
                      <w:rFonts w:ascii="Arial" w:hAnsi="Arial" w:cs="Arial"/>
                      <w:sz w:val="22"/>
                      <w:szCs w:val="22"/>
                      <w:lang w:val="en-US"/>
                    </w:rPr>
                    <w:t>memoing</w:t>
                  </w:r>
                  <w:proofErr w:type="spellEnd"/>
                  <w:r w:rsidRPr="005F1515">
                    <w:rPr>
                      <w:rFonts w:ascii="Arial" w:hAnsi="Arial" w:cs="Arial"/>
                      <w:sz w:val="22"/>
                      <w:szCs w:val="22"/>
                      <w:lang w:val="en-US"/>
                    </w:rPr>
                    <w:t>; citation of Braun &amp; Clarke methodology </w:t>
                  </w:r>
                </w:p>
              </w:tc>
            </w:tr>
          </w:tbl>
          <w:p w14:paraId="75025837" w14:textId="77777777" w:rsidR="005F1515" w:rsidRPr="005F1515" w:rsidRDefault="005F1515" w:rsidP="005F1515">
            <w:pPr>
              <w:rPr>
                <w:rFonts w:ascii="Arial" w:hAnsi="Arial" w:cs="Arial"/>
                <w:sz w:val="22"/>
                <w:szCs w:val="22"/>
                <w:lang w:val="en-US"/>
              </w:rPr>
            </w:pPr>
          </w:p>
          <w:p w14:paraId="727C88AF" w14:textId="77777777" w:rsidR="005F1515" w:rsidRPr="005F1515" w:rsidRDefault="005F1515" w:rsidP="00A91894">
            <w:pPr>
              <w:rPr>
                <w:rFonts w:ascii="Arial" w:hAnsi="Arial" w:cs="Arial"/>
                <w:sz w:val="22"/>
                <w:szCs w:val="22"/>
                <w:lang w:val="en-US"/>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19A11C40" w:rsidR="00B23BFF" w:rsidRPr="004C3A0B" w:rsidRDefault="00884CA2" w:rsidP="00A91894">
            <w:pPr>
              <w:rPr>
                <w:rFonts w:ascii="Arial" w:hAnsi="Arial" w:cs="Arial"/>
                <w:sz w:val="22"/>
                <w:szCs w:val="22"/>
              </w:rPr>
            </w:pPr>
            <w:r w:rsidRPr="00884CA2">
              <w:rPr>
                <w:rFonts w:ascii="Arial" w:hAnsi="Arial" w:cs="Arial"/>
                <w:sz w:val="22"/>
                <w:szCs w:val="22"/>
              </w:rPr>
              <w:t>All data will be collected online via email, survey links, and video-call interviews with participants based in the United Kingdom and Romania.”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43B3B73C" w:rsidR="00B23BFF" w:rsidRDefault="004C2B20"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DD4A3D" w:rsidR="004942B0" w:rsidRPr="00090CF7" w:rsidRDefault="004C2B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F6A70D7"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A5FA9B"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303A8C2"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76005D9"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AD0E307"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E6A325D"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5AA7FA9"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0CE8208" w:rsidR="00C11423"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F710DCA" w:rsidR="00C11423"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44F3296" w:rsidR="00C11423"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B8B2B0D" w:rsidR="00C11423"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E7A09D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DD33EF9"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D50089C"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D586E3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8116A78" w:rsidR="00D107AC" w:rsidRPr="00392C8E" w:rsidRDefault="00786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F519039" w:rsidR="00D107AC" w:rsidRPr="00392C8E" w:rsidRDefault="00786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759505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4942E8F"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CE64603" w:rsidR="00770C66"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9B6980D" w:rsidR="00770C66"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B5CD946"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E833F9"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2552652"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ABE4C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D1A51C"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BFB65E"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BB46B76"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78C612"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11DC8D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F9BBB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290904"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AE3C7DB" w:rsidR="00ED0C5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50F1488C" w:rsidR="00025F69" w:rsidRDefault="00884CA2" w:rsidP="00A91894">
            <w:pPr>
              <w:rPr>
                <w:rFonts w:ascii="Arial" w:hAnsi="Arial" w:cs="Arial"/>
                <w:sz w:val="22"/>
                <w:szCs w:val="22"/>
              </w:rPr>
            </w:pPr>
            <w:r w:rsidRPr="00884CA2">
              <w:rPr>
                <w:rFonts w:ascii="Arial" w:hAnsi="Arial" w:cs="Arial"/>
                <w:sz w:val="22"/>
                <w:szCs w:val="22"/>
              </w:rPr>
              <w:t>Approximately 30–60 participants in total (survey respondents approx. 20–40; interviewees approx. 5–10)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375FA0BB" w:rsidR="00025F69" w:rsidRDefault="00884CA2" w:rsidP="00A91894">
            <w:pPr>
              <w:rPr>
                <w:rFonts w:ascii="Arial" w:hAnsi="Arial" w:cs="Arial"/>
                <w:sz w:val="22"/>
                <w:szCs w:val="22"/>
              </w:rPr>
            </w:pPr>
            <w:r w:rsidRPr="00884CA2">
              <w:rPr>
                <w:rFonts w:ascii="Arial" w:hAnsi="Arial" w:cs="Arial"/>
                <w:sz w:val="22"/>
                <w:szCs w:val="22"/>
              </w:rPr>
              <w:t>Banking professionals working in operational, IT, compliance, and risk-management roles in UK and Romanian banks</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F7453BF" w:rsidR="00025F69" w:rsidRPr="004C3A0B" w:rsidRDefault="00884CA2" w:rsidP="00A91894">
            <w:pPr>
              <w:rPr>
                <w:rFonts w:ascii="Arial" w:hAnsi="Arial" w:cs="Arial"/>
                <w:sz w:val="22"/>
                <w:szCs w:val="22"/>
              </w:rPr>
            </w:pPr>
            <w:r w:rsidRPr="00884CA2">
              <w:rPr>
                <w:rFonts w:ascii="Arial" w:hAnsi="Arial" w:cs="Arial"/>
                <w:sz w:val="22"/>
                <w:szCs w:val="22"/>
              </w:rPr>
              <w:t>Participants will be recruited through professional networking platforms (e.g., LinkedIn), industry contacts, and voluntary responses to survey invitations.</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A900CEA"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A088C69"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520F519"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16597FF"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EC9CCDA"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A7ABFC9"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33A1A5"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7F4F8C8"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2ED8DFC" w:rsidR="00025F69" w:rsidRPr="00392C8E"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2A9D520"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C2B20">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6DC19A"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2B2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651BB90"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884CA2">
              <w:rPr>
                <w:rFonts w:ascii="Arial" w:hAnsi="Arial" w:cs="Arial"/>
                <w:sz w:val="22"/>
                <w:szCs w:val="22"/>
              </w:rPr>
              <w:t xml:space="preserve"> </w:t>
            </w:r>
            <w:r w:rsidR="00884CA2" w:rsidRPr="00884CA2">
              <w:rPr>
                <w:rFonts w:ascii="Arial" w:hAnsi="Arial" w:cs="Arial"/>
                <w:sz w:val="22"/>
                <w:szCs w:val="22"/>
              </w:rPr>
              <w:t>Minimal risk. No sensitive topics. Small risk of discomfort discussing organisational processes.</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74876DC" w:rsidR="00003E64" w:rsidRDefault="00884CA2" w:rsidP="00A91894">
            <w:pPr>
              <w:rPr>
                <w:rFonts w:ascii="Arial" w:hAnsi="Arial" w:cs="Arial"/>
                <w:sz w:val="22"/>
                <w:szCs w:val="22"/>
              </w:rPr>
            </w:pPr>
            <w:r w:rsidRPr="00884CA2">
              <w:rPr>
                <w:rFonts w:ascii="Arial" w:hAnsi="Arial" w:cs="Arial"/>
                <w:sz w:val="22"/>
                <w:szCs w:val="22"/>
              </w:rPr>
              <w:t>Participants may skip any questions. All data anonymous. No names or institutions recorded.</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2AF8C8CE" w:rsidR="00003E64" w:rsidRPr="004C3A0B" w:rsidRDefault="00884CA2" w:rsidP="00A91894">
            <w:pPr>
              <w:rPr>
                <w:rFonts w:ascii="Arial" w:hAnsi="Arial" w:cs="Arial"/>
                <w:sz w:val="22"/>
                <w:szCs w:val="22"/>
              </w:rPr>
            </w:pPr>
            <w:r w:rsidRPr="00884CA2">
              <w:rPr>
                <w:rFonts w:ascii="Arial" w:hAnsi="Arial" w:cs="Arial"/>
                <w:sz w:val="22"/>
                <w:szCs w:val="22"/>
              </w:rPr>
              <w:t>None beyond normal online communications.</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4B0952AE" w:rsidR="00003E64" w:rsidRDefault="00884CA2" w:rsidP="00A91894">
            <w:pPr>
              <w:rPr>
                <w:rFonts w:ascii="Arial" w:hAnsi="Arial" w:cs="Arial"/>
                <w:sz w:val="22"/>
                <w:szCs w:val="22"/>
              </w:rPr>
            </w:pPr>
            <w:r w:rsidRPr="00884CA2">
              <w:rPr>
                <w:rFonts w:ascii="Arial" w:hAnsi="Arial" w:cs="Arial"/>
                <w:sz w:val="22"/>
                <w:szCs w:val="22"/>
              </w:rPr>
              <w:t>None beyond normal online communications.</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260050C" w:rsidR="00003E64" w:rsidRDefault="00884CA2" w:rsidP="00A91894">
            <w:pPr>
              <w:rPr>
                <w:rFonts w:ascii="Arial" w:hAnsi="Arial" w:cs="Arial"/>
                <w:sz w:val="22"/>
                <w:szCs w:val="22"/>
              </w:rPr>
            </w:pPr>
            <w:r w:rsidRPr="00884CA2">
              <w:rPr>
                <w:rFonts w:ascii="Arial" w:hAnsi="Arial" w:cs="Arial"/>
                <w:sz w:val="22"/>
                <w:szCs w:val="22"/>
              </w:rPr>
              <w:t>All interviews conducted online. No travel required.</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1D7612C4" w:rsidR="0094056C" w:rsidRDefault="00884CA2" w:rsidP="00A91894">
            <w:pPr>
              <w:rPr>
                <w:rFonts w:ascii="Arial" w:hAnsi="Arial" w:cs="Arial"/>
                <w:sz w:val="22"/>
                <w:szCs w:val="22"/>
              </w:rPr>
            </w:pPr>
            <w:r w:rsidRPr="00884CA2">
              <w:rPr>
                <w:rFonts w:ascii="Arial" w:hAnsi="Arial" w:cs="Arial"/>
                <w:sz w:val="22"/>
                <w:szCs w:val="22"/>
              </w:rPr>
              <w:t>None if GDPR is followed.</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46BDF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C2B2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28C2BC5" w:rsidR="006930C2" w:rsidRDefault="00884CA2" w:rsidP="00A91894">
            <w:pPr>
              <w:rPr>
                <w:rFonts w:ascii="Arial" w:hAnsi="Arial" w:cs="Arial"/>
                <w:sz w:val="22"/>
                <w:szCs w:val="22"/>
              </w:rPr>
            </w:pPr>
            <w:r w:rsidRPr="00884CA2">
              <w:rPr>
                <w:rFonts w:ascii="Arial" w:hAnsi="Arial" w:cs="Arial"/>
                <w:sz w:val="22"/>
                <w:szCs w:val="22"/>
              </w:rPr>
              <w:t>Participants will receive a summary of findings via email upon request after the dissertation is completed</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09CC1E4" w:rsidR="006930C2" w:rsidRDefault="00884CA2" w:rsidP="00A91894">
            <w:pPr>
              <w:rPr>
                <w:rFonts w:ascii="Arial" w:hAnsi="Arial" w:cs="Arial"/>
                <w:sz w:val="22"/>
                <w:szCs w:val="22"/>
              </w:rPr>
            </w:pPr>
            <w:r w:rsidRPr="00884CA2">
              <w:rPr>
                <w:rFonts w:ascii="Arial" w:hAnsi="Arial" w:cs="Arial"/>
                <w:sz w:val="22"/>
                <w:szCs w:val="22"/>
              </w:rPr>
              <w:t>Participants will receive an information sheet explaining the study purpose, confidentiality, voluntary participation, and GDPR compliance. Consent will be provided digitally before the survey/interview</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C870FFF" w:rsidR="006930C2" w:rsidRDefault="00884CA2" w:rsidP="00A91894">
            <w:pPr>
              <w:rPr>
                <w:rFonts w:ascii="Arial" w:hAnsi="Arial" w:cs="Arial"/>
                <w:sz w:val="22"/>
                <w:szCs w:val="22"/>
              </w:rPr>
            </w:pPr>
            <w:r w:rsidRPr="00884CA2">
              <w:rPr>
                <w:rFonts w:ascii="Arial" w:hAnsi="Arial" w:cs="Arial"/>
                <w:sz w:val="22"/>
                <w:szCs w:val="22"/>
              </w:rPr>
              <w:t>All participants will be anonymised using pseudonyms. No identifiable organisational details will be published</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2FA8DBE"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884CA2">
              <w:rPr>
                <w:rFonts w:ascii="MS Gothic" w:eastAsia="MS Gothic" w:hAnsi="MS Gothic"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416DE227" w:rsidR="006930C2" w:rsidRDefault="00884CA2" w:rsidP="00A91894">
            <w:pPr>
              <w:rPr>
                <w:rFonts w:ascii="Arial" w:hAnsi="Arial" w:cs="Arial"/>
                <w:sz w:val="22"/>
                <w:szCs w:val="22"/>
              </w:rPr>
            </w:pPr>
            <w:r w:rsidRPr="00884CA2">
              <w:rPr>
                <w:rFonts w:ascii="Arial" w:hAnsi="Arial" w:cs="Arial"/>
                <w:sz w:val="22"/>
                <w:szCs w:val="22"/>
              </w:rPr>
              <w:lastRenderedPageBreak/>
              <w:t xml:space="preserve">You collect </w:t>
            </w:r>
            <w:r w:rsidRPr="00884CA2">
              <w:rPr>
                <w:rFonts w:ascii="Arial" w:hAnsi="Arial" w:cs="Arial"/>
                <w:b/>
                <w:bCs/>
                <w:sz w:val="22"/>
                <w:szCs w:val="22"/>
              </w:rPr>
              <w:t>professional roles, country, and experiences</w:t>
            </w:r>
            <w:r w:rsidRPr="00884CA2">
              <w:rPr>
                <w:rFonts w:ascii="Arial" w:hAnsi="Arial" w:cs="Arial"/>
                <w:sz w:val="22"/>
                <w:szCs w:val="22"/>
              </w:rPr>
              <w:t xml:space="preserve"> (identifiable).</w:t>
            </w:r>
            <w:r>
              <w:rPr>
                <w:rFonts w:ascii="Arial" w:hAnsi="Arial" w:cs="Arial"/>
                <w:sz w:val="22"/>
                <w:szCs w:val="22"/>
              </w:rPr>
              <w:t xml:space="preserve"> </w:t>
            </w:r>
            <w:r w:rsidRPr="00884CA2">
              <w:rPr>
                <w:rFonts w:ascii="Arial" w:hAnsi="Arial" w:cs="Arial"/>
                <w:sz w:val="22"/>
                <w:szCs w:val="22"/>
              </w:rPr>
              <w:t>Professional demographic data (role, country, years of experience) required to analyse cross-country differences. No names or direct identifiers collected</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3A78E2" w:rsidR="006930C2" w:rsidRPr="000B38C3" w:rsidRDefault="00884CA2"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C17F115" w:rsidR="004D0161" w:rsidRPr="00C71BCC"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B9205C" w:rsidR="004D0161" w:rsidRPr="00C71BCC"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1804391" w:rsidR="004D0161" w:rsidRPr="00C71BCC" w:rsidRDefault="0088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54B98792" w:rsidR="004D0161" w:rsidRDefault="00884CA2" w:rsidP="00A91894">
            <w:pPr>
              <w:rPr>
                <w:rFonts w:ascii="Arial" w:hAnsi="Arial" w:cs="Arial"/>
                <w:sz w:val="22"/>
                <w:szCs w:val="22"/>
              </w:rPr>
            </w:pPr>
            <w:r w:rsidRPr="00884CA2">
              <w:rPr>
                <w:rFonts w:ascii="Arial" w:hAnsi="Arial" w:cs="Arial"/>
                <w:sz w:val="22"/>
                <w:szCs w:val="22"/>
              </w:rPr>
              <w:t>Data stored on password-protected OneDrive (UWTSD) and a password-protected personal laptop. Survey data stored in Excel; interview notes in Word. All data anonymised. No names collected. Files backed up securely on OneDrive. Data deleted after assessment.</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71AD8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r w:rsidR="00884CA2">
              <w:rPr>
                <w:rFonts w:ascii="Arial" w:hAnsi="Arial" w:cs="Arial"/>
                <w:sz w:val="22"/>
                <w:szCs w:val="22"/>
              </w:rPr>
              <w:t xml:space="preserve"> </w:t>
            </w:r>
            <w:r w:rsidR="00884CA2" w:rsidRPr="00884CA2">
              <w:rPr>
                <w:rFonts w:ascii="Arial" w:hAnsi="Arial" w:cs="Arial"/>
                <w:sz w:val="22"/>
                <w:szCs w:val="22"/>
              </w:rPr>
              <w:t>Survey links and interview invitations sent via email. Fully GDPR-compliant. No identifiable data transferred</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454CD7AF" w:rsidR="004D0161" w:rsidRDefault="00884CA2" w:rsidP="00A91894">
            <w:pPr>
              <w:autoSpaceDE w:val="0"/>
              <w:autoSpaceDN w:val="0"/>
              <w:adjustRightInd w:val="0"/>
              <w:rPr>
                <w:rFonts w:ascii="Arial" w:hAnsi="Arial" w:cs="Arial"/>
                <w:sz w:val="22"/>
                <w:szCs w:val="22"/>
              </w:rPr>
            </w:pPr>
            <w:r w:rsidRPr="00884CA2">
              <w:rPr>
                <w:rFonts w:ascii="Arial" w:hAnsi="Arial" w:cs="Arial"/>
                <w:sz w:val="22"/>
                <w:szCs w:val="22"/>
              </w:rPr>
              <w:t>Only the researcher and dissertation supervisor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4E39F0DD" w:rsidR="004D0161" w:rsidRDefault="00884CA2" w:rsidP="00A91894">
            <w:pPr>
              <w:autoSpaceDE w:val="0"/>
              <w:autoSpaceDN w:val="0"/>
              <w:adjustRightInd w:val="0"/>
              <w:rPr>
                <w:rFonts w:ascii="Arial" w:hAnsi="Arial" w:cs="Arial"/>
                <w:sz w:val="22"/>
                <w:szCs w:val="22"/>
              </w:rPr>
            </w:pPr>
            <w:r w:rsidRPr="00884CA2">
              <w:rPr>
                <w:rFonts w:ascii="Arial" w:hAnsi="Arial" w:cs="Arial"/>
                <w:sz w:val="22"/>
                <w:szCs w:val="22"/>
              </w:rPr>
              <w:t>“The principal researcher (Andrea Caba).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E46201" w:rsidR="004D0161" w:rsidRPr="004C3A0B" w:rsidRDefault="004C2B20" w:rsidP="00A91894">
            <w:pPr>
              <w:spacing w:before="100" w:beforeAutospacing="1" w:after="100" w:afterAutospacing="1"/>
              <w:rPr>
                <w:rFonts w:ascii="Arial" w:hAnsi="Arial" w:cs="Arial"/>
                <w:sz w:val="22"/>
                <w:szCs w:val="22"/>
              </w:rPr>
            </w:pPr>
            <w:r>
              <w:rPr>
                <w:rFonts w:ascii="Arial" w:hAnsi="Arial" w:cs="Arial"/>
                <w:sz w:val="22"/>
                <w:szCs w:val="22"/>
              </w:rPr>
              <w:t>Andrea Caba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9DB19B0" w:rsidR="004D0161" w:rsidRPr="004C3A0B" w:rsidRDefault="00786EE1" w:rsidP="00A91894">
            <w:pPr>
              <w:spacing w:before="100" w:beforeAutospacing="1" w:after="100" w:afterAutospacing="1"/>
              <w:rPr>
                <w:rFonts w:ascii="Arial" w:hAnsi="Arial" w:cs="Arial"/>
                <w:sz w:val="22"/>
                <w:szCs w:val="22"/>
              </w:rPr>
            </w:pPr>
            <w:r>
              <w:rPr>
                <w:rFonts w:ascii="Arial" w:hAnsi="Arial" w:cs="Arial"/>
                <w:sz w:val="22"/>
                <w:szCs w:val="22"/>
              </w:rPr>
              <w:t>01/10/2025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499E8" w14:textId="77777777" w:rsidR="00D75C33" w:rsidRDefault="00D75C33" w:rsidP="00390251">
      <w:r>
        <w:separator/>
      </w:r>
    </w:p>
    <w:p w14:paraId="50015AFB" w14:textId="77777777" w:rsidR="00D75C33" w:rsidRDefault="00D75C33"/>
  </w:endnote>
  <w:endnote w:type="continuationSeparator" w:id="0">
    <w:p w14:paraId="72FB80EA" w14:textId="77777777" w:rsidR="00D75C33" w:rsidRDefault="00D75C33" w:rsidP="00390251">
      <w:r>
        <w:continuationSeparator/>
      </w:r>
    </w:p>
    <w:p w14:paraId="358D88F8" w14:textId="77777777" w:rsidR="00D75C33" w:rsidRDefault="00D75C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E9036" w14:textId="77777777" w:rsidR="00D75C33" w:rsidRDefault="00D75C33" w:rsidP="00390251">
      <w:r>
        <w:separator/>
      </w:r>
    </w:p>
    <w:p w14:paraId="798F5888" w14:textId="77777777" w:rsidR="00D75C33" w:rsidRDefault="00D75C33"/>
  </w:footnote>
  <w:footnote w:type="continuationSeparator" w:id="0">
    <w:p w14:paraId="56A4B936" w14:textId="77777777" w:rsidR="00D75C33" w:rsidRDefault="00D75C33" w:rsidP="00390251">
      <w:r>
        <w:continuationSeparator/>
      </w:r>
    </w:p>
    <w:p w14:paraId="08622915" w14:textId="77777777" w:rsidR="00D75C33" w:rsidRDefault="00D75C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410370">
    <w:abstractNumId w:val="10"/>
  </w:num>
  <w:num w:numId="2" w16cid:durableId="1607419512">
    <w:abstractNumId w:val="19"/>
  </w:num>
  <w:num w:numId="3" w16cid:durableId="1510564104">
    <w:abstractNumId w:val="2"/>
  </w:num>
  <w:num w:numId="4" w16cid:durableId="1034572635">
    <w:abstractNumId w:val="24"/>
  </w:num>
  <w:num w:numId="5" w16cid:durableId="6635108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813733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042934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2674653">
    <w:abstractNumId w:val="3"/>
  </w:num>
  <w:num w:numId="9" w16cid:durableId="230892238">
    <w:abstractNumId w:val="7"/>
  </w:num>
  <w:num w:numId="10" w16cid:durableId="663702207">
    <w:abstractNumId w:val="8"/>
  </w:num>
  <w:num w:numId="11" w16cid:durableId="1986009074">
    <w:abstractNumId w:val="22"/>
  </w:num>
  <w:num w:numId="12" w16cid:durableId="1395545455">
    <w:abstractNumId w:val="20"/>
  </w:num>
  <w:num w:numId="13" w16cid:durableId="4598352">
    <w:abstractNumId w:val="21"/>
  </w:num>
  <w:num w:numId="14" w16cid:durableId="1359547403">
    <w:abstractNumId w:val="0"/>
  </w:num>
  <w:num w:numId="15" w16cid:durableId="1515655276">
    <w:abstractNumId w:val="5"/>
  </w:num>
  <w:num w:numId="16" w16cid:durableId="472527224">
    <w:abstractNumId w:val="6"/>
  </w:num>
  <w:num w:numId="17" w16cid:durableId="302153359">
    <w:abstractNumId w:val="11"/>
  </w:num>
  <w:num w:numId="18" w16cid:durableId="1177773894">
    <w:abstractNumId w:val="13"/>
  </w:num>
  <w:num w:numId="19" w16cid:durableId="2015300123">
    <w:abstractNumId w:val="23"/>
  </w:num>
  <w:num w:numId="20" w16cid:durableId="167981998">
    <w:abstractNumId w:val="4"/>
  </w:num>
  <w:num w:numId="21" w16cid:durableId="658389700">
    <w:abstractNumId w:val="14"/>
  </w:num>
  <w:num w:numId="22" w16cid:durableId="120539895">
    <w:abstractNumId w:val="18"/>
  </w:num>
  <w:num w:numId="23" w16cid:durableId="76485577">
    <w:abstractNumId w:val="1"/>
  </w:num>
  <w:num w:numId="24" w16cid:durableId="701127369">
    <w:abstractNumId w:val="9"/>
  </w:num>
  <w:num w:numId="25" w16cid:durableId="1263419253">
    <w:abstractNumId w:val="12"/>
  </w:num>
  <w:num w:numId="26" w16cid:durableId="1147471787">
    <w:abstractNumId w:val="25"/>
  </w:num>
  <w:num w:numId="27" w16cid:durableId="5686604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407C"/>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F2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753B"/>
    <w:rsid w:val="003F088B"/>
    <w:rsid w:val="003F6F7B"/>
    <w:rsid w:val="003F73A5"/>
    <w:rsid w:val="00403D74"/>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B20"/>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1515"/>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EE1"/>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F4E"/>
    <w:rsid w:val="00884CA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620"/>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C33"/>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70F"/>
    <w:rsid w:val="00F64D54"/>
    <w:rsid w:val="00F722A2"/>
    <w:rsid w:val="00F75F59"/>
    <w:rsid w:val="00F82885"/>
    <w:rsid w:val="00F842FD"/>
    <w:rsid w:val="00F87E26"/>
    <w:rsid w:val="00F96C3F"/>
    <w:rsid w:val="00FA17A2"/>
    <w:rsid w:val="00FA1C94"/>
    <w:rsid w:val="00FA645B"/>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4</cp:revision>
  <cp:lastPrinted>2016-10-24T12:21:00Z</cp:lastPrinted>
  <dcterms:created xsi:type="dcterms:W3CDTF">2025-08-01T12:21:00Z</dcterms:created>
  <dcterms:modified xsi:type="dcterms:W3CDTF">2025-11-20T20:28:00Z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