
<file path=[Content_Types].xml><?xml version="1.0" encoding="utf-8"?>
<Types xmlns="http://schemas.openxmlformats.org/package/2006/content-types">
  <Default ContentType="application/xml" Extension="xml"/>
  <Default ContentType="image/png" Extension="png"/>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drawingml.diagramData+xml" PartName="/word/diagrams/data1.xml"/>
  <Override ContentType="application/vnd.openxmlformats-officedocument.wordprocessingml.footer+xml" PartName="/word/footer1.xml"/>
  <Override ContentType="application/vnd.openxmlformats-officedocument.drawingml.diagramLayout+xml" PartName="/word/diagrams/layout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drawingml.diagramStyle+xml" PartName="/word/diagrams/quickStyle1.xml"/>
  <Override ContentType="application/vnd.ms-office.drawingml.diagramDrawing+xml" PartName="/word/diagrams/drawing1.xml"/>
  <Override ContentType="application/vnd.openxmlformats-officedocument.wordprocessingml.document.main+xml" PartName="/word/document.xml"/>
  <Override ContentType="application/vnd.openxmlformats-officedocument.drawingml.diagramColors+xml" PartName="/word/diagrams/colors1.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spacing w:line="360" w:lineRule="auto"/>
        <w:rPr>
          <w:rFonts w:ascii="Arial" w:cs="Arial" w:eastAsia="Arial" w:hAnsi="Arial"/>
          <w:b w:val="1"/>
          <w:bCs w:val="1"/>
          <w:sz w:val="32"/>
          <w:szCs w:val="32"/>
        </w:rPr>
      </w:pPr>
      <w:r w:rsidDel="00000000" w:rsidR="00000000" w:rsidRPr="00000000">
        <w:rPr/>
        <w:drawing>
          <wp:inline distB="0" distT="0" distL="0" distR="0">
            <wp:extent cx="2590554" cy="1065152"/>
            <wp:effectExtent b="0" l="0" r="0" t="0"/>
            <wp:docPr id="7" name="image16.png"/>
            <a:graphic>
              <a:graphicData uri="http://schemas.openxmlformats.org/drawingml/2006/picture">
                <pic:pic>
                  <pic:nvPicPr>
                    <pic:cNvPr id="0" name="image16.png"/>
                    <pic:cNvPicPr preferRelativeResize="0"/>
                  </pic:nvPicPr>
                  <pic:blipFill>
                    <a:blip r:embed="rId10"/>
                    <a:srcRect b="0" l="0" r="0" t="0"/>
                    <a:stretch>
                      <a:fillRect/>
                    </a:stretch>
                  </pic:blipFill>
                  <pic:spPr>
                    <a:xfrm>
                      <a:off x="0" y="0"/>
                      <a:ext cx="2590554" cy="1065152"/>
                    </a:xfrm>
                    <a:prstGeom prst="rect"/>
                    <a:ln/>
                  </pic:spPr>
                </pic:pic>
              </a:graphicData>
            </a:graphic>
          </wp:inline>
        </w:drawing>
      </w:r>
      <w:r w:rsidDel="00000000" w:rsidR="00000000" w:rsidRPr="00000000">
        <w:rPr>
          <w:rtl w:val="0"/>
        </w:rPr>
      </w:r>
    </w:p>
    <w:p w:rsidR="00000000" w:rsidDel="00000000" w:rsidP="00000000" w:rsidRDefault="00000000" w:rsidRPr="00000000" w14:paraId="00000002">
      <w:pPr>
        <w:spacing w:line="360" w:lineRule="auto"/>
        <w:jc w:val="center"/>
        <w:rPr>
          <w:rFonts w:ascii="Arial" w:cs="Arial" w:eastAsia="Arial" w:hAnsi="Arial"/>
          <w:b w:val="1"/>
          <w:bCs w:val="1"/>
          <w:sz w:val="32"/>
          <w:szCs w:val="32"/>
        </w:rPr>
      </w:pPr>
      <w:r w:rsidDel="00000000" w:rsidR="00000000" w:rsidRPr="00000000">
        <w:rPr>
          <w:rFonts w:ascii="Arial" w:cs="Arial" w:eastAsia="Arial" w:hAnsi="Arial"/>
          <w:b w:val="1"/>
          <w:bCs w:val="1"/>
          <w:sz w:val="32"/>
          <w:szCs w:val="32"/>
          <w:rtl w:val="0"/>
        </w:rPr>
        <w:t xml:space="preserve">Assessment</w:t>
      </w:r>
    </w:p>
    <w:p w:rsidR="00000000" w:rsidDel="00000000" w:rsidP="00000000" w:rsidRDefault="00000000" w:rsidRPr="00000000" w14:paraId="00000003">
      <w:pPr>
        <w:spacing w:line="360" w:lineRule="auto"/>
        <w:jc w:val="center"/>
        <w:rPr>
          <w:rFonts w:ascii="Arial" w:cs="Arial" w:eastAsia="Arial" w:hAnsi="Arial"/>
          <w:b w:val="1"/>
          <w:bCs w:val="1"/>
          <w:sz w:val="32"/>
          <w:szCs w:val="32"/>
        </w:rPr>
      </w:pPr>
      <w:r w:rsidDel="00000000" w:rsidR="00000000" w:rsidRPr="00000000">
        <w:rPr>
          <w:rFonts w:ascii="Arial" w:cs="Arial" w:eastAsia="Arial" w:hAnsi="Arial"/>
          <w:b w:val="1"/>
          <w:bCs w:val="1"/>
          <w:sz w:val="32"/>
          <w:szCs w:val="32"/>
          <w:rtl w:val="0"/>
        </w:rPr>
        <w:t xml:space="preserve">International Business Concepts</w:t>
      </w:r>
    </w:p>
    <w:p w:rsidR="00000000" w:rsidDel="00000000" w:rsidP="00000000" w:rsidRDefault="00000000" w:rsidRPr="00000000" w14:paraId="00000004">
      <w:pPr>
        <w:spacing w:line="360" w:lineRule="auto"/>
        <w:jc w:val="center"/>
        <w:rPr>
          <w:rFonts w:ascii="Arial" w:cs="Arial" w:eastAsia="Arial" w:hAnsi="Arial"/>
          <w:b w:val="1"/>
          <w:bCs w:val="1"/>
          <w:sz w:val="32"/>
          <w:szCs w:val="32"/>
        </w:rPr>
      </w:pPr>
      <w:r w:rsidDel="00000000" w:rsidR="00000000" w:rsidRPr="00000000">
        <w:rPr>
          <w:rFonts w:ascii="Arial" w:cs="Arial" w:eastAsia="Arial" w:hAnsi="Arial"/>
          <w:b w:val="1"/>
          <w:bCs w:val="1"/>
          <w:sz w:val="32"/>
          <w:szCs w:val="32"/>
          <w:rtl w:val="0"/>
        </w:rPr>
        <w:t xml:space="preserve">Title: Nykaa's Global Operational</w:t>
      </w:r>
      <w:r w:rsidDel="00000000" w:rsidR="00000000" w:rsidRPr="00000000">
        <w:rPr>
          <w:rtl w:val="0"/>
        </w:rPr>
        <w:t xml:space="preserve"> </w:t>
      </w:r>
      <w:r w:rsidDel="00000000" w:rsidR="00000000" w:rsidRPr="00000000">
        <w:rPr>
          <w:rFonts w:ascii="Arial" w:cs="Arial" w:eastAsia="Arial" w:hAnsi="Arial"/>
          <w:b w:val="1"/>
          <w:bCs w:val="1"/>
          <w:sz w:val="32"/>
          <w:szCs w:val="32"/>
          <w:rtl w:val="0"/>
        </w:rPr>
        <w:t xml:space="preserve">Configuration, Value Chain Integration and Competitive Advantage for Expansion into the Estonian Market</w:t>
      </w:r>
    </w:p>
    <w:p w:rsidR="00000000" w:rsidDel="00000000" w:rsidP="00000000" w:rsidRDefault="00000000" w:rsidRPr="00000000" w14:paraId="00000005">
      <w:pPr>
        <w:spacing w:line="360" w:lineRule="auto"/>
        <w:jc w:val="center"/>
        <w:rPr>
          <w:rFonts w:ascii="Arial" w:cs="Arial" w:eastAsia="Arial" w:hAnsi="Arial"/>
          <w:b w:val="1"/>
          <w:bCs w:val="1"/>
          <w:sz w:val="32"/>
          <w:szCs w:val="32"/>
        </w:rPr>
      </w:pPr>
      <w:r w:rsidDel="00000000" w:rsidR="00000000" w:rsidRPr="00000000">
        <w:rPr>
          <w:rFonts w:ascii="Arial" w:cs="Arial" w:eastAsia="Arial" w:hAnsi="Arial"/>
          <w:b w:val="1"/>
          <w:bCs w:val="1"/>
          <w:sz w:val="32"/>
          <w:szCs w:val="32"/>
          <w:rtl w:val="0"/>
        </w:rPr>
        <w:t xml:space="preserve">Module Code: LCMB7034</w:t>
      </w:r>
    </w:p>
    <w:p w:rsidR="00000000" w:rsidDel="00000000" w:rsidP="00000000" w:rsidRDefault="00000000" w:rsidRPr="00000000" w14:paraId="00000006">
      <w:pPr>
        <w:spacing w:line="360" w:lineRule="auto"/>
        <w:jc w:val="center"/>
        <w:rPr>
          <w:rFonts w:ascii="Arial" w:cs="Arial" w:eastAsia="Arial" w:hAnsi="Arial"/>
          <w:b w:val="1"/>
          <w:bCs w:val="1"/>
          <w:sz w:val="32"/>
          <w:szCs w:val="32"/>
        </w:rPr>
      </w:pPr>
      <w:r w:rsidDel="00000000" w:rsidR="00000000" w:rsidRPr="00000000">
        <w:rPr>
          <w:rFonts w:ascii="Arial" w:cs="Arial" w:eastAsia="Arial" w:hAnsi="Arial"/>
          <w:b w:val="1"/>
          <w:bCs w:val="1"/>
          <w:sz w:val="32"/>
          <w:szCs w:val="32"/>
          <w:rtl w:val="0"/>
        </w:rPr>
        <w:t xml:space="preserve">Lecturer: Akshay Narayanan</w:t>
      </w:r>
    </w:p>
    <w:p w:rsidR="00000000" w:rsidDel="00000000" w:rsidP="00000000" w:rsidRDefault="00000000" w:rsidRPr="00000000" w14:paraId="00000007">
      <w:pPr>
        <w:spacing w:line="360" w:lineRule="auto"/>
        <w:jc w:val="center"/>
        <w:rPr>
          <w:rFonts w:ascii="Arial" w:cs="Arial" w:eastAsia="Arial" w:hAnsi="Arial"/>
          <w:sz w:val="32"/>
          <w:szCs w:val="32"/>
        </w:rPr>
      </w:pPr>
      <w:r w:rsidDel="00000000" w:rsidR="00000000" w:rsidRPr="00000000">
        <w:rPr>
          <w:rFonts w:ascii="Arial" w:cs="Arial" w:eastAsia="Arial" w:hAnsi="Arial"/>
          <w:sz w:val="32"/>
          <w:szCs w:val="32"/>
          <w:rtl w:val="0"/>
        </w:rPr>
        <w:t xml:space="preserve">Student Name: Amreliya kunjal Ghanshyambhai </w:t>
      </w:r>
    </w:p>
    <w:p w:rsidR="00000000" w:rsidDel="00000000" w:rsidP="00000000" w:rsidRDefault="00000000" w:rsidRPr="00000000" w14:paraId="00000008">
      <w:pPr>
        <w:spacing w:line="360" w:lineRule="auto"/>
        <w:jc w:val="center"/>
        <w:rPr>
          <w:rFonts w:ascii="Arial" w:cs="Arial" w:eastAsia="Arial" w:hAnsi="Arial"/>
          <w:sz w:val="32"/>
          <w:szCs w:val="32"/>
        </w:rPr>
      </w:pPr>
      <w:r w:rsidDel="00000000" w:rsidR="00000000" w:rsidRPr="00000000">
        <w:rPr>
          <w:rFonts w:ascii="Arial" w:cs="Arial" w:eastAsia="Arial" w:hAnsi="Arial"/>
          <w:sz w:val="32"/>
          <w:szCs w:val="32"/>
          <w:rtl w:val="0"/>
        </w:rPr>
        <w:t xml:space="preserve">Student ID: 2531260</w:t>
      </w:r>
    </w:p>
    <w:p w:rsidR="00000000" w:rsidDel="00000000" w:rsidP="00000000" w:rsidRDefault="00000000" w:rsidRPr="00000000" w14:paraId="00000009">
      <w:pPr>
        <w:spacing w:line="360" w:lineRule="auto"/>
        <w:rPr>
          <w:rFonts w:ascii="Arial" w:cs="Arial" w:eastAsia="Arial" w:hAnsi="Arial"/>
          <w:b w:val="1"/>
          <w:bCs w:val="1"/>
          <w:sz w:val="32"/>
          <w:szCs w:val="32"/>
        </w:rPr>
      </w:pPr>
      <w:r w:rsidDel="00000000" w:rsidR="00000000" w:rsidRPr="00000000">
        <w:br w:type="page"/>
      </w:r>
      <w:r w:rsidDel="00000000" w:rsidR="00000000" w:rsidRPr="00000000">
        <w:rPr>
          <w:rtl w:val="0"/>
        </w:rPr>
      </w:r>
    </w:p>
    <w:p w:rsidR="00000000" w:rsidDel="00000000" w:rsidP="00000000" w:rsidRDefault="00000000" w:rsidRPr="00000000" w14:paraId="0000000A">
      <w:pPr>
        <w:keepNext w:val="1"/>
        <w:keepLines w:val="1"/>
        <w:pBdr>
          <w:top w:space="0" w:sz="0" w:val="nil"/>
          <w:left w:space="0" w:sz="0" w:val="nil"/>
          <w:bottom w:space="0" w:sz="0" w:val="nil"/>
          <w:right w:space="0" w:sz="0" w:val="nil"/>
          <w:between w:space="0" w:sz="0" w:val="nil"/>
        </w:pBdr>
        <w:spacing w:after="0" w:before="240" w:line="360" w:lineRule="auto"/>
        <w:jc w:val="center"/>
        <w:rPr>
          <w:rFonts w:ascii="Arial" w:cs="Arial" w:eastAsia="Arial" w:hAnsi="Arial"/>
          <w:b w:val="1"/>
          <w:bCs w:val="1"/>
          <w:color w:val="000000"/>
          <w:sz w:val="28"/>
          <w:szCs w:val="28"/>
        </w:rPr>
      </w:pPr>
      <w:r w:rsidDel="00000000" w:rsidR="00000000" w:rsidRPr="00000000">
        <w:rPr>
          <w:rFonts w:ascii="Arial" w:cs="Arial" w:eastAsia="Arial" w:hAnsi="Arial"/>
          <w:b w:val="1"/>
          <w:bCs w:val="1"/>
          <w:color w:val="000000"/>
          <w:sz w:val="28"/>
          <w:szCs w:val="28"/>
          <w:rtl w:val="0"/>
        </w:rPr>
        <w:t xml:space="preserve">Table of Contents</w:t>
      </w:r>
    </w:p>
    <w:sdt>
      <w:sdtPr>
        <w:id w:val="-1380181186"/>
        <w:docPartObj>
          <w:docPartGallery w:val="Table of Contents"/>
          <w:docPartUnique w:val="1"/>
        </w:docPartObj>
      </w:sdtPr>
      <w:sdtContent>
        <w:p w:rsidR="00000000" w:rsidDel="00000000" w:rsidP="00000000" w:rsidRDefault="00000000" w:rsidRPr="00000000" w14:paraId="0000000B">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276" w:lineRule="auto"/>
            <w:ind w:left="0" w:right="0" w:firstLine="0"/>
            <w:jc w:val="left"/>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fldChar w:fldCharType="begin"/>
            <w:instrText xml:space="preserve"> TOC \h \u \z \t "Heading 1,1,Heading 2,2,Heading 3,3,"</w:instrText>
            <w:fldChar w:fldCharType="separate"/>
          </w:r>
          <w:hyperlink w:anchor="_ubu02ixfngod">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Section 1: Strategic Analysis of Nykaa's International Expansion into Estonia</w:t>
              <w:tab/>
              <w:t xml:space="preserve">3</w:t>
            </w:r>
          </w:hyperlink>
          <w:r w:rsidDel="00000000" w:rsidR="00000000" w:rsidRPr="00000000">
            <w:rPr>
              <w:rtl w:val="0"/>
            </w:rPr>
          </w:r>
        </w:p>
        <w:p w:rsidR="00000000" w:rsidDel="00000000" w:rsidP="00000000" w:rsidRDefault="00000000" w:rsidRPr="00000000" w14:paraId="0000000C">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276" w:lineRule="auto"/>
            <w:ind w:left="0" w:right="0" w:firstLine="0"/>
            <w:jc w:val="left"/>
            <w:rPr>
              <w:rFonts w:ascii="Arial" w:cs="Arial" w:eastAsia="Arial" w:hAnsi="Arial"/>
              <w:b w:val="0"/>
              <w:bCs w:val="0"/>
              <w:i w:val="0"/>
              <w:iCs w:val="0"/>
              <w:smallCaps w:val="0"/>
              <w:strike w:val="0"/>
              <w:color w:val="000000"/>
              <w:sz w:val="24"/>
              <w:szCs w:val="24"/>
              <w:u w:val="none"/>
              <w:shd w:fill="auto" w:val="clear"/>
              <w:vertAlign w:val="baseline"/>
            </w:rPr>
          </w:pPr>
          <w:hyperlink w:anchor="_tt7tot29vx3a">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1. Organizational Classification and Global Strategy</w:t>
              <w:tab/>
              <w:t xml:space="preserve">3</w:t>
            </w:r>
          </w:hyperlink>
          <w:r w:rsidDel="00000000" w:rsidR="00000000" w:rsidRPr="00000000">
            <w:rPr>
              <w:rtl w:val="0"/>
            </w:rPr>
          </w:r>
        </w:p>
        <w:p w:rsidR="00000000" w:rsidDel="00000000" w:rsidP="00000000" w:rsidRDefault="00000000" w:rsidRPr="00000000" w14:paraId="0000000D">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276" w:lineRule="auto"/>
            <w:ind w:left="240" w:right="0" w:firstLine="0"/>
            <w:jc w:val="left"/>
            <w:rPr>
              <w:rFonts w:ascii="Arial" w:cs="Arial" w:eastAsia="Arial" w:hAnsi="Arial"/>
              <w:b w:val="0"/>
              <w:bCs w:val="0"/>
              <w:i w:val="0"/>
              <w:iCs w:val="0"/>
              <w:smallCaps w:val="0"/>
              <w:strike w:val="0"/>
              <w:color w:val="000000"/>
              <w:sz w:val="24"/>
              <w:szCs w:val="24"/>
              <w:u w:val="none"/>
              <w:shd w:fill="auto" w:val="clear"/>
              <w:vertAlign w:val="baseline"/>
            </w:rPr>
          </w:pPr>
          <w:hyperlink w:anchor="_3aohny9udd8v">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1.1 Strategic Categorisation Using Bartlett and Ghoshal's Model</w:t>
              <w:tab/>
              <w:t xml:space="preserve">3</w:t>
            </w:r>
          </w:hyperlink>
          <w:r w:rsidDel="00000000" w:rsidR="00000000" w:rsidRPr="00000000">
            <w:rPr>
              <w:rtl w:val="0"/>
            </w:rPr>
          </w:r>
        </w:p>
        <w:p w:rsidR="00000000" w:rsidDel="00000000" w:rsidP="00000000" w:rsidRDefault="00000000" w:rsidRPr="00000000" w14:paraId="0000000E">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276" w:lineRule="auto"/>
            <w:ind w:left="240" w:right="0" w:firstLine="0"/>
            <w:jc w:val="left"/>
            <w:rPr>
              <w:rFonts w:ascii="Arial" w:cs="Arial" w:eastAsia="Arial" w:hAnsi="Arial"/>
              <w:b w:val="0"/>
              <w:bCs w:val="0"/>
              <w:i w:val="0"/>
              <w:iCs w:val="0"/>
              <w:smallCaps w:val="0"/>
              <w:strike w:val="0"/>
              <w:color w:val="000000"/>
              <w:sz w:val="24"/>
              <w:szCs w:val="24"/>
              <w:u w:val="none"/>
              <w:shd w:fill="auto" w:val="clear"/>
              <w:vertAlign w:val="baseline"/>
            </w:rPr>
          </w:pPr>
          <w:hyperlink w:anchor="_uz3c63k4icqe">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1.2 Global Configuration of Nykaa</w:t>
              <w:tab/>
              <w:t xml:space="preserve">4</w:t>
            </w:r>
          </w:hyperlink>
          <w:r w:rsidDel="00000000" w:rsidR="00000000" w:rsidRPr="00000000">
            <w:rPr>
              <w:rtl w:val="0"/>
            </w:rPr>
          </w:r>
        </w:p>
        <w:p w:rsidR="00000000" w:rsidDel="00000000" w:rsidP="00000000" w:rsidRDefault="00000000" w:rsidRPr="00000000" w14:paraId="0000000F">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276" w:lineRule="auto"/>
            <w:ind w:left="0" w:right="0" w:firstLine="0"/>
            <w:jc w:val="left"/>
            <w:rPr>
              <w:rFonts w:ascii="Arial" w:cs="Arial" w:eastAsia="Arial" w:hAnsi="Arial"/>
              <w:b w:val="0"/>
              <w:bCs w:val="0"/>
              <w:i w:val="0"/>
              <w:iCs w:val="0"/>
              <w:smallCaps w:val="0"/>
              <w:strike w:val="0"/>
              <w:color w:val="000000"/>
              <w:sz w:val="24"/>
              <w:szCs w:val="24"/>
              <w:u w:val="none"/>
              <w:shd w:fill="auto" w:val="clear"/>
              <w:vertAlign w:val="baseline"/>
            </w:rPr>
          </w:pPr>
          <w:hyperlink w:anchor="_tmgo8sv7e2y">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2. Macro-Environmental Appraisal and Market Attractiveness</w:t>
              <w:tab/>
              <w:t xml:space="preserve">6</w:t>
            </w:r>
          </w:hyperlink>
          <w:r w:rsidDel="00000000" w:rsidR="00000000" w:rsidRPr="00000000">
            <w:rPr>
              <w:rtl w:val="0"/>
            </w:rPr>
          </w:r>
        </w:p>
        <w:p w:rsidR="00000000" w:rsidDel="00000000" w:rsidP="00000000" w:rsidRDefault="00000000" w:rsidRPr="00000000" w14:paraId="00000010">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276" w:lineRule="auto"/>
            <w:ind w:left="240" w:right="0" w:firstLine="0"/>
            <w:jc w:val="left"/>
            <w:rPr>
              <w:rFonts w:ascii="Arial" w:cs="Arial" w:eastAsia="Arial" w:hAnsi="Arial"/>
              <w:b w:val="0"/>
              <w:bCs w:val="0"/>
              <w:i w:val="0"/>
              <w:iCs w:val="0"/>
              <w:smallCaps w:val="0"/>
              <w:strike w:val="0"/>
              <w:color w:val="000000"/>
              <w:sz w:val="24"/>
              <w:szCs w:val="24"/>
              <w:u w:val="none"/>
              <w:shd w:fill="auto" w:val="clear"/>
              <w:vertAlign w:val="baseline"/>
            </w:rPr>
          </w:pPr>
          <w:hyperlink w:anchor="_634mn8lfwz28">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2.1 Political Environment</w:t>
              <w:tab/>
              <w:t xml:space="preserve">6</w:t>
            </w:r>
          </w:hyperlink>
          <w:r w:rsidDel="00000000" w:rsidR="00000000" w:rsidRPr="00000000">
            <w:rPr>
              <w:rtl w:val="0"/>
            </w:rPr>
          </w:r>
        </w:p>
        <w:p w:rsidR="00000000" w:rsidDel="00000000" w:rsidP="00000000" w:rsidRDefault="00000000" w:rsidRPr="00000000" w14:paraId="00000011">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276" w:lineRule="auto"/>
            <w:ind w:left="240" w:right="0" w:firstLine="0"/>
            <w:jc w:val="left"/>
            <w:rPr>
              <w:rFonts w:ascii="Arial" w:cs="Arial" w:eastAsia="Arial" w:hAnsi="Arial"/>
              <w:b w:val="0"/>
              <w:bCs w:val="0"/>
              <w:i w:val="0"/>
              <w:iCs w:val="0"/>
              <w:smallCaps w:val="0"/>
              <w:strike w:val="0"/>
              <w:color w:val="000000"/>
              <w:sz w:val="24"/>
              <w:szCs w:val="24"/>
              <w:u w:val="none"/>
              <w:shd w:fill="auto" w:val="clear"/>
              <w:vertAlign w:val="baseline"/>
            </w:rPr>
          </w:pPr>
          <w:hyperlink w:anchor="_mhxaznoa8qw">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2.2 Economic</w:t>
              <w:tab/>
              <w:t xml:space="preserve">7</w:t>
            </w:r>
          </w:hyperlink>
          <w:r w:rsidDel="00000000" w:rsidR="00000000" w:rsidRPr="00000000">
            <w:rPr>
              <w:rtl w:val="0"/>
            </w:rPr>
          </w:r>
        </w:p>
        <w:p w:rsidR="00000000" w:rsidDel="00000000" w:rsidP="00000000" w:rsidRDefault="00000000" w:rsidRPr="00000000" w14:paraId="00000012">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276" w:lineRule="auto"/>
            <w:ind w:left="240" w:right="0" w:firstLine="0"/>
            <w:jc w:val="left"/>
            <w:rPr>
              <w:rFonts w:ascii="Arial" w:cs="Arial" w:eastAsia="Arial" w:hAnsi="Arial"/>
              <w:b w:val="0"/>
              <w:bCs w:val="0"/>
              <w:i w:val="0"/>
              <w:iCs w:val="0"/>
              <w:smallCaps w:val="0"/>
              <w:strike w:val="0"/>
              <w:color w:val="000000"/>
              <w:sz w:val="24"/>
              <w:szCs w:val="24"/>
              <w:u w:val="none"/>
              <w:shd w:fill="auto" w:val="clear"/>
              <w:vertAlign w:val="baseline"/>
            </w:rPr>
          </w:pPr>
          <w:hyperlink w:anchor="_9q23d6az9x35">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2.3 Legal Environment</w:t>
              <w:tab/>
              <w:t xml:space="preserve">8</w:t>
            </w:r>
          </w:hyperlink>
          <w:r w:rsidDel="00000000" w:rsidR="00000000" w:rsidRPr="00000000">
            <w:rPr>
              <w:rtl w:val="0"/>
            </w:rPr>
          </w:r>
        </w:p>
        <w:p w:rsidR="00000000" w:rsidDel="00000000" w:rsidP="00000000" w:rsidRDefault="00000000" w:rsidRPr="00000000" w14:paraId="00000013">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276" w:lineRule="auto"/>
            <w:ind w:left="240" w:right="0" w:firstLine="0"/>
            <w:jc w:val="left"/>
            <w:rPr>
              <w:rFonts w:ascii="Arial" w:cs="Arial" w:eastAsia="Arial" w:hAnsi="Arial"/>
              <w:b w:val="0"/>
              <w:bCs w:val="0"/>
              <w:i w:val="0"/>
              <w:iCs w:val="0"/>
              <w:smallCaps w:val="0"/>
              <w:strike w:val="0"/>
              <w:color w:val="000000"/>
              <w:sz w:val="24"/>
              <w:szCs w:val="24"/>
              <w:u w:val="none"/>
              <w:shd w:fill="auto" w:val="clear"/>
              <w:vertAlign w:val="baseline"/>
            </w:rPr>
          </w:pPr>
          <w:hyperlink w:anchor="_8dcp34fic5sz">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2.4 Cultural Environment</w:t>
              <w:tab/>
              <w:t xml:space="preserve">9</w:t>
            </w:r>
          </w:hyperlink>
          <w:r w:rsidDel="00000000" w:rsidR="00000000" w:rsidRPr="00000000">
            <w:rPr>
              <w:rtl w:val="0"/>
            </w:rPr>
          </w:r>
        </w:p>
        <w:p w:rsidR="00000000" w:rsidDel="00000000" w:rsidP="00000000" w:rsidRDefault="00000000" w:rsidRPr="00000000" w14:paraId="00000014">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276" w:lineRule="auto"/>
            <w:ind w:left="240" w:right="0" w:firstLine="0"/>
            <w:jc w:val="left"/>
            <w:rPr>
              <w:rFonts w:ascii="Arial" w:cs="Arial" w:eastAsia="Arial" w:hAnsi="Arial"/>
              <w:b w:val="0"/>
              <w:bCs w:val="0"/>
              <w:i w:val="0"/>
              <w:iCs w:val="0"/>
              <w:smallCaps w:val="0"/>
              <w:strike w:val="0"/>
              <w:color w:val="000000"/>
              <w:sz w:val="24"/>
              <w:szCs w:val="24"/>
              <w:u w:val="none"/>
              <w:shd w:fill="auto" w:val="clear"/>
              <w:vertAlign w:val="baseline"/>
            </w:rPr>
          </w:pPr>
          <w:hyperlink w:anchor="_b40gzptnz92p">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2.5 Porter Diamond Model</w:t>
              <w:tab/>
              <w:t xml:space="preserve">10</w:t>
            </w:r>
          </w:hyperlink>
          <w:r w:rsidDel="00000000" w:rsidR="00000000" w:rsidRPr="00000000">
            <w:rPr>
              <w:rtl w:val="0"/>
            </w:rPr>
          </w:r>
        </w:p>
        <w:p w:rsidR="00000000" w:rsidDel="00000000" w:rsidP="00000000" w:rsidRDefault="00000000" w:rsidRPr="00000000" w14:paraId="00000015">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276" w:lineRule="auto"/>
            <w:ind w:left="240" w:right="0" w:firstLine="0"/>
            <w:jc w:val="left"/>
            <w:rPr>
              <w:rFonts w:ascii="Arial" w:cs="Arial" w:eastAsia="Arial" w:hAnsi="Arial"/>
              <w:b w:val="0"/>
              <w:bCs w:val="0"/>
              <w:i w:val="0"/>
              <w:iCs w:val="0"/>
              <w:smallCaps w:val="0"/>
              <w:strike w:val="0"/>
              <w:color w:val="000000"/>
              <w:sz w:val="24"/>
              <w:szCs w:val="24"/>
              <w:u w:val="none"/>
              <w:shd w:fill="auto" w:val="clear"/>
              <w:vertAlign w:val="baseline"/>
            </w:rPr>
          </w:pPr>
          <w:hyperlink w:anchor="_2i0al4sgxg7i">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2.6 Market Attractiveness Evaluation</w:t>
              <w:tab/>
              <w:t xml:space="preserve">13</w:t>
            </w:r>
          </w:hyperlink>
          <w:r w:rsidDel="00000000" w:rsidR="00000000" w:rsidRPr="00000000">
            <w:rPr>
              <w:rtl w:val="0"/>
            </w:rPr>
          </w:r>
        </w:p>
        <w:p w:rsidR="00000000" w:rsidDel="00000000" w:rsidP="00000000" w:rsidRDefault="00000000" w:rsidRPr="00000000" w14:paraId="00000016">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276" w:lineRule="auto"/>
            <w:ind w:left="240" w:right="0" w:firstLine="0"/>
            <w:jc w:val="left"/>
            <w:rPr>
              <w:rFonts w:ascii="Arial" w:cs="Arial" w:eastAsia="Arial" w:hAnsi="Arial"/>
              <w:b w:val="0"/>
              <w:bCs w:val="0"/>
              <w:i w:val="0"/>
              <w:iCs w:val="0"/>
              <w:smallCaps w:val="0"/>
              <w:strike w:val="0"/>
              <w:color w:val="000000"/>
              <w:sz w:val="24"/>
              <w:szCs w:val="24"/>
              <w:u w:val="none"/>
              <w:shd w:fill="auto" w:val="clear"/>
              <w:vertAlign w:val="baseline"/>
            </w:rPr>
          </w:pPr>
          <w:hyperlink w:anchor="_k5ha36bkit3z">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2.7 OLI (Eclectic Paradigm) Framework</w:t>
              <w:tab/>
              <w:t xml:space="preserve">15</w:t>
            </w:r>
          </w:hyperlink>
          <w:r w:rsidDel="00000000" w:rsidR="00000000" w:rsidRPr="00000000">
            <w:rPr>
              <w:rtl w:val="0"/>
            </w:rPr>
          </w:r>
        </w:p>
        <w:p w:rsidR="00000000" w:rsidDel="00000000" w:rsidP="00000000" w:rsidRDefault="00000000" w:rsidRPr="00000000" w14:paraId="00000017">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276" w:lineRule="auto"/>
            <w:ind w:left="0" w:right="0" w:firstLine="0"/>
            <w:jc w:val="left"/>
            <w:rPr>
              <w:rFonts w:ascii="Arial" w:cs="Arial" w:eastAsia="Arial" w:hAnsi="Arial"/>
              <w:b w:val="0"/>
              <w:bCs w:val="0"/>
              <w:i w:val="0"/>
              <w:iCs w:val="0"/>
              <w:smallCaps w:val="0"/>
              <w:strike w:val="0"/>
              <w:color w:val="000000"/>
              <w:sz w:val="24"/>
              <w:szCs w:val="24"/>
              <w:u w:val="none"/>
              <w:shd w:fill="auto" w:val="clear"/>
              <w:vertAlign w:val="baseline"/>
            </w:rPr>
          </w:pPr>
          <w:hyperlink w:anchor="_jn97jqdg956s">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3. Entry Mode Strategy and Strategic Synthesis</w:t>
              <w:tab/>
              <w:t xml:space="preserve">17</w:t>
            </w:r>
          </w:hyperlink>
          <w:r w:rsidDel="00000000" w:rsidR="00000000" w:rsidRPr="00000000">
            <w:rPr>
              <w:rtl w:val="0"/>
            </w:rPr>
          </w:r>
        </w:p>
        <w:p w:rsidR="00000000" w:rsidDel="00000000" w:rsidP="00000000" w:rsidRDefault="00000000" w:rsidRPr="00000000" w14:paraId="00000018">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276" w:lineRule="auto"/>
            <w:ind w:left="240" w:right="0" w:firstLine="0"/>
            <w:jc w:val="left"/>
            <w:rPr>
              <w:rFonts w:ascii="Arial" w:cs="Arial" w:eastAsia="Arial" w:hAnsi="Arial"/>
              <w:b w:val="0"/>
              <w:bCs w:val="0"/>
              <w:i w:val="0"/>
              <w:iCs w:val="0"/>
              <w:smallCaps w:val="0"/>
              <w:strike w:val="0"/>
              <w:color w:val="000000"/>
              <w:sz w:val="24"/>
              <w:szCs w:val="24"/>
              <w:u w:val="none"/>
              <w:shd w:fill="auto" w:val="clear"/>
              <w:vertAlign w:val="baseline"/>
            </w:rPr>
          </w:pPr>
          <w:hyperlink w:anchor="_c5w8gzgy3fi0">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3.1 Historical Pattern Recognition</w:t>
              <w:tab/>
              <w:t xml:space="preserve">17</w:t>
            </w:r>
          </w:hyperlink>
          <w:r w:rsidDel="00000000" w:rsidR="00000000" w:rsidRPr="00000000">
            <w:rPr>
              <w:rtl w:val="0"/>
            </w:rPr>
          </w:r>
        </w:p>
        <w:p w:rsidR="00000000" w:rsidDel="00000000" w:rsidP="00000000" w:rsidRDefault="00000000" w:rsidRPr="00000000" w14:paraId="00000019">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276" w:lineRule="auto"/>
            <w:ind w:left="240" w:right="0" w:firstLine="0"/>
            <w:jc w:val="left"/>
            <w:rPr>
              <w:rFonts w:ascii="Arial" w:cs="Arial" w:eastAsia="Arial" w:hAnsi="Arial"/>
              <w:b w:val="0"/>
              <w:bCs w:val="0"/>
              <w:i w:val="0"/>
              <w:iCs w:val="0"/>
              <w:smallCaps w:val="0"/>
              <w:strike w:val="0"/>
              <w:color w:val="000000"/>
              <w:sz w:val="24"/>
              <w:szCs w:val="24"/>
              <w:u w:val="none"/>
              <w:shd w:fill="auto" w:val="clear"/>
              <w:vertAlign w:val="baseline"/>
            </w:rPr>
          </w:pPr>
          <w:hyperlink w:anchor="_3f631u9wflrq">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3.2 Possible Entry Modes</w:t>
              <w:tab/>
              <w:t xml:space="preserve">18</w:t>
            </w:r>
          </w:hyperlink>
          <w:r w:rsidDel="00000000" w:rsidR="00000000" w:rsidRPr="00000000">
            <w:rPr>
              <w:rtl w:val="0"/>
            </w:rPr>
          </w:r>
        </w:p>
        <w:p w:rsidR="00000000" w:rsidDel="00000000" w:rsidP="00000000" w:rsidRDefault="00000000" w:rsidRPr="00000000" w14:paraId="0000001A">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276" w:lineRule="auto"/>
            <w:ind w:left="240" w:right="0" w:firstLine="0"/>
            <w:jc w:val="left"/>
            <w:rPr>
              <w:rFonts w:ascii="Arial" w:cs="Arial" w:eastAsia="Arial" w:hAnsi="Arial"/>
              <w:b w:val="0"/>
              <w:bCs w:val="0"/>
              <w:i w:val="0"/>
              <w:iCs w:val="0"/>
              <w:smallCaps w:val="0"/>
              <w:strike w:val="0"/>
              <w:color w:val="000000"/>
              <w:sz w:val="24"/>
              <w:szCs w:val="24"/>
              <w:u w:val="none"/>
              <w:shd w:fill="auto" w:val="clear"/>
              <w:vertAlign w:val="baseline"/>
            </w:rPr>
          </w:pPr>
          <w:hyperlink w:anchor="_tociwxncvta6">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3.3 Strategic Fit Analysis</w:t>
              <w:tab/>
              <w:t xml:space="preserve">19</w:t>
            </w:r>
          </w:hyperlink>
          <w:r w:rsidDel="00000000" w:rsidR="00000000" w:rsidRPr="00000000">
            <w:rPr>
              <w:rtl w:val="0"/>
            </w:rPr>
          </w:r>
        </w:p>
        <w:p w:rsidR="00000000" w:rsidDel="00000000" w:rsidP="00000000" w:rsidRDefault="00000000" w:rsidRPr="00000000" w14:paraId="0000001B">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276" w:lineRule="auto"/>
            <w:ind w:left="240" w:right="0" w:firstLine="0"/>
            <w:jc w:val="left"/>
            <w:rPr>
              <w:rFonts w:ascii="Arial" w:cs="Arial" w:eastAsia="Arial" w:hAnsi="Arial"/>
              <w:b w:val="0"/>
              <w:bCs w:val="0"/>
              <w:i w:val="0"/>
              <w:iCs w:val="0"/>
              <w:smallCaps w:val="0"/>
              <w:strike w:val="0"/>
              <w:color w:val="000000"/>
              <w:sz w:val="24"/>
              <w:szCs w:val="24"/>
              <w:u w:val="none"/>
              <w:shd w:fill="auto" w:val="clear"/>
              <w:vertAlign w:val="baseline"/>
            </w:rPr>
          </w:pPr>
          <w:hyperlink w:anchor="_upc6l88vzh18">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3.4 Recommended Entry Strategy</w:t>
              <w:tab/>
              <w:t xml:space="preserve">21</w:t>
            </w:r>
          </w:hyperlink>
          <w:r w:rsidDel="00000000" w:rsidR="00000000" w:rsidRPr="00000000">
            <w:rPr>
              <w:rtl w:val="0"/>
            </w:rPr>
          </w:r>
        </w:p>
        <w:p w:rsidR="00000000" w:rsidDel="00000000" w:rsidP="00000000" w:rsidRDefault="00000000" w:rsidRPr="00000000" w14:paraId="0000001C">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276" w:lineRule="auto"/>
            <w:ind w:left="0" w:right="0" w:firstLine="0"/>
            <w:jc w:val="left"/>
            <w:rPr>
              <w:rFonts w:ascii="Arial" w:cs="Arial" w:eastAsia="Arial" w:hAnsi="Arial"/>
              <w:b w:val="0"/>
              <w:bCs w:val="0"/>
              <w:i w:val="0"/>
              <w:iCs w:val="0"/>
              <w:smallCaps w:val="0"/>
              <w:strike w:val="0"/>
              <w:color w:val="000000"/>
              <w:sz w:val="24"/>
              <w:szCs w:val="24"/>
              <w:u w:val="none"/>
              <w:shd w:fill="auto" w:val="clear"/>
              <w:vertAlign w:val="baseline"/>
            </w:rPr>
          </w:pPr>
          <w:hyperlink w:anchor="_6d9loj63i08">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Section 2: Reflective Account (Gibbs Reflective Cycle)</w:t>
              <w:tab/>
              <w:t xml:space="preserve">22</w:t>
            </w:r>
          </w:hyperlink>
          <w:r w:rsidDel="00000000" w:rsidR="00000000" w:rsidRPr="00000000">
            <w:rPr>
              <w:rtl w:val="0"/>
            </w:rPr>
          </w:r>
        </w:p>
        <w:p w:rsidR="00000000" w:rsidDel="00000000" w:rsidP="00000000" w:rsidRDefault="00000000" w:rsidRPr="00000000" w14:paraId="0000001D">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276" w:lineRule="auto"/>
            <w:ind w:left="240" w:right="0" w:firstLine="0"/>
            <w:jc w:val="left"/>
            <w:rPr>
              <w:rFonts w:ascii="Arial" w:cs="Arial" w:eastAsia="Arial" w:hAnsi="Arial"/>
              <w:b w:val="0"/>
              <w:bCs w:val="0"/>
              <w:i w:val="0"/>
              <w:iCs w:val="0"/>
              <w:smallCaps w:val="0"/>
              <w:strike w:val="0"/>
              <w:color w:val="000000"/>
              <w:sz w:val="24"/>
              <w:szCs w:val="24"/>
              <w:u w:val="none"/>
              <w:shd w:fill="auto" w:val="clear"/>
              <w:vertAlign w:val="baseline"/>
            </w:rPr>
          </w:pPr>
          <w:hyperlink w:anchor="_cwatolm2pu1x">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Description</w:t>
              <w:tab/>
              <w:t xml:space="preserve">23</w:t>
            </w:r>
          </w:hyperlink>
          <w:r w:rsidDel="00000000" w:rsidR="00000000" w:rsidRPr="00000000">
            <w:rPr>
              <w:rtl w:val="0"/>
            </w:rPr>
          </w:r>
        </w:p>
        <w:p w:rsidR="00000000" w:rsidDel="00000000" w:rsidP="00000000" w:rsidRDefault="00000000" w:rsidRPr="00000000" w14:paraId="0000001E">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276" w:lineRule="auto"/>
            <w:ind w:left="240" w:right="0" w:firstLine="0"/>
            <w:jc w:val="left"/>
            <w:rPr>
              <w:rFonts w:ascii="Arial" w:cs="Arial" w:eastAsia="Arial" w:hAnsi="Arial"/>
              <w:b w:val="0"/>
              <w:bCs w:val="0"/>
              <w:i w:val="0"/>
              <w:iCs w:val="0"/>
              <w:smallCaps w:val="0"/>
              <w:strike w:val="0"/>
              <w:color w:val="000000"/>
              <w:sz w:val="24"/>
              <w:szCs w:val="24"/>
              <w:u w:val="none"/>
              <w:shd w:fill="auto" w:val="clear"/>
              <w:vertAlign w:val="baseline"/>
            </w:rPr>
          </w:pPr>
          <w:hyperlink w:anchor="_kpt1zt9p0oef">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Feelings</w:t>
              <w:tab/>
              <w:t xml:space="preserve">23</w:t>
            </w:r>
          </w:hyperlink>
          <w:r w:rsidDel="00000000" w:rsidR="00000000" w:rsidRPr="00000000">
            <w:rPr>
              <w:rtl w:val="0"/>
            </w:rPr>
          </w:r>
        </w:p>
        <w:p w:rsidR="00000000" w:rsidDel="00000000" w:rsidP="00000000" w:rsidRDefault="00000000" w:rsidRPr="00000000" w14:paraId="0000001F">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276" w:lineRule="auto"/>
            <w:ind w:left="240" w:right="0" w:firstLine="0"/>
            <w:jc w:val="left"/>
            <w:rPr>
              <w:rFonts w:ascii="Arial" w:cs="Arial" w:eastAsia="Arial" w:hAnsi="Arial"/>
              <w:b w:val="0"/>
              <w:bCs w:val="0"/>
              <w:i w:val="0"/>
              <w:iCs w:val="0"/>
              <w:smallCaps w:val="0"/>
              <w:strike w:val="0"/>
              <w:color w:val="000000"/>
              <w:sz w:val="24"/>
              <w:szCs w:val="24"/>
              <w:u w:val="none"/>
              <w:shd w:fill="auto" w:val="clear"/>
              <w:vertAlign w:val="baseline"/>
            </w:rPr>
          </w:pPr>
          <w:hyperlink w:anchor="_h8hhix4dbm2e">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Evaluation</w:t>
              <w:tab/>
              <w:t xml:space="preserve">23</w:t>
            </w:r>
          </w:hyperlink>
          <w:r w:rsidDel="00000000" w:rsidR="00000000" w:rsidRPr="00000000">
            <w:rPr>
              <w:rtl w:val="0"/>
            </w:rPr>
          </w:r>
        </w:p>
        <w:p w:rsidR="00000000" w:rsidDel="00000000" w:rsidP="00000000" w:rsidRDefault="00000000" w:rsidRPr="00000000" w14:paraId="00000020">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276" w:lineRule="auto"/>
            <w:ind w:left="240" w:right="0" w:firstLine="0"/>
            <w:jc w:val="left"/>
            <w:rPr>
              <w:rFonts w:ascii="Arial" w:cs="Arial" w:eastAsia="Arial" w:hAnsi="Arial"/>
              <w:b w:val="0"/>
              <w:bCs w:val="0"/>
              <w:i w:val="0"/>
              <w:iCs w:val="0"/>
              <w:smallCaps w:val="0"/>
              <w:strike w:val="0"/>
              <w:color w:val="000000"/>
              <w:sz w:val="24"/>
              <w:szCs w:val="24"/>
              <w:u w:val="none"/>
              <w:shd w:fill="auto" w:val="clear"/>
              <w:vertAlign w:val="baseline"/>
            </w:rPr>
          </w:pPr>
          <w:hyperlink w:anchor="_y5ohphdvhxyp">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Analysis</w:t>
              <w:tab/>
              <w:t xml:space="preserve">24</w:t>
            </w:r>
          </w:hyperlink>
          <w:r w:rsidDel="00000000" w:rsidR="00000000" w:rsidRPr="00000000">
            <w:rPr>
              <w:rtl w:val="0"/>
            </w:rPr>
          </w:r>
        </w:p>
        <w:p w:rsidR="00000000" w:rsidDel="00000000" w:rsidP="00000000" w:rsidRDefault="00000000" w:rsidRPr="00000000" w14:paraId="00000021">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276" w:lineRule="auto"/>
            <w:ind w:left="240" w:right="0" w:firstLine="0"/>
            <w:jc w:val="left"/>
            <w:rPr>
              <w:rFonts w:ascii="Arial" w:cs="Arial" w:eastAsia="Arial" w:hAnsi="Arial"/>
              <w:b w:val="0"/>
              <w:bCs w:val="0"/>
              <w:i w:val="0"/>
              <w:iCs w:val="0"/>
              <w:smallCaps w:val="0"/>
              <w:strike w:val="0"/>
              <w:color w:val="000000"/>
              <w:sz w:val="24"/>
              <w:szCs w:val="24"/>
              <w:u w:val="none"/>
              <w:shd w:fill="auto" w:val="clear"/>
              <w:vertAlign w:val="baseline"/>
            </w:rPr>
          </w:pPr>
          <w:hyperlink w:anchor="_dbog3s50p25y">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Conclusion</w:t>
              <w:tab/>
              <w:t xml:space="preserve">24</w:t>
            </w:r>
          </w:hyperlink>
          <w:r w:rsidDel="00000000" w:rsidR="00000000" w:rsidRPr="00000000">
            <w:rPr>
              <w:rtl w:val="0"/>
            </w:rPr>
          </w:r>
        </w:p>
        <w:p w:rsidR="00000000" w:rsidDel="00000000" w:rsidP="00000000" w:rsidRDefault="00000000" w:rsidRPr="00000000" w14:paraId="00000022">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276" w:lineRule="auto"/>
            <w:ind w:left="240" w:right="0" w:firstLine="0"/>
            <w:jc w:val="left"/>
            <w:rPr>
              <w:rFonts w:ascii="Arial" w:cs="Arial" w:eastAsia="Arial" w:hAnsi="Arial"/>
              <w:b w:val="0"/>
              <w:bCs w:val="0"/>
              <w:i w:val="0"/>
              <w:iCs w:val="0"/>
              <w:smallCaps w:val="0"/>
              <w:strike w:val="0"/>
              <w:color w:val="000000"/>
              <w:sz w:val="24"/>
              <w:szCs w:val="24"/>
              <w:u w:val="none"/>
              <w:shd w:fill="auto" w:val="clear"/>
              <w:vertAlign w:val="baseline"/>
            </w:rPr>
          </w:pPr>
          <w:hyperlink w:anchor="_1rfs0sgevfyk">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Action Plan</w:t>
              <w:tab/>
              <w:t xml:space="preserve">24</w:t>
            </w:r>
          </w:hyperlink>
          <w:r w:rsidDel="00000000" w:rsidR="00000000" w:rsidRPr="00000000">
            <w:rPr>
              <w:rtl w:val="0"/>
            </w:rPr>
          </w:r>
        </w:p>
        <w:p w:rsidR="00000000" w:rsidDel="00000000" w:rsidP="00000000" w:rsidRDefault="00000000" w:rsidRPr="00000000" w14:paraId="00000023">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276" w:lineRule="auto"/>
            <w:ind w:left="0" w:right="0" w:firstLine="0"/>
            <w:jc w:val="left"/>
            <w:rPr>
              <w:rFonts w:ascii="Arial" w:cs="Arial" w:eastAsia="Arial" w:hAnsi="Arial"/>
              <w:b w:val="0"/>
              <w:bCs w:val="0"/>
              <w:i w:val="0"/>
              <w:iCs w:val="0"/>
              <w:smallCaps w:val="0"/>
              <w:strike w:val="0"/>
              <w:color w:val="000000"/>
              <w:sz w:val="24"/>
              <w:szCs w:val="24"/>
              <w:u w:val="none"/>
              <w:shd w:fill="auto" w:val="clear"/>
              <w:vertAlign w:val="baseline"/>
            </w:rPr>
          </w:pPr>
          <w:hyperlink w:anchor="_wzhhzwqicu74">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References</w:t>
              <w:tab/>
              <w:t xml:space="preserve">26</w:t>
            </w:r>
          </w:hyperlink>
          <w:r w:rsidDel="00000000" w:rsidR="00000000" w:rsidRPr="00000000">
            <w:rPr>
              <w:rtl w:val="0"/>
            </w:rPr>
          </w:r>
        </w:p>
        <w:p w:rsidR="00000000" w:rsidDel="00000000" w:rsidP="00000000" w:rsidRDefault="00000000" w:rsidRPr="00000000" w14:paraId="00000024">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276" w:lineRule="auto"/>
            <w:ind w:left="0" w:right="0" w:firstLine="0"/>
            <w:jc w:val="left"/>
            <w:rPr>
              <w:rFonts w:ascii="Arial" w:cs="Arial" w:eastAsia="Arial" w:hAnsi="Arial"/>
              <w:b w:val="0"/>
              <w:bCs w:val="0"/>
              <w:i w:val="0"/>
              <w:iCs w:val="0"/>
              <w:smallCaps w:val="0"/>
              <w:strike w:val="0"/>
              <w:color w:val="000000"/>
              <w:sz w:val="24"/>
              <w:szCs w:val="24"/>
              <w:u w:val="none"/>
              <w:shd w:fill="auto" w:val="clear"/>
              <w:vertAlign w:val="baseline"/>
            </w:rPr>
          </w:pPr>
          <w:hyperlink w:anchor="_xz92b1o9jnei">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Appendixes</w:t>
              <w:tab/>
              <w:t xml:space="preserve">33</w:t>
            </w:r>
          </w:hyperlink>
          <w:r w:rsidDel="00000000" w:rsidR="00000000" w:rsidRPr="00000000">
            <w:rPr>
              <w:rtl w:val="0"/>
            </w:rPr>
          </w:r>
        </w:p>
        <w:p w:rsidR="00000000" w:rsidDel="00000000" w:rsidP="00000000" w:rsidRDefault="00000000" w:rsidRPr="00000000" w14:paraId="00000025">
          <w:pPr>
            <w:spacing w:line="276" w:lineRule="auto"/>
            <w:rPr>
              <w:rFonts w:ascii="Arial" w:cs="Arial" w:eastAsia="Arial" w:hAnsi="Arial"/>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26">
      <w:pPr>
        <w:pStyle w:val="Heading1"/>
        <w:spacing w:line="360" w:lineRule="auto"/>
        <w:rPr/>
      </w:pPr>
      <w:bookmarkStart w:colFirst="0" w:colLast="0" w:name="_91u1cxqpxuyk" w:id="0"/>
      <w:bookmarkEnd w:id="0"/>
      <w:r w:rsidDel="00000000" w:rsidR="00000000" w:rsidRPr="00000000">
        <w:br w:type="page"/>
      </w:r>
      <w:r w:rsidDel="00000000" w:rsidR="00000000" w:rsidRPr="00000000">
        <w:rPr>
          <w:rtl w:val="0"/>
        </w:rPr>
      </w:r>
    </w:p>
    <w:p w:rsidR="00000000" w:rsidDel="00000000" w:rsidP="00000000" w:rsidRDefault="00000000" w:rsidRPr="00000000" w14:paraId="00000027">
      <w:pPr>
        <w:pStyle w:val="Heading1"/>
        <w:spacing w:line="360" w:lineRule="auto"/>
        <w:rPr/>
      </w:pPr>
      <w:bookmarkStart w:colFirst="0" w:colLast="0" w:name="_ubu02ixfngod" w:id="1"/>
      <w:bookmarkEnd w:id="1"/>
      <w:r w:rsidDel="00000000" w:rsidR="00000000" w:rsidRPr="00000000">
        <w:rPr>
          <w:rtl w:val="0"/>
        </w:rPr>
        <w:t xml:space="preserve">Section 1: Strategic Analysis of Nykaa's International Expansion into Estonia</w:t>
      </w:r>
    </w:p>
    <w:p w:rsidR="00000000" w:rsidDel="00000000" w:rsidP="00000000" w:rsidRDefault="00000000" w:rsidRPr="00000000" w14:paraId="00000028">
      <w:pPr>
        <w:pStyle w:val="Heading1"/>
        <w:spacing w:line="360" w:lineRule="auto"/>
        <w:rPr/>
      </w:pPr>
      <w:bookmarkStart w:colFirst="0" w:colLast="0" w:name="_tt7tot29vx3a" w:id="2"/>
      <w:bookmarkEnd w:id="2"/>
      <w:r w:rsidDel="00000000" w:rsidR="00000000" w:rsidRPr="00000000">
        <w:rPr>
          <w:rtl w:val="0"/>
        </w:rPr>
        <w:t xml:space="preserve">1. Organizational Classification and Global Strategy</w:t>
      </w:r>
    </w:p>
    <w:p w:rsidR="00000000" w:rsidDel="00000000" w:rsidP="00000000" w:rsidRDefault="00000000" w:rsidRPr="00000000" w14:paraId="00000029">
      <w:pPr>
        <w:pStyle w:val="Heading2"/>
        <w:spacing w:line="360" w:lineRule="auto"/>
        <w:rPr/>
      </w:pPr>
      <w:bookmarkStart w:colFirst="0" w:colLast="0" w:name="_3aohny9udd8v" w:id="3"/>
      <w:bookmarkEnd w:id="3"/>
      <w:r w:rsidDel="00000000" w:rsidR="00000000" w:rsidRPr="00000000">
        <w:rPr>
          <w:rtl w:val="0"/>
        </w:rPr>
        <w:t xml:space="preserve">1.1 Strategic Categorisation Using Bartlett and Ghoshal's Model</w:t>
      </w:r>
    </w:p>
    <w:p w:rsidR="00000000" w:rsidDel="00000000" w:rsidP="00000000" w:rsidRDefault="00000000" w:rsidRPr="00000000" w14:paraId="0000002A">
      <w:pPr>
        <w:spacing w:line="360" w:lineRule="auto"/>
        <w:jc w:val="both"/>
        <w:rPr>
          <w:rFonts w:ascii="Arial" w:cs="Arial" w:eastAsia="Arial" w:hAnsi="Arial"/>
        </w:rPr>
      </w:pPr>
      <w:r w:rsidDel="00000000" w:rsidR="00000000" w:rsidRPr="00000000">
        <w:rPr>
          <w:rFonts w:ascii="Arial" w:cs="Arial" w:eastAsia="Arial" w:hAnsi="Arial"/>
          <w:rtl w:val="0"/>
        </w:rPr>
        <w:t xml:space="preserve">The international expansion strategy of Nykaa can be analysed with the framework proposed by Bartlett and Ghoshal and it can be seen that there are various strategies that can be employed to enter Estonia's competitive retail market refer in figure 1.</w:t>
      </w:r>
    </w:p>
    <w:p w:rsidR="00000000" w:rsidDel="00000000" w:rsidP="00000000" w:rsidRDefault="00000000" w:rsidRPr="00000000" w14:paraId="0000002B">
      <w:pPr>
        <w:spacing w:line="360" w:lineRule="auto"/>
        <w:jc w:val="center"/>
        <w:rPr>
          <w:rFonts w:ascii="Arial" w:cs="Arial" w:eastAsia="Arial" w:hAnsi="Arial"/>
        </w:rPr>
      </w:pPr>
      <w:r w:rsidDel="00000000" w:rsidR="00000000" w:rsidRPr="00000000">
        <w:rPr>
          <w:rFonts w:ascii="Arial" w:cs="Arial" w:eastAsia="Arial" w:hAnsi="Arial"/>
        </w:rPr>
        <w:drawing>
          <wp:inline distB="0" distT="0" distL="0" distR="0">
            <wp:extent cx="3738171" cy="3282581"/>
            <wp:effectExtent b="0" l="0" r="0" t="0"/>
            <wp:docPr id="9" name="image18.png"/>
            <a:graphic>
              <a:graphicData uri="http://schemas.openxmlformats.org/drawingml/2006/picture">
                <pic:pic>
                  <pic:nvPicPr>
                    <pic:cNvPr id="0" name="image18.png"/>
                    <pic:cNvPicPr preferRelativeResize="0"/>
                  </pic:nvPicPr>
                  <pic:blipFill>
                    <a:blip r:embed="rId11"/>
                    <a:srcRect b="0" l="0" r="0" t="0"/>
                    <a:stretch>
                      <a:fillRect/>
                    </a:stretch>
                  </pic:blipFill>
                  <pic:spPr>
                    <a:xfrm>
                      <a:off x="0" y="0"/>
                      <a:ext cx="3738171" cy="3282581"/>
                    </a:xfrm>
                    <a:prstGeom prst="rect"/>
                    <a:ln/>
                  </pic:spPr>
                </pic:pic>
              </a:graphicData>
            </a:graphic>
          </wp:inline>
        </w:drawing>
      </w:r>
      <w:r w:rsidDel="00000000" w:rsidR="00000000" w:rsidRPr="00000000">
        <w:rPr>
          <w:rtl w:val="0"/>
        </w:rPr>
      </w:r>
    </w:p>
    <w:p w:rsidR="00000000" w:rsidDel="00000000" w:rsidP="00000000" w:rsidRDefault="00000000" w:rsidRPr="00000000" w14:paraId="0000002C">
      <w:pPr>
        <w:spacing w:line="360" w:lineRule="auto"/>
        <w:jc w:val="center"/>
        <w:rPr>
          <w:rFonts w:ascii="Arial" w:cs="Arial" w:eastAsia="Arial" w:hAnsi="Arial"/>
          <w:b w:val="1"/>
          <w:bCs w:val="1"/>
          <w:i w:val="1"/>
          <w:iCs w:val="1"/>
        </w:rPr>
      </w:pPr>
      <w:r w:rsidDel="00000000" w:rsidR="00000000" w:rsidRPr="00000000">
        <w:rPr>
          <w:rFonts w:ascii="Arial" w:cs="Arial" w:eastAsia="Arial" w:hAnsi="Arial"/>
          <w:b w:val="1"/>
          <w:bCs w:val="1"/>
          <w:i w:val="1"/>
          <w:iCs w:val="1"/>
          <w:rtl w:val="0"/>
        </w:rPr>
        <w:t xml:space="preserve">Figure 1:</w:t>
      </w:r>
      <w:r w:rsidDel="00000000" w:rsidR="00000000" w:rsidRPr="00000000">
        <w:rPr>
          <w:b w:val="1"/>
          <w:bCs w:val="1"/>
          <w:i w:val="1"/>
          <w:iCs w:val="1"/>
          <w:rtl w:val="0"/>
        </w:rPr>
        <w:t xml:space="preserve"> </w:t>
      </w:r>
      <w:r w:rsidDel="00000000" w:rsidR="00000000" w:rsidRPr="00000000">
        <w:rPr>
          <w:rFonts w:ascii="Arial" w:cs="Arial" w:eastAsia="Arial" w:hAnsi="Arial"/>
          <w:b w:val="1"/>
          <w:bCs w:val="1"/>
          <w:i w:val="1"/>
          <w:iCs w:val="1"/>
          <w:rtl w:val="0"/>
        </w:rPr>
        <w:t xml:space="preserve">Bartlett and Ghoshal's Model</w:t>
      </w:r>
    </w:p>
    <w:p w:rsidR="00000000" w:rsidDel="00000000" w:rsidP="00000000" w:rsidRDefault="00000000" w:rsidRPr="00000000" w14:paraId="0000002D">
      <w:pPr>
        <w:spacing w:line="360" w:lineRule="auto"/>
        <w:jc w:val="center"/>
        <w:rPr>
          <w:rFonts w:ascii="Arial" w:cs="Arial" w:eastAsia="Arial" w:hAnsi="Arial"/>
        </w:rPr>
      </w:pPr>
      <w:r w:rsidDel="00000000" w:rsidR="00000000" w:rsidRPr="00000000">
        <w:rPr>
          <w:rFonts w:ascii="Arial" w:cs="Arial" w:eastAsia="Arial" w:hAnsi="Arial"/>
          <w:rtl w:val="0"/>
        </w:rPr>
        <w:t xml:space="preserve">(Source:</w:t>
      </w:r>
      <w:r w:rsidDel="00000000" w:rsidR="00000000" w:rsidRPr="00000000">
        <w:rPr>
          <w:rtl w:val="0"/>
        </w:rPr>
        <w:t xml:space="preserve"> </w:t>
      </w:r>
      <w:r w:rsidDel="00000000" w:rsidR="00000000" w:rsidRPr="00000000">
        <w:rPr>
          <w:rFonts w:ascii="Arial" w:cs="Arial" w:eastAsia="Arial" w:hAnsi="Arial"/>
          <w:rtl w:val="0"/>
        </w:rPr>
        <w:t xml:space="preserve">Aqa.org.uk, 2024)</w:t>
      </w:r>
    </w:p>
    <w:p w:rsidR="00000000" w:rsidDel="00000000" w:rsidP="00000000" w:rsidRDefault="00000000" w:rsidRPr="00000000" w14:paraId="0000002E">
      <w:pPr>
        <w:spacing w:line="360" w:lineRule="auto"/>
        <w:jc w:val="both"/>
        <w:rPr>
          <w:rFonts w:ascii="Arial" w:cs="Arial" w:eastAsia="Arial" w:hAnsi="Arial"/>
          <w:b w:val="1"/>
          <w:bCs w:val="1"/>
        </w:rPr>
      </w:pPr>
      <w:r w:rsidDel="00000000" w:rsidR="00000000" w:rsidRPr="00000000">
        <w:rPr>
          <w:rFonts w:ascii="Arial" w:cs="Arial" w:eastAsia="Arial" w:hAnsi="Arial"/>
          <w:b w:val="1"/>
          <w:bCs w:val="1"/>
          <w:rtl w:val="0"/>
        </w:rPr>
        <w:t xml:space="preserve">International Strategy: </w:t>
      </w:r>
      <w:r w:rsidDel="00000000" w:rsidR="00000000" w:rsidRPr="00000000">
        <w:rPr>
          <w:rFonts w:ascii="Arial" w:cs="Arial" w:eastAsia="Arial" w:hAnsi="Arial"/>
          <w:rtl w:val="0"/>
        </w:rPr>
        <w:t xml:space="preserve">Nykaa makes international strategy is a strategy which is to transfer products, knowledge and core competencies developed in the home country to market overseas while keeping choice making centralised. Nykaa's initial expansion market will likely be Estonia, as the company is mainly international, with headquarter operations concentrated in India (Suchitra and Pai, 2024). The company’s business operations through a digital channel escorted by large beauty companies that hardly involve operation changes.</w:t>
      </w:r>
      <w:r w:rsidDel="00000000" w:rsidR="00000000" w:rsidRPr="00000000">
        <w:rPr>
          <w:rtl w:val="0"/>
        </w:rPr>
      </w:r>
    </w:p>
    <w:p w:rsidR="00000000" w:rsidDel="00000000" w:rsidP="00000000" w:rsidRDefault="00000000" w:rsidRPr="00000000" w14:paraId="0000002F">
      <w:pPr>
        <w:spacing w:line="360" w:lineRule="auto"/>
        <w:jc w:val="both"/>
        <w:rPr>
          <w:rFonts w:ascii="Arial" w:cs="Arial" w:eastAsia="Arial" w:hAnsi="Arial"/>
        </w:rPr>
      </w:pPr>
      <w:r w:rsidDel="00000000" w:rsidR="00000000" w:rsidRPr="00000000">
        <w:rPr>
          <w:rFonts w:ascii="Arial" w:cs="Arial" w:eastAsia="Arial" w:hAnsi="Arial"/>
          <w:b w:val="1"/>
          <w:bCs w:val="1"/>
          <w:rtl w:val="0"/>
        </w:rPr>
        <w:t xml:space="preserve">Multidomestic Strategy: </w:t>
      </w:r>
      <w:r w:rsidDel="00000000" w:rsidR="00000000" w:rsidRPr="00000000">
        <w:rPr>
          <w:rFonts w:ascii="Arial" w:cs="Arial" w:eastAsia="Arial" w:hAnsi="Arial"/>
          <w:rtl w:val="0"/>
        </w:rPr>
        <w:t xml:space="preserve">For Nykaa</w:t>
      </w:r>
      <w:r w:rsidDel="00000000" w:rsidR="00000000" w:rsidRPr="00000000">
        <w:rPr>
          <w:rFonts w:ascii="Arial" w:cs="Arial" w:eastAsia="Arial" w:hAnsi="Arial"/>
          <w:b w:val="1"/>
          <w:bCs w:val="1"/>
          <w:rtl w:val="0"/>
        </w:rPr>
        <w:t xml:space="preserve"> </w:t>
      </w:r>
      <w:r w:rsidDel="00000000" w:rsidR="00000000" w:rsidRPr="00000000">
        <w:rPr>
          <w:rFonts w:ascii="Arial" w:cs="Arial" w:eastAsia="Arial" w:hAnsi="Arial"/>
          <w:rtl w:val="0"/>
        </w:rPr>
        <w:t xml:space="preserve">Multidomestic strategy is one that involves product, marketing and business operations that are tailored to the preferences, regulations, and culture of respectively host country (Mishra and Darshi, 2025).  Nykaa would tailor products, language, promotions and customer care to the Estonian consumers, laws and beauty shopping trends if it enters Estonia through a multidomestic approach.</w:t>
      </w:r>
    </w:p>
    <w:p w:rsidR="00000000" w:rsidDel="00000000" w:rsidP="00000000" w:rsidRDefault="00000000" w:rsidRPr="00000000" w14:paraId="00000030">
      <w:pPr>
        <w:spacing w:line="360" w:lineRule="auto"/>
        <w:jc w:val="both"/>
        <w:rPr>
          <w:rFonts w:ascii="Arial" w:cs="Arial" w:eastAsia="Arial" w:hAnsi="Arial"/>
        </w:rPr>
      </w:pPr>
      <w:r w:rsidDel="00000000" w:rsidR="00000000" w:rsidRPr="00000000">
        <w:rPr>
          <w:rFonts w:ascii="Arial" w:cs="Arial" w:eastAsia="Arial" w:hAnsi="Arial"/>
          <w:b w:val="1"/>
          <w:bCs w:val="1"/>
          <w:rtl w:val="0"/>
        </w:rPr>
        <w:t xml:space="preserve">Global Strategy: </w:t>
      </w:r>
      <w:r w:rsidDel="00000000" w:rsidR="00000000" w:rsidRPr="00000000">
        <w:rPr>
          <w:rFonts w:ascii="Arial" w:cs="Arial" w:eastAsia="Arial" w:hAnsi="Arial"/>
          <w:rtl w:val="0"/>
        </w:rPr>
        <w:t xml:space="preserve">The global strategy of Nykaa relies upon standardization, global integration and concentration of products, processes and operations to leverage economies of scale, operational processes and operational costs (Reddy </w:t>
      </w:r>
      <w:r w:rsidDel="00000000" w:rsidR="00000000" w:rsidRPr="00000000">
        <w:rPr>
          <w:rFonts w:ascii="Arial" w:cs="Arial" w:eastAsia="Arial" w:hAnsi="Arial"/>
          <w:i w:val="1"/>
          <w:iCs w:val="1"/>
          <w:rtl w:val="0"/>
        </w:rPr>
        <w:t xml:space="preserve">et al.,</w:t>
      </w:r>
      <w:r w:rsidDel="00000000" w:rsidR="00000000" w:rsidRPr="00000000">
        <w:rPr>
          <w:rFonts w:ascii="Arial" w:cs="Arial" w:eastAsia="Arial" w:hAnsi="Arial"/>
          <w:rtl w:val="0"/>
        </w:rPr>
        <w:t xml:space="preserve"> 2026). A reliable, brand and customer experience and the similar processes (digital, marketing, etc.) throughout the geographies, particularly Estonia, can result in better global strategy of the same brands and thus improve global profitability.</w:t>
      </w:r>
    </w:p>
    <w:p w:rsidR="00000000" w:rsidDel="00000000" w:rsidP="00000000" w:rsidRDefault="00000000" w:rsidRPr="00000000" w14:paraId="00000031">
      <w:pPr>
        <w:spacing w:line="360" w:lineRule="auto"/>
        <w:jc w:val="both"/>
        <w:rPr>
          <w:rFonts w:ascii="Arial" w:cs="Arial" w:eastAsia="Arial" w:hAnsi="Arial"/>
          <w:b w:val="1"/>
          <w:bCs w:val="1"/>
        </w:rPr>
      </w:pPr>
      <w:r w:rsidDel="00000000" w:rsidR="00000000" w:rsidRPr="00000000">
        <w:rPr>
          <w:rFonts w:ascii="Arial" w:cs="Arial" w:eastAsia="Arial" w:hAnsi="Arial"/>
          <w:b w:val="1"/>
          <w:bCs w:val="1"/>
          <w:rtl w:val="0"/>
        </w:rPr>
        <w:t xml:space="preserve">Transnational Strategy: </w:t>
      </w:r>
      <w:r w:rsidDel="00000000" w:rsidR="00000000" w:rsidRPr="00000000">
        <w:rPr>
          <w:rFonts w:ascii="Arial" w:cs="Arial" w:eastAsia="Arial" w:hAnsi="Arial"/>
          <w:rtl w:val="0"/>
        </w:rPr>
        <w:t xml:space="preserve">Transnationalism can be seen to reach global scale efficiency and local flexibility via centralised information creation and market adjustment at local. A transnational approach could be promoted for Nykaa due to its competence of digitalization and rendezvous in India via its localization of the offering, partnership, marketing activities to growth customer retention and gain the better long run prospect to this Baltic (Serebrova, 2024).</w:t>
      </w:r>
      <w:r w:rsidDel="00000000" w:rsidR="00000000" w:rsidRPr="00000000">
        <w:rPr>
          <w:rtl w:val="0"/>
        </w:rPr>
      </w:r>
    </w:p>
    <w:p w:rsidR="00000000" w:rsidDel="00000000" w:rsidP="00000000" w:rsidRDefault="00000000" w:rsidRPr="00000000" w14:paraId="00000032">
      <w:pPr>
        <w:pStyle w:val="Heading2"/>
        <w:spacing w:line="360" w:lineRule="auto"/>
        <w:rPr/>
      </w:pPr>
      <w:bookmarkStart w:colFirst="0" w:colLast="0" w:name="_uz3c63k4icqe" w:id="4"/>
      <w:bookmarkEnd w:id="4"/>
      <w:r w:rsidDel="00000000" w:rsidR="00000000" w:rsidRPr="00000000">
        <w:rPr>
          <w:rtl w:val="0"/>
        </w:rPr>
        <w:t xml:space="preserve">1.2 Global Configuration of Nykaa</w:t>
      </w:r>
    </w:p>
    <w:p w:rsidR="00000000" w:rsidDel="00000000" w:rsidP="00000000" w:rsidRDefault="00000000" w:rsidRPr="00000000" w14:paraId="00000033">
      <w:pPr>
        <w:spacing w:line="360" w:lineRule="auto"/>
        <w:jc w:val="both"/>
        <w:rPr>
          <w:rFonts w:ascii="Arial" w:cs="Arial" w:eastAsia="Arial" w:hAnsi="Arial"/>
        </w:rPr>
      </w:pPr>
      <w:r w:rsidDel="00000000" w:rsidR="00000000" w:rsidRPr="00000000">
        <w:rPr>
          <w:rFonts w:ascii="Arial" w:cs="Arial" w:eastAsia="Arial" w:hAnsi="Arial"/>
          <w:b w:val="1"/>
          <w:bCs w:val="1"/>
          <w:rtl w:val="0"/>
        </w:rPr>
        <w:t xml:space="preserve">Current Geographic Footprint:  </w:t>
      </w:r>
      <w:r w:rsidDel="00000000" w:rsidR="00000000" w:rsidRPr="00000000">
        <w:rPr>
          <w:rFonts w:ascii="Arial" w:cs="Arial" w:eastAsia="Arial" w:hAnsi="Arial"/>
          <w:rtl w:val="0"/>
        </w:rPr>
        <w:t xml:space="preserve">Nykaa has its corporate office located in Mumbai, India and has more than 230 physical retail locations, along with an e-commerce platform, across the country. Figure 2 shows that In FY2025, the company achieved total revenues of around ₹2267 crore and reached a cumulative number of 40 million customers and sold over 8,600 brands and 6.9 million SKUs of products (Nykaa.com, 2026). Nykaa gets its premium beauty products from Europe, South Korea, USA, Japan, France and UK. It does not, however, have any important operations in Estonia, thus allowing a potential strategic international expansion.</w:t>
      </w:r>
    </w:p>
    <w:p w:rsidR="00000000" w:rsidDel="00000000" w:rsidP="00000000" w:rsidRDefault="00000000" w:rsidRPr="00000000" w14:paraId="00000034">
      <w:pPr>
        <w:spacing w:line="360" w:lineRule="auto"/>
        <w:jc w:val="center"/>
        <w:rPr>
          <w:rFonts w:ascii="Arial" w:cs="Arial" w:eastAsia="Arial" w:hAnsi="Arial"/>
          <w:b w:val="1"/>
          <w:bCs w:val="1"/>
        </w:rPr>
      </w:pPr>
      <w:r w:rsidDel="00000000" w:rsidR="00000000" w:rsidRPr="00000000">
        <w:rPr/>
        <w:drawing>
          <wp:inline distB="0" distT="0" distL="0" distR="0">
            <wp:extent cx="5943600" cy="2776855"/>
            <wp:effectExtent b="0" l="0" r="0" t="0"/>
            <wp:docPr id="8" name="image17.png"/>
            <a:graphic>
              <a:graphicData uri="http://schemas.openxmlformats.org/drawingml/2006/picture">
                <pic:pic>
                  <pic:nvPicPr>
                    <pic:cNvPr id="0" name="image17.png"/>
                    <pic:cNvPicPr preferRelativeResize="0"/>
                  </pic:nvPicPr>
                  <pic:blipFill>
                    <a:blip r:embed="rId12"/>
                    <a:srcRect b="0" l="0" r="0" t="0"/>
                    <a:stretch>
                      <a:fillRect/>
                    </a:stretch>
                  </pic:blipFill>
                  <pic:spPr>
                    <a:xfrm>
                      <a:off x="0" y="0"/>
                      <a:ext cx="5943600" cy="2776855"/>
                    </a:xfrm>
                    <a:prstGeom prst="rect"/>
                    <a:ln/>
                  </pic:spPr>
                </pic:pic>
              </a:graphicData>
            </a:graphic>
          </wp:inline>
        </w:drawing>
      </w:r>
      <w:r w:rsidDel="00000000" w:rsidR="00000000" w:rsidRPr="00000000">
        <w:rPr>
          <w:rtl w:val="0"/>
        </w:rPr>
      </w:r>
    </w:p>
    <w:p w:rsidR="00000000" w:rsidDel="00000000" w:rsidP="00000000" w:rsidRDefault="00000000" w:rsidRPr="00000000" w14:paraId="00000035">
      <w:pPr>
        <w:spacing w:line="360" w:lineRule="auto"/>
        <w:jc w:val="center"/>
        <w:rPr>
          <w:rFonts w:ascii="Arial" w:cs="Arial" w:eastAsia="Arial" w:hAnsi="Arial"/>
          <w:b w:val="1"/>
          <w:bCs w:val="1"/>
          <w:i w:val="1"/>
          <w:iCs w:val="1"/>
        </w:rPr>
      </w:pPr>
      <w:r w:rsidDel="00000000" w:rsidR="00000000" w:rsidRPr="00000000">
        <w:rPr>
          <w:rFonts w:ascii="Arial" w:cs="Arial" w:eastAsia="Arial" w:hAnsi="Arial"/>
          <w:b w:val="1"/>
          <w:bCs w:val="1"/>
          <w:i w:val="1"/>
          <w:iCs w:val="1"/>
          <w:rtl w:val="0"/>
        </w:rPr>
        <w:t xml:space="preserve">Figure 2:</w:t>
      </w:r>
      <w:r w:rsidDel="00000000" w:rsidR="00000000" w:rsidRPr="00000000">
        <w:rPr>
          <w:i w:val="1"/>
          <w:iCs w:val="1"/>
          <w:rtl w:val="0"/>
        </w:rPr>
        <w:t xml:space="preserve"> </w:t>
      </w:r>
      <w:r w:rsidDel="00000000" w:rsidR="00000000" w:rsidRPr="00000000">
        <w:rPr>
          <w:rFonts w:ascii="Arial" w:cs="Arial" w:eastAsia="Arial" w:hAnsi="Arial"/>
          <w:b w:val="1"/>
          <w:bCs w:val="1"/>
          <w:i w:val="1"/>
          <w:iCs w:val="1"/>
          <w:rtl w:val="0"/>
        </w:rPr>
        <w:t xml:space="preserve">Nykaa Revenue in Q3 FY25</w:t>
      </w:r>
    </w:p>
    <w:p w:rsidR="00000000" w:rsidDel="00000000" w:rsidP="00000000" w:rsidRDefault="00000000" w:rsidRPr="00000000" w14:paraId="00000036">
      <w:pPr>
        <w:spacing w:line="360" w:lineRule="auto"/>
        <w:jc w:val="center"/>
        <w:rPr>
          <w:rFonts w:ascii="Arial" w:cs="Arial" w:eastAsia="Arial" w:hAnsi="Arial"/>
        </w:rPr>
      </w:pPr>
      <w:r w:rsidDel="00000000" w:rsidR="00000000" w:rsidRPr="00000000">
        <w:rPr>
          <w:rFonts w:ascii="Arial" w:cs="Arial" w:eastAsia="Arial" w:hAnsi="Arial"/>
          <w:rtl w:val="0"/>
        </w:rPr>
        <w:t xml:space="preserve">(Source:</w:t>
      </w:r>
      <w:r w:rsidDel="00000000" w:rsidR="00000000" w:rsidRPr="00000000">
        <w:rPr>
          <w:rtl w:val="0"/>
        </w:rPr>
        <w:t xml:space="preserve"> </w:t>
      </w:r>
      <w:r w:rsidDel="00000000" w:rsidR="00000000" w:rsidRPr="00000000">
        <w:rPr>
          <w:rFonts w:ascii="Arial" w:cs="Arial" w:eastAsia="Arial" w:hAnsi="Arial"/>
          <w:rtl w:val="0"/>
        </w:rPr>
        <w:t xml:space="preserve">Ntrackr.com, 2025)</w:t>
      </w:r>
    </w:p>
    <w:p w:rsidR="00000000" w:rsidDel="00000000" w:rsidP="00000000" w:rsidRDefault="00000000" w:rsidRPr="00000000" w14:paraId="00000037">
      <w:pPr>
        <w:spacing w:line="360" w:lineRule="auto"/>
        <w:jc w:val="both"/>
        <w:rPr>
          <w:rFonts w:ascii="Arial" w:cs="Arial" w:eastAsia="Arial" w:hAnsi="Arial"/>
        </w:rPr>
      </w:pPr>
      <w:r w:rsidDel="00000000" w:rsidR="00000000" w:rsidRPr="00000000">
        <w:rPr>
          <w:rFonts w:ascii="Arial" w:cs="Arial" w:eastAsia="Arial" w:hAnsi="Arial"/>
          <w:b w:val="1"/>
          <w:bCs w:val="1"/>
          <w:rtl w:val="0"/>
        </w:rPr>
        <w:t xml:space="preserve">Value Chain Configuration: </w:t>
      </w:r>
      <w:r w:rsidDel="00000000" w:rsidR="00000000" w:rsidRPr="00000000">
        <w:rPr>
          <w:rFonts w:ascii="Arial" w:cs="Arial" w:eastAsia="Arial" w:hAnsi="Arial"/>
          <w:rtl w:val="0"/>
        </w:rPr>
        <w:t xml:space="preserve">Nykaa's integrated value chain is based from India to the degree of the control on timely supply, stock, vendor relations, rapid order execution and extensive delivery which, supported by intelligent warehousing, distribution centres, and comprehensive tech platform of automated systems, opens the doors to both an online/offline market, utilizing AI-enabled customer engagement and digital marketing, (Dae and Cha, 2025). Moreover, private labels ensure enhanced revenue and difference. Thus, the set-up is highly scale-able for subsequent expansion to countries like Estonia.</w:t>
      </w:r>
    </w:p>
    <w:p w:rsidR="00000000" w:rsidDel="00000000" w:rsidP="00000000" w:rsidRDefault="00000000" w:rsidRPr="00000000" w14:paraId="00000038">
      <w:pPr>
        <w:spacing w:line="360" w:lineRule="auto"/>
        <w:jc w:val="both"/>
        <w:rPr>
          <w:rFonts w:ascii="Arial" w:cs="Arial" w:eastAsia="Arial" w:hAnsi="Arial"/>
        </w:rPr>
      </w:pPr>
      <w:r w:rsidDel="00000000" w:rsidR="00000000" w:rsidRPr="00000000">
        <w:rPr>
          <w:rFonts w:ascii="Arial" w:cs="Arial" w:eastAsia="Arial" w:hAnsi="Arial"/>
          <w:b w:val="1"/>
          <w:bCs w:val="1"/>
          <w:rtl w:val="0"/>
        </w:rPr>
        <w:t xml:space="preserve">Competitive Advantage and Value Creation: </w:t>
      </w:r>
      <w:r w:rsidDel="00000000" w:rsidR="00000000" w:rsidRPr="00000000">
        <w:rPr>
          <w:rFonts w:ascii="Arial" w:cs="Arial" w:eastAsia="Arial" w:hAnsi="Arial"/>
          <w:rtl w:val="0"/>
        </w:rPr>
        <w:t xml:space="preserve">Nykaa leveraged a change of competitive advantages with the obtaining of global brands, private produce and sourcing power through strong relationships. AI recommenders, loyalty programs, and customer analytics drove customer engagement and retention (Rane </w:t>
      </w:r>
      <w:r w:rsidDel="00000000" w:rsidR="00000000" w:rsidRPr="00000000">
        <w:rPr>
          <w:rFonts w:ascii="Arial" w:cs="Arial" w:eastAsia="Arial" w:hAnsi="Arial"/>
          <w:i w:val="1"/>
          <w:iCs w:val="1"/>
          <w:rtl w:val="0"/>
        </w:rPr>
        <w:t xml:space="preserve">et al.,</w:t>
      </w:r>
      <w:r w:rsidDel="00000000" w:rsidR="00000000" w:rsidRPr="00000000">
        <w:rPr>
          <w:rFonts w:ascii="Arial" w:cs="Arial" w:eastAsia="Arial" w:hAnsi="Arial"/>
          <w:rtl w:val="0"/>
        </w:rPr>
        <w:t xml:space="preserve"> 2024). The brand-wide online presence providing by the omnichannel strategy and quality online customer service reinforced by our scalable technology can be successfully replicated to support our expansion into worldwide markets, all of which have relevant competitive competencies that can directly leverage the Estonian high-end beauty market crossways customer service, effective advantages, and strategic advantage long-term.</w:t>
      </w:r>
    </w:p>
    <w:p w:rsidR="00000000" w:rsidDel="00000000" w:rsidP="00000000" w:rsidRDefault="00000000" w:rsidRPr="00000000" w14:paraId="00000039">
      <w:pPr>
        <w:pStyle w:val="Heading1"/>
        <w:rPr/>
      </w:pPr>
      <w:bookmarkStart w:colFirst="0" w:colLast="0" w:name="_tmgo8sv7e2y" w:id="5"/>
      <w:bookmarkEnd w:id="5"/>
      <w:r w:rsidDel="00000000" w:rsidR="00000000" w:rsidRPr="00000000">
        <w:rPr>
          <w:rtl w:val="0"/>
        </w:rPr>
        <w:t xml:space="preserve">2. Macro-Environmental Appraisal and Market Attractiveness</w:t>
      </w:r>
    </w:p>
    <w:p w:rsidR="00000000" w:rsidDel="00000000" w:rsidP="00000000" w:rsidRDefault="00000000" w:rsidRPr="00000000" w14:paraId="0000003A">
      <w:pPr>
        <w:spacing w:line="360" w:lineRule="auto"/>
        <w:jc w:val="both"/>
        <w:rPr>
          <w:rFonts w:ascii="Arial" w:cs="Arial" w:eastAsia="Arial" w:hAnsi="Arial"/>
        </w:rPr>
      </w:pPr>
      <w:r w:rsidDel="00000000" w:rsidR="00000000" w:rsidRPr="00000000">
        <w:rPr>
          <w:rFonts w:ascii="Arial" w:cs="Arial" w:eastAsia="Arial" w:hAnsi="Arial"/>
          <w:rtl w:val="0"/>
        </w:rPr>
        <w:t xml:space="preserve">The reason for the choice of Estonia as the potential international market for Nykaa is due to its high level of digitalization, helpful political climate and strategic location in the European Union. Nykaa is also not found in Estonia in any significant way, so the market offers opportunity to expand into the country by its rising e-commerce platform, as well as the consumers' preference for high-quality beauty products (Serebrova, 2024). The macro-environmental analysis is a crucial component to assess the political, economic, legal and cultural conditions that can affect the market entry and sustainability. Knowing these factors helps Nykaa reduce risks and recognise opportunities and describe a proper entry strategy into the market that takes into account the external environment of the Estonian business landscape.</w:t>
      </w:r>
    </w:p>
    <w:p w:rsidR="00000000" w:rsidDel="00000000" w:rsidP="00000000" w:rsidRDefault="00000000" w:rsidRPr="00000000" w14:paraId="0000003B">
      <w:pPr>
        <w:pStyle w:val="Heading2"/>
        <w:rPr/>
      </w:pPr>
      <w:bookmarkStart w:colFirst="0" w:colLast="0" w:name="_634mn8lfwz28" w:id="6"/>
      <w:bookmarkEnd w:id="6"/>
      <w:r w:rsidDel="00000000" w:rsidR="00000000" w:rsidRPr="00000000">
        <w:rPr>
          <w:rtl w:val="0"/>
        </w:rPr>
        <w:t xml:space="preserve">2.1 Political Environment</w:t>
      </w:r>
    </w:p>
    <w:p w:rsidR="00000000" w:rsidDel="00000000" w:rsidP="00000000" w:rsidRDefault="00000000" w:rsidRPr="00000000" w14:paraId="0000003C">
      <w:pPr>
        <w:spacing w:line="360" w:lineRule="auto"/>
        <w:jc w:val="both"/>
        <w:rPr>
          <w:rFonts w:ascii="Arial" w:cs="Arial" w:eastAsia="Arial" w:hAnsi="Arial"/>
        </w:rPr>
      </w:pPr>
      <w:r w:rsidDel="00000000" w:rsidR="00000000" w:rsidRPr="00000000">
        <w:rPr>
          <w:rFonts w:ascii="Arial" w:cs="Arial" w:eastAsia="Arial" w:hAnsi="Arial"/>
          <w:rtl w:val="0"/>
        </w:rPr>
        <w:t xml:space="preserve">Estonia is a politically stable country, which is important for Nykaa's expansion into the international market. The country has remained one of the most transparent and least corrupt economies in Europe with respectable democratic institutions and well-functioning government. Estonia also is a part of the European Union (EU), the Eurozone and NATO, with the result being regulatory stability and the EU's single market of approximately 450 million consumers. Estonia had a GDP of around €43 billion and a population of around 1.37 million in 2025, while their public organizations and investor-friendly policies are stable (Data.worldbank.org, 2026). The government actively encourages foreign direct investment (FDI) through its digital public services and simplified business registration process, allowing companies to start activities easily. The Estonian e-government system is a streamlined and sophisticated one minimizing administrative activity and easing clear business processes. For Nykaa, this political environment increases opportunities for long-term partnerships with suppliers and distributors in Europe, increases ease in entering the market and also enhances regulatory compliance (Turcu </w:t>
      </w:r>
      <w:r w:rsidDel="00000000" w:rsidR="00000000" w:rsidRPr="00000000">
        <w:rPr>
          <w:rFonts w:ascii="Arial" w:cs="Arial" w:eastAsia="Arial" w:hAnsi="Arial"/>
          <w:i w:val="1"/>
          <w:iCs w:val="1"/>
          <w:rtl w:val="0"/>
        </w:rPr>
        <w:t xml:space="preserve">et al.,</w:t>
      </w:r>
      <w:r w:rsidDel="00000000" w:rsidR="00000000" w:rsidRPr="00000000">
        <w:rPr>
          <w:rFonts w:ascii="Arial" w:cs="Arial" w:eastAsia="Arial" w:hAnsi="Arial"/>
          <w:rtl w:val="0"/>
        </w:rPr>
        <w:t xml:space="preserve"> 2024). But it is important to keep an eye on risk in Eastern Europe and in the region due to geopolitical tensions and security concerns. General, Estonia's political stability, institutional strength and its integration into the European economic structures offer a good base for Nykaa's strategic growth.</w:t>
      </w:r>
    </w:p>
    <w:p w:rsidR="00000000" w:rsidDel="00000000" w:rsidP="00000000" w:rsidRDefault="00000000" w:rsidRPr="00000000" w14:paraId="0000003D">
      <w:pPr>
        <w:pStyle w:val="Heading2"/>
        <w:rPr/>
      </w:pPr>
      <w:bookmarkStart w:colFirst="0" w:colLast="0" w:name="_mhxaznoa8qw" w:id="7"/>
      <w:bookmarkEnd w:id="7"/>
      <w:r w:rsidDel="00000000" w:rsidR="00000000" w:rsidRPr="00000000">
        <w:rPr>
          <w:rtl w:val="0"/>
        </w:rPr>
        <w:t xml:space="preserve">2.2 Economic</w:t>
      </w:r>
    </w:p>
    <w:p w:rsidR="00000000" w:rsidDel="00000000" w:rsidP="00000000" w:rsidRDefault="00000000" w:rsidRPr="00000000" w14:paraId="0000003E">
      <w:pPr>
        <w:spacing w:line="360" w:lineRule="auto"/>
        <w:jc w:val="both"/>
        <w:rPr>
          <w:rFonts w:ascii="Arial" w:cs="Arial" w:eastAsia="Arial" w:hAnsi="Arial"/>
        </w:rPr>
      </w:pPr>
      <w:r w:rsidDel="00000000" w:rsidR="00000000" w:rsidRPr="00000000">
        <w:rPr>
          <w:rFonts w:ascii="Arial" w:cs="Arial" w:eastAsia="Arial" w:hAnsi="Arial"/>
          <w:rtl w:val="0"/>
        </w:rPr>
        <w:t xml:space="preserve">Estonia has a high income, technologically advanced economy, and provides attractive prospects for high-end beauty and existence brands. Figure 3 shows that 2024 GDP was over €42 billion and GDP per capita was over €31351 which indicates a relatively high consumer purchasing power in the country (Data.worldbank.org, 2026). Acting on the back of earlier economic shocks, inflation has abridged and with the adoption of the Euro (€) the currency doesn't suffer from exchange-rate volatility in the Eurozone any longer. According to Ivașcenco (2025) found that Estonia has a high penetration of Internet technology, with the rate being over 93% and internet retailing and digital payment transactions growing quickly. The ecommerce section is gaining significant share of retail sales, providing a good opportunity for Nykaa's omnichannel business model. The appetite for high-end cosmetics, skin care and wellness products has been on the rise, especially amongst urban young working professionals. </w:t>
      </w:r>
    </w:p>
    <w:p w:rsidR="00000000" w:rsidDel="00000000" w:rsidP="00000000" w:rsidRDefault="00000000" w:rsidRPr="00000000" w14:paraId="0000003F">
      <w:pPr>
        <w:spacing w:line="360" w:lineRule="auto"/>
        <w:jc w:val="center"/>
        <w:rPr>
          <w:rFonts w:ascii="Arial" w:cs="Arial" w:eastAsia="Arial" w:hAnsi="Arial"/>
        </w:rPr>
      </w:pPr>
      <w:r w:rsidDel="00000000" w:rsidR="00000000" w:rsidRPr="00000000">
        <w:rPr/>
        <w:drawing>
          <wp:inline distB="0" distT="0" distL="0" distR="0">
            <wp:extent cx="5943600" cy="2635250"/>
            <wp:effectExtent b="0" l="0" r="0" t="0"/>
            <wp:docPr id="11" name="image20.png"/>
            <a:graphic>
              <a:graphicData uri="http://schemas.openxmlformats.org/drawingml/2006/picture">
                <pic:pic>
                  <pic:nvPicPr>
                    <pic:cNvPr id="0" name="image20.png"/>
                    <pic:cNvPicPr preferRelativeResize="0"/>
                  </pic:nvPicPr>
                  <pic:blipFill>
                    <a:blip r:embed="rId13"/>
                    <a:srcRect b="0" l="0" r="0" t="0"/>
                    <a:stretch>
                      <a:fillRect/>
                    </a:stretch>
                  </pic:blipFill>
                  <pic:spPr>
                    <a:xfrm>
                      <a:off x="0" y="0"/>
                      <a:ext cx="5943600" cy="2635250"/>
                    </a:xfrm>
                    <a:prstGeom prst="rect"/>
                    <a:ln/>
                  </pic:spPr>
                </pic:pic>
              </a:graphicData>
            </a:graphic>
          </wp:inline>
        </w:drawing>
      </w:r>
      <w:r w:rsidDel="00000000" w:rsidR="00000000" w:rsidRPr="00000000">
        <w:rPr>
          <w:rtl w:val="0"/>
        </w:rPr>
      </w:r>
    </w:p>
    <w:p w:rsidR="00000000" w:rsidDel="00000000" w:rsidP="00000000" w:rsidRDefault="00000000" w:rsidRPr="00000000" w14:paraId="00000040">
      <w:pPr>
        <w:spacing w:line="360" w:lineRule="auto"/>
        <w:jc w:val="center"/>
        <w:rPr>
          <w:rFonts w:ascii="Arial" w:cs="Arial" w:eastAsia="Arial" w:hAnsi="Arial"/>
          <w:b w:val="1"/>
          <w:bCs w:val="1"/>
          <w:i w:val="1"/>
          <w:iCs w:val="1"/>
        </w:rPr>
      </w:pPr>
      <w:r w:rsidDel="00000000" w:rsidR="00000000" w:rsidRPr="00000000">
        <w:rPr>
          <w:rFonts w:ascii="Arial" w:cs="Arial" w:eastAsia="Arial" w:hAnsi="Arial"/>
          <w:b w:val="1"/>
          <w:bCs w:val="1"/>
          <w:i w:val="1"/>
          <w:iCs w:val="1"/>
          <w:rtl w:val="0"/>
        </w:rPr>
        <w:t xml:space="preserve">Figure 3: Estonia's GDP per Capita</w:t>
      </w:r>
    </w:p>
    <w:p w:rsidR="00000000" w:rsidDel="00000000" w:rsidP="00000000" w:rsidRDefault="00000000" w:rsidRPr="00000000" w14:paraId="00000041">
      <w:pPr>
        <w:spacing w:line="360" w:lineRule="auto"/>
        <w:jc w:val="center"/>
        <w:rPr>
          <w:rFonts w:ascii="Arial" w:cs="Arial" w:eastAsia="Arial" w:hAnsi="Arial"/>
        </w:rPr>
      </w:pPr>
      <w:r w:rsidDel="00000000" w:rsidR="00000000" w:rsidRPr="00000000">
        <w:rPr>
          <w:rFonts w:ascii="Arial" w:cs="Arial" w:eastAsia="Arial" w:hAnsi="Arial"/>
          <w:rtl w:val="0"/>
        </w:rPr>
        <w:t xml:space="preserve">(Source: Ceicdata.com, 2026)</w:t>
      </w:r>
    </w:p>
    <w:p w:rsidR="00000000" w:rsidDel="00000000" w:rsidP="00000000" w:rsidRDefault="00000000" w:rsidRPr="00000000" w14:paraId="00000042">
      <w:pPr>
        <w:spacing w:line="360" w:lineRule="auto"/>
        <w:jc w:val="both"/>
        <w:rPr>
          <w:rFonts w:ascii="Arial" w:cs="Arial" w:eastAsia="Arial" w:hAnsi="Arial"/>
        </w:rPr>
      </w:pPr>
      <w:r w:rsidDel="00000000" w:rsidR="00000000" w:rsidRPr="00000000">
        <w:rPr>
          <w:rFonts w:ascii="Arial" w:cs="Arial" w:eastAsia="Arial" w:hAnsi="Arial"/>
          <w:rtl w:val="0"/>
        </w:rPr>
        <w:t xml:space="preserve">The efficient logistics system also provides access to the neighbouring Baltic and Nordic markets for Estonia. However, the domestic population in the country is small at around 1.37 million, which could hamper instant sales, and Nykaa will have to focus on a growth plan for the region, which will be scalable (Deng, 2026). In summary, Estonia is a stable economy, the consumer digitalisation is on the rise, and the throwaway income is relatively high, which allows Nykaa's premium brand positioning and its sustainable growth in the long term.</w:t>
      </w:r>
    </w:p>
    <w:p w:rsidR="00000000" w:rsidDel="00000000" w:rsidP="00000000" w:rsidRDefault="00000000" w:rsidRPr="00000000" w14:paraId="00000043">
      <w:pPr>
        <w:pStyle w:val="Heading2"/>
        <w:rPr>
          <w:sz w:val="24"/>
          <w:szCs w:val="24"/>
        </w:rPr>
      </w:pPr>
      <w:bookmarkStart w:colFirst="0" w:colLast="0" w:name="_9q23d6az9x35" w:id="8"/>
      <w:bookmarkEnd w:id="8"/>
      <w:r w:rsidDel="00000000" w:rsidR="00000000" w:rsidRPr="00000000">
        <w:rPr>
          <w:rtl w:val="0"/>
        </w:rPr>
        <w:t xml:space="preserve">2.3 Legal Environment</w:t>
      </w:r>
      <w:r w:rsidDel="00000000" w:rsidR="00000000" w:rsidRPr="00000000">
        <w:rPr>
          <w:rtl w:val="0"/>
        </w:rPr>
      </w:r>
    </w:p>
    <w:p w:rsidR="00000000" w:rsidDel="00000000" w:rsidP="00000000" w:rsidRDefault="00000000" w:rsidRPr="00000000" w14:paraId="00000044">
      <w:pPr>
        <w:spacing w:line="360" w:lineRule="auto"/>
        <w:jc w:val="both"/>
        <w:rPr>
          <w:rFonts w:ascii="Arial" w:cs="Arial" w:eastAsia="Arial" w:hAnsi="Arial"/>
        </w:rPr>
      </w:pPr>
      <w:r w:rsidDel="00000000" w:rsidR="00000000" w:rsidRPr="00000000">
        <w:rPr>
          <w:rFonts w:ascii="Arial" w:cs="Arial" w:eastAsia="Arial" w:hAnsi="Arial"/>
          <w:rtl w:val="0"/>
        </w:rPr>
        <w:t xml:space="preserve">Estonia ensures a clear and business-friendly regulatory framework, which aligns with EU laws and rules, making it an attractive option for Nykaa's expansion into international markets. All cosmetic products must meet the EU Cosmetics Regulation (EC) No. 1223/2009 which has strict requirements for the safety of ingredients, product testing, labelling and traceability prior to market entry (Espinosa and Pino, 2024). Additionally, Estonia has high and complete product safety and consumer protection legislation, imposing obligations for providing accurate product information, transparency of prices, return policies and compliance with guarantees. According to Künnapas (2025) found that Nykaa's business model heavily be contingent on customer data, it is crucial that it collects, stores and processes personal details in a secure way that is acquiescent to the General Data Protection Regulation (GDPR). </w:t>
      </w:r>
    </w:p>
    <w:p w:rsidR="00000000" w:rsidDel="00000000" w:rsidP="00000000" w:rsidRDefault="00000000" w:rsidRPr="00000000" w14:paraId="00000045">
      <w:pPr>
        <w:spacing w:line="360" w:lineRule="auto"/>
        <w:jc w:val="both"/>
        <w:rPr>
          <w:rFonts w:ascii="Arial" w:cs="Arial" w:eastAsia="Arial" w:hAnsi="Arial"/>
        </w:rPr>
      </w:pPr>
      <w:r w:rsidDel="00000000" w:rsidR="00000000" w:rsidRPr="00000000">
        <w:rPr>
          <w:rFonts w:ascii="Arial" w:cs="Arial" w:eastAsia="Arial" w:hAnsi="Arial"/>
          <w:rtl w:val="0"/>
        </w:rPr>
        <w:t xml:space="preserve">The employment legislation of Estonia aims at securing equitable recruitment, Employee Welfare and workplace equality, while the competition legislation ensures fair market performs and anti-competitive behaviour is not encouraged. While it is possible that some of the imported cosmetics will require to go finished customs procedures in Europe, Estonia's integrated logistics system makes trade easier. Currently, cosmetics are subject to 22% Value Added Tax (VAT) in Estonia (Ahmadov </w:t>
      </w:r>
      <w:r w:rsidDel="00000000" w:rsidR="00000000" w:rsidRPr="00000000">
        <w:rPr>
          <w:rFonts w:ascii="Arial" w:cs="Arial" w:eastAsia="Arial" w:hAnsi="Arial"/>
          <w:i w:val="1"/>
          <w:iCs w:val="1"/>
          <w:rtl w:val="0"/>
        </w:rPr>
        <w:t xml:space="preserve">et al.,</w:t>
      </w:r>
      <w:r w:rsidDel="00000000" w:rsidR="00000000" w:rsidRPr="00000000">
        <w:rPr>
          <w:rFonts w:ascii="Arial" w:cs="Arial" w:eastAsia="Arial" w:hAnsi="Arial"/>
          <w:rtl w:val="0"/>
        </w:rPr>
        <w:t xml:space="preserve"> 2024). There are also regulations for sustainable packaging, recycling and responsible waste management, which mandate that businesses adopt sustainable packaging practices, implement recycling programs and achieve waste responsibly. Nykaa will incur higher initial costs for compliance to these legal requirements, but will also build consumer trust, comply with regulations and gain a competitive advantage in the long term (Jokinen, 2024). Through product devotion to EU standards of quality, GDPR ready digital platforms, and ecological product collection  Nykaa’s positioning in the upper crust of beauty market segment in Estonia.</w:t>
      </w:r>
    </w:p>
    <w:p w:rsidR="00000000" w:rsidDel="00000000" w:rsidP="00000000" w:rsidRDefault="00000000" w:rsidRPr="00000000" w14:paraId="00000046">
      <w:pPr>
        <w:pStyle w:val="Heading2"/>
        <w:rPr/>
      </w:pPr>
      <w:bookmarkStart w:colFirst="0" w:colLast="0" w:name="_8dcp34fic5sz" w:id="9"/>
      <w:bookmarkEnd w:id="9"/>
      <w:r w:rsidDel="00000000" w:rsidR="00000000" w:rsidRPr="00000000">
        <w:rPr>
          <w:rtl w:val="0"/>
        </w:rPr>
        <w:t xml:space="preserve">2.4 Cultural Environment</w:t>
      </w:r>
    </w:p>
    <w:p w:rsidR="00000000" w:rsidDel="00000000" w:rsidP="00000000" w:rsidRDefault="00000000" w:rsidRPr="00000000" w14:paraId="00000047">
      <w:pPr>
        <w:spacing w:line="360" w:lineRule="auto"/>
        <w:jc w:val="both"/>
        <w:rPr>
          <w:rFonts w:ascii="Arial" w:cs="Arial" w:eastAsia="Arial" w:hAnsi="Arial"/>
        </w:rPr>
      </w:pPr>
      <w:r w:rsidDel="00000000" w:rsidR="00000000" w:rsidRPr="00000000">
        <w:rPr>
          <w:rFonts w:ascii="Arial" w:cs="Arial" w:eastAsia="Arial" w:hAnsi="Arial"/>
          <w:rtl w:val="0"/>
        </w:rPr>
        <w:t xml:space="preserve">Estonia's culture, which varies from that of India, necessitates a different marketing approach and method of engagement by customers for Nykaa. Estonia is relatively individualistic (around 60), and shoppers are likely to make their own choices regarding the products they purchase, based on quality, reviews and their preferences. Low power distance (around 40) suggests that there is an equalitarian society with clear communication and genuine brand communication valued (Babič and Voolaid, 2023). Estonia has a moderate masculinity score (c. 30), meaning there is a higher focus on quality of life and wellbeing than status ingesting. High UA (about 60) indicate that consumers like to purchase trusted brands, get detailed information about the product and have reliable customer service. Estonia is also branded by a high long-term orientation, the country is open to innovation, sustainable consumption and environmentally responsible consumption, and moderate indulgence has an impact on the balanced ingesting behavior of the people (Lees </w:t>
      </w:r>
      <w:r w:rsidDel="00000000" w:rsidR="00000000" w:rsidRPr="00000000">
        <w:rPr>
          <w:rFonts w:ascii="Arial" w:cs="Arial" w:eastAsia="Arial" w:hAnsi="Arial"/>
          <w:i w:val="1"/>
          <w:iCs w:val="1"/>
          <w:rtl w:val="0"/>
        </w:rPr>
        <w:t xml:space="preserve">et al.,</w:t>
      </w:r>
      <w:r w:rsidDel="00000000" w:rsidR="00000000" w:rsidRPr="00000000">
        <w:rPr>
          <w:rFonts w:ascii="Arial" w:cs="Arial" w:eastAsia="Arial" w:hAnsi="Arial"/>
          <w:rtl w:val="0"/>
        </w:rPr>
        <w:t xml:space="preserve"> 2023). All these cultural traits influence peoples' demand for high-quality cosmetics, skin care products, and ethical cosmetics companies. </w:t>
      </w:r>
    </w:p>
    <w:p w:rsidR="00000000" w:rsidDel="00000000" w:rsidP="00000000" w:rsidRDefault="00000000" w:rsidRPr="00000000" w14:paraId="00000048">
      <w:pPr>
        <w:spacing w:line="360" w:lineRule="auto"/>
        <w:jc w:val="center"/>
        <w:rPr>
          <w:rFonts w:ascii="Arial" w:cs="Arial" w:eastAsia="Arial" w:hAnsi="Arial"/>
        </w:rPr>
      </w:pPr>
      <w:r w:rsidDel="00000000" w:rsidR="00000000" w:rsidRPr="00000000">
        <w:rPr/>
        <w:drawing>
          <wp:inline distB="0" distT="0" distL="0" distR="0">
            <wp:extent cx="5602287" cy="2874763"/>
            <wp:effectExtent b="0" l="0" r="0" t="0"/>
            <wp:docPr id="10" name="image19.png"/>
            <a:graphic>
              <a:graphicData uri="http://schemas.openxmlformats.org/drawingml/2006/picture">
                <pic:pic>
                  <pic:nvPicPr>
                    <pic:cNvPr id="0" name="image19.png"/>
                    <pic:cNvPicPr preferRelativeResize="0"/>
                  </pic:nvPicPr>
                  <pic:blipFill>
                    <a:blip r:embed="rId14"/>
                    <a:srcRect b="0" l="0" r="0" t="0"/>
                    <a:stretch>
                      <a:fillRect/>
                    </a:stretch>
                  </pic:blipFill>
                  <pic:spPr>
                    <a:xfrm>
                      <a:off x="0" y="0"/>
                      <a:ext cx="5602287" cy="2874763"/>
                    </a:xfrm>
                    <a:prstGeom prst="rect"/>
                    <a:ln/>
                  </pic:spPr>
                </pic:pic>
              </a:graphicData>
            </a:graphic>
          </wp:inline>
        </w:drawing>
      </w:r>
      <w:r w:rsidDel="00000000" w:rsidR="00000000" w:rsidRPr="00000000">
        <w:rPr>
          <w:rtl w:val="0"/>
        </w:rPr>
      </w:r>
    </w:p>
    <w:p w:rsidR="00000000" w:rsidDel="00000000" w:rsidP="00000000" w:rsidRDefault="00000000" w:rsidRPr="00000000" w14:paraId="00000049">
      <w:pPr>
        <w:spacing w:line="360" w:lineRule="auto"/>
        <w:jc w:val="center"/>
        <w:rPr>
          <w:rFonts w:ascii="Arial" w:cs="Arial" w:eastAsia="Arial" w:hAnsi="Arial"/>
          <w:b w:val="1"/>
          <w:bCs w:val="1"/>
          <w:i w:val="1"/>
          <w:iCs w:val="1"/>
        </w:rPr>
      </w:pPr>
      <w:r w:rsidDel="00000000" w:rsidR="00000000" w:rsidRPr="00000000">
        <w:rPr>
          <w:rFonts w:ascii="Arial" w:cs="Arial" w:eastAsia="Arial" w:hAnsi="Arial"/>
          <w:b w:val="1"/>
          <w:bCs w:val="1"/>
          <w:i w:val="1"/>
          <w:iCs w:val="1"/>
          <w:rtl w:val="0"/>
        </w:rPr>
        <w:t xml:space="preserve">Figure 4: Hofstede's Cultural Dimensions</w:t>
      </w:r>
    </w:p>
    <w:p w:rsidR="00000000" w:rsidDel="00000000" w:rsidP="00000000" w:rsidRDefault="00000000" w:rsidRPr="00000000" w14:paraId="0000004A">
      <w:pPr>
        <w:spacing w:line="360" w:lineRule="auto"/>
        <w:jc w:val="center"/>
        <w:rPr>
          <w:rFonts w:ascii="Arial" w:cs="Arial" w:eastAsia="Arial" w:hAnsi="Arial"/>
        </w:rPr>
      </w:pPr>
      <w:r w:rsidDel="00000000" w:rsidR="00000000" w:rsidRPr="00000000">
        <w:rPr>
          <w:rFonts w:ascii="Arial" w:cs="Arial" w:eastAsia="Arial" w:hAnsi="Arial"/>
          <w:rtl w:val="0"/>
        </w:rPr>
        <w:t xml:space="preserve">(Source: Theculturefactor.com, 2023)</w:t>
      </w:r>
    </w:p>
    <w:p w:rsidR="00000000" w:rsidDel="00000000" w:rsidP="00000000" w:rsidRDefault="00000000" w:rsidRPr="00000000" w14:paraId="0000004B">
      <w:pPr>
        <w:spacing w:line="360" w:lineRule="auto"/>
        <w:jc w:val="both"/>
        <w:rPr>
          <w:rFonts w:ascii="Arial" w:cs="Arial" w:eastAsia="Arial" w:hAnsi="Arial"/>
        </w:rPr>
      </w:pPr>
      <w:r w:rsidDel="00000000" w:rsidR="00000000" w:rsidRPr="00000000">
        <w:rPr>
          <w:rFonts w:ascii="Arial" w:cs="Arial" w:eastAsia="Arial" w:hAnsi="Arial"/>
          <w:rtl w:val="0"/>
        </w:rPr>
        <w:t xml:space="preserve">The digital-first strategy of Nykaa is well suited to the highly linked environment in Estonia, where internet penetration is over 93%, and online retail is popular. People are more likely to choose beauty products that are free from animal-derived ingredients and are ethically sourced and sustainable, with clear ingredient labeling (Deng, 2025). Thus, Nykaa needs to adapt their site, have support in Estonian and present local influencers, and show their commitment to sustainable packaging and high-quality international brands. AI-powered personalisation and culturally relevant marketing messages will further build customer trust, boost brand acceptance and bolster Nykaa's market standup in the expanding beauty and ecommerce sector in Estonia. </w:t>
      </w:r>
    </w:p>
    <w:p w:rsidR="00000000" w:rsidDel="00000000" w:rsidP="00000000" w:rsidRDefault="00000000" w:rsidRPr="00000000" w14:paraId="0000004C">
      <w:pPr>
        <w:pStyle w:val="Heading2"/>
        <w:rPr/>
      </w:pPr>
      <w:bookmarkStart w:colFirst="0" w:colLast="0" w:name="_b40gzptnz92p" w:id="10"/>
      <w:bookmarkEnd w:id="10"/>
      <w:r w:rsidDel="00000000" w:rsidR="00000000" w:rsidRPr="00000000">
        <w:rPr>
          <w:rtl w:val="0"/>
        </w:rPr>
        <w:t xml:space="preserve">2.5 Porter Diamond Model </w:t>
      </w:r>
    </w:p>
    <w:p w:rsidR="00000000" w:rsidDel="00000000" w:rsidP="00000000" w:rsidRDefault="00000000" w:rsidRPr="00000000" w14:paraId="0000004D">
      <w:pPr>
        <w:spacing w:line="360" w:lineRule="auto"/>
        <w:jc w:val="both"/>
        <w:rPr>
          <w:rFonts w:ascii="Arial" w:cs="Arial" w:eastAsia="Arial" w:hAnsi="Arial"/>
        </w:rPr>
      </w:pPr>
      <w:r w:rsidDel="00000000" w:rsidR="00000000" w:rsidRPr="00000000">
        <w:rPr>
          <w:rFonts w:ascii="Arial" w:cs="Arial" w:eastAsia="Arial" w:hAnsi="Arial"/>
          <w:rtl w:val="0"/>
        </w:rPr>
        <w:t xml:space="preserve">The national competitive advantages of Estonia have been considered in the framework of the Porter's Diamond Model, including the factors of factor conditions, demand conditions, helpful industries and competitive rivalry for the evaluation of the possibility of Nykaa's entry into the international market refer in figure 5. </w:t>
      </w:r>
    </w:p>
    <w:p w:rsidR="00000000" w:rsidDel="00000000" w:rsidP="00000000" w:rsidRDefault="00000000" w:rsidRPr="00000000" w14:paraId="0000004E">
      <w:pPr>
        <w:spacing w:line="360" w:lineRule="auto"/>
        <w:jc w:val="center"/>
        <w:rPr>
          <w:rFonts w:ascii="Arial" w:cs="Arial" w:eastAsia="Arial" w:hAnsi="Arial"/>
        </w:rPr>
      </w:pPr>
      <w:r w:rsidDel="00000000" w:rsidR="00000000" w:rsidRPr="00000000">
        <w:rPr>
          <w:rFonts w:ascii="Arial" w:cs="Arial" w:eastAsia="Arial" w:hAnsi="Arial"/>
        </w:rPr>
        <w:drawing>
          <wp:inline distB="0" distT="0" distL="0" distR="0">
            <wp:extent cx="3280799" cy="2740834"/>
            <wp:effectExtent b="0" l="0" r="0" t="0"/>
            <wp:docPr id="3" name="image10.png"/>
            <a:graphic>
              <a:graphicData uri="http://schemas.openxmlformats.org/drawingml/2006/picture">
                <pic:pic>
                  <pic:nvPicPr>
                    <pic:cNvPr id="0" name="image10.png"/>
                    <pic:cNvPicPr preferRelativeResize="0"/>
                  </pic:nvPicPr>
                  <pic:blipFill>
                    <a:blip r:embed="rId15"/>
                    <a:srcRect b="0" l="0" r="0" t="0"/>
                    <a:stretch>
                      <a:fillRect/>
                    </a:stretch>
                  </pic:blipFill>
                  <pic:spPr>
                    <a:xfrm>
                      <a:off x="0" y="0"/>
                      <a:ext cx="3280799" cy="2740834"/>
                    </a:xfrm>
                    <a:prstGeom prst="rect"/>
                    <a:ln/>
                  </pic:spPr>
                </pic:pic>
              </a:graphicData>
            </a:graphic>
          </wp:inline>
        </w:drawing>
      </w:r>
      <w:r w:rsidDel="00000000" w:rsidR="00000000" w:rsidRPr="00000000">
        <w:rPr>
          <w:rtl w:val="0"/>
        </w:rPr>
      </w:r>
    </w:p>
    <w:p w:rsidR="00000000" w:rsidDel="00000000" w:rsidP="00000000" w:rsidRDefault="00000000" w:rsidRPr="00000000" w14:paraId="0000004F">
      <w:pPr>
        <w:spacing w:line="360" w:lineRule="auto"/>
        <w:jc w:val="center"/>
        <w:rPr>
          <w:rFonts w:ascii="Arial" w:cs="Arial" w:eastAsia="Arial" w:hAnsi="Arial"/>
          <w:b w:val="1"/>
          <w:bCs w:val="1"/>
          <w:i w:val="1"/>
          <w:iCs w:val="1"/>
        </w:rPr>
      </w:pPr>
      <w:r w:rsidDel="00000000" w:rsidR="00000000" w:rsidRPr="00000000">
        <w:rPr>
          <w:rFonts w:ascii="Arial" w:cs="Arial" w:eastAsia="Arial" w:hAnsi="Arial"/>
          <w:b w:val="1"/>
          <w:bCs w:val="1"/>
          <w:i w:val="1"/>
          <w:iCs w:val="1"/>
          <w:rtl w:val="0"/>
        </w:rPr>
        <w:t xml:space="preserve">Figure 5:</w:t>
      </w:r>
      <w:r w:rsidDel="00000000" w:rsidR="00000000" w:rsidRPr="00000000">
        <w:rPr>
          <w:b w:val="1"/>
          <w:bCs w:val="1"/>
          <w:i w:val="1"/>
          <w:iCs w:val="1"/>
          <w:rtl w:val="0"/>
        </w:rPr>
        <w:t xml:space="preserve"> </w:t>
      </w:r>
      <w:r w:rsidDel="00000000" w:rsidR="00000000" w:rsidRPr="00000000">
        <w:rPr>
          <w:rFonts w:ascii="Arial" w:cs="Arial" w:eastAsia="Arial" w:hAnsi="Arial"/>
          <w:b w:val="1"/>
          <w:bCs w:val="1"/>
          <w:i w:val="1"/>
          <w:iCs w:val="1"/>
          <w:rtl w:val="0"/>
        </w:rPr>
        <w:t xml:space="preserve">Porter Diamond Model</w:t>
      </w:r>
    </w:p>
    <w:p w:rsidR="00000000" w:rsidDel="00000000" w:rsidP="00000000" w:rsidRDefault="00000000" w:rsidRPr="00000000" w14:paraId="00000050">
      <w:pPr>
        <w:spacing w:line="360" w:lineRule="auto"/>
        <w:jc w:val="center"/>
        <w:rPr>
          <w:rFonts w:ascii="Arial" w:cs="Arial" w:eastAsia="Arial" w:hAnsi="Arial"/>
        </w:rPr>
      </w:pPr>
      <w:r w:rsidDel="00000000" w:rsidR="00000000" w:rsidRPr="00000000">
        <w:rPr>
          <w:rFonts w:ascii="Arial" w:cs="Arial" w:eastAsia="Arial" w:hAnsi="Arial"/>
          <w:rtl w:val="0"/>
        </w:rPr>
        <w:t xml:space="preserve">(Source: Vidya Hattangadi, 2021)</w:t>
      </w:r>
    </w:p>
    <w:p w:rsidR="00000000" w:rsidDel="00000000" w:rsidP="00000000" w:rsidRDefault="00000000" w:rsidRPr="00000000" w14:paraId="00000051">
      <w:pPr>
        <w:spacing w:line="360" w:lineRule="auto"/>
        <w:jc w:val="both"/>
        <w:rPr>
          <w:rFonts w:ascii="Arial" w:cs="Arial" w:eastAsia="Arial" w:hAnsi="Arial"/>
        </w:rPr>
      </w:pPr>
      <w:r w:rsidDel="00000000" w:rsidR="00000000" w:rsidRPr="00000000">
        <w:rPr>
          <w:rFonts w:ascii="Arial" w:cs="Arial" w:eastAsia="Arial" w:hAnsi="Arial"/>
          <w:b w:val="1"/>
          <w:bCs w:val="1"/>
          <w:rtl w:val="0"/>
        </w:rPr>
        <w:t xml:space="preserve">Factor Conditions:</w:t>
      </w:r>
      <w:r w:rsidDel="00000000" w:rsidR="00000000" w:rsidRPr="00000000">
        <w:rPr>
          <w:rFonts w:ascii="Arial" w:cs="Arial" w:eastAsia="Arial" w:hAnsi="Arial"/>
          <w:rtl w:val="0"/>
        </w:rPr>
        <w:t xml:space="preserve"> Estonia is favorable regarding factor condition in order for Nykaa to successfully reach out to the market within Europe. The nation contains of cultured labor pool over the country at just over 43% in regard with percentage of having at least at secondary education level. Furthermore, Internet subscription in country around 93% safeguards the e-retailing and digital e-retailing in country. According to Riyadi </w:t>
      </w:r>
      <w:r w:rsidDel="00000000" w:rsidR="00000000" w:rsidRPr="00000000">
        <w:rPr>
          <w:rFonts w:ascii="Arial" w:cs="Arial" w:eastAsia="Arial" w:hAnsi="Arial"/>
          <w:i w:val="1"/>
          <w:iCs w:val="1"/>
          <w:rtl w:val="0"/>
        </w:rPr>
        <w:t xml:space="preserve">et al.,</w:t>
      </w:r>
      <w:r w:rsidDel="00000000" w:rsidR="00000000" w:rsidRPr="00000000">
        <w:rPr>
          <w:rFonts w:ascii="Arial" w:cs="Arial" w:eastAsia="Arial" w:hAnsi="Arial"/>
          <w:rtl w:val="0"/>
        </w:rPr>
        <w:t xml:space="preserve"> (2024) found that wide transport network, excellent communication systems and the best performing digital public sector services on a worldwide level contribute to the fact that the commerce and trade are functioning smoothly over the EU borders of Estonia. Additionally, the penetration of smartphones and instalment to broadband increase online trade. Positive factor conditions allow Nykaa to carry on with its omnichannel business model, utilize AI to improve client interaction, promotion its supply chain activities and digital marketing. (Koswara and Herlina, 2025). The Advanced Estonian economy model perfectly fits an eco-friendly growth on the global stage.</w:t>
      </w:r>
    </w:p>
    <w:p w:rsidR="00000000" w:rsidDel="00000000" w:rsidP="00000000" w:rsidRDefault="00000000" w:rsidRPr="00000000" w14:paraId="00000052">
      <w:pPr>
        <w:spacing w:line="360" w:lineRule="auto"/>
        <w:jc w:val="both"/>
        <w:rPr>
          <w:rFonts w:ascii="Arial" w:cs="Arial" w:eastAsia="Arial" w:hAnsi="Arial"/>
        </w:rPr>
      </w:pPr>
      <w:r w:rsidDel="00000000" w:rsidR="00000000" w:rsidRPr="00000000">
        <w:rPr>
          <w:rFonts w:ascii="Arial" w:cs="Arial" w:eastAsia="Arial" w:hAnsi="Arial"/>
          <w:b w:val="1"/>
          <w:bCs w:val="1"/>
          <w:rtl w:val="0"/>
        </w:rPr>
        <w:t xml:space="preserve">Demand Conditions:</w:t>
      </w:r>
      <w:r w:rsidDel="00000000" w:rsidR="00000000" w:rsidRPr="00000000">
        <w:rPr>
          <w:rFonts w:ascii="Arial" w:cs="Arial" w:eastAsia="Arial" w:hAnsi="Arial"/>
          <w:rtl w:val="0"/>
        </w:rPr>
        <w:t xml:space="preserve"> Nykaa's high-end beauty and lifestyle products find a ready market in Estonia due to its advanced consumer market. Growing disposable income, improving skin care awareness, and high preference for the high-quality international brands are among the important drivers of the demand (Saini and Bansal, 2025). As per Mordorintelligence.com (2025). found that online retail now makes up over USD 0.81B of the total retail sales, and consumers are increasingly looking for sustainable, cruelty-free and quality beauty products refer in figure 6. Online behaviour is well recognized and digital purchasing behaviour is widespread, which will drive personalised online shopping experiences. They closely mirror the market traits that Nykaa has, with its high-end product line, rare brand collaborations with global brands and its AI-powered recommendation engine (Fu and Chen, 2023). Access to Estonia would allow Nykaa to fulfill the changing customer expectations by providing personalised services, high-quality beauty products and smooth omnichannel customer journey. </w:t>
      </w:r>
    </w:p>
    <w:p w:rsidR="00000000" w:rsidDel="00000000" w:rsidP="00000000" w:rsidRDefault="00000000" w:rsidRPr="00000000" w14:paraId="00000053">
      <w:pPr>
        <w:spacing w:line="360" w:lineRule="auto"/>
        <w:jc w:val="center"/>
        <w:rPr>
          <w:rFonts w:ascii="Arial" w:cs="Arial" w:eastAsia="Arial" w:hAnsi="Arial"/>
        </w:rPr>
      </w:pPr>
      <w:r w:rsidDel="00000000" w:rsidR="00000000" w:rsidRPr="00000000">
        <w:rPr/>
        <w:drawing>
          <wp:inline distB="0" distT="0" distL="0" distR="0">
            <wp:extent cx="2931726" cy="3471398"/>
            <wp:effectExtent b="0" l="0" r="0" t="0"/>
            <wp:docPr id="2" name="image3.png"/>
            <a:graphic>
              <a:graphicData uri="http://schemas.openxmlformats.org/drawingml/2006/picture">
                <pic:pic>
                  <pic:nvPicPr>
                    <pic:cNvPr id="0" name="image3.png"/>
                    <pic:cNvPicPr preferRelativeResize="0"/>
                  </pic:nvPicPr>
                  <pic:blipFill>
                    <a:blip r:embed="rId16"/>
                    <a:srcRect b="0" l="0" r="0" t="0"/>
                    <a:stretch>
                      <a:fillRect/>
                    </a:stretch>
                  </pic:blipFill>
                  <pic:spPr>
                    <a:xfrm>
                      <a:off x="0" y="0"/>
                      <a:ext cx="2931726" cy="3471398"/>
                    </a:xfrm>
                    <a:prstGeom prst="rect"/>
                    <a:ln/>
                  </pic:spPr>
                </pic:pic>
              </a:graphicData>
            </a:graphic>
          </wp:inline>
        </w:drawing>
      </w:r>
      <w:r w:rsidDel="00000000" w:rsidR="00000000" w:rsidRPr="00000000">
        <w:rPr>
          <w:rtl w:val="0"/>
        </w:rPr>
      </w:r>
    </w:p>
    <w:p w:rsidR="00000000" w:rsidDel="00000000" w:rsidP="00000000" w:rsidRDefault="00000000" w:rsidRPr="00000000" w14:paraId="00000054">
      <w:pPr>
        <w:spacing w:line="360" w:lineRule="auto"/>
        <w:jc w:val="center"/>
        <w:rPr>
          <w:rFonts w:ascii="Arial" w:cs="Arial" w:eastAsia="Arial" w:hAnsi="Arial"/>
          <w:b w:val="1"/>
          <w:bCs w:val="1"/>
          <w:i w:val="1"/>
          <w:iCs w:val="1"/>
        </w:rPr>
      </w:pPr>
      <w:r w:rsidDel="00000000" w:rsidR="00000000" w:rsidRPr="00000000">
        <w:rPr>
          <w:rFonts w:ascii="Arial" w:cs="Arial" w:eastAsia="Arial" w:hAnsi="Arial"/>
          <w:b w:val="1"/>
          <w:bCs w:val="1"/>
          <w:i w:val="1"/>
          <w:iCs w:val="1"/>
          <w:rtl w:val="0"/>
        </w:rPr>
        <w:t xml:space="preserve">Figure 6:</w:t>
      </w:r>
      <w:r w:rsidDel="00000000" w:rsidR="00000000" w:rsidRPr="00000000">
        <w:rPr>
          <w:b w:val="1"/>
          <w:bCs w:val="1"/>
          <w:i w:val="1"/>
          <w:iCs w:val="1"/>
          <w:rtl w:val="0"/>
        </w:rPr>
        <w:t xml:space="preserve"> </w:t>
      </w:r>
      <w:r w:rsidDel="00000000" w:rsidR="00000000" w:rsidRPr="00000000">
        <w:rPr>
          <w:rFonts w:ascii="Arial" w:cs="Arial" w:eastAsia="Arial" w:hAnsi="Arial"/>
          <w:b w:val="1"/>
          <w:bCs w:val="1"/>
          <w:i w:val="1"/>
          <w:iCs w:val="1"/>
          <w:rtl w:val="0"/>
        </w:rPr>
        <w:t xml:space="preserve">Estonia Online Shopping</w:t>
      </w:r>
    </w:p>
    <w:p w:rsidR="00000000" w:rsidDel="00000000" w:rsidP="00000000" w:rsidRDefault="00000000" w:rsidRPr="00000000" w14:paraId="00000055">
      <w:pPr>
        <w:spacing w:line="360" w:lineRule="auto"/>
        <w:jc w:val="center"/>
        <w:rPr>
          <w:rFonts w:ascii="Arial" w:cs="Arial" w:eastAsia="Arial" w:hAnsi="Arial"/>
        </w:rPr>
      </w:pPr>
      <w:r w:rsidDel="00000000" w:rsidR="00000000" w:rsidRPr="00000000">
        <w:rPr>
          <w:rFonts w:ascii="Arial" w:cs="Arial" w:eastAsia="Arial" w:hAnsi="Arial"/>
          <w:rtl w:val="0"/>
        </w:rPr>
        <w:t xml:space="preserve">(Source: Mordorintelligence.com, 2025)</w:t>
      </w:r>
    </w:p>
    <w:p w:rsidR="00000000" w:rsidDel="00000000" w:rsidP="00000000" w:rsidRDefault="00000000" w:rsidRPr="00000000" w14:paraId="00000056">
      <w:pPr>
        <w:spacing w:line="360" w:lineRule="auto"/>
        <w:jc w:val="both"/>
        <w:rPr>
          <w:rFonts w:ascii="Arial" w:cs="Arial" w:eastAsia="Arial" w:hAnsi="Arial"/>
        </w:rPr>
      </w:pPr>
      <w:r w:rsidDel="00000000" w:rsidR="00000000" w:rsidRPr="00000000">
        <w:rPr>
          <w:rFonts w:ascii="Arial" w:cs="Arial" w:eastAsia="Arial" w:hAnsi="Arial"/>
          <w:b w:val="1"/>
          <w:bCs w:val="1"/>
          <w:rtl w:val="0"/>
        </w:rPr>
        <w:t xml:space="preserve">Related and Supporting Industries:</w:t>
      </w:r>
      <w:r w:rsidDel="00000000" w:rsidR="00000000" w:rsidRPr="00000000">
        <w:rPr>
          <w:rtl w:val="0"/>
        </w:rPr>
        <w:t xml:space="preserve"> </w:t>
      </w:r>
      <w:r w:rsidDel="00000000" w:rsidR="00000000" w:rsidRPr="00000000">
        <w:rPr>
          <w:rFonts w:ascii="Arial" w:cs="Arial" w:eastAsia="Arial" w:hAnsi="Arial"/>
          <w:rtl w:val="0"/>
        </w:rPr>
        <w:t xml:space="preserve">Advantages International retail competitors in Estonia are aided by the being of mature supporting service sector. Well-developed tech firms enable easy to run of e-commerce thanks to fast and secure courier delivery solutions, secure e-commerce money systems, smart, well- managed shipping businesses. Growing Info Tech provides setting for cloud solutions, IT security &amp; innovation. Well running communications safeguard non-stop on-line trade processes (Saini and Bansal, 2025). Estonia also has very good links with other European Union markets, which enhances the regional distribution capacity. The supporting industries support Nykaa's technology-driven business model by providing the platform with an efficient order fulfilment system, a secure digital transaction system (Golalizadeh </w:t>
      </w:r>
      <w:r w:rsidDel="00000000" w:rsidR="00000000" w:rsidRPr="00000000">
        <w:rPr>
          <w:rFonts w:ascii="Arial" w:cs="Arial" w:eastAsia="Arial" w:hAnsi="Arial"/>
          <w:i w:val="1"/>
          <w:iCs w:val="1"/>
          <w:rtl w:val="0"/>
        </w:rPr>
        <w:t xml:space="preserve">et al.,</w:t>
      </w:r>
      <w:r w:rsidDel="00000000" w:rsidR="00000000" w:rsidRPr="00000000">
        <w:rPr>
          <w:rFonts w:ascii="Arial" w:cs="Arial" w:eastAsia="Arial" w:hAnsi="Arial"/>
          <w:rtl w:val="0"/>
        </w:rPr>
        <w:t xml:space="preserve"> 2023). An real inventory management system, and a scalable cross-border operation system, which meaningfully lowers the cost of the operations and support customers in the Estonian market.</w:t>
      </w:r>
    </w:p>
    <w:p w:rsidR="00000000" w:rsidDel="00000000" w:rsidP="00000000" w:rsidRDefault="00000000" w:rsidRPr="00000000" w14:paraId="00000057">
      <w:pPr>
        <w:spacing w:line="360" w:lineRule="auto"/>
        <w:jc w:val="both"/>
        <w:rPr>
          <w:rFonts w:ascii="Arial" w:cs="Arial" w:eastAsia="Arial" w:hAnsi="Arial"/>
        </w:rPr>
      </w:pPr>
      <w:r w:rsidDel="00000000" w:rsidR="00000000" w:rsidRPr="00000000">
        <w:rPr>
          <w:rFonts w:ascii="Arial" w:cs="Arial" w:eastAsia="Arial" w:hAnsi="Arial"/>
          <w:b w:val="1"/>
          <w:bCs w:val="1"/>
          <w:rtl w:val="0"/>
        </w:rPr>
        <w:t xml:space="preserve">Firm Strategy, Structure and Rivalry:</w:t>
      </w:r>
      <w:r w:rsidDel="00000000" w:rsidR="00000000" w:rsidRPr="00000000">
        <w:rPr>
          <w:rFonts w:ascii="Arial" w:cs="Arial" w:eastAsia="Arial" w:hAnsi="Arial"/>
          <w:rtl w:val="0"/>
        </w:rPr>
        <w:t xml:space="preserve"> The Competition is generally in a high average level for the Estonian cosmetic retailers’ market to existing European beauty stores, online stores and cosmetic brands. Furthermore, the beauty competion like Douglas, Notino and many other big names in the cosmetic market are competing each other with fine cosmetic assortment as well as electronic marketing and nice customer support. According to Vely (2025) found that Competition drives innovation, quality of services and operational expertise. The spaces to distinguish itself, among those Nykaa would have its competitive advantage via Exclusive companies with global brands, Private Labels, Use of Artificial intelligence for recommendations, loyalty programs and retail on multiple channels (Lavuri et al. 2022). Capability to offer best pricing with long-lasting product choices and localized marketing and digital customer experience will support Nykaa establish sustainable competitive advantage in the varying estonian beauty market.</w:t>
      </w:r>
    </w:p>
    <w:p w:rsidR="00000000" w:rsidDel="00000000" w:rsidP="00000000" w:rsidRDefault="00000000" w:rsidRPr="00000000" w14:paraId="00000058">
      <w:pPr>
        <w:pStyle w:val="Heading2"/>
        <w:rPr/>
      </w:pPr>
      <w:bookmarkStart w:colFirst="0" w:colLast="0" w:name="_2i0al4sgxg7i" w:id="11"/>
      <w:bookmarkEnd w:id="11"/>
      <w:r w:rsidDel="00000000" w:rsidR="00000000" w:rsidRPr="00000000">
        <w:rPr>
          <w:rtl w:val="0"/>
        </w:rPr>
        <w:t xml:space="preserve">2.6 Market Attractiveness Evaluation </w:t>
      </w:r>
    </w:p>
    <w:tbl>
      <w:tblPr>
        <w:tblStyle w:val="Table1"/>
        <w:tblW w:w="9350.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2431"/>
        <w:gridCol w:w="1167"/>
        <w:gridCol w:w="5752"/>
        <w:tblGridChange w:id="0">
          <w:tblGrid>
            <w:gridCol w:w="2431"/>
            <w:gridCol w:w="1167"/>
            <w:gridCol w:w="5752"/>
          </w:tblGrid>
        </w:tblGridChange>
      </w:tblGrid>
      <w:tr>
        <w:trPr>
          <w:cantSplit w:val="0"/>
          <w:tblHeader w:val="0"/>
        </w:trPr>
        <w:tc>
          <w:tcPr/>
          <w:p w:rsidR="00000000" w:rsidDel="00000000" w:rsidP="00000000" w:rsidRDefault="00000000" w:rsidRPr="00000000" w14:paraId="00000059">
            <w:pPr>
              <w:spacing w:after="160" w:line="360" w:lineRule="auto"/>
              <w:jc w:val="both"/>
              <w:rPr>
                <w:rFonts w:ascii="Arial" w:cs="Arial" w:eastAsia="Arial" w:hAnsi="Arial"/>
                <w:b w:val="1"/>
                <w:bCs w:val="1"/>
              </w:rPr>
            </w:pPr>
            <w:r w:rsidDel="00000000" w:rsidR="00000000" w:rsidRPr="00000000">
              <w:rPr>
                <w:rFonts w:ascii="Arial" w:cs="Arial" w:eastAsia="Arial" w:hAnsi="Arial"/>
                <w:b w:val="1"/>
                <w:bCs w:val="1"/>
                <w:rtl w:val="0"/>
              </w:rPr>
              <w:t xml:space="preserve">Evaluation Criteria</w:t>
            </w:r>
          </w:p>
        </w:tc>
        <w:tc>
          <w:tcPr/>
          <w:p w:rsidR="00000000" w:rsidDel="00000000" w:rsidP="00000000" w:rsidRDefault="00000000" w:rsidRPr="00000000" w14:paraId="0000005A">
            <w:pPr>
              <w:spacing w:after="160" w:line="360" w:lineRule="auto"/>
              <w:jc w:val="both"/>
              <w:rPr>
                <w:rFonts w:ascii="Arial" w:cs="Arial" w:eastAsia="Arial" w:hAnsi="Arial"/>
                <w:b w:val="1"/>
                <w:bCs w:val="1"/>
              </w:rPr>
            </w:pPr>
            <w:r w:rsidDel="00000000" w:rsidR="00000000" w:rsidRPr="00000000">
              <w:rPr>
                <w:rFonts w:ascii="Arial" w:cs="Arial" w:eastAsia="Arial" w:hAnsi="Arial"/>
                <w:b w:val="1"/>
                <w:bCs w:val="1"/>
                <w:rtl w:val="0"/>
              </w:rPr>
              <w:t xml:space="preserve">Rating (1–5)</w:t>
            </w:r>
          </w:p>
        </w:tc>
        <w:tc>
          <w:tcPr/>
          <w:p w:rsidR="00000000" w:rsidDel="00000000" w:rsidP="00000000" w:rsidRDefault="00000000" w:rsidRPr="00000000" w14:paraId="0000005B">
            <w:pPr>
              <w:spacing w:after="160" w:line="360" w:lineRule="auto"/>
              <w:jc w:val="both"/>
              <w:rPr>
                <w:rFonts w:ascii="Arial" w:cs="Arial" w:eastAsia="Arial" w:hAnsi="Arial"/>
                <w:b w:val="1"/>
                <w:bCs w:val="1"/>
              </w:rPr>
            </w:pPr>
            <w:r w:rsidDel="00000000" w:rsidR="00000000" w:rsidRPr="00000000">
              <w:rPr>
                <w:rFonts w:ascii="Arial" w:cs="Arial" w:eastAsia="Arial" w:hAnsi="Arial"/>
                <w:b w:val="1"/>
                <w:bCs w:val="1"/>
                <w:rtl w:val="0"/>
              </w:rPr>
              <w:t xml:space="preserve">Justification</w:t>
            </w:r>
          </w:p>
        </w:tc>
      </w:tr>
      <w:tr>
        <w:trPr>
          <w:cantSplit w:val="0"/>
          <w:tblHeader w:val="0"/>
        </w:trPr>
        <w:tc>
          <w:tcPr/>
          <w:p w:rsidR="00000000" w:rsidDel="00000000" w:rsidP="00000000" w:rsidRDefault="00000000" w:rsidRPr="00000000" w14:paraId="0000005C">
            <w:pPr>
              <w:spacing w:after="160" w:line="360" w:lineRule="auto"/>
              <w:jc w:val="both"/>
              <w:rPr>
                <w:rFonts w:ascii="Arial" w:cs="Arial" w:eastAsia="Arial" w:hAnsi="Arial"/>
              </w:rPr>
            </w:pPr>
            <w:r w:rsidDel="00000000" w:rsidR="00000000" w:rsidRPr="00000000">
              <w:rPr>
                <w:rFonts w:ascii="Arial" w:cs="Arial" w:eastAsia="Arial" w:hAnsi="Arial"/>
                <w:b w:val="1"/>
                <w:bCs w:val="1"/>
                <w:rtl w:val="0"/>
              </w:rPr>
              <w:t xml:space="preserve">Political Stability</w:t>
            </w:r>
            <w:r w:rsidDel="00000000" w:rsidR="00000000" w:rsidRPr="00000000">
              <w:rPr>
                <w:rtl w:val="0"/>
              </w:rPr>
            </w:r>
          </w:p>
        </w:tc>
        <w:tc>
          <w:tcPr/>
          <w:p w:rsidR="00000000" w:rsidDel="00000000" w:rsidP="00000000" w:rsidRDefault="00000000" w:rsidRPr="00000000" w14:paraId="0000005D">
            <w:pPr>
              <w:spacing w:after="160" w:line="360" w:lineRule="auto"/>
              <w:jc w:val="both"/>
              <w:rPr>
                <w:rFonts w:ascii="Arial" w:cs="Arial" w:eastAsia="Arial" w:hAnsi="Arial"/>
              </w:rPr>
            </w:pPr>
            <w:r w:rsidDel="00000000" w:rsidR="00000000" w:rsidRPr="00000000">
              <w:rPr>
                <w:rFonts w:ascii="Arial" w:cs="Arial" w:eastAsia="Arial" w:hAnsi="Arial"/>
                <w:b w:val="1"/>
                <w:bCs w:val="1"/>
                <w:rtl w:val="0"/>
              </w:rPr>
              <w:t xml:space="preserve">5</w:t>
            </w:r>
            <w:r w:rsidDel="00000000" w:rsidR="00000000" w:rsidRPr="00000000">
              <w:rPr>
                <w:rtl w:val="0"/>
              </w:rPr>
            </w:r>
          </w:p>
        </w:tc>
        <w:tc>
          <w:tcPr/>
          <w:p w:rsidR="00000000" w:rsidDel="00000000" w:rsidP="00000000" w:rsidRDefault="00000000" w:rsidRPr="00000000" w14:paraId="0000005E">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Stable democracy, transparent governance and low political risk.</w:t>
            </w:r>
          </w:p>
        </w:tc>
      </w:tr>
      <w:tr>
        <w:trPr>
          <w:cantSplit w:val="0"/>
          <w:tblHeader w:val="0"/>
        </w:trPr>
        <w:tc>
          <w:tcPr/>
          <w:p w:rsidR="00000000" w:rsidDel="00000000" w:rsidP="00000000" w:rsidRDefault="00000000" w:rsidRPr="00000000" w14:paraId="0000005F">
            <w:pPr>
              <w:spacing w:after="160" w:line="360" w:lineRule="auto"/>
              <w:jc w:val="both"/>
              <w:rPr>
                <w:rFonts w:ascii="Arial" w:cs="Arial" w:eastAsia="Arial" w:hAnsi="Arial"/>
              </w:rPr>
            </w:pPr>
            <w:r w:rsidDel="00000000" w:rsidR="00000000" w:rsidRPr="00000000">
              <w:rPr>
                <w:rFonts w:ascii="Arial" w:cs="Arial" w:eastAsia="Arial" w:hAnsi="Arial"/>
                <w:b w:val="1"/>
                <w:bCs w:val="1"/>
                <w:rtl w:val="0"/>
              </w:rPr>
              <w:t xml:space="preserve">Economic Environment</w:t>
            </w:r>
            <w:r w:rsidDel="00000000" w:rsidR="00000000" w:rsidRPr="00000000">
              <w:rPr>
                <w:rtl w:val="0"/>
              </w:rPr>
            </w:r>
          </w:p>
        </w:tc>
        <w:tc>
          <w:tcPr/>
          <w:p w:rsidR="00000000" w:rsidDel="00000000" w:rsidP="00000000" w:rsidRDefault="00000000" w:rsidRPr="00000000" w14:paraId="00000060">
            <w:pPr>
              <w:spacing w:after="160" w:line="360" w:lineRule="auto"/>
              <w:jc w:val="both"/>
              <w:rPr>
                <w:rFonts w:ascii="Arial" w:cs="Arial" w:eastAsia="Arial" w:hAnsi="Arial"/>
              </w:rPr>
            </w:pPr>
            <w:r w:rsidDel="00000000" w:rsidR="00000000" w:rsidRPr="00000000">
              <w:rPr>
                <w:rFonts w:ascii="Arial" w:cs="Arial" w:eastAsia="Arial" w:hAnsi="Arial"/>
                <w:b w:val="1"/>
                <w:bCs w:val="1"/>
                <w:rtl w:val="0"/>
              </w:rPr>
              <w:t xml:space="preserve">4</w:t>
            </w:r>
            <w:r w:rsidDel="00000000" w:rsidR="00000000" w:rsidRPr="00000000">
              <w:rPr>
                <w:rtl w:val="0"/>
              </w:rPr>
            </w:r>
          </w:p>
        </w:tc>
        <w:tc>
          <w:tcPr/>
          <w:p w:rsidR="00000000" w:rsidDel="00000000" w:rsidP="00000000" w:rsidRDefault="00000000" w:rsidRPr="00000000" w14:paraId="00000061">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High purchasing power and resilient economic performance support premium retail.</w:t>
            </w:r>
          </w:p>
        </w:tc>
      </w:tr>
      <w:tr>
        <w:trPr>
          <w:cantSplit w:val="0"/>
          <w:tblHeader w:val="0"/>
        </w:trPr>
        <w:tc>
          <w:tcPr/>
          <w:p w:rsidR="00000000" w:rsidDel="00000000" w:rsidP="00000000" w:rsidRDefault="00000000" w:rsidRPr="00000000" w14:paraId="00000062">
            <w:pPr>
              <w:spacing w:after="160" w:line="360" w:lineRule="auto"/>
              <w:jc w:val="both"/>
              <w:rPr>
                <w:rFonts w:ascii="Arial" w:cs="Arial" w:eastAsia="Arial" w:hAnsi="Arial"/>
              </w:rPr>
            </w:pPr>
            <w:r w:rsidDel="00000000" w:rsidR="00000000" w:rsidRPr="00000000">
              <w:rPr>
                <w:rFonts w:ascii="Arial" w:cs="Arial" w:eastAsia="Arial" w:hAnsi="Arial"/>
                <w:b w:val="1"/>
                <w:bCs w:val="1"/>
                <w:rtl w:val="0"/>
              </w:rPr>
              <w:t xml:space="preserve">Legal Environment</w:t>
            </w:r>
            <w:r w:rsidDel="00000000" w:rsidR="00000000" w:rsidRPr="00000000">
              <w:rPr>
                <w:rtl w:val="0"/>
              </w:rPr>
            </w:r>
          </w:p>
        </w:tc>
        <w:tc>
          <w:tcPr/>
          <w:p w:rsidR="00000000" w:rsidDel="00000000" w:rsidP="00000000" w:rsidRDefault="00000000" w:rsidRPr="00000000" w14:paraId="00000063">
            <w:pPr>
              <w:spacing w:after="160" w:line="360" w:lineRule="auto"/>
              <w:jc w:val="both"/>
              <w:rPr>
                <w:rFonts w:ascii="Arial" w:cs="Arial" w:eastAsia="Arial" w:hAnsi="Arial"/>
              </w:rPr>
            </w:pPr>
            <w:r w:rsidDel="00000000" w:rsidR="00000000" w:rsidRPr="00000000">
              <w:rPr>
                <w:rFonts w:ascii="Arial" w:cs="Arial" w:eastAsia="Arial" w:hAnsi="Arial"/>
                <w:b w:val="1"/>
                <w:bCs w:val="1"/>
                <w:rtl w:val="0"/>
              </w:rPr>
              <w:t xml:space="preserve">4</w:t>
            </w:r>
            <w:r w:rsidDel="00000000" w:rsidR="00000000" w:rsidRPr="00000000">
              <w:rPr>
                <w:rtl w:val="0"/>
              </w:rPr>
            </w:r>
          </w:p>
        </w:tc>
        <w:tc>
          <w:tcPr/>
          <w:p w:rsidR="00000000" w:rsidDel="00000000" w:rsidP="00000000" w:rsidRDefault="00000000" w:rsidRPr="00000000" w14:paraId="00000064">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Strong EU regulatory framework protects businesses and consumers.</w:t>
            </w:r>
          </w:p>
        </w:tc>
      </w:tr>
      <w:tr>
        <w:trPr>
          <w:cantSplit w:val="0"/>
          <w:tblHeader w:val="0"/>
        </w:trPr>
        <w:tc>
          <w:tcPr/>
          <w:p w:rsidR="00000000" w:rsidDel="00000000" w:rsidP="00000000" w:rsidRDefault="00000000" w:rsidRPr="00000000" w14:paraId="00000065">
            <w:pPr>
              <w:spacing w:after="160" w:line="360" w:lineRule="auto"/>
              <w:jc w:val="both"/>
              <w:rPr>
                <w:rFonts w:ascii="Arial" w:cs="Arial" w:eastAsia="Arial" w:hAnsi="Arial"/>
              </w:rPr>
            </w:pPr>
            <w:r w:rsidDel="00000000" w:rsidR="00000000" w:rsidRPr="00000000">
              <w:rPr>
                <w:rFonts w:ascii="Arial" w:cs="Arial" w:eastAsia="Arial" w:hAnsi="Arial"/>
                <w:b w:val="1"/>
                <w:bCs w:val="1"/>
                <w:rtl w:val="0"/>
              </w:rPr>
              <w:t xml:space="preserve">Digital Readiness</w:t>
            </w:r>
            <w:r w:rsidDel="00000000" w:rsidR="00000000" w:rsidRPr="00000000">
              <w:rPr>
                <w:rtl w:val="0"/>
              </w:rPr>
            </w:r>
          </w:p>
        </w:tc>
        <w:tc>
          <w:tcPr/>
          <w:p w:rsidR="00000000" w:rsidDel="00000000" w:rsidP="00000000" w:rsidRDefault="00000000" w:rsidRPr="00000000" w14:paraId="00000066">
            <w:pPr>
              <w:spacing w:after="160" w:line="360" w:lineRule="auto"/>
              <w:jc w:val="both"/>
              <w:rPr>
                <w:rFonts w:ascii="Arial" w:cs="Arial" w:eastAsia="Arial" w:hAnsi="Arial"/>
              </w:rPr>
            </w:pPr>
            <w:r w:rsidDel="00000000" w:rsidR="00000000" w:rsidRPr="00000000">
              <w:rPr>
                <w:rFonts w:ascii="Arial" w:cs="Arial" w:eastAsia="Arial" w:hAnsi="Arial"/>
                <w:b w:val="1"/>
                <w:bCs w:val="1"/>
                <w:rtl w:val="0"/>
              </w:rPr>
              <w:t xml:space="preserve">5</w:t>
            </w:r>
            <w:r w:rsidDel="00000000" w:rsidR="00000000" w:rsidRPr="00000000">
              <w:rPr>
                <w:rtl w:val="0"/>
              </w:rPr>
            </w:r>
          </w:p>
        </w:tc>
        <w:tc>
          <w:tcPr/>
          <w:p w:rsidR="00000000" w:rsidDel="00000000" w:rsidP="00000000" w:rsidRDefault="00000000" w:rsidRPr="00000000" w14:paraId="00000067">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Over 93% internet penetration and world-leading digital government services.</w:t>
            </w:r>
          </w:p>
        </w:tc>
      </w:tr>
      <w:tr>
        <w:trPr>
          <w:cantSplit w:val="0"/>
          <w:tblHeader w:val="0"/>
        </w:trPr>
        <w:tc>
          <w:tcPr/>
          <w:p w:rsidR="00000000" w:rsidDel="00000000" w:rsidP="00000000" w:rsidRDefault="00000000" w:rsidRPr="00000000" w14:paraId="00000068">
            <w:pPr>
              <w:spacing w:after="160" w:line="360" w:lineRule="auto"/>
              <w:jc w:val="both"/>
              <w:rPr>
                <w:rFonts w:ascii="Arial" w:cs="Arial" w:eastAsia="Arial" w:hAnsi="Arial"/>
              </w:rPr>
            </w:pPr>
            <w:r w:rsidDel="00000000" w:rsidR="00000000" w:rsidRPr="00000000">
              <w:rPr>
                <w:rFonts w:ascii="Arial" w:cs="Arial" w:eastAsia="Arial" w:hAnsi="Arial"/>
                <w:b w:val="1"/>
                <w:bCs w:val="1"/>
                <w:rtl w:val="0"/>
              </w:rPr>
              <w:t xml:space="preserve">Beauty Market Growth</w:t>
            </w:r>
            <w:r w:rsidDel="00000000" w:rsidR="00000000" w:rsidRPr="00000000">
              <w:rPr>
                <w:rtl w:val="0"/>
              </w:rPr>
            </w:r>
          </w:p>
        </w:tc>
        <w:tc>
          <w:tcPr/>
          <w:p w:rsidR="00000000" w:rsidDel="00000000" w:rsidP="00000000" w:rsidRDefault="00000000" w:rsidRPr="00000000" w14:paraId="00000069">
            <w:pPr>
              <w:spacing w:after="160" w:line="360" w:lineRule="auto"/>
              <w:jc w:val="both"/>
              <w:rPr>
                <w:rFonts w:ascii="Arial" w:cs="Arial" w:eastAsia="Arial" w:hAnsi="Arial"/>
              </w:rPr>
            </w:pPr>
            <w:r w:rsidDel="00000000" w:rsidR="00000000" w:rsidRPr="00000000">
              <w:rPr>
                <w:rFonts w:ascii="Arial" w:cs="Arial" w:eastAsia="Arial" w:hAnsi="Arial"/>
                <w:b w:val="1"/>
                <w:bCs w:val="1"/>
                <w:rtl w:val="0"/>
              </w:rPr>
              <w:t xml:space="preserve">4</w:t>
            </w:r>
            <w:r w:rsidDel="00000000" w:rsidR="00000000" w:rsidRPr="00000000">
              <w:rPr>
                <w:rtl w:val="0"/>
              </w:rPr>
            </w:r>
          </w:p>
        </w:tc>
        <w:tc>
          <w:tcPr/>
          <w:p w:rsidR="00000000" w:rsidDel="00000000" w:rsidP="00000000" w:rsidRDefault="00000000" w:rsidRPr="00000000" w14:paraId="0000006A">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Increasing demand for premium cosmetics, skincare and online beauty shopping.</w:t>
            </w:r>
          </w:p>
        </w:tc>
      </w:tr>
      <w:tr>
        <w:trPr>
          <w:cantSplit w:val="0"/>
          <w:tblHeader w:val="0"/>
        </w:trPr>
        <w:tc>
          <w:tcPr/>
          <w:p w:rsidR="00000000" w:rsidDel="00000000" w:rsidP="00000000" w:rsidRDefault="00000000" w:rsidRPr="00000000" w14:paraId="0000006B">
            <w:pPr>
              <w:spacing w:after="160" w:line="360" w:lineRule="auto"/>
              <w:jc w:val="both"/>
              <w:rPr>
                <w:rFonts w:ascii="Arial" w:cs="Arial" w:eastAsia="Arial" w:hAnsi="Arial"/>
              </w:rPr>
            </w:pPr>
            <w:r w:rsidDel="00000000" w:rsidR="00000000" w:rsidRPr="00000000">
              <w:rPr>
                <w:rFonts w:ascii="Arial" w:cs="Arial" w:eastAsia="Arial" w:hAnsi="Arial"/>
                <w:b w:val="1"/>
                <w:bCs w:val="1"/>
                <w:rtl w:val="0"/>
              </w:rPr>
              <w:t xml:space="preserve">E-commerce Infrastructure</w:t>
            </w:r>
            <w:r w:rsidDel="00000000" w:rsidR="00000000" w:rsidRPr="00000000">
              <w:rPr>
                <w:rtl w:val="0"/>
              </w:rPr>
            </w:r>
          </w:p>
        </w:tc>
        <w:tc>
          <w:tcPr/>
          <w:p w:rsidR="00000000" w:rsidDel="00000000" w:rsidP="00000000" w:rsidRDefault="00000000" w:rsidRPr="00000000" w14:paraId="0000006C">
            <w:pPr>
              <w:spacing w:after="160" w:line="360" w:lineRule="auto"/>
              <w:jc w:val="both"/>
              <w:rPr>
                <w:rFonts w:ascii="Arial" w:cs="Arial" w:eastAsia="Arial" w:hAnsi="Arial"/>
              </w:rPr>
            </w:pPr>
            <w:r w:rsidDel="00000000" w:rsidR="00000000" w:rsidRPr="00000000">
              <w:rPr>
                <w:rFonts w:ascii="Arial" w:cs="Arial" w:eastAsia="Arial" w:hAnsi="Arial"/>
                <w:b w:val="1"/>
                <w:bCs w:val="1"/>
                <w:rtl w:val="0"/>
              </w:rPr>
              <w:t xml:space="preserve">5</w:t>
            </w:r>
            <w:r w:rsidDel="00000000" w:rsidR="00000000" w:rsidRPr="00000000">
              <w:rPr>
                <w:rtl w:val="0"/>
              </w:rPr>
            </w:r>
          </w:p>
        </w:tc>
        <w:tc>
          <w:tcPr/>
          <w:p w:rsidR="00000000" w:rsidDel="00000000" w:rsidP="00000000" w:rsidRDefault="00000000" w:rsidRPr="00000000" w14:paraId="0000006D">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Advanced logistics, digital payments and efficient online retail ecosystem.</w:t>
            </w:r>
          </w:p>
        </w:tc>
      </w:tr>
      <w:tr>
        <w:trPr>
          <w:cantSplit w:val="0"/>
          <w:tblHeader w:val="0"/>
        </w:trPr>
        <w:tc>
          <w:tcPr/>
          <w:p w:rsidR="00000000" w:rsidDel="00000000" w:rsidP="00000000" w:rsidRDefault="00000000" w:rsidRPr="00000000" w14:paraId="0000006E">
            <w:pPr>
              <w:spacing w:after="160" w:line="360" w:lineRule="auto"/>
              <w:jc w:val="both"/>
              <w:rPr>
                <w:rFonts w:ascii="Arial" w:cs="Arial" w:eastAsia="Arial" w:hAnsi="Arial"/>
              </w:rPr>
            </w:pPr>
            <w:r w:rsidDel="00000000" w:rsidR="00000000" w:rsidRPr="00000000">
              <w:rPr>
                <w:rFonts w:ascii="Arial" w:cs="Arial" w:eastAsia="Arial" w:hAnsi="Arial"/>
                <w:b w:val="1"/>
                <w:bCs w:val="1"/>
                <w:rtl w:val="0"/>
              </w:rPr>
              <w:t xml:space="preserve">Consumer Purchasing Power</w:t>
            </w:r>
            <w:r w:rsidDel="00000000" w:rsidR="00000000" w:rsidRPr="00000000">
              <w:rPr>
                <w:rtl w:val="0"/>
              </w:rPr>
            </w:r>
          </w:p>
        </w:tc>
        <w:tc>
          <w:tcPr/>
          <w:p w:rsidR="00000000" w:rsidDel="00000000" w:rsidP="00000000" w:rsidRDefault="00000000" w:rsidRPr="00000000" w14:paraId="0000006F">
            <w:pPr>
              <w:spacing w:after="160" w:line="360" w:lineRule="auto"/>
              <w:jc w:val="both"/>
              <w:rPr>
                <w:rFonts w:ascii="Arial" w:cs="Arial" w:eastAsia="Arial" w:hAnsi="Arial"/>
              </w:rPr>
            </w:pPr>
            <w:r w:rsidDel="00000000" w:rsidR="00000000" w:rsidRPr="00000000">
              <w:rPr>
                <w:rFonts w:ascii="Arial" w:cs="Arial" w:eastAsia="Arial" w:hAnsi="Arial"/>
                <w:b w:val="1"/>
                <w:bCs w:val="1"/>
                <w:rtl w:val="0"/>
              </w:rPr>
              <w:t xml:space="preserve">4</w:t>
            </w:r>
            <w:r w:rsidDel="00000000" w:rsidR="00000000" w:rsidRPr="00000000">
              <w:rPr>
                <w:rtl w:val="0"/>
              </w:rPr>
            </w:r>
          </w:p>
        </w:tc>
        <w:tc>
          <w:tcPr/>
          <w:p w:rsidR="00000000" w:rsidDel="00000000" w:rsidP="00000000" w:rsidRDefault="00000000" w:rsidRPr="00000000" w14:paraId="00000070">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Consumers demonstrate strong spending on quality and premium lifestyle products.</w:t>
            </w:r>
          </w:p>
        </w:tc>
      </w:tr>
      <w:tr>
        <w:trPr>
          <w:cantSplit w:val="0"/>
          <w:tblHeader w:val="0"/>
        </w:trPr>
        <w:tc>
          <w:tcPr/>
          <w:p w:rsidR="00000000" w:rsidDel="00000000" w:rsidP="00000000" w:rsidRDefault="00000000" w:rsidRPr="00000000" w14:paraId="00000071">
            <w:pPr>
              <w:spacing w:after="160" w:line="360" w:lineRule="auto"/>
              <w:jc w:val="both"/>
              <w:rPr>
                <w:rFonts w:ascii="Arial" w:cs="Arial" w:eastAsia="Arial" w:hAnsi="Arial"/>
              </w:rPr>
            </w:pPr>
            <w:r w:rsidDel="00000000" w:rsidR="00000000" w:rsidRPr="00000000">
              <w:rPr>
                <w:rFonts w:ascii="Arial" w:cs="Arial" w:eastAsia="Arial" w:hAnsi="Arial"/>
                <w:b w:val="1"/>
                <w:bCs w:val="1"/>
                <w:rtl w:val="0"/>
              </w:rPr>
              <w:t xml:space="preserve">Competition Intensity</w:t>
            </w:r>
            <w:r w:rsidDel="00000000" w:rsidR="00000000" w:rsidRPr="00000000">
              <w:rPr>
                <w:rtl w:val="0"/>
              </w:rPr>
            </w:r>
          </w:p>
        </w:tc>
        <w:tc>
          <w:tcPr/>
          <w:p w:rsidR="00000000" w:rsidDel="00000000" w:rsidP="00000000" w:rsidRDefault="00000000" w:rsidRPr="00000000" w14:paraId="00000072">
            <w:pPr>
              <w:spacing w:after="160" w:line="360" w:lineRule="auto"/>
              <w:jc w:val="both"/>
              <w:rPr>
                <w:rFonts w:ascii="Arial" w:cs="Arial" w:eastAsia="Arial" w:hAnsi="Arial"/>
              </w:rPr>
            </w:pPr>
            <w:r w:rsidDel="00000000" w:rsidR="00000000" w:rsidRPr="00000000">
              <w:rPr>
                <w:rFonts w:ascii="Arial" w:cs="Arial" w:eastAsia="Arial" w:hAnsi="Arial"/>
                <w:b w:val="1"/>
                <w:bCs w:val="1"/>
                <w:rtl w:val="0"/>
              </w:rPr>
              <w:t xml:space="preserve">3</w:t>
            </w:r>
            <w:r w:rsidDel="00000000" w:rsidR="00000000" w:rsidRPr="00000000">
              <w:rPr>
                <w:rtl w:val="0"/>
              </w:rPr>
            </w:r>
          </w:p>
        </w:tc>
        <w:tc>
          <w:tcPr/>
          <w:p w:rsidR="00000000" w:rsidDel="00000000" w:rsidP="00000000" w:rsidRDefault="00000000" w:rsidRPr="00000000" w14:paraId="00000073">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Moderate competition from established European beauty retailers and online platforms.</w:t>
            </w:r>
          </w:p>
        </w:tc>
      </w:tr>
      <w:tr>
        <w:trPr>
          <w:cantSplit w:val="0"/>
          <w:tblHeader w:val="0"/>
        </w:trPr>
        <w:tc>
          <w:tcPr/>
          <w:p w:rsidR="00000000" w:rsidDel="00000000" w:rsidP="00000000" w:rsidRDefault="00000000" w:rsidRPr="00000000" w14:paraId="00000074">
            <w:pPr>
              <w:spacing w:after="160" w:line="360" w:lineRule="auto"/>
              <w:jc w:val="both"/>
              <w:rPr>
                <w:rFonts w:ascii="Arial" w:cs="Arial" w:eastAsia="Arial" w:hAnsi="Arial"/>
              </w:rPr>
            </w:pPr>
            <w:r w:rsidDel="00000000" w:rsidR="00000000" w:rsidRPr="00000000">
              <w:rPr>
                <w:rFonts w:ascii="Arial" w:cs="Arial" w:eastAsia="Arial" w:hAnsi="Arial"/>
                <w:b w:val="1"/>
                <w:bCs w:val="1"/>
                <w:rtl w:val="0"/>
              </w:rPr>
              <w:t xml:space="preserve">Sustainability Awareness</w:t>
            </w:r>
            <w:r w:rsidDel="00000000" w:rsidR="00000000" w:rsidRPr="00000000">
              <w:rPr>
                <w:rtl w:val="0"/>
              </w:rPr>
            </w:r>
          </w:p>
        </w:tc>
        <w:tc>
          <w:tcPr/>
          <w:p w:rsidR="00000000" w:rsidDel="00000000" w:rsidP="00000000" w:rsidRDefault="00000000" w:rsidRPr="00000000" w14:paraId="00000075">
            <w:pPr>
              <w:spacing w:after="160" w:line="360" w:lineRule="auto"/>
              <w:jc w:val="both"/>
              <w:rPr>
                <w:rFonts w:ascii="Arial" w:cs="Arial" w:eastAsia="Arial" w:hAnsi="Arial"/>
              </w:rPr>
            </w:pPr>
            <w:r w:rsidDel="00000000" w:rsidR="00000000" w:rsidRPr="00000000">
              <w:rPr>
                <w:rFonts w:ascii="Arial" w:cs="Arial" w:eastAsia="Arial" w:hAnsi="Arial"/>
                <w:b w:val="1"/>
                <w:bCs w:val="1"/>
                <w:rtl w:val="0"/>
              </w:rPr>
              <w:t xml:space="preserve">5</w:t>
            </w:r>
            <w:r w:rsidDel="00000000" w:rsidR="00000000" w:rsidRPr="00000000">
              <w:rPr>
                <w:rtl w:val="0"/>
              </w:rPr>
            </w:r>
          </w:p>
        </w:tc>
        <w:tc>
          <w:tcPr/>
          <w:p w:rsidR="00000000" w:rsidDel="00000000" w:rsidP="00000000" w:rsidRDefault="00000000" w:rsidRPr="00000000" w14:paraId="00000076">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High preference for eco-friendly, cruelty-free and sustainable beauty products.</w:t>
            </w:r>
          </w:p>
        </w:tc>
      </w:tr>
      <w:tr>
        <w:trPr>
          <w:cantSplit w:val="0"/>
          <w:tblHeader w:val="0"/>
        </w:trPr>
        <w:tc>
          <w:tcPr/>
          <w:p w:rsidR="00000000" w:rsidDel="00000000" w:rsidP="00000000" w:rsidRDefault="00000000" w:rsidRPr="00000000" w14:paraId="00000077">
            <w:pPr>
              <w:spacing w:after="160" w:line="360" w:lineRule="auto"/>
              <w:jc w:val="both"/>
              <w:rPr>
                <w:rFonts w:ascii="Arial" w:cs="Arial" w:eastAsia="Arial" w:hAnsi="Arial"/>
              </w:rPr>
            </w:pPr>
            <w:r w:rsidDel="00000000" w:rsidR="00000000" w:rsidRPr="00000000">
              <w:rPr>
                <w:rFonts w:ascii="Arial" w:cs="Arial" w:eastAsia="Arial" w:hAnsi="Arial"/>
                <w:b w:val="1"/>
                <w:bCs w:val="1"/>
                <w:rtl w:val="0"/>
              </w:rPr>
              <w:t xml:space="preserve">Overall Market Attractiveness</w:t>
            </w:r>
            <w:r w:rsidDel="00000000" w:rsidR="00000000" w:rsidRPr="00000000">
              <w:rPr>
                <w:rtl w:val="0"/>
              </w:rPr>
            </w:r>
          </w:p>
        </w:tc>
        <w:tc>
          <w:tcPr/>
          <w:p w:rsidR="00000000" w:rsidDel="00000000" w:rsidP="00000000" w:rsidRDefault="00000000" w:rsidRPr="00000000" w14:paraId="00000078">
            <w:pPr>
              <w:spacing w:after="160" w:line="360" w:lineRule="auto"/>
              <w:jc w:val="both"/>
              <w:rPr>
                <w:rFonts w:ascii="Arial" w:cs="Arial" w:eastAsia="Arial" w:hAnsi="Arial"/>
              </w:rPr>
            </w:pPr>
            <w:r w:rsidDel="00000000" w:rsidR="00000000" w:rsidRPr="00000000">
              <w:rPr>
                <w:rFonts w:ascii="Arial" w:cs="Arial" w:eastAsia="Arial" w:hAnsi="Arial"/>
                <w:b w:val="1"/>
                <w:bCs w:val="1"/>
                <w:rtl w:val="0"/>
              </w:rPr>
              <w:t xml:space="preserve">4.4 / 5</w:t>
            </w:r>
            <w:r w:rsidDel="00000000" w:rsidR="00000000" w:rsidRPr="00000000">
              <w:rPr>
                <w:rtl w:val="0"/>
              </w:rPr>
            </w:r>
          </w:p>
        </w:tc>
        <w:tc>
          <w:tcPr/>
          <w:p w:rsidR="00000000" w:rsidDel="00000000" w:rsidP="00000000" w:rsidRDefault="00000000" w:rsidRPr="00000000" w14:paraId="00000079">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Estonia offers a highly attractive, digitally advanced and strategically suitable market for Nykaa's expansion into the European Union.</w:t>
            </w:r>
          </w:p>
        </w:tc>
      </w:tr>
    </w:tbl>
    <w:p w:rsidR="00000000" w:rsidDel="00000000" w:rsidP="00000000" w:rsidRDefault="00000000" w:rsidRPr="00000000" w14:paraId="0000007A">
      <w:pPr>
        <w:spacing w:line="360" w:lineRule="auto"/>
        <w:jc w:val="center"/>
        <w:rPr>
          <w:rFonts w:ascii="Arial" w:cs="Arial" w:eastAsia="Arial" w:hAnsi="Arial"/>
          <w:b w:val="1"/>
          <w:bCs w:val="1"/>
          <w:i w:val="1"/>
          <w:iCs w:val="1"/>
        </w:rPr>
      </w:pPr>
      <w:r w:rsidDel="00000000" w:rsidR="00000000" w:rsidRPr="00000000">
        <w:rPr>
          <w:rFonts w:ascii="Arial" w:cs="Arial" w:eastAsia="Arial" w:hAnsi="Arial"/>
          <w:b w:val="1"/>
          <w:bCs w:val="1"/>
          <w:i w:val="1"/>
          <w:iCs w:val="1"/>
          <w:rtl w:val="0"/>
        </w:rPr>
        <w:t xml:space="preserve">Table 1: Market Attractiveness Evaluation for Nykaa's Entry into Estonia</w:t>
      </w:r>
    </w:p>
    <w:p w:rsidR="00000000" w:rsidDel="00000000" w:rsidP="00000000" w:rsidRDefault="00000000" w:rsidRPr="00000000" w14:paraId="0000007B">
      <w:pPr>
        <w:spacing w:line="360" w:lineRule="auto"/>
        <w:jc w:val="center"/>
        <w:rPr>
          <w:rFonts w:ascii="Arial" w:cs="Arial" w:eastAsia="Arial" w:hAnsi="Arial"/>
        </w:rPr>
      </w:pPr>
      <w:r w:rsidDel="00000000" w:rsidR="00000000" w:rsidRPr="00000000">
        <w:rPr>
          <w:rFonts w:ascii="Arial" w:cs="Arial" w:eastAsia="Arial" w:hAnsi="Arial"/>
          <w:rtl w:val="0"/>
        </w:rPr>
        <w:t xml:space="preserve">(Source: Self-created)</w:t>
      </w:r>
    </w:p>
    <w:p w:rsidR="00000000" w:rsidDel="00000000" w:rsidP="00000000" w:rsidRDefault="00000000" w:rsidRPr="00000000" w14:paraId="0000007C">
      <w:pPr>
        <w:spacing w:line="360" w:lineRule="auto"/>
        <w:jc w:val="both"/>
        <w:rPr>
          <w:rFonts w:ascii="Arial" w:cs="Arial" w:eastAsia="Arial" w:hAnsi="Arial"/>
        </w:rPr>
      </w:pPr>
      <w:r w:rsidDel="00000000" w:rsidR="00000000" w:rsidRPr="00000000">
        <w:rPr>
          <w:rFonts w:ascii="Arial" w:cs="Arial" w:eastAsia="Arial" w:hAnsi="Arial"/>
          <w:rtl w:val="0"/>
        </w:rPr>
        <w:t xml:space="preserve">Overall, the market is attractive for Nykaa's international expansion from Estonia because of the stability in the political climate, the digital infrastructure and the favorable regulatory environment. According to a market appeal assessment, political stability (5/5), economic environment (4/5), legal environment (4/5), digital readiness (5/5), beauty market growth (4/5) and competitive intensity (3/5) are all factors that make the market attractive. The results indicate that Estonia is a commercial environment with low risk and innovative approach, and there is a rise in demand for high-quality beauty products (Golalizadeh </w:t>
      </w:r>
      <w:r w:rsidDel="00000000" w:rsidR="00000000" w:rsidRPr="00000000">
        <w:rPr>
          <w:rFonts w:ascii="Arial" w:cs="Arial" w:eastAsia="Arial" w:hAnsi="Arial"/>
          <w:i w:val="1"/>
          <w:iCs w:val="1"/>
          <w:rtl w:val="0"/>
        </w:rPr>
        <w:t xml:space="preserve">et al.,</w:t>
      </w:r>
      <w:r w:rsidDel="00000000" w:rsidR="00000000" w:rsidRPr="00000000">
        <w:rPr>
          <w:rFonts w:ascii="Arial" w:cs="Arial" w:eastAsia="Arial" w:hAnsi="Arial"/>
          <w:rtl w:val="0"/>
        </w:rPr>
        <w:t xml:space="preserve"> 2023). With moderately high competition from established European retailers, Nykaa's omnichannel approach, AI based customer appointment and high-quality brand portfolio has ample opportunities for sustainable long-term growth.</w:t>
      </w:r>
    </w:p>
    <w:p w:rsidR="00000000" w:rsidDel="00000000" w:rsidP="00000000" w:rsidRDefault="00000000" w:rsidRPr="00000000" w14:paraId="0000007D">
      <w:pPr>
        <w:pStyle w:val="Heading2"/>
        <w:rPr/>
      </w:pPr>
      <w:bookmarkStart w:colFirst="0" w:colLast="0" w:name="_k5ha36bkit3z" w:id="12"/>
      <w:bookmarkEnd w:id="12"/>
      <w:r w:rsidDel="00000000" w:rsidR="00000000" w:rsidRPr="00000000">
        <w:rPr>
          <w:rtl w:val="0"/>
        </w:rPr>
        <w:t xml:space="preserve">2.7 OLI (Eclectic Paradigm) Framework </w:t>
      </w:r>
    </w:p>
    <w:p w:rsidR="00000000" w:rsidDel="00000000" w:rsidP="00000000" w:rsidRDefault="00000000" w:rsidRPr="00000000" w14:paraId="0000007E">
      <w:pPr>
        <w:spacing w:line="360" w:lineRule="auto"/>
        <w:jc w:val="both"/>
        <w:rPr>
          <w:rFonts w:ascii="Arial" w:cs="Arial" w:eastAsia="Arial" w:hAnsi="Arial"/>
        </w:rPr>
      </w:pPr>
      <w:r w:rsidDel="00000000" w:rsidR="00000000" w:rsidRPr="00000000">
        <w:rPr>
          <w:rFonts w:ascii="Arial" w:cs="Arial" w:eastAsia="Arial" w:hAnsi="Arial"/>
          <w:rtl w:val="0"/>
        </w:rPr>
        <w:t xml:space="preserve">Dunning's OLI Framework is being used to analyse Nykaa's internationalization efforts through assessing ownership, location and internalisation advantages to enter and compete in Estonia. </w:t>
      </w:r>
    </w:p>
    <w:p w:rsidR="00000000" w:rsidDel="00000000" w:rsidP="00000000" w:rsidRDefault="00000000" w:rsidRPr="00000000" w14:paraId="0000007F">
      <w:pPr>
        <w:spacing w:line="360" w:lineRule="auto"/>
        <w:jc w:val="center"/>
        <w:rPr>
          <w:rFonts w:ascii="Arial" w:cs="Arial" w:eastAsia="Arial" w:hAnsi="Arial"/>
        </w:rPr>
      </w:pPr>
      <w:r w:rsidDel="00000000" w:rsidR="00000000" w:rsidRPr="00000000">
        <w:rPr/>
        <w:drawing>
          <wp:inline distB="0" distT="0" distL="0" distR="0">
            <wp:extent cx="3810670" cy="3521677"/>
            <wp:effectExtent b="0" l="0" r="0" t="0"/>
            <wp:docPr id="5" name="image14.png"/>
            <a:graphic>
              <a:graphicData uri="http://schemas.openxmlformats.org/drawingml/2006/picture">
                <pic:pic>
                  <pic:nvPicPr>
                    <pic:cNvPr id="0" name="image14.png"/>
                    <pic:cNvPicPr preferRelativeResize="0"/>
                  </pic:nvPicPr>
                  <pic:blipFill>
                    <a:blip r:embed="rId17"/>
                    <a:srcRect b="0" l="0" r="0" t="0"/>
                    <a:stretch>
                      <a:fillRect/>
                    </a:stretch>
                  </pic:blipFill>
                  <pic:spPr>
                    <a:xfrm>
                      <a:off x="0" y="0"/>
                      <a:ext cx="3810670" cy="3521677"/>
                    </a:xfrm>
                    <a:prstGeom prst="rect"/>
                    <a:ln/>
                  </pic:spPr>
                </pic:pic>
              </a:graphicData>
            </a:graphic>
          </wp:inline>
        </w:drawing>
      </w:r>
      <w:r w:rsidDel="00000000" w:rsidR="00000000" w:rsidRPr="00000000">
        <w:rPr>
          <w:rtl w:val="0"/>
        </w:rPr>
      </w:r>
    </w:p>
    <w:p w:rsidR="00000000" w:rsidDel="00000000" w:rsidP="00000000" w:rsidRDefault="00000000" w:rsidRPr="00000000" w14:paraId="00000080">
      <w:pPr>
        <w:spacing w:line="360" w:lineRule="auto"/>
        <w:jc w:val="center"/>
        <w:rPr>
          <w:rFonts w:ascii="Arial" w:cs="Arial" w:eastAsia="Arial" w:hAnsi="Arial"/>
          <w:b w:val="1"/>
          <w:bCs w:val="1"/>
          <w:i w:val="1"/>
          <w:iCs w:val="1"/>
        </w:rPr>
      </w:pPr>
      <w:r w:rsidDel="00000000" w:rsidR="00000000" w:rsidRPr="00000000">
        <w:rPr>
          <w:rFonts w:ascii="Arial" w:cs="Arial" w:eastAsia="Arial" w:hAnsi="Arial"/>
          <w:b w:val="1"/>
          <w:bCs w:val="1"/>
          <w:i w:val="1"/>
          <w:iCs w:val="1"/>
          <w:rtl w:val="0"/>
        </w:rPr>
        <w:t xml:space="preserve">Figure 7: OLI Framework</w:t>
      </w:r>
    </w:p>
    <w:p w:rsidR="00000000" w:rsidDel="00000000" w:rsidP="00000000" w:rsidRDefault="00000000" w:rsidRPr="00000000" w14:paraId="00000081">
      <w:pPr>
        <w:spacing w:line="360" w:lineRule="auto"/>
        <w:jc w:val="center"/>
        <w:rPr>
          <w:rFonts w:ascii="Arial" w:cs="Arial" w:eastAsia="Arial" w:hAnsi="Arial"/>
        </w:rPr>
      </w:pPr>
      <w:r w:rsidDel="00000000" w:rsidR="00000000" w:rsidRPr="00000000">
        <w:rPr>
          <w:rFonts w:ascii="Arial" w:cs="Arial" w:eastAsia="Arial" w:hAnsi="Arial"/>
          <w:rtl w:val="0"/>
        </w:rPr>
        <w:t xml:space="preserve">(Source: Corporatefinanceinstitute.com, 2023)</w:t>
      </w:r>
    </w:p>
    <w:p w:rsidR="00000000" w:rsidDel="00000000" w:rsidP="00000000" w:rsidRDefault="00000000" w:rsidRPr="00000000" w14:paraId="00000082">
      <w:pPr>
        <w:spacing w:line="360" w:lineRule="auto"/>
        <w:jc w:val="both"/>
        <w:rPr>
          <w:rFonts w:ascii="Arial" w:cs="Arial" w:eastAsia="Arial" w:hAnsi="Arial"/>
        </w:rPr>
      </w:pPr>
      <w:r w:rsidDel="00000000" w:rsidR="00000000" w:rsidRPr="00000000">
        <w:rPr>
          <w:rFonts w:ascii="Arial" w:cs="Arial" w:eastAsia="Arial" w:hAnsi="Arial"/>
          <w:b w:val="1"/>
          <w:bCs w:val="1"/>
          <w:rtl w:val="0"/>
        </w:rPr>
        <w:t xml:space="preserve">Ownership Advantages:</w:t>
      </w:r>
      <w:r w:rsidDel="00000000" w:rsidR="00000000" w:rsidRPr="00000000">
        <w:rPr>
          <w:rFonts w:ascii="Arial" w:cs="Arial" w:eastAsia="Arial" w:hAnsi="Arial"/>
          <w:rtl w:val="0"/>
        </w:rPr>
        <w:t xml:space="preserve"> Nykaa owns substantial market premium inside Estonia's luxury beauty retail space It’s an already recognized brand in India and powered by digital led business by an AI driven platform that assists consumers in selection and recommendations; it enjoys scale-based customers giving leverage in marketing campaigns and acquisitions strategies (Akarsu </w:t>
      </w:r>
      <w:r w:rsidDel="00000000" w:rsidR="00000000" w:rsidRPr="00000000">
        <w:rPr>
          <w:rFonts w:ascii="Arial" w:cs="Arial" w:eastAsia="Arial" w:hAnsi="Arial"/>
          <w:i w:val="1"/>
          <w:iCs w:val="1"/>
          <w:rtl w:val="0"/>
        </w:rPr>
        <w:t xml:space="preserve">et al.,</w:t>
      </w:r>
      <w:r w:rsidDel="00000000" w:rsidR="00000000" w:rsidRPr="00000000">
        <w:rPr>
          <w:rFonts w:ascii="Arial" w:cs="Arial" w:eastAsia="Arial" w:hAnsi="Arial"/>
          <w:rtl w:val="0"/>
        </w:rPr>
        <w:t xml:space="preserve"> 2025). Nykaa's capabilities, via the omnichannel functions, create a great online-off line seamless experience, and the growth in private label cosmetics, skincare increases differentiator and profitability. Intangible assets are very, very significant as they produce Nykaa's ongoing advantages to be utilized for its digital consumers in the world's most digitally savvy customer market that is Estonia.</w:t>
      </w:r>
    </w:p>
    <w:p w:rsidR="00000000" w:rsidDel="00000000" w:rsidP="00000000" w:rsidRDefault="00000000" w:rsidRPr="00000000" w14:paraId="00000083">
      <w:pPr>
        <w:spacing w:line="360" w:lineRule="auto"/>
        <w:jc w:val="both"/>
        <w:rPr>
          <w:rFonts w:ascii="Arial" w:cs="Arial" w:eastAsia="Arial" w:hAnsi="Arial"/>
        </w:rPr>
      </w:pPr>
      <w:r w:rsidDel="00000000" w:rsidR="00000000" w:rsidRPr="00000000">
        <w:rPr>
          <w:rFonts w:ascii="Arial" w:cs="Arial" w:eastAsia="Arial" w:hAnsi="Arial"/>
          <w:b w:val="1"/>
          <w:bCs w:val="1"/>
          <w:rtl w:val="0"/>
        </w:rPr>
        <w:t xml:space="preserve">Location Advantages:</w:t>
      </w:r>
      <w:r w:rsidDel="00000000" w:rsidR="00000000" w:rsidRPr="00000000">
        <w:rPr>
          <w:rFonts w:ascii="Arial" w:cs="Arial" w:eastAsia="Arial" w:hAnsi="Arial"/>
          <w:rtl w:val="0"/>
        </w:rPr>
        <w:t xml:space="preserve"> Estonia has good geographical positioning which is conducive to Nykaa's European expansion plans. Estonia has a large single market with harmonised regulations and efficient cross-border trade as part of the European Union and the Eurozone. The country has a very digital economy, by the internet penetration rate above the 93% mark and stable political institutions and transparent legal systems that minimize business risk (Nazera </w:t>
      </w:r>
      <w:r w:rsidDel="00000000" w:rsidR="00000000" w:rsidRPr="00000000">
        <w:rPr>
          <w:rFonts w:ascii="Arial" w:cs="Arial" w:eastAsia="Arial" w:hAnsi="Arial"/>
          <w:i w:val="1"/>
          <w:iCs w:val="1"/>
          <w:rtl w:val="0"/>
        </w:rPr>
        <w:t xml:space="preserve">et al.,</w:t>
      </w:r>
      <w:r w:rsidDel="00000000" w:rsidR="00000000" w:rsidRPr="00000000">
        <w:rPr>
          <w:rFonts w:ascii="Arial" w:cs="Arial" w:eastAsia="Arial" w:hAnsi="Arial"/>
          <w:rtl w:val="0"/>
        </w:rPr>
        <w:t xml:space="preserve"> 2024). With high purchasing power of the consumers, efficient logistics system and increasing demand for high-end cosmetics, Nykaa is poised for sustainable operations and expansion in neighbouring European markets.</w:t>
      </w:r>
    </w:p>
    <w:p w:rsidR="00000000" w:rsidDel="00000000" w:rsidP="00000000" w:rsidRDefault="00000000" w:rsidRPr="00000000" w14:paraId="00000084">
      <w:pPr>
        <w:spacing w:line="360" w:lineRule="auto"/>
        <w:jc w:val="both"/>
        <w:rPr>
          <w:rFonts w:ascii="Arial" w:cs="Arial" w:eastAsia="Arial" w:hAnsi="Arial"/>
        </w:rPr>
      </w:pPr>
      <w:r w:rsidDel="00000000" w:rsidR="00000000" w:rsidRPr="00000000">
        <w:rPr>
          <w:rFonts w:ascii="Arial" w:cs="Arial" w:eastAsia="Arial" w:hAnsi="Arial"/>
          <w:b w:val="1"/>
          <w:bCs w:val="1"/>
          <w:rtl w:val="0"/>
        </w:rPr>
        <w:t xml:space="preserve">Internalisation Advantages:</w:t>
      </w:r>
      <w:r w:rsidDel="00000000" w:rsidR="00000000" w:rsidRPr="00000000">
        <w:rPr>
          <w:rFonts w:ascii="Arial" w:cs="Arial" w:eastAsia="Arial" w:hAnsi="Arial"/>
          <w:rtl w:val="0"/>
        </w:rPr>
        <w:t xml:space="preserve"> This acquisition will allow Nykaa to have full authority of product quality, customer perception, and customer experience on Estonia soil. When company in-house teams supervise the operation on digital channels, it knows GDPR is covered and have exclusive access to customer’s sensitive information and proprietary AI solutions. Along with internal growth of stock, co-ordination in distribution channel, consistency between offline as well as on-line experiences are further refined (Lienata and Berlianto, 2023). Figure 8 shows that The Estonian online beauty and personal care market in Estonia is assessed to surpass USD 265.6 Billion in sales in 2035 from USD 76.2 Billion in sales in 2025 (Market.us, 2026). By avoiding reliance on unnecessary intermediaries, Nykaa may well firm up its brand protection, decrease its overhead, move much faster to adapt to evolving consumers wants and guarantee an enduring position that could result in success in Estonia beauty sector.</w:t>
      </w:r>
    </w:p>
    <w:p w:rsidR="00000000" w:rsidDel="00000000" w:rsidP="00000000" w:rsidRDefault="00000000" w:rsidRPr="00000000" w14:paraId="00000085">
      <w:pPr>
        <w:spacing w:line="360" w:lineRule="auto"/>
        <w:jc w:val="center"/>
        <w:rPr>
          <w:rFonts w:ascii="Arial" w:cs="Arial" w:eastAsia="Arial" w:hAnsi="Arial"/>
        </w:rPr>
      </w:pPr>
      <w:r w:rsidDel="00000000" w:rsidR="00000000" w:rsidRPr="00000000">
        <w:rPr/>
        <w:drawing>
          <wp:inline distB="0" distT="0" distL="0" distR="0">
            <wp:extent cx="5714295" cy="2834559"/>
            <wp:effectExtent b="0" l="0" r="0" t="0"/>
            <wp:docPr id="4" name="image13.png"/>
            <a:graphic>
              <a:graphicData uri="http://schemas.openxmlformats.org/drawingml/2006/picture">
                <pic:pic>
                  <pic:nvPicPr>
                    <pic:cNvPr id="0" name="image13.png"/>
                    <pic:cNvPicPr preferRelativeResize="0"/>
                  </pic:nvPicPr>
                  <pic:blipFill>
                    <a:blip r:embed="rId18"/>
                    <a:srcRect b="0" l="0" r="0" t="0"/>
                    <a:stretch>
                      <a:fillRect/>
                    </a:stretch>
                  </pic:blipFill>
                  <pic:spPr>
                    <a:xfrm>
                      <a:off x="0" y="0"/>
                      <a:ext cx="5714295" cy="2834559"/>
                    </a:xfrm>
                    <a:prstGeom prst="rect"/>
                    <a:ln/>
                  </pic:spPr>
                </pic:pic>
              </a:graphicData>
            </a:graphic>
          </wp:inline>
        </w:drawing>
      </w:r>
      <w:r w:rsidDel="00000000" w:rsidR="00000000" w:rsidRPr="00000000">
        <w:rPr>
          <w:rtl w:val="0"/>
        </w:rPr>
      </w:r>
    </w:p>
    <w:p w:rsidR="00000000" w:rsidDel="00000000" w:rsidP="00000000" w:rsidRDefault="00000000" w:rsidRPr="00000000" w14:paraId="00000086">
      <w:pPr>
        <w:spacing w:line="360" w:lineRule="auto"/>
        <w:jc w:val="center"/>
        <w:rPr>
          <w:rFonts w:ascii="Arial" w:cs="Arial" w:eastAsia="Arial" w:hAnsi="Arial"/>
          <w:b w:val="1"/>
          <w:bCs w:val="1"/>
          <w:i w:val="1"/>
          <w:iCs w:val="1"/>
        </w:rPr>
      </w:pPr>
      <w:r w:rsidDel="00000000" w:rsidR="00000000" w:rsidRPr="00000000">
        <w:rPr>
          <w:rFonts w:ascii="Arial" w:cs="Arial" w:eastAsia="Arial" w:hAnsi="Arial"/>
          <w:b w:val="1"/>
          <w:bCs w:val="1"/>
          <w:i w:val="1"/>
          <w:iCs w:val="1"/>
          <w:rtl w:val="0"/>
        </w:rPr>
        <w:t xml:space="preserve">Figure 8: Estonia Beauty &amp; Personal Care Market Value</w:t>
      </w:r>
    </w:p>
    <w:p w:rsidR="00000000" w:rsidDel="00000000" w:rsidP="00000000" w:rsidRDefault="00000000" w:rsidRPr="00000000" w14:paraId="00000087">
      <w:pPr>
        <w:spacing w:line="360" w:lineRule="auto"/>
        <w:jc w:val="center"/>
        <w:rPr>
          <w:rFonts w:ascii="Arial" w:cs="Arial" w:eastAsia="Arial" w:hAnsi="Arial"/>
        </w:rPr>
      </w:pPr>
      <w:r w:rsidDel="00000000" w:rsidR="00000000" w:rsidRPr="00000000">
        <w:rPr>
          <w:rFonts w:ascii="Arial" w:cs="Arial" w:eastAsia="Arial" w:hAnsi="Arial"/>
          <w:rtl w:val="0"/>
        </w:rPr>
        <w:t xml:space="preserve">(Source: Market.us, 2026)</w:t>
      </w:r>
    </w:p>
    <w:p w:rsidR="00000000" w:rsidDel="00000000" w:rsidP="00000000" w:rsidRDefault="00000000" w:rsidRPr="00000000" w14:paraId="00000088">
      <w:pPr>
        <w:pStyle w:val="Heading1"/>
        <w:rPr/>
      </w:pPr>
      <w:bookmarkStart w:colFirst="0" w:colLast="0" w:name="_jn97jqdg956s" w:id="13"/>
      <w:bookmarkEnd w:id="13"/>
      <w:r w:rsidDel="00000000" w:rsidR="00000000" w:rsidRPr="00000000">
        <w:rPr>
          <w:rtl w:val="0"/>
        </w:rPr>
        <w:t xml:space="preserve">3. Entry Mode Strategy and Strategic Synthesis</w:t>
      </w:r>
    </w:p>
    <w:p w:rsidR="00000000" w:rsidDel="00000000" w:rsidP="00000000" w:rsidRDefault="00000000" w:rsidRPr="00000000" w14:paraId="00000089">
      <w:pPr>
        <w:spacing w:line="360" w:lineRule="auto"/>
        <w:jc w:val="both"/>
        <w:rPr>
          <w:rFonts w:ascii="Arial" w:cs="Arial" w:eastAsia="Arial" w:hAnsi="Arial"/>
        </w:rPr>
      </w:pPr>
      <w:r w:rsidDel="00000000" w:rsidR="00000000" w:rsidRPr="00000000">
        <w:rPr>
          <w:rFonts w:ascii="Arial" w:cs="Arial" w:eastAsia="Arial" w:hAnsi="Arial"/>
          <w:rtl w:val="0"/>
        </w:rPr>
        <w:t xml:space="preserve">The decision to enter to Estonia through a suitable channel is a pivotal strategic decision which will impact the success of Nykaa's expansion in Estonia. An entry mode will have insinuations for the amount of money invested, managerial control, flexibility of operations, as well as political, financial and market risk exposure (Efendi </w:t>
      </w:r>
      <w:r w:rsidDel="00000000" w:rsidR="00000000" w:rsidRPr="00000000">
        <w:rPr>
          <w:rFonts w:ascii="Arial" w:cs="Arial" w:eastAsia="Arial" w:hAnsi="Arial"/>
          <w:i w:val="1"/>
          <w:iCs w:val="1"/>
          <w:rtl w:val="0"/>
        </w:rPr>
        <w:t xml:space="preserve">et al.,</w:t>
      </w:r>
      <w:r w:rsidDel="00000000" w:rsidR="00000000" w:rsidRPr="00000000">
        <w:rPr>
          <w:rFonts w:ascii="Arial" w:cs="Arial" w:eastAsia="Arial" w:hAnsi="Arial"/>
          <w:rtl w:val="0"/>
        </w:rPr>
        <w:t xml:space="preserve"> 2023). Comparing the various entry choices can help Nykaa determine the most optimal option to position itself in a sustainable way, while making sure to make the best use of the digital economy, a stable regulatory climate and the developing premium beauty market in Estonia.</w:t>
      </w:r>
    </w:p>
    <w:p w:rsidR="00000000" w:rsidDel="00000000" w:rsidP="00000000" w:rsidRDefault="00000000" w:rsidRPr="00000000" w14:paraId="0000008A">
      <w:pPr>
        <w:pStyle w:val="Heading2"/>
        <w:rPr/>
      </w:pPr>
      <w:bookmarkStart w:colFirst="0" w:colLast="0" w:name="_c5w8gzgy3fi0" w:id="14"/>
      <w:bookmarkEnd w:id="14"/>
      <w:r w:rsidDel="00000000" w:rsidR="00000000" w:rsidRPr="00000000">
        <w:rPr>
          <w:rtl w:val="0"/>
        </w:rPr>
        <w:t xml:space="preserve">3.1 Historical Pattern Recognition</w:t>
      </w:r>
    </w:p>
    <w:p w:rsidR="00000000" w:rsidDel="00000000" w:rsidP="00000000" w:rsidRDefault="00000000" w:rsidRPr="00000000" w14:paraId="0000008B">
      <w:pPr>
        <w:spacing w:line="360" w:lineRule="auto"/>
        <w:jc w:val="both"/>
        <w:rPr>
          <w:rFonts w:ascii="Arial" w:cs="Arial" w:eastAsia="Arial" w:hAnsi="Arial"/>
        </w:rPr>
      </w:pPr>
      <w:r w:rsidDel="00000000" w:rsidR="00000000" w:rsidRPr="00000000">
        <w:rPr>
          <w:rFonts w:ascii="Arial" w:cs="Arial" w:eastAsia="Arial" w:hAnsi="Arial"/>
          <w:rtl w:val="0"/>
        </w:rPr>
        <w:t xml:space="preserve">Nykaa's growth story has been strong and has been mainly focused on its domestic market and building capabilities that will allow it to move towards international markets in the future. The company has been around since 2012, and has embraced a digital-first business model, which they later lengthy to become an omnichannel retailer with over 230 physical shops spread across India (Widyastuti, 2023). In FY2025, Nykaa reported revenue of about ₹7,950 crores, with it having sold over 8,600 brands and 6.9 million SKUs over the past 36 months, reaching a total of more than 40 million cumulative customers (Babič and Voolaid, 2025). Instead of opening its own subsidiaries in countries abroad, Nykaa has grown by collaborations by other major beauty brands in the international market, such as luxury cosmetics and skin care brands. It has a marketplace system that allows third-party sellers and top global brands to sell to Indians without compromising on standards with its centralised digital operations. </w:t>
      </w:r>
    </w:p>
    <w:p w:rsidR="00000000" w:rsidDel="00000000" w:rsidP="00000000" w:rsidRDefault="00000000" w:rsidRPr="00000000" w14:paraId="0000008C">
      <w:pPr>
        <w:spacing w:line="360" w:lineRule="auto"/>
        <w:jc w:val="both"/>
        <w:rPr>
          <w:rFonts w:ascii="Arial" w:cs="Arial" w:eastAsia="Arial" w:hAnsi="Arial"/>
        </w:rPr>
      </w:pPr>
      <w:r w:rsidDel="00000000" w:rsidR="00000000" w:rsidRPr="00000000">
        <w:rPr>
          <w:rFonts w:ascii="Arial" w:cs="Arial" w:eastAsia="Arial" w:hAnsi="Arial"/>
          <w:rtl w:val="0"/>
        </w:rPr>
        <w:t xml:space="preserve">According to Kerner and Kitsing (2023) found that online retail, offline stores, AI recommendations and customer loyalty programs have enhanced the overall efficiency of the businesses and amplified brand recognition. The historical growth pattern represents how Nykaa has preferred to grow slowly in technology and low risk of foreign investment. Hence, coming into Estonia, Nykaa can benefit from its existing omnichannel capabilities, robust supplier influences and scalable digital infrastructure to bridge the uncertainty and adjust its existing business model to the technologically advanced European market.</w:t>
      </w:r>
    </w:p>
    <w:p w:rsidR="00000000" w:rsidDel="00000000" w:rsidP="00000000" w:rsidRDefault="00000000" w:rsidRPr="00000000" w14:paraId="0000008D">
      <w:pPr>
        <w:pStyle w:val="Heading2"/>
        <w:rPr/>
      </w:pPr>
      <w:bookmarkStart w:colFirst="0" w:colLast="0" w:name="_3f631u9wflrq" w:id="15"/>
      <w:bookmarkEnd w:id="15"/>
      <w:r w:rsidDel="00000000" w:rsidR="00000000" w:rsidRPr="00000000">
        <w:rPr>
          <w:rtl w:val="0"/>
        </w:rPr>
        <w:t xml:space="preserve">3.2 Possible Entry Modes </w:t>
      </w:r>
    </w:p>
    <w:p w:rsidR="00000000" w:rsidDel="00000000" w:rsidP="00000000" w:rsidRDefault="00000000" w:rsidRPr="00000000" w14:paraId="0000008E">
      <w:pPr>
        <w:spacing w:line="360" w:lineRule="auto"/>
        <w:jc w:val="both"/>
        <w:rPr>
          <w:rFonts w:ascii="Arial" w:cs="Arial" w:eastAsia="Arial" w:hAnsi="Arial"/>
        </w:rPr>
      </w:pPr>
      <w:r w:rsidDel="00000000" w:rsidR="00000000" w:rsidRPr="00000000">
        <w:rPr>
          <w:rFonts w:ascii="Arial" w:cs="Arial" w:eastAsia="Arial" w:hAnsi="Arial"/>
          <w:rtl w:val="0"/>
        </w:rPr>
        <w:t xml:space="preserve">Nykaa has multiple possibilities of entering Estonia's market, with varying degrees of investment, risk and management. Exporting involves low investment, and is not as good for generating market control, or even customer engagement. Licensing means that local companies can avail of Nykaa's brand by minimal investment, but at the same time, it poses the threat of less quality control (Eisenschmidt </w:t>
      </w:r>
      <w:r w:rsidDel="00000000" w:rsidR="00000000" w:rsidRPr="00000000">
        <w:rPr>
          <w:rFonts w:ascii="Arial" w:cs="Arial" w:eastAsia="Arial" w:hAnsi="Arial"/>
          <w:i w:val="1"/>
          <w:iCs w:val="1"/>
          <w:rtl w:val="0"/>
        </w:rPr>
        <w:t xml:space="preserve">et al.,</w:t>
      </w:r>
      <w:r w:rsidDel="00000000" w:rsidR="00000000" w:rsidRPr="00000000">
        <w:rPr>
          <w:rFonts w:ascii="Arial" w:cs="Arial" w:eastAsia="Arial" w:hAnsi="Arial"/>
          <w:rtl w:val="0"/>
        </w:rPr>
        <w:t xml:space="preserve"> 2023). Franchising allows for fast growth by the involvement of local partners, and can impact on service standards and positioning. A strategic alliance will allow Nykaa to work with the existing Estonian retailers or logistics service providers, thereby lowering the risk of entering the market and gaining access to local knowledge. </w:t>
      </w:r>
    </w:p>
    <w:p w:rsidR="00000000" w:rsidDel="00000000" w:rsidP="00000000" w:rsidRDefault="00000000" w:rsidRPr="00000000" w14:paraId="0000008F">
      <w:pPr>
        <w:spacing w:line="360" w:lineRule="auto"/>
        <w:jc w:val="center"/>
        <w:rPr>
          <w:rFonts w:ascii="Arial" w:cs="Arial" w:eastAsia="Arial" w:hAnsi="Arial"/>
        </w:rPr>
      </w:pPr>
      <w:r w:rsidDel="00000000" w:rsidR="00000000" w:rsidRPr="00000000">
        <w:rPr/>
        <w:drawing>
          <wp:inline distB="0" distT="0" distL="0" distR="0">
            <wp:extent cx="3224451" cy="3112123"/>
            <wp:effectExtent b="0" l="0" r="0" t="0"/>
            <wp:docPr id="6" name="image15.png"/>
            <a:graphic>
              <a:graphicData uri="http://schemas.openxmlformats.org/drawingml/2006/picture">
                <pic:pic>
                  <pic:nvPicPr>
                    <pic:cNvPr id="0" name="image15.png"/>
                    <pic:cNvPicPr preferRelativeResize="0"/>
                  </pic:nvPicPr>
                  <pic:blipFill>
                    <a:blip r:embed="rId19"/>
                    <a:srcRect b="0" l="0" r="0" t="0"/>
                    <a:stretch>
                      <a:fillRect/>
                    </a:stretch>
                  </pic:blipFill>
                  <pic:spPr>
                    <a:xfrm>
                      <a:off x="0" y="0"/>
                      <a:ext cx="3224451" cy="3112123"/>
                    </a:xfrm>
                    <a:prstGeom prst="rect"/>
                    <a:ln/>
                  </pic:spPr>
                </pic:pic>
              </a:graphicData>
            </a:graphic>
          </wp:inline>
        </w:drawing>
      </w:r>
      <w:r w:rsidDel="00000000" w:rsidR="00000000" w:rsidRPr="00000000">
        <w:rPr>
          <w:rtl w:val="0"/>
        </w:rPr>
      </w:r>
    </w:p>
    <w:p w:rsidR="00000000" w:rsidDel="00000000" w:rsidP="00000000" w:rsidRDefault="00000000" w:rsidRPr="00000000" w14:paraId="00000090">
      <w:pPr>
        <w:spacing w:line="360" w:lineRule="auto"/>
        <w:jc w:val="center"/>
        <w:rPr>
          <w:rFonts w:ascii="Arial" w:cs="Arial" w:eastAsia="Arial" w:hAnsi="Arial"/>
          <w:b w:val="1"/>
          <w:bCs w:val="1"/>
          <w:i w:val="1"/>
          <w:iCs w:val="1"/>
        </w:rPr>
      </w:pPr>
      <w:r w:rsidDel="00000000" w:rsidR="00000000" w:rsidRPr="00000000">
        <w:rPr>
          <w:rFonts w:ascii="Arial" w:cs="Arial" w:eastAsia="Arial" w:hAnsi="Arial"/>
          <w:b w:val="1"/>
          <w:bCs w:val="1"/>
          <w:i w:val="1"/>
          <w:iCs w:val="1"/>
          <w:rtl w:val="0"/>
        </w:rPr>
        <w:t xml:space="preserve">Figure 9: International Market Entry Strategies</w:t>
      </w:r>
    </w:p>
    <w:p w:rsidR="00000000" w:rsidDel="00000000" w:rsidP="00000000" w:rsidRDefault="00000000" w:rsidRPr="00000000" w14:paraId="00000091">
      <w:pPr>
        <w:spacing w:line="360" w:lineRule="auto"/>
        <w:jc w:val="center"/>
        <w:rPr>
          <w:rFonts w:ascii="Arial" w:cs="Arial" w:eastAsia="Arial" w:hAnsi="Arial"/>
        </w:rPr>
      </w:pPr>
      <w:r w:rsidDel="00000000" w:rsidR="00000000" w:rsidRPr="00000000">
        <w:rPr>
          <w:rFonts w:ascii="Arial" w:cs="Arial" w:eastAsia="Arial" w:hAnsi="Arial"/>
          <w:rtl w:val="0"/>
        </w:rPr>
        <w:t xml:space="preserve">(Source: Theintactone.com, 2022)</w:t>
      </w:r>
    </w:p>
    <w:p w:rsidR="00000000" w:rsidDel="00000000" w:rsidP="00000000" w:rsidRDefault="00000000" w:rsidRPr="00000000" w14:paraId="00000092">
      <w:pPr>
        <w:spacing w:line="360" w:lineRule="auto"/>
        <w:jc w:val="both"/>
        <w:rPr>
          <w:rFonts w:ascii="Arial" w:cs="Arial" w:eastAsia="Arial" w:hAnsi="Arial"/>
        </w:rPr>
      </w:pPr>
      <w:r w:rsidDel="00000000" w:rsidR="00000000" w:rsidRPr="00000000">
        <w:rPr>
          <w:rFonts w:ascii="Arial" w:cs="Arial" w:eastAsia="Arial" w:hAnsi="Arial"/>
          <w:rtl w:val="0"/>
        </w:rPr>
        <w:t xml:space="preserve">Joint venture involves pooling of resources and investment, and sharing of knowledge with possibilities of management conflicts. Acquisition is immediate market presence, which has a heavy investment commitment and an integration cost. Greenfield investment assurances full operational control, comes at the highest monetary requirements and takes the longest start-up time (Nemény and Papp, 2024). A wholly owned subsidiary is the best way to control branding, customer experience and AI-powered digital operations but comes with increased operational and financial risk. Strategic alliance by an “online first” approach is the most balanced and cost-effective entry option for Nykaa in a relatively small population of about 1.37 million in Estonia, high level of digital organization and the maturity of the e-commerce market.</w:t>
      </w:r>
    </w:p>
    <w:p w:rsidR="00000000" w:rsidDel="00000000" w:rsidP="00000000" w:rsidRDefault="00000000" w:rsidRPr="00000000" w14:paraId="00000093">
      <w:pPr>
        <w:pStyle w:val="Heading2"/>
        <w:rPr/>
      </w:pPr>
      <w:bookmarkStart w:colFirst="0" w:colLast="0" w:name="_tociwxncvta6" w:id="16"/>
      <w:bookmarkEnd w:id="16"/>
      <w:r w:rsidDel="00000000" w:rsidR="00000000" w:rsidRPr="00000000">
        <w:rPr>
          <w:rtl w:val="0"/>
        </w:rPr>
        <w:t xml:space="preserve">3.3 Strategic Fit Analysis</w:t>
      </w:r>
    </w:p>
    <w:p w:rsidR="00000000" w:rsidDel="00000000" w:rsidP="00000000" w:rsidRDefault="00000000" w:rsidRPr="00000000" w14:paraId="00000094">
      <w:pPr>
        <w:spacing w:line="360" w:lineRule="auto"/>
        <w:jc w:val="both"/>
        <w:rPr>
          <w:rFonts w:ascii="Arial" w:cs="Arial" w:eastAsia="Arial" w:hAnsi="Arial"/>
        </w:rPr>
      </w:pPr>
      <w:r w:rsidDel="00000000" w:rsidR="00000000" w:rsidRPr="00000000">
        <w:rPr>
          <w:rFonts w:ascii="Arial" w:cs="Arial" w:eastAsia="Arial" w:hAnsi="Arial"/>
          <w:rtl w:val="0"/>
        </w:rPr>
        <w:t xml:space="preserve">A strategic alliance backed by Nykaa's digital platform, is the most apt and strategic option for entering Estonia. Estonia's political risk is relatively low as democratic political institutions are in place with clear governance and being part of the European Union, which lowers the level of controlling uncertainty (Serebrova, 2024).  Financial risk is moderate since the business will need much less investment than acquisitions or Greenfield projects. By partnering with the local logistics and distribution partners, who have the requisite expertise to handle the operational aspects, and by leveraging Nykaa's AI-powered e-commerce platform, the risk of operations is minimised. This competition from recognized retailers Douglas and Notino also poses a threat to the market, whilst the growing demand for premium cosmetics and sustainable beauty products also opens up development opportunities (Turcu </w:t>
      </w:r>
      <w:r w:rsidDel="00000000" w:rsidR="00000000" w:rsidRPr="00000000">
        <w:rPr>
          <w:rFonts w:ascii="Arial" w:cs="Arial" w:eastAsia="Arial" w:hAnsi="Arial"/>
          <w:i w:val="1"/>
          <w:iCs w:val="1"/>
          <w:rtl w:val="0"/>
        </w:rPr>
        <w:t xml:space="preserve">et al.,</w:t>
      </w:r>
      <w:r w:rsidDel="00000000" w:rsidR="00000000" w:rsidRPr="00000000">
        <w:rPr>
          <w:rFonts w:ascii="Arial" w:cs="Arial" w:eastAsia="Arial" w:hAnsi="Arial"/>
          <w:rtl w:val="0"/>
        </w:rPr>
        <w:t xml:space="preserve"> 2024). Cultural risk can be mitigated by products being offered locally, language provision and targeted digital marketing. </w:t>
      </w:r>
    </w:p>
    <w:tbl>
      <w:tblPr>
        <w:tblStyle w:val="Table2"/>
        <w:tblW w:w="9350.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2263"/>
        <w:gridCol w:w="1484"/>
        <w:gridCol w:w="1070"/>
        <w:gridCol w:w="1070"/>
        <w:gridCol w:w="3463"/>
        <w:tblGridChange w:id="0">
          <w:tblGrid>
            <w:gridCol w:w="2263"/>
            <w:gridCol w:w="1484"/>
            <w:gridCol w:w="1070"/>
            <w:gridCol w:w="1070"/>
            <w:gridCol w:w="3463"/>
          </w:tblGrid>
        </w:tblGridChange>
      </w:tblGrid>
      <w:tr>
        <w:trPr>
          <w:cantSplit w:val="0"/>
          <w:tblHeader w:val="0"/>
        </w:trPr>
        <w:tc>
          <w:tcPr/>
          <w:p w:rsidR="00000000" w:rsidDel="00000000" w:rsidP="00000000" w:rsidRDefault="00000000" w:rsidRPr="00000000" w14:paraId="00000095">
            <w:pPr>
              <w:spacing w:after="160" w:line="360" w:lineRule="auto"/>
              <w:jc w:val="both"/>
              <w:rPr>
                <w:rFonts w:ascii="Arial" w:cs="Arial" w:eastAsia="Arial" w:hAnsi="Arial"/>
                <w:b w:val="1"/>
                <w:bCs w:val="1"/>
              </w:rPr>
            </w:pPr>
            <w:r w:rsidDel="00000000" w:rsidR="00000000" w:rsidRPr="00000000">
              <w:rPr>
                <w:rFonts w:ascii="Arial" w:cs="Arial" w:eastAsia="Arial" w:hAnsi="Arial"/>
                <w:b w:val="1"/>
                <w:bCs w:val="1"/>
                <w:rtl w:val="0"/>
              </w:rPr>
              <w:t xml:space="preserve">Entry Mode</w:t>
            </w:r>
          </w:p>
        </w:tc>
        <w:tc>
          <w:tcPr/>
          <w:p w:rsidR="00000000" w:rsidDel="00000000" w:rsidP="00000000" w:rsidRDefault="00000000" w:rsidRPr="00000000" w14:paraId="00000096">
            <w:pPr>
              <w:spacing w:after="160" w:line="360" w:lineRule="auto"/>
              <w:jc w:val="both"/>
              <w:rPr>
                <w:rFonts w:ascii="Arial" w:cs="Arial" w:eastAsia="Arial" w:hAnsi="Arial"/>
                <w:b w:val="1"/>
                <w:bCs w:val="1"/>
              </w:rPr>
            </w:pPr>
            <w:r w:rsidDel="00000000" w:rsidR="00000000" w:rsidRPr="00000000">
              <w:rPr>
                <w:rFonts w:ascii="Arial" w:cs="Arial" w:eastAsia="Arial" w:hAnsi="Arial"/>
                <w:b w:val="1"/>
                <w:bCs w:val="1"/>
                <w:rtl w:val="0"/>
              </w:rPr>
              <w:t xml:space="preserve">Investment</w:t>
            </w:r>
          </w:p>
        </w:tc>
        <w:tc>
          <w:tcPr/>
          <w:p w:rsidR="00000000" w:rsidDel="00000000" w:rsidP="00000000" w:rsidRDefault="00000000" w:rsidRPr="00000000" w14:paraId="00000097">
            <w:pPr>
              <w:spacing w:after="160" w:line="360" w:lineRule="auto"/>
              <w:jc w:val="both"/>
              <w:rPr>
                <w:rFonts w:ascii="Arial" w:cs="Arial" w:eastAsia="Arial" w:hAnsi="Arial"/>
                <w:b w:val="1"/>
                <w:bCs w:val="1"/>
              </w:rPr>
            </w:pPr>
            <w:r w:rsidDel="00000000" w:rsidR="00000000" w:rsidRPr="00000000">
              <w:rPr>
                <w:rFonts w:ascii="Arial" w:cs="Arial" w:eastAsia="Arial" w:hAnsi="Arial"/>
                <w:b w:val="1"/>
                <w:bCs w:val="1"/>
                <w:rtl w:val="0"/>
              </w:rPr>
              <w:t xml:space="preserve">Control</w:t>
            </w:r>
          </w:p>
        </w:tc>
        <w:tc>
          <w:tcPr/>
          <w:p w:rsidR="00000000" w:rsidDel="00000000" w:rsidP="00000000" w:rsidRDefault="00000000" w:rsidRPr="00000000" w14:paraId="00000098">
            <w:pPr>
              <w:spacing w:after="160" w:line="360" w:lineRule="auto"/>
              <w:jc w:val="both"/>
              <w:rPr>
                <w:rFonts w:ascii="Arial" w:cs="Arial" w:eastAsia="Arial" w:hAnsi="Arial"/>
                <w:b w:val="1"/>
                <w:bCs w:val="1"/>
              </w:rPr>
            </w:pPr>
            <w:r w:rsidDel="00000000" w:rsidR="00000000" w:rsidRPr="00000000">
              <w:rPr>
                <w:rFonts w:ascii="Arial" w:cs="Arial" w:eastAsia="Arial" w:hAnsi="Arial"/>
                <w:b w:val="1"/>
                <w:bCs w:val="1"/>
                <w:rtl w:val="0"/>
              </w:rPr>
              <w:t xml:space="preserve">Risk</w:t>
            </w:r>
          </w:p>
        </w:tc>
        <w:tc>
          <w:tcPr/>
          <w:p w:rsidR="00000000" w:rsidDel="00000000" w:rsidP="00000000" w:rsidRDefault="00000000" w:rsidRPr="00000000" w14:paraId="00000099">
            <w:pPr>
              <w:spacing w:after="160" w:line="360" w:lineRule="auto"/>
              <w:jc w:val="both"/>
              <w:rPr>
                <w:rFonts w:ascii="Arial" w:cs="Arial" w:eastAsia="Arial" w:hAnsi="Arial"/>
                <w:b w:val="1"/>
                <w:bCs w:val="1"/>
              </w:rPr>
            </w:pPr>
            <w:r w:rsidDel="00000000" w:rsidR="00000000" w:rsidRPr="00000000">
              <w:rPr>
                <w:rFonts w:ascii="Arial" w:cs="Arial" w:eastAsia="Arial" w:hAnsi="Arial"/>
                <w:b w:val="1"/>
                <w:bCs w:val="1"/>
                <w:rtl w:val="0"/>
              </w:rPr>
              <w:t xml:space="preserve">Suitability for Nykaa</w:t>
            </w:r>
          </w:p>
        </w:tc>
      </w:tr>
      <w:tr>
        <w:trPr>
          <w:cantSplit w:val="0"/>
          <w:tblHeader w:val="0"/>
        </w:trPr>
        <w:tc>
          <w:tcPr/>
          <w:p w:rsidR="00000000" w:rsidDel="00000000" w:rsidP="00000000" w:rsidRDefault="00000000" w:rsidRPr="00000000" w14:paraId="0000009A">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Exporting</w:t>
            </w:r>
          </w:p>
        </w:tc>
        <w:tc>
          <w:tcPr/>
          <w:p w:rsidR="00000000" w:rsidDel="00000000" w:rsidP="00000000" w:rsidRDefault="00000000" w:rsidRPr="00000000" w14:paraId="0000009B">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Low</w:t>
            </w:r>
          </w:p>
        </w:tc>
        <w:tc>
          <w:tcPr/>
          <w:p w:rsidR="00000000" w:rsidDel="00000000" w:rsidP="00000000" w:rsidRDefault="00000000" w:rsidRPr="00000000" w14:paraId="0000009C">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Low</w:t>
            </w:r>
          </w:p>
        </w:tc>
        <w:tc>
          <w:tcPr>
            <w:shd w:fill="ffff00" w:val="clear"/>
          </w:tcPr>
          <w:p w:rsidR="00000000" w:rsidDel="00000000" w:rsidP="00000000" w:rsidRDefault="00000000" w:rsidRPr="00000000" w14:paraId="0000009D">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Low</w:t>
            </w:r>
          </w:p>
        </w:tc>
        <w:tc>
          <w:tcPr/>
          <w:p w:rsidR="00000000" w:rsidDel="00000000" w:rsidP="00000000" w:rsidRDefault="00000000" w:rsidRPr="00000000" w14:paraId="0000009E">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Suitable for initial market testing.</w:t>
            </w:r>
          </w:p>
        </w:tc>
      </w:tr>
      <w:tr>
        <w:trPr>
          <w:cantSplit w:val="0"/>
          <w:tblHeader w:val="0"/>
        </w:trPr>
        <w:tc>
          <w:tcPr/>
          <w:p w:rsidR="00000000" w:rsidDel="00000000" w:rsidP="00000000" w:rsidRDefault="00000000" w:rsidRPr="00000000" w14:paraId="0000009F">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Licensing</w:t>
            </w:r>
          </w:p>
        </w:tc>
        <w:tc>
          <w:tcPr/>
          <w:p w:rsidR="00000000" w:rsidDel="00000000" w:rsidP="00000000" w:rsidRDefault="00000000" w:rsidRPr="00000000" w14:paraId="000000A0">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Low</w:t>
            </w:r>
          </w:p>
        </w:tc>
        <w:tc>
          <w:tcPr/>
          <w:p w:rsidR="00000000" w:rsidDel="00000000" w:rsidP="00000000" w:rsidRDefault="00000000" w:rsidRPr="00000000" w14:paraId="000000A1">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Low</w:t>
            </w:r>
          </w:p>
        </w:tc>
        <w:tc>
          <w:tcPr>
            <w:shd w:fill="00b050" w:val="clear"/>
          </w:tcPr>
          <w:p w:rsidR="00000000" w:rsidDel="00000000" w:rsidP="00000000" w:rsidRDefault="00000000" w:rsidRPr="00000000" w14:paraId="000000A2">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Medium</w:t>
            </w:r>
          </w:p>
        </w:tc>
        <w:tc>
          <w:tcPr/>
          <w:p w:rsidR="00000000" w:rsidDel="00000000" w:rsidP="00000000" w:rsidRDefault="00000000" w:rsidRPr="00000000" w14:paraId="000000A3">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Limited control over brand quality.</w:t>
            </w:r>
          </w:p>
        </w:tc>
      </w:tr>
      <w:tr>
        <w:trPr>
          <w:cantSplit w:val="0"/>
          <w:tblHeader w:val="0"/>
        </w:trPr>
        <w:tc>
          <w:tcPr/>
          <w:p w:rsidR="00000000" w:rsidDel="00000000" w:rsidP="00000000" w:rsidRDefault="00000000" w:rsidRPr="00000000" w14:paraId="000000A4">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Franchising</w:t>
            </w:r>
          </w:p>
        </w:tc>
        <w:tc>
          <w:tcPr/>
          <w:p w:rsidR="00000000" w:rsidDel="00000000" w:rsidP="00000000" w:rsidRDefault="00000000" w:rsidRPr="00000000" w14:paraId="000000A5">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Medium</w:t>
            </w:r>
          </w:p>
        </w:tc>
        <w:tc>
          <w:tcPr/>
          <w:p w:rsidR="00000000" w:rsidDel="00000000" w:rsidP="00000000" w:rsidRDefault="00000000" w:rsidRPr="00000000" w14:paraId="000000A6">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Medium</w:t>
            </w:r>
          </w:p>
        </w:tc>
        <w:tc>
          <w:tcPr>
            <w:shd w:fill="00b050" w:val="clear"/>
          </w:tcPr>
          <w:p w:rsidR="00000000" w:rsidDel="00000000" w:rsidP="00000000" w:rsidRDefault="00000000" w:rsidRPr="00000000" w14:paraId="000000A7">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Medium</w:t>
            </w:r>
          </w:p>
        </w:tc>
        <w:tc>
          <w:tcPr/>
          <w:p w:rsidR="00000000" w:rsidDel="00000000" w:rsidP="00000000" w:rsidRDefault="00000000" w:rsidRPr="00000000" w14:paraId="000000A8">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Moderate expansion with local partners.</w:t>
            </w:r>
          </w:p>
        </w:tc>
      </w:tr>
      <w:tr>
        <w:trPr>
          <w:cantSplit w:val="0"/>
          <w:tblHeader w:val="0"/>
        </w:trPr>
        <w:tc>
          <w:tcPr/>
          <w:p w:rsidR="00000000" w:rsidDel="00000000" w:rsidP="00000000" w:rsidRDefault="00000000" w:rsidRPr="00000000" w14:paraId="000000A9">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Strategic Alliance</w:t>
            </w:r>
          </w:p>
        </w:tc>
        <w:tc>
          <w:tcPr/>
          <w:p w:rsidR="00000000" w:rsidDel="00000000" w:rsidP="00000000" w:rsidRDefault="00000000" w:rsidRPr="00000000" w14:paraId="000000AA">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Medium</w:t>
            </w:r>
          </w:p>
        </w:tc>
        <w:tc>
          <w:tcPr/>
          <w:p w:rsidR="00000000" w:rsidDel="00000000" w:rsidP="00000000" w:rsidRDefault="00000000" w:rsidRPr="00000000" w14:paraId="000000AB">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High</w:t>
            </w:r>
          </w:p>
        </w:tc>
        <w:tc>
          <w:tcPr>
            <w:shd w:fill="ffff00" w:val="clear"/>
          </w:tcPr>
          <w:p w:rsidR="00000000" w:rsidDel="00000000" w:rsidP="00000000" w:rsidRDefault="00000000" w:rsidRPr="00000000" w14:paraId="000000AC">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Low</w:t>
            </w:r>
          </w:p>
        </w:tc>
        <w:tc>
          <w:tcPr/>
          <w:p w:rsidR="00000000" w:rsidDel="00000000" w:rsidP="00000000" w:rsidRDefault="00000000" w:rsidRPr="00000000" w14:paraId="000000AD">
            <w:pPr>
              <w:spacing w:after="160" w:line="360" w:lineRule="auto"/>
              <w:jc w:val="both"/>
              <w:rPr>
                <w:rFonts w:ascii="Arial" w:cs="Arial" w:eastAsia="Arial" w:hAnsi="Arial"/>
              </w:rPr>
            </w:pPr>
            <w:r w:rsidDel="00000000" w:rsidR="00000000" w:rsidRPr="00000000">
              <w:rPr>
                <w:rFonts w:ascii="Arial" w:cs="Arial" w:eastAsia="Arial" w:hAnsi="Arial"/>
                <w:b w:val="1"/>
                <w:bCs w:val="1"/>
                <w:rtl w:val="0"/>
              </w:rPr>
              <w:t xml:space="preserve">Highly suitable</w:t>
            </w:r>
            <w:r w:rsidDel="00000000" w:rsidR="00000000" w:rsidRPr="00000000">
              <w:rPr>
                <w:rFonts w:ascii="Arial" w:cs="Arial" w:eastAsia="Arial" w:hAnsi="Arial"/>
                <w:rtl w:val="0"/>
              </w:rPr>
              <w:t xml:space="preserve"> for Estonia's digital market.</w:t>
            </w:r>
          </w:p>
        </w:tc>
      </w:tr>
      <w:tr>
        <w:trPr>
          <w:cantSplit w:val="0"/>
          <w:tblHeader w:val="0"/>
        </w:trPr>
        <w:tc>
          <w:tcPr/>
          <w:p w:rsidR="00000000" w:rsidDel="00000000" w:rsidP="00000000" w:rsidRDefault="00000000" w:rsidRPr="00000000" w14:paraId="000000AE">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Joint Venture</w:t>
            </w:r>
          </w:p>
        </w:tc>
        <w:tc>
          <w:tcPr/>
          <w:p w:rsidR="00000000" w:rsidDel="00000000" w:rsidP="00000000" w:rsidRDefault="00000000" w:rsidRPr="00000000" w14:paraId="000000AF">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High</w:t>
            </w:r>
          </w:p>
        </w:tc>
        <w:tc>
          <w:tcPr/>
          <w:p w:rsidR="00000000" w:rsidDel="00000000" w:rsidP="00000000" w:rsidRDefault="00000000" w:rsidRPr="00000000" w14:paraId="000000B0">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Shared</w:t>
            </w:r>
          </w:p>
        </w:tc>
        <w:tc>
          <w:tcPr>
            <w:shd w:fill="00b050" w:val="clear"/>
          </w:tcPr>
          <w:p w:rsidR="00000000" w:rsidDel="00000000" w:rsidP="00000000" w:rsidRDefault="00000000" w:rsidRPr="00000000" w14:paraId="000000B1">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Medium</w:t>
            </w:r>
          </w:p>
        </w:tc>
        <w:tc>
          <w:tcPr/>
          <w:p w:rsidR="00000000" w:rsidDel="00000000" w:rsidP="00000000" w:rsidRDefault="00000000" w:rsidRPr="00000000" w14:paraId="000000B2">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Good local knowledge but shared decisions.</w:t>
            </w:r>
          </w:p>
        </w:tc>
      </w:tr>
      <w:tr>
        <w:trPr>
          <w:cantSplit w:val="0"/>
          <w:tblHeader w:val="0"/>
        </w:trPr>
        <w:tc>
          <w:tcPr/>
          <w:p w:rsidR="00000000" w:rsidDel="00000000" w:rsidP="00000000" w:rsidRDefault="00000000" w:rsidRPr="00000000" w14:paraId="000000B3">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Acquisition</w:t>
            </w:r>
          </w:p>
        </w:tc>
        <w:tc>
          <w:tcPr/>
          <w:p w:rsidR="00000000" w:rsidDel="00000000" w:rsidP="00000000" w:rsidRDefault="00000000" w:rsidRPr="00000000" w14:paraId="000000B4">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Very High</w:t>
            </w:r>
          </w:p>
        </w:tc>
        <w:tc>
          <w:tcPr/>
          <w:p w:rsidR="00000000" w:rsidDel="00000000" w:rsidP="00000000" w:rsidRDefault="00000000" w:rsidRPr="00000000" w14:paraId="000000B5">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High</w:t>
            </w:r>
          </w:p>
        </w:tc>
        <w:tc>
          <w:tcPr>
            <w:shd w:fill="ee0000" w:val="clear"/>
          </w:tcPr>
          <w:p w:rsidR="00000000" w:rsidDel="00000000" w:rsidP="00000000" w:rsidRDefault="00000000" w:rsidRPr="00000000" w14:paraId="000000B6">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High</w:t>
            </w:r>
          </w:p>
        </w:tc>
        <w:tc>
          <w:tcPr/>
          <w:p w:rsidR="00000000" w:rsidDel="00000000" w:rsidP="00000000" w:rsidRDefault="00000000" w:rsidRPr="00000000" w14:paraId="000000B7">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Fast entry but expensive integration.</w:t>
            </w:r>
          </w:p>
        </w:tc>
      </w:tr>
      <w:tr>
        <w:trPr>
          <w:cantSplit w:val="0"/>
          <w:tblHeader w:val="0"/>
        </w:trPr>
        <w:tc>
          <w:tcPr/>
          <w:p w:rsidR="00000000" w:rsidDel="00000000" w:rsidP="00000000" w:rsidRDefault="00000000" w:rsidRPr="00000000" w14:paraId="000000B8">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Greenfield Investment</w:t>
            </w:r>
          </w:p>
        </w:tc>
        <w:tc>
          <w:tcPr/>
          <w:p w:rsidR="00000000" w:rsidDel="00000000" w:rsidP="00000000" w:rsidRDefault="00000000" w:rsidRPr="00000000" w14:paraId="000000B9">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Very High</w:t>
            </w:r>
          </w:p>
        </w:tc>
        <w:tc>
          <w:tcPr/>
          <w:p w:rsidR="00000000" w:rsidDel="00000000" w:rsidP="00000000" w:rsidRDefault="00000000" w:rsidRPr="00000000" w14:paraId="000000BA">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Full</w:t>
            </w:r>
          </w:p>
        </w:tc>
        <w:tc>
          <w:tcPr>
            <w:shd w:fill="ee0000" w:val="clear"/>
          </w:tcPr>
          <w:p w:rsidR="00000000" w:rsidDel="00000000" w:rsidP="00000000" w:rsidRDefault="00000000" w:rsidRPr="00000000" w14:paraId="000000BB">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High</w:t>
            </w:r>
          </w:p>
        </w:tc>
        <w:tc>
          <w:tcPr/>
          <w:p w:rsidR="00000000" w:rsidDel="00000000" w:rsidP="00000000" w:rsidRDefault="00000000" w:rsidRPr="00000000" w14:paraId="000000BC">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Maximum control with high investment.</w:t>
            </w:r>
          </w:p>
        </w:tc>
      </w:tr>
      <w:tr>
        <w:trPr>
          <w:cantSplit w:val="0"/>
          <w:tblHeader w:val="0"/>
        </w:trPr>
        <w:tc>
          <w:tcPr/>
          <w:p w:rsidR="00000000" w:rsidDel="00000000" w:rsidP="00000000" w:rsidRDefault="00000000" w:rsidRPr="00000000" w14:paraId="000000BD">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Wholly Owned Subsidiary</w:t>
            </w:r>
          </w:p>
        </w:tc>
        <w:tc>
          <w:tcPr/>
          <w:p w:rsidR="00000000" w:rsidDel="00000000" w:rsidP="00000000" w:rsidRDefault="00000000" w:rsidRPr="00000000" w14:paraId="000000BE">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High</w:t>
            </w:r>
          </w:p>
        </w:tc>
        <w:tc>
          <w:tcPr/>
          <w:p w:rsidR="00000000" w:rsidDel="00000000" w:rsidP="00000000" w:rsidRDefault="00000000" w:rsidRPr="00000000" w14:paraId="000000BF">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Full</w:t>
            </w:r>
          </w:p>
        </w:tc>
        <w:tc>
          <w:tcPr>
            <w:shd w:fill="ee0000" w:val="clear"/>
          </w:tcPr>
          <w:p w:rsidR="00000000" w:rsidDel="00000000" w:rsidP="00000000" w:rsidRDefault="00000000" w:rsidRPr="00000000" w14:paraId="000000C0">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High</w:t>
            </w:r>
          </w:p>
        </w:tc>
        <w:tc>
          <w:tcPr/>
          <w:p w:rsidR="00000000" w:rsidDel="00000000" w:rsidP="00000000" w:rsidRDefault="00000000" w:rsidRPr="00000000" w14:paraId="000000C1">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Suitable aftermarket establishment.</w:t>
            </w:r>
          </w:p>
        </w:tc>
      </w:tr>
    </w:tbl>
    <w:p w:rsidR="00000000" w:rsidDel="00000000" w:rsidP="00000000" w:rsidRDefault="00000000" w:rsidRPr="00000000" w14:paraId="000000C2">
      <w:pPr>
        <w:spacing w:line="360" w:lineRule="auto"/>
        <w:jc w:val="center"/>
        <w:rPr>
          <w:rFonts w:ascii="Arial" w:cs="Arial" w:eastAsia="Arial" w:hAnsi="Arial"/>
          <w:b w:val="1"/>
          <w:bCs w:val="1"/>
          <w:i w:val="1"/>
          <w:iCs w:val="1"/>
        </w:rPr>
      </w:pPr>
      <w:r w:rsidDel="00000000" w:rsidR="00000000" w:rsidRPr="00000000">
        <w:rPr>
          <w:rFonts w:ascii="Arial" w:cs="Arial" w:eastAsia="Arial" w:hAnsi="Arial"/>
          <w:b w:val="1"/>
          <w:bCs w:val="1"/>
          <w:i w:val="1"/>
          <w:iCs w:val="1"/>
          <w:rtl w:val="0"/>
        </w:rPr>
        <w:t xml:space="preserve">Table 2: Comparison of Market Entry Modes for Nykaa's Expansion into Estonia</w:t>
      </w:r>
    </w:p>
    <w:p w:rsidR="00000000" w:rsidDel="00000000" w:rsidP="00000000" w:rsidRDefault="00000000" w:rsidRPr="00000000" w14:paraId="000000C3">
      <w:pPr>
        <w:spacing w:line="360" w:lineRule="auto"/>
        <w:jc w:val="center"/>
        <w:rPr>
          <w:rFonts w:ascii="Arial" w:cs="Arial" w:eastAsia="Arial" w:hAnsi="Arial"/>
        </w:rPr>
      </w:pPr>
      <w:r w:rsidDel="00000000" w:rsidR="00000000" w:rsidRPr="00000000">
        <w:rPr>
          <w:rFonts w:ascii="Arial" w:cs="Arial" w:eastAsia="Arial" w:hAnsi="Arial"/>
          <w:rtl w:val="0"/>
        </w:rPr>
        <w:t xml:space="preserve">(Source: Self-Created)</w:t>
      </w:r>
    </w:p>
    <w:p w:rsidR="00000000" w:rsidDel="00000000" w:rsidP="00000000" w:rsidRDefault="00000000" w:rsidRPr="00000000" w14:paraId="000000C4">
      <w:pPr>
        <w:pStyle w:val="Heading2"/>
        <w:rPr/>
      </w:pPr>
      <w:bookmarkStart w:colFirst="0" w:colLast="0" w:name="_upc6l88vzh18" w:id="17"/>
      <w:bookmarkEnd w:id="17"/>
      <w:r w:rsidDel="00000000" w:rsidR="00000000" w:rsidRPr="00000000">
        <w:rPr>
          <w:rtl w:val="0"/>
        </w:rPr>
        <w:t xml:space="preserve">3.4 Recommended Entry Strategy</w:t>
      </w:r>
    </w:p>
    <w:p w:rsidR="00000000" w:rsidDel="00000000" w:rsidP="00000000" w:rsidRDefault="00000000" w:rsidRPr="00000000" w14:paraId="000000C5">
      <w:pPr>
        <w:spacing w:line="360" w:lineRule="auto"/>
        <w:jc w:val="both"/>
        <w:rPr>
          <w:rFonts w:ascii="Arial" w:cs="Arial" w:eastAsia="Arial" w:hAnsi="Arial"/>
        </w:rPr>
      </w:pPr>
      <w:r w:rsidDel="00000000" w:rsidR="00000000" w:rsidRPr="00000000">
        <w:rPr>
          <w:rFonts w:ascii="Arial" w:cs="Arial" w:eastAsia="Arial" w:hAnsi="Arial"/>
          <w:rtl w:val="0"/>
        </w:rPr>
        <w:t xml:space="preserve">Nykaa's expansion in Estonia would be best right by going for a strategic alliance by a wholly owned online subsidiary. Local logistics providers, payment platforms and distribution businesses would help to mitigate market entry risk and give local market knowledge (Ivașcenco, 2025). At the same time, a completely owned digital platform would enable Nykaa to keep an eye on the quality of the products, personalisation and experience it proposals to its customers by using AI. Compared to acquiring a company, this requires less capital investment, but more than a joint venture. The superior digital infrastructure, exceptional internet penetration of 93%, and the growth of a premium beauty market in Estonia are a strong support for such a hybrid marketplace entry approach (Marketresearch.com, 2026).</w:t>
      </w:r>
    </w:p>
    <w:p w:rsidR="00000000" w:rsidDel="00000000" w:rsidP="00000000" w:rsidRDefault="00000000" w:rsidRPr="00000000" w14:paraId="000000C6">
      <w:pPr>
        <w:rPr>
          <w:rFonts w:ascii="Arial" w:cs="Arial" w:eastAsia="Arial" w:hAnsi="Arial"/>
        </w:rPr>
      </w:pPr>
      <w:r w:rsidDel="00000000" w:rsidR="00000000" w:rsidRPr="00000000">
        <w:br w:type="page"/>
      </w:r>
      <w:r w:rsidDel="00000000" w:rsidR="00000000" w:rsidRPr="00000000">
        <w:rPr>
          <w:rtl w:val="0"/>
        </w:rPr>
      </w:r>
    </w:p>
    <w:p w:rsidR="00000000" w:rsidDel="00000000" w:rsidP="00000000" w:rsidRDefault="00000000" w:rsidRPr="00000000" w14:paraId="000000C7">
      <w:pPr>
        <w:pStyle w:val="Heading1"/>
        <w:rPr/>
      </w:pPr>
      <w:bookmarkStart w:colFirst="0" w:colLast="0" w:name="_6d9loj63i08" w:id="18"/>
      <w:bookmarkEnd w:id="18"/>
      <w:r w:rsidDel="00000000" w:rsidR="00000000" w:rsidRPr="00000000">
        <w:rPr>
          <w:rtl w:val="0"/>
        </w:rPr>
        <w:t xml:space="preserve">Section 2: Reflective Account (Gibbs Reflective Cycle)</w:t>
      </w:r>
    </w:p>
    <w:p w:rsidR="00000000" w:rsidDel="00000000" w:rsidP="00000000" w:rsidRDefault="00000000" w:rsidRPr="00000000" w14:paraId="000000C8">
      <w:pPr>
        <w:spacing w:line="360" w:lineRule="auto"/>
        <w:jc w:val="both"/>
        <w:rPr>
          <w:rFonts w:ascii="Arial" w:cs="Arial" w:eastAsia="Arial" w:hAnsi="Arial"/>
        </w:rPr>
      </w:pPr>
      <w:r w:rsidDel="00000000" w:rsidR="00000000" w:rsidRPr="00000000">
        <w:rPr>
          <w:rFonts w:ascii="Arial" w:cs="Arial" w:eastAsia="Arial" w:hAnsi="Arial"/>
          <w:rtl w:val="0"/>
        </w:rPr>
        <w:t xml:space="preserve">Reflective account will allow me to critically analyse the process I used with regard to the research and preparation for this global business assignment. In this step, using Gibbs' Reflective Cycle I analyse how I considered relevant theories, collected the information and analysed that information, as well as how I used the theories from academia to apply the concepts to Nykaa's new venture in Estonia. I have learned about my own strengths, weaknesses, and how to advance my knowledge, skills, and abilities regarding market entry strategies in the international market on my future course of study and career.</w:t>
      </w:r>
    </w:p>
    <w:p w:rsidR="00000000" w:rsidDel="00000000" w:rsidP="00000000" w:rsidRDefault="00000000" w:rsidRPr="00000000" w14:paraId="000000C9">
      <w:pPr>
        <w:spacing w:line="360" w:lineRule="auto"/>
        <w:jc w:val="center"/>
        <w:rPr>
          <w:rFonts w:ascii="Arial" w:cs="Arial" w:eastAsia="Arial" w:hAnsi="Arial"/>
        </w:rPr>
      </w:pPr>
      <w:r w:rsidDel="00000000" w:rsidR="00000000" w:rsidRPr="00000000">
        <w:rPr/>
        <w:drawing>
          <wp:inline distB="0" distT="0" distL="0" distR="0">
            <wp:extent cx="5838825" cy="3819525"/>
            <wp:effectExtent b="9525" l="0" r="0" t="0"/>
            <wp:docPr id="1" name=""/>
            <a:graphic>
              <a:graphicData uri="http://schemas.openxmlformats.org/drawingml/2006/diagram">
                <dgm:relIds r:cs="rId1" r:dm="rId2" r:lo="rId3" r:qs="rId4"/>
              </a:graphicData>
            </a:graphic>
          </wp:inline>
        </w:drawing>
      </w:r>
      <w:r w:rsidDel="00000000" w:rsidR="00000000" w:rsidRPr="00000000">
        <w:rPr>
          <w:rtl w:val="0"/>
        </w:rPr>
      </w:r>
    </w:p>
    <w:p w:rsidR="00000000" w:rsidDel="00000000" w:rsidP="00000000" w:rsidRDefault="00000000" w:rsidRPr="00000000" w14:paraId="000000CA">
      <w:pPr>
        <w:spacing w:line="360" w:lineRule="auto"/>
        <w:jc w:val="center"/>
        <w:rPr>
          <w:rFonts w:ascii="Arial" w:cs="Arial" w:eastAsia="Arial" w:hAnsi="Arial"/>
          <w:b w:val="1"/>
          <w:bCs w:val="1"/>
        </w:rPr>
      </w:pPr>
      <w:bookmarkStart w:colFirst="0" w:colLast="0" w:name="_f2yd6y9gnyp7" w:id="19"/>
      <w:bookmarkEnd w:id="19"/>
      <w:r w:rsidDel="00000000" w:rsidR="00000000" w:rsidRPr="00000000">
        <w:rPr>
          <w:rFonts w:ascii="Arial" w:cs="Arial" w:eastAsia="Arial" w:hAnsi="Arial"/>
          <w:b w:val="1"/>
          <w:bCs w:val="1"/>
          <w:rtl w:val="0"/>
        </w:rPr>
        <w:t xml:space="preserve">Figure 10: Gibbs’ Reflective Model</w:t>
      </w:r>
    </w:p>
    <w:p w:rsidR="00000000" w:rsidDel="00000000" w:rsidP="00000000" w:rsidRDefault="00000000" w:rsidRPr="00000000" w14:paraId="000000CB">
      <w:pPr>
        <w:spacing w:line="360" w:lineRule="auto"/>
        <w:jc w:val="center"/>
        <w:rPr>
          <w:rFonts w:ascii="Arial" w:cs="Arial" w:eastAsia="Arial" w:hAnsi="Arial"/>
        </w:rPr>
      </w:pPr>
      <w:bookmarkStart w:colFirst="0" w:colLast="0" w:name="_yxe7ih3aoaso" w:id="20"/>
      <w:bookmarkEnd w:id="20"/>
      <w:r w:rsidDel="00000000" w:rsidR="00000000" w:rsidRPr="00000000">
        <w:rPr>
          <w:rFonts w:ascii="Arial" w:cs="Arial" w:eastAsia="Arial" w:hAnsi="Arial"/>
          <w:rtl w:val="0"/>
        </w:rPr>
        <w:t xml:space="preserve">(Source: Self-Created)</w:t>
      </w:r>
    </w:p>
    <w:p w:rsidR="00000000" w:rsidDel="00000000" w:rsidP="00000000" w:rsidRDefault="00000000" w:rsidRPr="00000000" w14:paraId="000000CC">
      <w:pPr>
        <w:spacing w:line="360" w:lineRule="auto"/>
        <w:jc w:val="center"/>
        <w:rPr>
          <w:rFonts w:ascii="Arial" w:cs="Arial" w:eastAsia="Arial" w:hAnsi="Arial"/>
        </w:rPr>
      </w:pPr>
      <w:r w:rsidDel="00000000" w:rsidR="00000000" w:rsidRPr="00000000">
        <w:rPr>
          <w:rtl w:val="0"/>
        </w:rPr>
      </w:r>
    </w:p>
    <w:p w:rsidR="00000000" w:rsidDel="00000000" w:rsidP="00000000" w:rsidRDefault="00000000" w:rsidRPr="00000000" w14:paraId="000000CD">
      <w:pPr>
        <w:pStyle w:val="Heading2"/>
        <w:rPr/>
      </w:pPr>
      <w:bookmarkStart w:colFirst="0" w:colLast="0" w:name="_cwatolm2pu1x" w:id="21"/>
      <w:bookmarkEnd w:id="21"/>
      <w:r w:rsidDel="00000000" w:rsidR="00000000" w:rsidRPr="00000000">
        <w:rPr>
          <w:rtl w:val="0"/>
        </w:rPr>
        <w:t xml:space="preserve">Description </w:t>
      </w:r>
    </w:p>
    <w:p w:rsidR="00000000" w:rsidDel="00000000" w:rsidP="00000000" w:rsidRDefault="00000000" w:rsidRPr="00000000" w14:paraId="000000CE">
      <w:pPr>
        <w:spacing w:line="360" w:lineRule="auto"/>
        <w:jc w:val="both"/>
        <w:rPr>
          <w:rFonts w:ascii="Arial" w:cs="Arial" w:eastAsia="Arial" w:hAnsi="Arial"/>
        </w:rPr>
      </w:pPr>
      <w:r w:rsidDel="00000000" w:rsidR="00000000" w:rsidRPr="00000000">
        <w:rPr>
          <w:rFonts w:ascii="Arial" w:cs="Arial" w:eastAsia="Arial" w:hAnsi="Arial"/>
          <w:rtl w:val="0"/>
        </w:rPr>
        <w:t xml:space="preserve">I started this assignment with the choice of Nykaa since it is a successful Indian beauty brand, which can be considered as a good potential business to expand in the global market. I selected Estonia as a target market after identifying that there is a lack of important presence by Nykaa in the country and the country's advanced digital economy and favourable business environment (Suhartini and Sary, 2025). I conducted a thorough investigation and analysis of the calculation requirements to ensure that the assignment was planned correctly, and I found that I needed to use some international business theories to analyse the problem; I also used a variety of lately published sources such as academic journals, company reports and government publications. </w:t>
      </w:r>
    </w:p>
    <w:p w:rsidR="00000000" w:rsidDel="00000000" w:rsidP="00000000" w:rsidRDefault="00000000" w:rsidRPr="00000000" w14:paraId="000000CF">
      <w:pPr>
        <w:pStyle w:val="Heading2"/>
        <w:rPr/>
      </w:pPr>
      <w:bookmarkStart w:colFirst="0" w:colLast="0" w:name="_kpt1zt9p0oef" w:id="22"/>
      <w:bookmarkEnd w:id="22"/>
      <w:r w:rsidDel="00000000" w:rsidR="00000000" w:rsidRPr="00000000">
        <w:rPr>
          <w:rtl w:val="0"/>
        </w:rPr>
        <w:t xml:space="preserve">Feelings </w:t>
      </w:r>
    </w:p>
    <w:p w:rsidR="00000000" w:rsidDel="00000000" w:rsidP="00000000" w:rsidRDefault="00000000" w:rsidRPr="00000000" w14:paraId="000000D0">
      <w:pPr>
        <w:spacing w:line="360" w:lineRule="auto"/>
        <w:jc w:val="both"/>
        <w:rPr>
          <w:rFonts w:ascii="Arial" w:cs="Arial" w:eastAsia="Arial" w:hAnsi="Arial"/>
        </w:rPr>
      </w:pPr>
      <w:r w:rsidDel="00000000" w:rsidR="00000000" w:rsidRPr="00000000">
        <w:rPr>
          <w:rFonts w:ascii="Arial" w:cs="Arial" w:eastAsia="Arial" w:hAnsi="Arial"/>
          <w:rtl w:val="0"/>
        </w:rPr>
        <w:t xml:space="preserve">Initially when I started this assignment, I felt like I knew my way around Nykaa's business model, but was not as familiar of the Estonia business environment. It was difficult at first to combine a number of international business models together in a comprehensive analysis. In addition, there was a little bit of doubt in comparing various market entry options, and deciding which are appropriate (Yaseen, 2025). As I continued my research, I felt more and more self-assured in my ability to do so, as I studied the cultural, political, economic and legal context of Estonia. Theories learned and applied, like PESTEL, Porter's Diamond Model and Dunning's OLI Framework, gave me the tools to gain a deeper sympathetic of the analytical skills I could use and confidence in assessing an international expansion strategy.</w:t>
      </w:r>
    </w:p>
    <w:p w:rsidR="00000000" w:rsidDel="00000000" w:rsidP="00000000" w:rsidRDefault="00000000" w:rsidRPr="00000000" w14:paraId="000000D1">
      <w:pPr>
        <w:pStyle w:val="Heading2"/>
        <w:rPr/>
      </w:pPr>
      <w:bookmarkStart w:colFirst="0" w:colLast="0" w:name="_h8hhix4dbm2e" w:id="23"/>
      <w:bookmarkEnd w:id="23"/>
      <w:r w:rsidDel="00000000" w:rsidR="00000000" w:rsidRPr="00000000">
        <w:rPr>
          <w:rtl w:val="0"/>
        </w:rPr>
        <w:t xml:space="preserve">Evaluation</w:t>
      </w:r>
    </w:p>
    <w:p w:rsidR="00000000" w:rsidDel="00000000" w:rsidP="00000000" w:rsidRDefault="00000000" w:rsidRPr="00000000" w14:paraId="000000D2">
      <w:pPr>
        <w:spacing w:line="360" w:lineRule="auto"/>
        <w:jc w:val="both"/>
        <w:rPr>
          <w:rFonts w:ascii="Arial" w:cs="Arial" w:eastAsia="Arial" w:hAnsi="Arial"/>
        </w:rPr>
      </w:pPr>
      <w:r w:rsidDel="00000000" w:rsidR="00000000" w:rsidRPr="00000000">
        <w:rPr>
          <w:rFonts w:ascii="Arial" w:cs="Arial" w:eastAsia="Arial" w:hAnsi="Arial"/>
          <w:rtl w:val="0"/>
        </w:rPr>
        <w:t xml:space="preserve">Overall, it was a good learning experience to prepare this assignment. One of my best attributes was my capacity to nearly implement the international business theories using the latest evidence and statistics to Nykaa's proposed expansion in Estonia. This enhanced the quality and reliability of my analysis. I also learned to improve my skills of researching, synthesising information and structuring a report. Yet I faced some difficulties getting up-to-date market info and relating this to the descriptive text with critical analysis (Dewi </w:t>
      </w:r>
      <w:r w:rsidDel="00000000" w:rsidR="00000000" w:rsidRPr="00000000">
        <w:rPr>
          <w:rFonts w:ascii="Arial" w:cs="Arial" w:eastAsia="Arial" w:hAnsi="Arial"/>
          <w:i w:val="1"/>
          <w:iCs w:val="1"/>
          <w:rtl w:val="0"/>
        </w:rPr>
        <w:t xml:space="preserve">et al.,</w:t>
      </w:r>
      <w:r w:rsidDel="00000000" w:rsidR="00000000" w:rsidRPr="00000000">
        <w:rPr>
          <w:rFonts w:ascii="Arial" w:cs="Arial" w:eastAsia="Arial" w:hAnsi="Arial"/>
          <w:rtl w:val="0"/>
        </w:rPr>
        <w:t xml:space="preserve"> 2025). The use of several theoretical frameworks and ensuring a logical flow of ideas was a procedure that had to be planned and revised. However, the experience was really beneficial for enhancing my knowledge of international market analysis and planned decision making.</w:t>
      </w:r>
    </w:p>
    <w:p w:rsidR="00000000" w:rsidDel="00000000" w:rsidP="00000000" w:rsidRDefault="00000000" w:rsidRPr="00000000" w14:paraId="000000D3">
      <w:pPr>
        <w:pStyle w:val="Heading2"/>
        <w:rPr/>
      </w:pPr>
      <w:bookmarkStart w:colFirst="0" w:colLast="0" w:name="_y5ohphdvhxyp" w:id="24"/>
      <w:bookmarkEnd w:id="24"/>
      <w:r w:rsidDel="00000000" w:rsidR="00000000" w:rsidRPr="00000000">
        <w:rPr>
          <w:rtl w:val="0"/>
        </w:rPr>
        <w:t xml:space="preserve">Analysis </w:t>
      </w:r>
    </w:p>
    <w:p w:rsidR="00000000" w:rsidDel="00000000" w:rsidP="00000000" w:rsidRDefault="00000000" w:rsidRPr="00000000" w14:paraId="000000D4">
      <w:pPr>
        <w:spacing w:line="360" w:lineRule="auto"/>
        <w:jc w:val="both"/>
        <w:rPr>
          <w:rFonts w:ascii="Arial" w:cs="Arial" w:eastAsia="Arial" w:hAnsi="Arial"/>
        </w:rPr>
      </w:pPr>
      <w:r w:rsidDel="00000000" w:rsidR="00000000" w:rsidRPr="00000000">
        <w:rPr>
          <w:rFonts w:ascii="Arial" w:cs="Arial" w:eastAsia="Arial" w:hAnsi="Arial"/>
          <w:rtl w:val="0"/>
        </w:rPr>
        <w:t xml:space="preserve">This module helped me so much in completing the assignment as I acquired a vast amount of knowledge from it. Bartlett and Ghoshal's framework was used to classify Nykaa's International strategy and PESTEL was used to systematically evaluate Estonia's macro-environment (Butt </w:t>
      </w:r>
      <w:r w:rsidDel="00000000" w:rsidR="00000000" w:rsidRPr="00000000">
        <w:rPr>
          <w:rFonts w:ascii="Arial" w:cs="Arial" w:eastAsia="Arial" w:hAnsi="Arial"/>
          <w:i w:val="1"/>
          <w:iCs w:val="1"/>
          <w:rtl w:val="0"/>
        </w:rPr>
        <w:t xml:space="preserve">et al.,</w:t>
      </w:r>
      <w:r w:rsidDel="00000000" w:rsidR="00000000" w:rsidRPr="00000000">
        <w:rPr>
          <w:rFonts w:ascii="Arial" w:cs="Arial" w:eastAsia="Arial" w:hAnsi="Arial"/>
          <w:rtl w:val="0"/>
        </w:rPr>
        <w:t xml:space="preserve"> 2023). I learned a lot about the competitive advantages with which Estonia can approach international business from Porter's Diamond Model. Hofstede's Cultural Dimensions were useful for analysing consumer behaviour and cultural changes related to market entry (Ali </w:t>
      </w:r>
      <w:r w:rsidDel="00000000" w:rsidR="00000000" w:rsidRPr="00000000">
        <w:rPr>
          <w:rFonts w:ascii="Arial" w:cs="Arial" w:eastAsia="Arial" w:hAnsi="Arial"/>
          <w:i w:val="1"/>
          <w:iCs w:val="1"/>
          <w:rtl w:val="0"/>
        </w:rPr>
        <w:t xml:space="preserve">et al.,</w:t>
      </w:r>
      <w:r w:rsidDel="00000000" w:rsidR="00000000" w:rsidRPr="00000000">
        <w:rPr>
          <w:rFonts w:ascii="Arial" w:cs="Arial" w:eastAsia="Arial" w:hAnsi="Arial"/>
          <w:rtl w:val="0"/>
        </w:rPr>
        <w:t xml:space="preserve"> 2025). The logical framework of the Dunning's OLI Framework was used to assess the ownership, location and internalisation advantages. Lastly, by examining numerous entries points I was able to give a recommendation on the most suitable entry point. These theories as a whole helped to consolidate my critical thinking and evidence-based international commercial decision making.</w:t>
      </w:r>
    </w:p>
    <w:p w:rsidR="00000000" w:rsidDel="00000000" w:rsidP="00000000" w:rsidRDefault="00000000" w:rsidRPr="00000000" w14:paraId="000000D5">
      <w:pPr>
        <w:pStyle w:val="Heading2"/>
        <w:rPr/>
      </w:pPr>
      <w:bookmarkStart w:colFirst="0" w:colLast="0" w:name="_dbog3s50p25y" w:id="25"/>
      <w:bookmarkEnd w:id="25"/>
      <w:r w:rsidDel="00000000" w:rsidR="00000000" w:rsidRPr="00000000">
        <w:rPr>
          <w:rtl w:val="0"/>
        </w:rPr>
        <w:t xml:space="preserve">Conclusion </w:t>
      </w:r>
    </w:p>
    <w:p w:rsidR="00000000" w:rsidDel="00000000" w:rsidP="00000000" w:rsidRDefault="00000000" w:rsidRPr="00000000" w14:paraId="000000D6">
      <w:pPr>
        <w:spacing w:line="360" w:lineRule="auto"/>
        <w:jc w:val="both"/>
        <w:rPr>
          <w:rFonts w:ascii="Arial" w:cs="Arial" w:eastAsia="Arial" w:hAnsi="Arial"/>
        </w:rPr>
      </w:pPr>
      <w:r w:rsidDel="00000000" w:rsidR="00000000" w:rsidRPr="00000000">
        <w:rPr>
          <w:rFonts w:ascii="Arial" w:cs="Arial" w:eastAsia="Arial" w:hAnsi="Arial"/>
          <w:rtl w:val="0"/>
        </w:rPr>
        <w:t xml:space="preserve">This assignment has given me a better knowledge of the international business strategy, and the significance of market valuation before entering international markets. I learned that to be successful in international expansion, there is a need to look at political, economic, legal and cultural factors in great detail along by organisational capabilities. I found that using theory enhanced my understanding of bridging theory and business practice. I also gained the sympathetic of the need to have reliable evidence, recent data and critical assessment to back up strategic recommendations. </w:t>
      </w:r>
    </w:p>
    <w:p w:rsidR="00000000" w:rsidDel="00000000" w:rsidP="00000000" w:rsidRDefault="00000000" w:rsidRPr="00000000" w14:paraId="000000D7">
      <w:pPr>
        <w:pStyle w:val="Heading2"/>
        <w:rPr/>
      </w:pPr>
      <w:bookmarkStart w:colFirst="0" w:colLast="0" w:name="_1rfs0sgevfyk" w:id="26"/>
      <w:bookmarkEnd w:id="26"/>
      <w:r w:rsidDel="00000000" w:rsidR="00000000" w:rsidRPr="00000000">
        <w:rPr>
          <w:rtl w:val="0"/>
        </w:rPr>
        <w:t xml:space="preserve">Action Plan </w:t>
      </w:r>
    </w:p>
    <w:p w:rsidR="00000000" w:rsidDel="00000000" w:rsidP="00000000" w:rsidRDefault="00000000" w:rsidRPr="00000000" w14:paraId="000000D8">
      <w:pPr>
        <w:spacing w:line="360" w:lineRule="auto"/>
        <w:jc w:val="both"/>
        <w:rPr>
          <w:rFonts w:ascii="Arial" w:cs="Arial" w:eastAsia="Arial" w:hAnsi="Arial"/>
        </w:rPr>
      </w:pPr>
      <w:r w:rsidDel="00000000" w:rsidR="00000000" w:rsidRPr="00000000">
        <w:rPr>
          <w:rFonts w:ascii="Arial" w:cs="Arial" w:eastAsia="Arial" w:hAnsi="Arial"/>
          <w:rtl w:val="0"/>
        </w:rPr>
        <w:t xml:space="preserve">In order to enhance my academic skill in the future, I will enhance my research ability by utilizing broader and more credible academic journals and international business information database. I also intend to improve the development of my critical analysis by engaging in a comparison between alternative perspectives, instead of a descriptive analysis (Yusuf </w:t>
      </w:r>
      <w:r w:rsidDel="00000000" w:rsidR="00000000" w:rsidRPr="00000000">
        <w:rPr>
          <w:rFonts w:ascii="Arial" w:cs="Arial" w:eastAsia="Arial" w:hAnsi="Arial"/>
          <w:i w:val="1"/>
          <w:iCs w:val="1"/>
          <w:rtl w:val="0"/>
        </w:rPr>
        <w:t xml:space="preserve">et al.,</w:t>
      </w:r>
      <w:r w:rsidDel="00000000" w:rsidR="00000000" w:rsidRPr="00000000">
        <w:rPr>
          <w:rFonts w:ascii="Arial" w:cs="Arial" w:eastAsia="Arial" w:hAnsi="Arial"/>
          <w:rtl w:val="0"/>
        </w:rPr>
        <w:t xml:space="preserve"> 2023). So, I would further continue my studies on international business structure and the latest tendencies in the international markets to improve my international strategy information. In addition, I will develop my academic writing skills, by ornamental my structure and referencing skills and argumentation. </w:t>
      </w:r>
    </w:p>
    <w:tbl>
      <w:tblPr>
        <w:tblStyle w:val="Table3"/>
        <w:tblW w:w="9350.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2579"/>
        <w:gridCol w:w="2541"/>
        <w:gridCol w:w="2349"/>
        <w:gridCol w:w="1881"/>
        <w:tblGridChange w:id="0">
          <w:tblGrid>
            <w:gridCol w:w="2579"/>
            <w:gridCol w:w="2541"/>
            <w:gridCol w:w="2349"/>
            <w:gridCol w:w="1881"/>
          </w:tblGrid>
        </w:tblGridChange>
      </w:tblGrid>
      <w:tr>
        <w:trPr>
          <w:cantSplit w:val="0"/>
          <w:tblHeader w:val="0"/>
        </w:trPr>
        <w:tc>
          <w:tcPr/>
          <w:p w:rsidR="00000000" w:rsidDel="00000000" w:rsidP="00000000" w:rsidRDefault="00000000" w:rsidRPr="00000000" w14:paraId="000000D9">
            <w:pPr>
              <w:spacing w:after="160" w:line="360" w:lineRule="auto"/>
              <w:jc w:val="both"/>
              <w:rPr>
                <w:rFonts w:ascii="Arial" w:cs="Arial" w:eastAsia="Arial" w:hAnsi="Arial"/>
                <w:b w:val="1"/>
                <w:bCs w:val="1"/>
              </w:rPr>
            </w:pPr>
            <w:r w:rsidDel="00000000" w:rsidR="00000000" w:rsidRPr="00000000">
              <w:rPr>
                <w:rFonts w:ascii="Arial" w:cs="Arial" w:eastAsia="Arial" w:hAnsi="Arial"/>
                <w:b w:val="1"/>
                <w:bCs w:val="1"/>
                <w:rtl w:val="0"/>
              </w:rPr>
              <w:t xml:space="preserve">SMART Goal</w:t>
            </w:r>
          </w:p>
        </w:tc>
        <w:tc>
          <w:tcPr/>
          <w:p w:rsidR="00000000" w:rsidDel="00000000" w:rsidP="00000000" w:rsidRDefault="00000000" w:rsidRPr="00000000" w14:paraId="000000DA">
            <w:pPr>
              <w:spacing w:after="160" w:line="360" w:lineRule="auto"/>
              <w:jc w:val="both"/>
              <w:rPr>
                <w:rFonts w:ascii="Arial" w:cs="Arial" w:eastAsia="Arial" w:hAnsi="Arial"/>
                <w:b w:val="1"/>
                <w:bCs w:val="1"/>
              </w:rPr>
            </w:pPr>
            <w:r w:rsidDel="00000000" w:rsidR="00000000" w:rsidRPr="00000000">
              <w:rPr>
                <w:rFonts w:ascii="Arial" w:cs="Arial" w:eastAsia="Arial" w:hAnsi="Arial"/>
                <w:b w:val="1"/>
                <w:bCs w:val="1"/>
                <w:rtl w:val="0"/>
              </w:rPr>
              <w:t xml:space="preserve">Specific Action</w:t>
            </w:r>
          </w:p>
        </w:tc>
        <w:tc>
          <w:tcPr/>
          <w:p w:rsidR="00000000" w:rsidDel="00000000" w:rsidP="00000000" w:rsidRDefault="00000000" w:rsidRPr="00000000" w14:paraId="000000DB">
            <w:pPr>
              <w:spacing w:after="160" w:line="360" w:lineRule="auto"/>
              <w:jc w:val="both"/>
              <w:rPr>
                <w:rFonts w:ascii="Arial" w:cs="Arial" w:eastAsia="Arial" w:hAnsi="Arial"/>
                <w:b w:val="1"/>
                <w:bCs w:val="1"/>
              </w:rPr>
            </w:pPr>
            <w:r w:rsidDel="00000000" w:rsidR="00000000" w:rsidRPr="00000000">
              <w:rPr>
                <w:rFonts w:ascii="Arial" w:cs="Arial" w:eastAsia="Arial" w:hAnsi="Arial"/>
                <w:b w:val="1"/>
                <w:bCs w:val="1"/>
                <w:rtl w:val="0"/>
              </w:rPr>
              <w:t xml:space="preserve">Success Measure</w:t>
            </w:r>
          </w:p>
        </w:tc>
        <w:tc>
          <w:tcPr/>
          <w:p w:rsidR="00000000" w:rsidDel="00000000" w:rsidP="00000000" w:rsidRDefault="00000000" w:rsidRPr="00000000" w14:paraId="000000DC">
            <w:pPr>
              <w:spacing w:after="160" w:line="360" w:lineRule="auto"/>
              <w:jc w:val="both"/>
              <w:rPr>
                <w:rFonts w:ascii="Arial" w:cs="Arial" w:eastAsia="Arial" w:hAnsi="Arial"/>
                <w:b w:val="1"/>
                <w:bCs w:val="1"/>
              </w:rPr>
            </w:pPr>
            <w:r w:rsidDel="00000000" w:rsidR="00000000" w:rsidRPr="00000000">
              <w:rPr>
                <w:rFonts w:ascii="Arial" w:cs="Arial" w:eastAsia="Arial" w:hAnsi="Arial"/>
                <w:b w:val="1"/>
                <w:bCs w:val="1"/>
                <w:rtl w:val="0"/>
              </w:rPr>
              <w:t xml:space="preserve">Timeframe</w:t>
            </w:r>
          </w:p>
        </w:tc>
      </w:tr>
      <w:tr>
        <w:trPr>
          <w:cantSplit w:val="0"/>
          <w:tblHeader w:val="0"/>
        </w:trPr>
        <w:tc>
          <w:tcPr/>
          <w:p w:rsidR="00000000" w:rsidDel="00000000" w:rsidP="00000000" w:rsidRDefault="00000000" w:rsidRPr="00000000" w14:paraId="000000DD">
            <w:pPr>
              <w:spacing w:after="160" w:line="360" w:lineRule="auto"/>
              <w:jc w:val="both"/>
              <w:rPr>
                <w:rFonts w:ascii="Arial" w:cs="Arial" w:eastAsia="Arial" w:hAnsi="Arial"/>
              </w:rPr>
            </w:pPr>
            <w:r w:rsidDel="00000000" w:rsidR="00000000" w:rsidRPr="00000000">
              <w:rPr>
                <w:rFonts w:ascii="Arial" w:cs="Arial" w:eastAsia="Arial" w:hAnsi="Arial"/>
                <w:b w:val="1"/>
                <w:bCs w:val="1"/>
                <w:rtl w:val="0"/>
              </w:rPr>
              <w:t xml:space="preserve">Improve Research Skills</w:t>
            </w:r>
            <w:r w:rsidDel="00000000" w:rsidR="00000000" w:rsidRPr="00000000">
              <w:rPr>
                <w:rtl w:val="0"/>
              </w:rPr>
            </w:r>
          </w:p>
        </w:tc>
        <w:tc>
          <w:tcPr/>
          <w:p w:rsidR="00000000" w:rsidDel="00000000" w:rsidP="00000000" w:rsidRDefault="00000000" w:rsidRPr="00000000" w14:paraId="000000DE">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Read more academic journals and reports</w:t>
            </w:r>
          </w:p>
        </w:tc>
        <w:tc>
          <w:tcPr/>
          <w:p w:rsidR="00000000" w:rsidDel="00000000" w:rsidP="00000000" w:rsidRDefault="00000000" w:rsidRPr="00000000" w14:paraId="000000DF">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Use 30+ quality references</w:t>
            </w:r>
          </w:p>
        </w:tc>
        <w:tc>
          <w:tcPr/>
          <w:p w:rsidR="00000000" w:rsidDel="00000000" w:rsidP="00000000" w:rsidRDefault="00000000" w:rsidRPr="00000000" w14:paraId="000000E0">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Within 3 months</w:t>
            </w:r>
          </w:p>
        </w:tc>
      </w:tr>
      <w:tr>
        <w:trPr>
          <w:cantSplit w:val="0"/>
          <w:tblHeader w:val="0"/>
        </w:trPr>
        <w:tc>
          <w:tcPr/>
          <w:p w:rsidR="00000000" w:rsidDel="00000000" w:rsidP="00000000" w:rsidRDefault="00000000" w:rsidRPr="00000000" w14:paraId="000000E1">
            <w:pPr>
              <w:spacing w:after="160" w:line="360" w:lineRule="auto"/>
              <w:jc w:val="both"/>
              <w:rPr>
                <w:rFonts w:ascii="Arial" w:cs="Arial" w:eastAsia="Arial" w:hAnsi="Arial"/>
              </w:rPr>
            </w:pPr>
            <w:r w:rsidDel="00000000" w:rsidR="00000000" w:rsidRPr="00000000">
              <w:rPr>
                <w:rFonts w:ascii="Arial" w:cs="Arial" w:eastAsia="Arial" w:hAnsi="Arial"/>
                <w:b w:val="1"/>
                <w:bCs w:val="1"/>
                <w:rtl w:val="0"/>
              </w:rPr>
              <w:t xml:space="preserve">Enhance Critical Analysis</w:t>
            </w:r>
            <w:r w:rsidDel="00000000" w:rsidR="00000000" w:rsidRPr="00000000">
              <w:rPr>
                <w:rtl w:val="0"/>
              </w:rPr>
            </w:r>
          </w:p>
        </w:tc>
        <w:tc>
          <w:tcPr/>
          <w:p w:rsidR="00000000" w:rsidDel="00000000" w:rsidP="00000000" w:rsidRDefault="00000000" w:rsidRPr="00000000" w14:paraId="000000E2">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Compare theories and evidence</w:t>
            </w:r>
          </w:p>
        </w:tc>
        <w:tc>
          <w:tcPr/>
          <w:p w:rsidR="00000000" w:rsidDel="00000000" w:rsidP="00000000" w:rsidRDefault="00000000" w:rsidRPr="00000000" w14:paraId="000000E3">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Stronger critical discussions</w:t>
            </w:r>
          </w:p>
        </w:tc>
        <w:tc>
          <w:tcPr/>
          <w:p w:rsidR="00000000" w:rsidDel="00000000" w:rsidP="00000000" w:rsidRDefault="00000000" w:rsidRPr="00000000" w14:paraId="000000E4">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Within 4 months</w:t>
            </w:r>
          </w:p>
        </w:tc>
      </w:tr>
      <w:tr>
        <w:trPr>
          <w:cantSplit w:val="0"/>
          <w:tblHeader w:val="0"/>
        </w:trPr>
        <w:tc>
          <w:tcPr/>
          <w:p w:rsidR="00000000" w:rsidDel="00000000" w:rsidP="00000000" w:rsidRDefault="00000000" w:rsidRPr="00000000" w14:paraId="000000E5">
            <w:pPr>
              <w:spacing w:after="160" w:line="360" w:lineRule="auto"/>
              <w:jc w:val="both"/>
              <w:rPr>
                <w:rFonts w:ascii="Arial" w:cs="Arial" w:eastAsia="Arial" w:hAnsi="Arial"/>
              </w:rPr>
            </w:pPr>
            <w:r w:rsidDel="00000000" w:rsidR="00000000" w:rsidRPr="00000000">
              <w:rPr>
                <w:rFonts w:ascii="Arial" w:cs="Arial" w:eastAsia="Arial" w:hAnsi="Arial"/>
                <w:b w:val="1"/>
                <w:bCs w:val="1"/>
                <w:rtl w:val="0"/>
              </w:rPr>
              <w:t xml:space="preserve">Develop International Strategy Knowledge</w:t>
            </w:r>
            <w:r w:rsidDel="00000000" w:rsidR="00000000" w:rsidRPr="00000000">
              <w:rPr>
                <w:rtl w:val="0"/>
              </w:rPr>
            </w:r>
          </w:p>
        </w:tc>
        <w:tc>
          <w:tcPr/>
          <w:p w:rsidR="00000000" w:rsidDel="00000000" w:rsidP="00000000" w:rsidRDefault="00000000" w:rsidRPr="00000000" w14:paraId="000000E6">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Study international business frameworks weekly</w:t>
            </w:r>
          </w:p>
        </w:tc>
        <w:tc>
          <w:tcPr/>
          <w:p w:rsidR="00000000" w:rsidDel="00000000" w:rsidP="00000000" w:rsidRDefault="00000000" w:rsidRPr="00000000" w14:paraId="000000E7">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Better application of models</w:t>
            </w:r>
          </w:p>
        </w:tc>
        <w:tc>
          <w:tcPr/>
          <w:p w:rsidR="00000000" w:rsidDel="00000000" w:rsidP="00000000" w:rsidRDefault="00000000" w:rsidRPr="00000000" w14:paraId="000000E8">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Within 6 months</w:t>
            </w:r>
          </w:p>
        </w:tc>
      </w:tr>
      <w:tr>
        <w:trPr>
          <w:cantSplit w:val="0"/>
          <w:tblHeader w:val="0"/>
        </w:trPr>
        <w:tc>
          <w:tcPr/>
          <w:p w:rsidR="00000000" w:rsidDel="00000000" w:rsidP="00000000" w:rsidRDefault="00000000" w:rsidRPr="00000000" w14:paraId="000000E9">
            <w:pPr>
              <w:spacing w:after="160" w:line="360" w:lineRule="auto"/>
              <w:jc w:val="both"/>
              <w:rPr>
                <w:rFonts w:ascii="Arial" w:cs="Arial" w:eastAsia="Arial" w:hAnsi="Arial"/>
              </w:rPr>
            </w:pPr>
            <w:r w:rsidDel="00000000" w:rsidR="00000000" w:rsidRPr="00000000">
              <w:rPr>
                <w:rFonts w:ascii="Arial" w:cs="Arial" w:eastAsia="Arial" w:hAnsi="Arial"/>
                <w:b w:val="1"/>
                <w:bCs w:val="1"/>
                <w:rtl w:val="0"/>
              </w:rPr>
              <w:t xml:space="preserve">Strengthen Academic Writing</w:t>
            </w:r>
            <w:r w:rsidDel="00000000" w:rsidR="00000000" w:rsidRPr="00000000">
              <w:rPr>
                <w:rtl w:val="0"/>
              </w:rPr>
            </w:r>
          </w:p>
        </w:tc>
        <w:tc>
          <w:tcPr/>
          <w:p w:rsidR="00000000" w:rsidDel="00000000" w:rsidP="00000000" w:rsidRDefault="00000000" w:rsidRPr="00000000" w14:paraId="000000EA">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Improve Harvard referencing and structure</w:t>
            </w:r>
          </w:p>
        </w:tc>
        <w:tc>
          <w:tcPr/>
          <w:p w:rsidR="00000000" w:rsidDel="00000000" w:rsidP="00000000" w:rsidRDefault="00000000" w:rsidRPr="00000000" w14:paraId="000000EB">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Higher assignment grades</w:t>
            </w:r>
          </w:p>
        </w:tc>
        <w:tc>
          <w:tcPr/>
          <w:p w:rsidR="00000000" w:rsidDel="00000000" w:rsidP="00000000" w:rsidRDefault="00000000" w:rsidRPr="00000000" w14:paraId="000000EC">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Within 3 months</w:t>
            </w:r>
          </w:p>
        </w:tc>
      </w:tr>
      <w:tr>
        <w:trPr>
          <w:cantSplit w:val="0"/>
          <w:tblHeader w:val="0"/>
        </w:trPr>
        <w:tc>
          <w:tcPr/>
          <w:p w:rsidR="00000000" w:rsidDel="00000000" w:rsidP="00000000" w:rsidRDefault="00000000" w:rsidRPr="00000000" w14:paraId="000000ED">
            <w:pPr>
              <w:spacing w:after="160" w:line="360" w:lineRule="auto"/>
              <w:jc w:val="both"/>
              <w:rPr>
                <w:rFonts w:ascii="Arial" w:cs="Arial" w:eastAsia="Arial" w:hAnsi="Arial"/>
              </w:rPr>
            </w:pPr>
            <w:r w:rsidDel="00000000" w:rsidR="00000000" w:rsidRPr="00000000">
              <w:rPr>
                <w:rFonts w:ascii="Arial" w:cs="Arial" w:eastAsia="Arial" w:hAnsi="Arial"/>
                <w:b w:val="1"/>
                <w:bCs w:val="1"/>
                <w:rtl w:val="0"/>
              </w:rPr>
              <w:t xml:space="preserve">Improve Time Management</w:t>
            </w:r>
            <w:r w:rsidDel="00000000" w:rsidR="00000000" w:rsidRPr="00000000">
              <w:rPr>
                <w:rtl w:val="0"/>
              </w:rPr>
            </w:r>
          </w:p>
        </w:tc>
        <w:tc>
          <w:tcPr/>
          <w:p w:rsidR="00000000" w:rsidDel="00000000" w:rsidP="00000000" w:rsidRDefault="00000000" w:rsidRPr="00000000" w14:paraId="000000EE">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Create weekly study and writing schedule</w:t>
            </w:r>
          </w:p>
        </w:tc>
        <w:tc>
          <w:tcPr/>
          <w:p w:rsidR="00000000" w:rsidDel="00000000" w:rsidP="00000000" w:rsidRDefault="00000000" w:rsidRPr="00000000" w14:paraId="000000EF">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Complete assignments before deadlines</w:t>
            </w:r>
          </w:p>
        </w:tc>
        <w:tc>
          <w:tcPr/>
          <w:p w:rsidR="00000000" w:rsidDel="00000000" w:rsidP="00000000" w:rsidRDefault="00000000" w:rsidRPr="00000000" w14:paraId="000000F0">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Immediately and ongoing</w:t>
            </w:r>
          </w:p>
        </w:tc>
      </w:tr>
    </w:tbl>
    <w:p w:rsidR="00000000" w:rsidDel="00000000" w:rsidP="00000000" w:rsidRDefault="00000000" w:rsidRPr="00000000" w14:paraId="000000F1">
      <w:pPr>
        <w:spacing w:line="360" w:lineRule="auto"/>
        <w:jc w:val="center"/>
        <w:rPr>
          <w:rFonts w:ascii="Arial" w:cs="Arial" w:eastAsia="Arial" w:hAnsi="Arial"/>
          <w:b w:val="1"/>
          <w:bCs w:val="1"/>
          <w:i w:val="1"/>
          <w:iCs w:val="1"/>
        </w:rPr>
      </w:pPr>
      <w:r w:rsidDel="00000000" w:rsidR="00000000" w:rsidRPr="00000000">
        <w:rPr>
          <w:rFonts w:ascii="Arial" w:cs="Arial" w:eastAsia="Arial" w:hAnsi="Arial"/>
          <w:b w:val="1"/>
          <w:bCs w:val="1"/>
          <w:i w:val="1"/>
          <w:iCs w:val="1"/>
          <w:rtl w:val="0"/>
        </w:rPr>
        <w:t xml:space="preserve">Table 3: SMART Action Plan </w:t>
      </w:r>
    </w:p>
    <w:p w:rsidR="00000000" w:rsidDel="00000000" w:rsidP="00000000" w:rsidRDefault="00000000" w:rsidRPr="00000000" w14:paraId="000000F2">
      <w:pPr>
        <w:spacing w:line="360" w:lineRule="auto"/>
        <w:jc w:val="center"/>
        <w:rPr>
          <w:rFonts w:ascii="Arial" w:cs="Arial" w:eastAsia="Arial" w:hAnsi="Arial"/>
        </w:rPr>
      </w:pPr>
      <w:r w:rsidDel="00000000" w:rsidR="00000000" w:rsidRPr="00000000">
        <w:rPr>
          <w:rFonts w:ascii="Arial" w:cs="Arial" w:eastAsia="Arial" w:hAnsi="Arial"/>
          <w:rtl w:val="0"/>
        </w:rPr>
        <w:t xml:space="preserve">(Source: Self-Created)</w:t>
      </w:r>
    </w:p>
    <w:p w:rsidR="00000000" w:rsidDel="00000000" w:rsidP="00000000" w:rsidRDefault="00000000" w:rsidRPr="00000000" w14:paraId="000000F3">
      <w:pPr>
        <w:spacing w:line="360" w:lineRule="auto"/>
        <w:jc w:val="both"/>
        <w:rPr>
          <w:rFonts w:ascii="Arial" w:cs="Arial" w:eastAsia="Arial" w:hAnsi="Arial"/>
        </w:rPr>
      </w:pPr>
      <w:r w:rsidDel="00000000" w:rsidR="00000000" w:rsidRPr="00000000">
        <w:br w:type="page"/>
      </w:r>
      <w:r w:rsidDel="00000000" w:rsidR="00000000" w:rsidRPr="00000000">
        <w:rPr>
          <w:rtl w:val="0"/>
        </w:rPr>
      </w:r>
    </w:p>
    <w:p w:rsidR="00000000" w:rsidDel="00000000" w:rsidP="00000000" w:rsidRDefault="00000000" w:rsidRPr="00000000" w14:paraId="000000F4">
      <w:pPr>
        <w:pStyle w:val="Heading1"/>
        <w:spacing w:line="360" w:lineRule="auto"/>
        <w:rPr/>
      </w:pPr>
      <w:bookmarkStart w:colFirst="0" w:colLast="0" w:name="_wzhhzwqicu74" w:id="27"/>
      <w:bookmarkEnd w:id="27"/>
      <w:r w:rsidDel="00000000" w:rsidR="00000000" w:rsidRPr="00000000">
        <w:rPr>
          <w:rtl w:val="0"/>
        </w:rPr>
        <w:t xml:space="preserve">References</w:t>
      </w:r>
    </w:p>
    <w:p w:rsidR="00000000" w:rsidDel="00000000" w:rsidP="00000000" w:rsidRDefault="00000000" w:rsidRPr="00000000" w14:paraId="000000F5">
      <w:pPr>
        <w:spacing w:line="360" w:lineRule="auto"/>
        <w:jc w:val="both"/>
        <w:rPr>
          <w:rFonts w:ascii="Arial" w:cs="Arial" w:eastAsia="Arial" w:hAnsi="Arial"/>
        </w:rPr>
      </w:pPr>
      <w:r w:rsidDel="00000000" w:rsidR="00000000" w:rsidRPr="00000000">
        <w:rPr>
          <w:rFonts w:ascii="Arial" w:cs="Arial" w:eastAsia="Arial" w:hAnsi="Arial"/>
          <w:rtl w:val="0"/>
        </w:rPr>
        <w:t xml:space="preserve">Ahmadov, T., Ulp, S. and Gerstlberger, W., (2024). Role of stakeholder engagement in sustainable development in Estonian small and medium-sized enterprises. </w:t>
      </w:r>
      <w:r w:rsidDel="00000000" w:rsidR="00000000" w:rsidRPr="00000000">
        <w:rPr>
          <w:rFonts w:ascii="Arial" w:cs="Arial" w:eastAsia="Arial" w:hAnsi="Arial"/>
          <w:i w:val="1"/>
          <w:iCs w:val="1"/>
          <w:rtl w:val="0"/>
        </w:rPr>
        <w:t xml:space="preserve">Green and Low-Carbon Economy</w:t>
      </w:r>
      <w:r w:rsidDel="00000000" w:rsidR="00000000" w:rsidRPr="00000000">
        <w:rPr>
          <w:rFonts w:ascii="Arial" w:cs="Arial" w:eastAsia="Arial" w:hAnsi="Arial"/>
          <w:rtl w:val="0"/>
        </w:rPr>
        <w:t xml:space="preserve">, </w:t>
      </w:r>
      <w:r w:rsidDel="00000000" w:rsidR="00000000" w:rsidRPr="00000000">
        <w:rPr>
          <w:rFonts w:ascii="Arial" w:cs="Arial" w:eastAsia="Arial" w:hAnsi="Arial"/>
          <w:i w:val="1"/>
          <w:iCs w:val="1"/>
          <w:rtl w:val="0"/>
        </w:rPr>
        <w:t xml:space="preserve">2</w:t>
      </w:r>
      <w:r w:rsidDel="00000000" w:rsidR="00000000" w:rsidRPr="00000000">
        <w:rPr>
          <w:rFonts w:ascii="Arial" w:cs="Arial" w:eastAsia="Arial" w:hAnsi="Arial"/>
          <w:rtl w:val="0"/>
        </w:rPr>
        <w:t xml:space="preserve">(4), pp.277-286.</w:t>
      </w:r>
    </w:p>
    <w:p w:rsidR="00000000" w:rsidDel="00000000" w:rsidP="00000000" w:rsidRDefault="00000000" w:rsidRPr="00000000" w14:paraId="000000F6">
      <w:pPr>
        <w:spacing w:line="360" w:lineRule="auto"/>
        <w:jc w:val="both"/>
        <w:rPr>
          <w:rFonts w:ascii="Arial" w:cs="Arial" w:eastAsia="Arial" w:hAnsi="Arial"/>
        </w:rPr>
      </w:pPr>
      <w:r w:rsidDel="00000000" w:rsidR="00000000" w:rsidRPr="00000000">
        <w:rPr>
          <w:rFonts w:ascii="Arial" w:cs="Arial" w:eastAsia="Arial" w:hAnsi="Arial"/>
          <w:rtl w:val="0"/>
        </w:rPr>
        <w:t xml:space="preserve">Akarsu, T., Shaikh, S. and Maity, M., (2025). Luxury value perceptions and consumer outcomes: A meta</w:t>
      </w:r>
      <w:r w:rsidDel="00000000" w:rsidR="00000000" w:rsidRPr="00000000">
        <w:rPr>
          <w:rFonts w:ascii="Cambria Math" w:cs="Cambria Math" w:eastAsia="Cambria Math" w:hAnsi="Cambria Math"/>
          <w:rtl w:val="0"/>
        </w:rPr>
        <w:t xml:space="preserve">‐</w:t>
      </w:r>
      <w:r w:rsidDel="00000000" w:rsidR="00000000" w:rsidRPr="00000000">
        <w:rPr>
          <w:rFonts w:ascii="Arial" w:cs="Arial" w:eastAsia="Arial" w:hAnsi="Arial"/>
          <w:rtl w:val="0"/>
        </w:rPr>
        <w:t xml:space="preserve">analysis. </w:t>
      </w:r>
      <w:r w:rsidDel="00000000" w:rsidR="00000000" w:rsidRPr="00000000">
        <w:rPr>
          <w:rFonts w:ascii="Arial" w:cs="Arial" w:eastAsia="Arial" w:hAnsi="Arial"/>
          <w:i w:val="1"/>
          <w:iCs w:val="1"/>
          <w:rtl w:val="0"/>
        </w:rPr>
        <w:t xml:space="preserve">Psychology &amp; Marketing</w:t>
      </w:r>
      <w:r w:rsidDel="00000000" w:rsidR="00000000" w:rsidRPr="00000000">
        <w:rPr>
          <w:rFonts w:ascii="Arial" w:cs="Arial" w:eastAsia="Arial" w:hAnsi="Arial"/>
          <w:rtl w:val="0"/>
        </w:rPr>
        <w:t xml:space="preserve">, </w:t>
      </w:r>
      <w:r w:rsidDel="00000000" w:rsidR="00000000" w:rsidRPr="00000000">
        <w:rPr>
          <w:rFonts w:ascii="Arial" w:cs="Arial" w:eastAsia="Arial" w:hAnsi="Arial"/>
          <w:i w:val="1"/>
          <w:iCs w:val="1"/>
          <w:rtl w:val="0"/>
        </w:rPr>
        <w:t xml:space="preserve">42</w:t>
      </w:r>
      <w:r w:rsidDel="00000000" w:rsidR="00000000" w:rsidRPr="00000000">
        <w:rPr>
          <w:rFonts w:ascii="Arial" w:cs="Arial" w:eastAsia="Arial" w:hAnsi="Arial"/>
          <w:rtl w:val="0"/>
        </w:rPr>
        <w:t xml:space="preserve">(1), pp.193-213.</w:t>
      </w:r>
    </w:p>
    <w:p w:rsidR="00000000" w:rsidDel="00000000" w:rsidP="00000000" w:rsidRDefault="00000000" w:rsidRPr="00000000" w14:paraId="000000F7">
      <w:pPr>
        <w:spacing w:line="360" w:lineRule="auto"/>
        <w:jc w:val="both"/>
        <w:rPr>
          <w:rFonts w:ascii="Arial" w:cs="Arial" w:eastAsia="Arial" w:hAnsi="Arial"/>
        </w:rPr>
      </w:pPr>
      <w:r w:rsidDel="00000000" w:rsidR="00000000" w:rsidRPr="00000000">
        <w:rPr>
          <w:rFonts w:ascii="Arial" w:cs="Arial" w:eastAsia="Arial" w:hAnsi="Arial"/>
          <w:rtl w:val="0"/>
        </w:rPr>
        <w:t xml:space="preserve">Ali, M., Niu, X. and Rubel, M.R.B., (2024). The influence of transformational and transactional leadership on employee retention: mediating role of employee engagement. </w:t>
      </w:r>
      <w:r w:rsidDel="00000000" w:rsidR="00000000" w:rsidRPr="00000000">
        <w:rPr>
          <w:rFonts w:ascii="Arial" w:cs="Arial" w:eastAsia="Arial" w:hAnsi="Arial"/>
          <w:i w:val="1"/>
          <w:iCs w:val="1"/>
          <w:rtl w:val="0"/>
        </w:rPr>
        <w:t xml:space="preserve">Management Matters</w:t>
      </w:r>
      <w:r w:rsidDel="00000000" w:rsidR="00000000" w:rsidRPr="00000000">
        <w:rPr>
          <w:rFonts w:ascii="Arial" w:cs="Arial" w:eastAsia="Arial" w:hAnsi="Arial"/>
          <w:rtl w:val="0"/>
        </w:rPr>
        <w:t xml:space="preserve">, </w:t>
      </w:r>
      <w:r w:rsidDel="00000000" w:rsidR="00000000" w:rsidRPr="00000000">
        <w:rPr>
          <w:rFonts w:ascii="Arial" w:cs="Arial" w:eastAsia="Arial" w:hAnsi="Arial"/>
          <w:i w:val="1"/>
          <w:iCs w:val="1"/>
          <w:rtl w:val="0"/>
        </w:rPr>
        <w:t xml:space="preserve">21</w:t>
      </w:r>
      <w:r w:rsidDel="00000000" w:rsidR="00000000" w:rsidRPr="00000000">
        <w:rPr>
          <w:rFonts w:ascii="Arial" w:cs="Arial" w:eastAsia="Arial" w:hAnsi="Arial"/>
          <w:rtl w:val="0"/>
        </w:rPr>
        <w:t xml:space="preserve">(2), pp.164-190.</w:t>
      </w:r>
    </w:p>
    <w:p w:rsidR="00000000" w:rsidDel="00000000" w:rsidP="00000000" w:rsidRDefault="00000000" w:rsidRPr="00000000" w14:paraId="000000F8">
      <w:pPr>
        <w:spacing w:line="360" w:lineRule="auto"/>
        <w:jc w:val="both"/>
        <w:rPr>
          <w:rFonts w:ascii="Arial" w:cs="Arial" w:eastAsia="Arial" w:hAnsi="Arial"/>
        </w:rPr>
      </w:pPr>
      <w:r w:rsidDel="00000000" w:rsidR="00000000" w:rsidRPr="00000000">
        <w:rPr>
          <w:rFonts w:ascii="Arial" w:cs="Arial" w:eastAsia="Arial" w:hAnsi="Arial"/>
          <w:rtl w:val="0"/>
        </w:rPr>
        <w:t xml:space="preserve">Aqa.org.uk (2024). </w:t>
      </w:r>
      <w:r w:rsidDel="00000000" w:rsidR="00000000" w:rsidRPr="00000000">
        <w:rPr>
          <w:rFonts w:ascii="Arial" w:cs="Arial" w:eastAsia="Arial" w:hAnsi="Arial"/>
          <w:i w:val="1"/>
          <w:iCs w:val="1"/>
          <w:rtl w:val="0"/>
        </w:rPr>
        <w:t xml:space="preserve">Teaching guide: Bartlett and ghoshal’s international, Multi-Domestic, transnational and global strategies</w:t>
      </w:r>
      <w:r w:rsidDel="00000000" w:rsidR="00000000" w:rsidRPr="00000000">
        <w:rPr>
          <w:rFonts w:ascii="Arial" w:cs="Arial" w:eastAsia="Arial" w:hAnsi="Arial"/>
          <w:rtl w:val="0"/>
        </w:rPr>
        <w:t xml:space="preserve">. [online] </w:t>
      </w:r>
      <w:r w:rsidDel="00000000" w:rsidR="00000000" w:rsidRPr="00000000">
        <w:rPr>
          <w:rFonts w:ascii="Arial" w:cs="Arial" w:eastAsia="Arial" w:hAnsi="Arial"/>
          <w:i w:val="1"/>
          <w:iCs w:val="1"/>
          <w:rtl w:val="0"/>
        </w:rPr>
        <w:t xml:space="preserve">Aqa.org.uk</w:t>
      </w:r>
      <w:r w:rsidDel="00000000" w:rsidR="00000000" w:rsidRPr="00000000">
        <w:rPr>
          <w:rFonts w:ascii="Arial" w:cs="Arial" w:eastAsia="Arial" w:hAnsi="Arial"/>
          <w:rtl w:val="0"/>
        </w:rPr>
        <w:t xml:space="preserve">. Available at: </w:t>
      </w:r>
      <w:hyperlink r:id="rId21">
        <w:r w:rsidDel="00000000" w:rsidR="00000000" w:rsidRPr="00000000">
          <w:rPr>
            <w:rFonts w:ascii="Arial" w:cs="Arial" w:eastAsia="Arial" w:hAnsi="Arial"/>
            <w:color w:val="467886"/>
            <w:u w:val="single"/>
            <w:rtl w:val="0"/>
          </w:rPr>
          <w:t xml:space="preserve">https://www.aqa.org.uk/resources/business/as-and-a-level/business-7131-7132/teach/teaching-guide-bartlett-and-ghoshals-international-multi-domestic-transnational-and-global-strategies</w:t>
        </w:r>
      </w:hyperlink>
      <w:r w:rsidDel="00000000" w:rsidR="00000000" w:rsidRPr="00000000">
        <w:rPr>
          <w:rFonts w:ascii="Arial" w:cs="Arial" w:eastAsia="Arial" w:hAnsi="Arial"/>
          <w:rtl w:val="0"/>
        </w:rPr>
        <w:t xml:space="preserve"> [Accessed 24 July 2026].</w:t>
      </w:r>
    </w:p>
    <w:p w:rsidR="00000000" w:rsidDel="00000000" w:rsidP="00000000" w:rsidRDefault="00000000" w:rsidRPr="00000000" w14:paraId="000000F9">
      <w:pPr>
        <w:spacing w:line="360" w:lineRule="auto"/>
        <w:jc w:val="both"/>
        <w:rPr>
          <w:rFonts w:ascii="Arial" w:cs="Arial" w:eastAsia="Arial" w:hAnsi="Arial"/>
        </w:rPr>
      </w:pPr>
      <w:r w:rsidDel="00000000" w:rsidR="00000000" w:rsidRPr="00000000">
        <w:rPr>
          <w:rFonts w:ascii="Arial" w:cs="Arial" w:eastAsia="Arial" w:hAnsi="Arial"/>
          <w:rtl w:val="0"/>
        </w:rPr>
        <w:t xml:space="preserve">Babič, S. and Voolaid, P., (2023). A sociocultural view of Estonian and Slovenian proverbs on alcohol and drinking. </w:t>
      </w:r>
      <w:r w:rsidDel="00000000" w:rsidR="00000000" w:rsidRPr="00000000">
        <w:rPr>
          <w:rFonts w:ascii="Arial" w:cs="Arial" w:eastAsia="Arial" w:hAnsi="Arial"/>
          <w:i w:val="1"/>
          <w:iCs w:val="1"/>
          <w:rtl w:val="0"/>
        </w:rPr>
        <w:t xml:space="preserve">Folklore</w:t>
      </w:r>
      <w:r w:rsidDel="00000000" w:rsidR="00000000" w:rsidRPr="00000000">
        <w:rPr>
          <w:rFonts w:ascii="Arial" w:cs="Arial" w:eastAsia="Arial" w:hAnsi="Arial"/>
          <w:rtl w:val="0"/>
        </w:rPr>
        <w:t xml:space="preserve">, </w:t>
      </w:r>
      <w:r w:rsidDel="00000000" w:rsidR="00000000" w:rsidRPr="00000000">
        <w:rPr>
          <w:rFonts w:ascii="Arial" w:cs="Arial" w:eastAsia="Arial" w:hAnsi="Arial"/>
          <w:i w:val="1"/>
          <w:iCs w:val="1"/>
          <w:rtl w:val="0"/>
        </w:rPr>
        <w:t xml:space="preserve">134</w:t>
      </w:r>
      <w:r w:rsidDel="00000000" w:rsidR="00000000" w:rsidRPr="00000000">
        <w:rPr>
          <w:rFonts w:ascii="Arial" w:cs="Arial" w:eastAsia="Arial" w:hAnsi="Arial"/>
          <w:rtl w:val="0"/>
        </w:rPr>
        <w:t xml:space="preserve">(3), pp.370-394.</w:t>
      </w:r>
    </w:p>
    <w:p w:rsidR="00000000" w:rsidDel="00000000" w:rsidP="00000000" w:rsidRDefault="00000000" w:rsidRPr="00000000" w14:paraId="000000FA">
      <w:pPr>
        <w:spacing w:line="360" w:lineRule="auto"/>
        <w:jc w:val="both"/>
        <w:rPr>
          <w:rFonts w:ascii="Arial" w:cs="Arial" w:eastAsia="Arial" w:hAnsi="Arial"/>
        </w:rPr>
      </w:pPr>
      <w:r w:rsidDel="00000000" w:rsidR="00000000" w:rsidRPr="00000000">
        <w:rPr>
          <w:rFonts w:ascii="Arial" w:cs="Arial" w:eastAsia="Arial" w:hAnsi="Arial"/>
          <w:rtl w:val="0"/>
        </w:rPr>
        <w:t xml:space="preserve">Babič, S. and Voolaid, P., (2025). The Elderly in Proverbs: Comparative Analysis of Estonian and Slovene Proverbs. </w:t>
      </w:r>
      <w:r w:rsidDel="00000000" w:rsidR="00000000" w:rsidRPr="00000000">
        <w:rPr>
          <w:rFonts w:ascii="Arial" w:cs="Arial" w:eastAsia="Arial" w:hAnsi="Arial"/>
          <w:i w:val="1"/>
          <w:iCs w:val="1"/>
          <w:rtl w:val="0"/>
        </w:rPr>
        <w:t xml:space="preserve">Linguistica</w:t>
      </w:r>
      <w:r w:rsidDel="00000000" w:rsidR="00000000" w:rsidRPr="00000000">
        <w:rPr>
          <w:rFonts w:ascii="Arial" w:cs="Arial" w:eastAsia="Arial" w:hAnsi="Arial"/>
          <w:rtl w:val="0"/>
        </w:rPr>
        <w:t xml:space="preserve">, </w:t>
      </w:r>
      <w:r w:rsidDel="00000000" w:rsidR="00000000" w:rsidRPr="00000000">
        <w:rPr>
          <w:rFonts w:ascii="Arial" w:cs="Arial" w:eastAsia="Arial" w:hAnsi="Arial"/>
          <w:i w:val="1"/>
          <w:iCs w:val="1"/>
          <w:rtl w:val="0"/>
        </w:rPr>
        <w:t xml:space="preserve">65</w:t>
      </w:r>
      <w:r w:rsidDel="00000000" w:rsidR="00000000" w:rsidRPr="00000000">
        <w:rPr>
          <w:rFonts w:ascii="Arial" w:cs="Arial" w:eastAsia="Arial" w:hAnsi="Arial"/>
          <w:rtl w:val="0"/>
        </w:rPr>
        <w:t xml:space="preserve">(1), pp.11-25.</w:t>
      </w:r>
    </w:p>
    <w:p w:rsidR="00000000" w:rsidDel="00000000" w:rsidP="00000000" w:rsidRDefault="00000000" w:rsidRPr="00000000" w14:paraId="000000FB">
      <w:pPr>
        <w:spacing w:line="360" w:lineRule="auto"/>
        <w:jc w:val="both"/>
        <w:rPr>
          <w:rFonts w:ascii="Arial" w:cs="Arial" w:eastAsia="Arial" w:hAnsi="Arial"/>
        </w:rPr>
      </w:pPr>
      <w:r w:rsidDel="00000000" w:rsidR="00000000" w:rsidRPr="00000000">
        <w:rPr>
          <w:rFonts w:ascii="Arial" w:cs="Arial" w:eastAsia="Arial" w:hAnsi="Arial"/>
          <w:rtl w:val="0"/>
        </w:rPr>
        <w:t xml:space="preserve">Butt, A., Ahmad, H., Ali, F., Muzaffar, A. and Shafique, M.N., (2023). Engaging the customer with augmented reality and employee services to enhance equity and loyalty. </w:t>
      </w:r>
      <w:r w:rsidDel="00000000" w:rsidR="00000000" w:rsidRPr="00000000">
        <w:rPr>
          <w:rFonts w:ascii="Arial" w:cs="Arial" w:eastAsia="Arial" w:hAnsi="Arial"/>
          <w:i w:val="1"/>
          <w:iCs w:val="1"/>
          <w:rtl w:val="0"/>
        </w:rPr>
        <w:t xml:space="preserve">International Journal of Retail &amp; Distribution Management</w:t>
      </w:r>
      <w:r w:rsidDel="00000000" w:rsidR="00000000" w:rsidRPr="00000000">
        <w:rPr>
          <w:rFonts w:ascii="Arial" w:cs="Arial" w:eastAsia="Arial" w:hAnsi="Arial"/>
          <w:rtl w:val="0"/>
        </w:rPr>
        <w:t xml:space="preserve">, </w:t>
      </w:r>
      <w:r w:rsidDel="00000000" w:rsidR="00000000" w:rsidRPr="00000000">
        <w:rPr>
          <w:rFonts w:ascii="Arial" w:cs="Arial" w:eastAsia="Arial" w:hAnsi="Arial"/>
          <w:i w:val="1"/>
          <w:iCs w:val="1"/>
          <w:rtl w:val="0"/>
        </w:rPr>
        <w:t xml:space="preserve">51</w:t>
      </w:r>
      <w:r w:rsidDel="00000000" w:rsidR="00000000" w:rsidRPr="00000000">
        <w:rPr>
          <w:rFonts w:ascii="Arial" w:cs="Arial" w:eastAsia="Arial" w:hAnsi="Arial"/>
          <w:rtl w:val="0"/>
        </w:rPr>
        <w:t xml:space="preserve">(5), pp.629-652.</w:t>
      </w:r>
    </w:p>
    <w:p w:rsidR="00000000" w:rsidDel="00000000" w:rsidP="00000000" w:rsidRDefault="00000000" w:rsidRPr="00000000" w14:paraId="000000FC">
      <w:pPr>
        <w:spacing w:line="360" w:lineRule="auto"/>
        <w:jc w:val="both"/>
        <w:rPr>
          <w:rFonts w:ascii="Arial" w:cs="Arial" w:eastAsia="Arial" w:hAnsi="Arial"/>
        </w:rPr>
      </w:pPr>
      <w:r w:rsidDel="00000000" w:rsidR="00000000" w:rsidRPr="00000000">
        <w:rPr>
          <w:rFonts w:ascii="Arial" w:cs="Arial" w:eastAsia="Arial" w:hAnsi="Arial"/>
          <w:rtl w:val="0"/>
        </w:rPr>
        <w:t xml:space="preserve">Ceicdata.com (2026). </w:t>
      </w:r>
      <w:r w:rsidDel="00000000" w:rsidR="00000000" w:rsidRPr="00000000">
        <w:rPr>
          <w:rFonts w:ascii="Arial" w:cs="Arial" w:eastAsia="Arial" w:hAnsi="Arial"/>
          <w:i w:val="1"/>
          <w:iCs w:val="1"/>
          <w:rtl w:val="0"/>
        </w:rPr>
        <w:t xml:space="preserve">Estonia GDP per capita, 1993 – 2022 | CEIC Data</w:t>
      </w:r>
      <w:r w:rsidDel="00000000" w:rsidR="00000000" w:rsidRPr="00000000">
        <w:rPr>
          <w:rFonts w:ascii="Arial" w:cs="Arial" w:eastAsia="Arial" w:hAnsi="Arial"/>
          <w:rtl w:val="0"/>
        </w:rPr>
        <w:t xml:space="preserve">. [online] </w:t>
      </w:r>
      <w:r w:rsidDel="00000000" w:rsidR="00000000" w:rsidRPr="00000000">
        <w:rPr>
          <w:rFonts w:ascii="Arial" w:cs="Arial" w:eastAsia="Arial" w:hAnsi="Arial"/>
          <w:i w:val="1"/>
          <w:iCs w:val="1"/>
          <w:rtl w:val="0"/>
        </w:rPr>
        <w:t xml:space="preserve">www.ceicdata.com</w:t>
      </w:r>
      <w:r w:rsidDel="00000000" w:rsidR="00000000" w:rsidRPr="00000000">
        <w:rPr>
          <w:rFonts w:ascii="Arial" w:cs="Arial" w:eastAsia="Arial" w:hAnsi="Arial"/>
          <w:rtl w:val="0"/>
        </w:rPr>
        <w:t xml:space="preserve">. Available at: </w:t>
      </w:r>
      <w:hyperlink r:id="rId22">
        <w:r w:rsidDel="00000000" w:rsidR="00000000" w:rsidRPr="00000000">
          <w:rPr>
            <w:rFonts w:ascii="Arial" w:cs="Arial" w:eastAsia="Arial" w:hAnsi="Arial"/>
            <w:color w:val="0000ff"/>
            <w:u w:val="single"/>
            <w:rtl w:val="0"/>
          </w:rPr>
          <w:t xml:space="preserve">https://www.ceicdata.com/en/indicator/estonia/gdp-per-capita</w:t>
        </w:r>
      </w:hyperlink>
      <w:r w:rsidDel="00000000" w:rsidR="00000000" w:rsidRPr="00000000">
        <w:rPr>
          <w:rFonts w:ascii="Arial" w:cs="Arial" w:eastAsia="Arial" w:hAnsi="Arial"/>
          <w:rtl w:val="0"/>
        </w:rPr>
        <w:t xml:space="preserve"> [Accessed 1 Aug. 2026].</w:t>
      </w:r>
    </w:p>
    <w:p w:rsidR="00000000" w:rsidDel="00000000" w:rsidP="00000000" w:rsidRDefault="00000000" w:rsidRPr="00000000" w14:paraId="000000FD">
      <w:pPr>
        <w:spacing w:line="360" w:lineRule="auto"/>
        <w:jc w:val="both"/>
        <w:rPr>
          <w:rFonts w:ascii="Arial" w:cs="Arial" w:eastAsia="Arial" w:hAnsi="Arial"/>
        </w:rPr>
      </w:pPr>
      <w:r w:rsidDel="00000000" w:rsidR="00000000" w:rsidRPr="00000000">
        <w:rPr>
          <w:rFonts w:ascii="Arial" w:cs="Arial" w:eastAsia="Arial" w:hAnsi="Arial"/>
          <w:rtl w:val="0"/>
        </w:rPr>
        <w:t xml:space="preserve">Corporatefinanceinstitute.com (2023). </w:t>
      </w:r>
      <w:r w:rsidDel="00000000" w:rsidR="00000000" w:rsidRPr="00000000">
        <w:rPr>
          <w:rFonts w:ascii="Arial" w:cs="Arial" w:eastAsia="Arial" w:hAnsi="Arial"/>
          <w:i w:val="1"/>
          <w:iCs w:val="1"/>
          <w:rtl w:val="0"/>
        </w:rPr>
        <w:t xml:space="preserve">Eclectic paradigm</w:t>
      </w:r>
      <w:r w:rsidDel="00000000" w:rsidR="00000000" w:rsidRPr="00000000">
        <w:rPr>
          <w:rFonts w:ascii="Arial" w:cs="Arial" w:eastAsia="Arial" w:hAnsi="Arial"/>
          <w:rtl w:val="0"/>
        </w:rPr>
        <w:t xml:space="preserve">. [online] </w:t>
      </w:r>
      <w:r w:rsidDel="00000000" w:rsidR="00000000" w:rsidRPr="00000000">
        <w:rPr>
          <w:rFonts w:ascii="Arial" w:cs="Arial" w:eastAsia="Arial" w:hAnsi="Arial"/>
          <w:i w:val="1"/>
          <w:iCs w:val="1"/>
          <w:rtl w:val="0"/>
        </w:rPr>
        <w:t xml:space="preserve">Corporate Finance Institute</w:t>
      </w:r>
      <w:r w:rsidDel="00000000" w:rsidR="00000000" w:rsidRPr="00000000">
        <w:rPr>
          <w:rFonts w:ascii="Arial" w:cs="Arial" w:eastAsia="Arial" w:hAnsi="Arial"/>
          <w:rtl w:val="0"/>
        </w:rPr>
        <w:t xml:space="preserve">. Available at: </w:t>
      </w:r>
      <w:hyperlink r:id="rId23">
        <w:r w:rsidDel="00000000" w:rsidR="00000000" w:rsidRPr="00000000">
          <w:rPr>
            <w:rFonts w:ascii="Arial" w:cs="Arial" w:eastAsia="Arial" w:hAnsi="Arial"/>
            <w:color w:val="0000ff"/>
            <w:u w:val="single"/>
            <w:rtl w:val="0"/>
          </w:rPr>
          <w:t xml:space="preserve">https://corporatefinanceinstitute.com/resources/management/eclectic-paradigm/</w:t>
        </w:r>
      </w:hyperlink>
      <w:r w:rsidDel="00000000" w:rsidR="00000000" w:rsidRPr="00000000">
        <w:rPr>
          <w:rFonts w:ascii="Arial" w:cs="Arial" w:eastAsia="Arial" w:hAnsi="Arial"/>
          <w:rtl w:val="0"/>
        </w:rPr>
        <w:t xml:space="preserve"> [Accessed 1 Aug. 2026].</w:t>
      </w:r>
    </w:p>
    <w:p w:rsidR="00000000" w:rsidDel="00000000" w:rsidP="00000000" w:rsidRDefault="00000000" w:rsidRPr="00000000" w14:paraId="000000FE">
      <w:pPr>
        <w:spacing w:line="360" w:lineRule="auto"/>
        <w:jc w:val="both"/>
        <w:rPr>
          <w:rFonts w:ascii="Arial" w:cs="Arial" w:eastAsia="Arial" w:hAnsi="Arial"/>
        </w:rPr>
      </w:pPr>
      <w:r w:rsidDel="00000000" w:rsidR="00000000" w:rsidRPr="00000000">
        <w:rPr>
          <w:rFonts w:ascii="Arial" w:cs="Arial" w:eastAsia="Arial" w:hAnsi="Arial"/>
          <w:rtl w:val="0"/>
        </w:rPr>
        <w:t xml:space="preserve">Dae Jong, K.I.M. and Cha, S.S., (2025). Digital Transformation in Retail: A Systematic Review on Omnichannel, AI, and Big Data. </w:t>
      </w:r>
      <w:r w:rsidDel="00000000" w:rsidR="00000000" w:rsidRPr="00000000">
        <w:rPr>
          <w:rFonts w:ascii="Arial" w:cs="Arial" w:eastAsia="Arial" w:hAnsi="Arial"/>
          <w:i w:val="1"/>
          <w:iCs w:val="1"/>
          <w:rtl w:val="0"/>
        </w:rPr>
        <w:t xml:space="preserve">Journal of Distribution Science</w:t>
      </w:r>
      <w:r w:rsidDel="00000000" w:rsidR="00000000" w:rsidRPr="00000000">
        <w:rPr>
          <w:rFonts w:ascii="Arial" w:cs="Arial" w:eastAsia="Arial" w:hAnsi="Arial"/>
          <w:rtl w:val="0"/>
        </w:rPr>
        <w:t xml:space="preserve">, </w:t>
      </w:r>
      <w:r w:rsidDel="00000000" w:rsidR="00000000" w:rsidRPr="00000000">
        <w:rPr>
          <w:rFonts w:ascii="Arial" w:cs="Arial" w:eastAsia="Arial" w:hAnsi="Arial"/>
          <w:i w:val="1"/>
          <w:iCs w:val="1"/>
          <w:rtl w:val="0"/>
        </w:rPr>
        <w:t xml:space="preserve">23</w:t>
      </w:r>
      <w:r w:rsidDel="00000000" w:rsidR="00000000" w:rsidRPr="00000000">
        <w:rPr>
          <w:rFonts w:ascii="Arial" w:cs="Arial" w:eastAsia="Arial" w:hAnsi="Arial"/>
          <w:rtl w:val="0"/>
        </w:rPr>
        <w:t xml:space="preserve">(6), pp.111-124.</w:t>
      </w:r>
    </w:p>
    <w:p w:rsidR="00000000" w:rsidDel="00000000" w:rsidP="00000000" w:rsidRDefault="00000000" w:rsidRPr="00000000" w14:paraId="000000FF">
      <w:pPr>
        <w:spacing w:line="360" w:lineRule="auto"/>
        <w:jc w:val="both"/>
        <w:rPr>
          <w:rFonts w:ascii="Arial" w:cs="Arial" w:eastAsia="Arial" w:hAnsi="Arial"/>
        </w:rPr>
      </w:pPr>
      <w:r w:rsidDel="00000000" w:rsidR="00000000" w:rsidRPr="00000000">
        <w:rPr>
          <w:rFonts w:ascii="Arial" w:cs="Arial" w:eastAsia="Arial" w:hAnsi="Arial"/>
          <w:rtl w:val="0"/>
        </w:rPr>
        <w:t xml:space="preserve">Data.worldbank.org (2026). </w:t>
      </w:r>
      <w:r w:rsidDel="00000000" w:rsidR="00000000" w:rsidRPr="00000000">
        <w:rPr>
          <w:rFonts w:ascii="Arial" w:cs="Arial" w:eastAsia="Arial" w:hAnsi="Arial"/>
          <w:i w:val="1"/>
          <w:iCs w:val="1"/>
          <w:rtl w:val="0"/>
        </w:rPr>
        <w:t xml:space="preserve">Gdp (current us$) - Estonia | Data</w:t>
      </w:r>
      <w:r w:rsidDel="00000000" w:rsidR="00000000" w:rsidRPr="00000000">
        <w:rPr>
          <w:rFonts w:ascii="Arial" w:cs="Arial" w:eastAsia="Arial" w:hAnsi="Arial"/>
          <w:rtl w:val="0"/>
        </w:rPr>
        <w:t xml:space="preserve">. [online] </w:t>
      </w:r>
      <w:r w:rsidDel="00000000" w:rsidR="00000000" w:rsidRPr="00000000">
        <w:rPr>
          <w:rFonts w:ascii="Arial" w:cs="Arial" w:eastAsia="Arial" w:hAnsi="Arial"/>
          <w:i w:val="1"/>
          <w:iCs w:val="1"/>
          <w:rtl w:val="0"/>
        </w:rPr>
        <w:t xml:space="preserve">data.worldbank.org</w:t>
      </w:r>
      <w:r w:rsidDel="00000000" w:rsidR="00000000" w:rsidRPr="00000000">
        <w:rPr>
          <w:rFonts w:ascii="Arial" w:cs="Arial" w:eastAsia="Arial" w:hAnsi="Arial"/>
          <w:rtl w:val="0"/>
        </w:rPr>
        <w:t xml:space="preserve">. Available at: </w:t>
      </w:r>
      <w:hyperlink r:id="rId24">
        <w:r w:rsidDel="00000000" w:rsidR="00000000" w:rsidRPr="00000000">
          <w:rPr>
            <w:rFonts w:ascii="Arial" w:cs="Arial" w:eastAsia="Arial" w:hAnsi="Arial"/>
            <w:color w:val="0000ff"/>
            <w:u w:val="single"/>
            <w:rtl w:val="0"/>
          </w:rPr>
          <w:t xml:space="preserve">https://data.worldbank.org/indicator/NY.GDP.MKTP.CD?locations=EE</w:t>
        </w:r>
      </w:hyperlink>
      <w:r w:rsidDel="00000000" w:rsidR="00000000" w:rsidRPr="00000000">
        <w:rPr>
          <w:rFonts w:ascii="Arial" w:cs="Arial" w:eastAsia="Arial" w:hAnsi="Arial"/>
          <w:rtl w:val="0"/>
        </w:rPr>
        <w:t xml:space="preserve"> [Accessed 1 Aug. 2026].</w:t>
      </w:r>
    </w:p>
    <w:p w:rsidR="00000000" w:rsidDel="00000000" w:rsidP="00000000" w:rsidRDefault="00000000" w:rsidRPr="00000000" w14:paraId="00000100">
      <w:pPr>
        <w:spacing w:line="360" w:lineRule="auto"/>
        <w:jc w:val="both"/>
        <w:rPr>
          <w:rFonts w:ascii="Arial" w:cs="Arial" w:eastAsia="Arial" w:hAnsi="Arial"/>
        </w:rPr>
      </w:pPr>
      <w:r w:rsidDel="00000000" w:rsidR="00000000" w:rsidRPr="00000000">
        <w:rPr>
          <w:rFonts w:ascii="Arial" w:cs="Arial" w:eastAsia="Arial" w:hAnsi="Arial"/>
          <w:rtl w:val="0"/>
        </w:rPr>
        <w:t xml:space="preserve">Del Greco, A., Bani, M., Rampoldi, G., Ardenghi, S., Galli, P., Strepparava, M.G. and Russo, S., (2024). Re-evaluating beauty: Attitudes and perceptions of eco-friendly packaging in beauty care products-A systematic review. </w:t>
      </w:r>
      <w:r w:rsidDel="00000000" w:rsidR="00000000" w:rsidRPr="00000000">
        <w:rPr>
          <w:rFonts w:ascii="Arial" w:cs="Arial" w:eastAsia="Arial" w:hAnsi="Arial"/>
          <w:i w:val="1"/>
          <w:iCs w:val="1"/>
          <w:rtl w:val="0"/>
        </w:rPr>
        <w:t xml:space="preserve">Sustainable Production and Consumption</w:t>
      </w:r>
      <w:r w:rsidDel="00000000" w:rsidR="00000000" w:rsidRPr="00000000">
        <w:rPr>
          <w:rFonts w:ascii="Arial" w:cs="Arial" w:eastAsia="Arial" w:hAnsi="Arial"/>
          <w:rtl w:val="0"/>
        </w:rPr>
        <w:t xml:space="preserve">, </w:t>
      </w:r>
      <w:r w:rsidDel="00000000" w:rsidR="00000000" w:rsidRPr="00000000">
        <w:rPr>
          <w:rFonts w:ascii="Arial" w:cs="Arial" w:eastAsia="Arial" w:hAnsi="Arial"/>
          <w:i w:val="1"/>
          <w:iCs w:val="1"/>
          <w:rtl w:val="0"/>
        </w:rPr>
        <w:t xml:space="preserve">52</w:t>
      </w:r>
      <w:r w:rsidDel="00000000" w:rsidR="00000000" w:rsidRPr="00000000">
        <w:rPr>
          <w:rFonts w:ascii="Arial" w:cs="Arial" w:eastAsia="Arial" w:hAnsi="Arial"/>
          <w:rtl w:val="0"/>
        </w:rPr>
        <w:t xml:space="preserve">, pp.458-468.</w:t>
      </w:r>
    </w:p>
    <w:p w:rsidR="00000000" w:rsidDel="00000000" w:rsidP="00000000" w:rsidRDefault="00000000" w:rsidRPr="00000000" w14:paraId="00000101">
      <w:pPr>
        <w:spacing w:line="360" w:lineRule="auto"/>
        <w:jc w:val="both"/>
        <w:rPr>
          <w:rFonts w:ascii="Arial" w:cs="Arial" w:eastAsia="Arial" w:hAnsi="Arial"/>
        </w:rPr>
      </w:pPr>
      <w:r w:rsidDel="00000000" w:rsidR="00000000" w:rsidRPr="00000000">
        <w:rPr>
          <w:rFonts w:ascii="Arial" w:cs="Arial" w:eastAsia="Arial" w:hAnsi="Arial"/>
          <w:rtl w:val="0"/>
        </w:rPr>
        <w:t xml:space="preserve">Deng, K., (2025). Capital Structure Optimization of Beauty Brands in International Market Expansion: The Integration of Financing Options and Market Entry Strategies. In </w:t>
      </w:r>
      <w:r w:rsidDel="00000000" w:rsidR="00000000" w:rsidRPr="00000000">
        <w:rPr>
          <w:rFonts w:ascii="Arial" w:cs="Arial" w:eastAsia="Arial" w:hAnsi="Arial"/>
          <w:i w:val="1"/>
          <w:iCs w:val="1"/>
          <w:rtl w:val="0"/>
        </w:rPr>
        <w:t xml:space="preserve">SHS Web of Conferences</w:t>
      </w:r>
      <w:r w:rsidDel="00000000" w:rsidR="00000000" w:rsidRPr="00000000">
        <w:rPr>
          <w:rFonts w:ascii="Arial" w:cs="Arial" w:eastAsia="Arial" w:hAnsi="Arial"/>
          <w:rtl w:val="0"/>
        </w:rPr>
        <w:t xml:space="preserve"> (Vol. 218, p. 01024). EDP Sciences.</w:t>
      </w:r>
    </w:p>
    <w:p w:rsidR="00000000" w:rsidDel="00000000" w:rsidP="00000000" w:rsidRDefault="00000000" w:rsidRPr="00000000" w14:paraId="00000102">
      <w:pPr>
        <w:spacing w:line="360" w:lineRule="auto"/>
        <w:jc w:val="both"/>
        <w:rPr>
          <w:rFonts w:ascii="Arial" w:cs="Arial" w:eastAsia="Arial" w:hAnsi="Arial"/>
        </w:rPr>
      </w:pPr>
      <w:r w:rsidDel="00000000" w:rsidR="00000000" w:rsidRPr="00000000">
        <w:rPr>
          <w:rFonts w:ascii="Arial" w:cs="Arial" w:eastAsia="Arial" w:hAnsi="Arial"/>
          <w:rtl w:val="0"/>
        </w:rPr>
        <w:t xml:space="preserve">Deng, W., (2026). Revisiting the Role of Gender and Beauty in Entrepreneurship: A Large-Scale Conceptual Replication. </w:t>
      </w:r>
      <w:r w:rsidDel="00000000" w:rsidR="00000000" w:rsidRPr="00000000">
        <w:rPr>
          <w:rFonts w:ascii="Arial" w:cs="Arial" w:eastAsia="Arial" w:hAnsi="Arial"/>
          <w:i w:val="1"/>
          <w:iCs w:val="1"/>
          <w:rtl w:val="0"/>
        </w:rPr>
        <w:t xml:space="preserve">Entrepreneurship Theory and Practice</w:t>
      </w:r>
      <w:r w:rsidDel="00000000" w:rsidR="00000000" w:rsidRPr="00000000">
        <w:rPr>
          <w:rFonts w:ascii="Arial" w:cs="Arial" w:eastAsia="Arial" w:hAnsi="Arial"/>
          <w:rtl w:val="0"/>
        </w:rPr>
        <w:t xml:space="preserve">, p.10422587251382870.</w:t>
      </w:r>
    </w:p>
    <w:p w:rsidR="00000000" w:rsidDel="00000000" w:rsidP="00000000" w:rsidRDefault="00000000" w:rsidRPr="00000000" w14:paraId="00000103">
      <w:pPr>
        <w:spacing w:line="360" w:lineRule="auto"/>
        <w:jc w:val="both"/>
        <w:rPr>
          <w:rFonts w:ascii="Arial" w:cs="Arial" w:eastAsia="Arial" w:hAnsi="Arial"/>
        </w:rPr>
      </w:pPr>
      <w:r w:rsidDel="00000000" w:rsidR="00000000" w:rsidRPr="00000000">
        <w:rPr>
          <w:rFonts w:ascii="Arial" w:cs="Arial" w:eastAsia="Arial" w:hAnsi="Arial"/>
          <w:rtl w:val="0"/>
        </w:rPr>
        <w:t xml:space="preserve">Dewi, N.P., Nurhatisyah, N., Elkarima, N. and Pawar, A., (2025). Transformational Leadership, Digital Competence, and Employee Performance: Examining the Mediating Role of Self-Efficacy and the Moderating Influence of Perceived Organizational Support. </w:t>
      </w:r>
      <w:r w:rsidDel="00000000" w:rsidR="00000000" w:rsidRPr="00000000">
        <w:rPr>
          <w:rFonts w:ascii="Arial" w:cs="Arial" w:eastAsia="Arial" w:hAnsi="Arial"/>
          <w:i w:val="1"/>
          <w:iCs w:val="1"/>
          <w:rtl w:val="0"/>
        </w:rPr>
        <w:t xml:space="preserve">Jurnal Manajemen Bisnis</w:t>
      </w:r>
      <w:r w:rsidDel="00000000" w:rsidR="00000000" w:rsidRPr="00000000">
        <w:rPr>
          <w:rFonts w:ascii="Arial" w:cs="Arial" w:eastAsia="Arial" w:hAnsi="Arial"/>
          <w:rtl w:val="0"/>
        </w:rPr>
        <w:t xml:space="preserve">, </w:t>
      </w:r>
      <w:r w:rsidDel="00000000" w:rsidR="00000000" w:rsidRPr="00000000">
        <w:rPr>
          <w:rFonts w:ascii="Arial" w:cs="Arial" w:eastAsia="Arial" w:hAnsi="Arial"/>
          <w:i w:val="1"/>
          <w:iCs w:val="1"/>
          <w:rtl w:val="0"/>
        </w:rPr>
        <w:t xml:space="preserve">16</w:t>
      </w:r>
      <w:r w:rsidDel="00000000" w:rsidR="00000000" w:rsidRPr="00000000">
        <w:rPr>
          <w:rFonts w:ascii="Arial" w:cs="Arial" w:eastAsia="Arial" w:hAnsi="Arial"/>
          <w:rtl w:val="0"/>
        </w:rPr>
        <w:t xml:space="preserve">(1), pp.47-72.</w:t>
      </w:r>
    </w:p>
    <w:p w:rsidR="00000000" w:rsidDel="00000000" w:rsidP="00000000" w:rsidRDefault="00000000" w:rsidRPr="00000000" w14:paraId="00000104">
      <w:pPr>
        <w:spacing w:line="360" w:lineRule="auto"/>
        <w:jc w:val="both"/>
        <w:rPr>
          <w:rFonts w:ascii="Arial" w:cs="Arial" w:eastAsia="Arial" w:hAnsi="Arial"/>
        </w:rPr>
      </w:pPr>
      <w:r w:rsidDel="00000000" w:rsidR="00000000" w:rsidRPr="00000000">
        <w:rPr>
          <w:rFonts w:ascii="Arial" w:cs="Arial" w:eastAsia="Arial" w:hAnsi="Arial"/>
          <w:rtl w:val="0"/>
        </w:rPr>
        <w:t xml:space="preserve">Efendi, E., Setyawati, A., Halim, F., Anggreani, J. and Sudirman, A., (2023). Analysis of models for increasing consumer loyalty of beauty MSMEs through brand equity management, service quality, and customer bonding. </w:t>
      </w:r>
      <w:r w:rsidDel="00000000" w:rsidR="00000000" w:rsidRPr="00000000">
        <w:rPr>
          <w:rFonts w:ascii="Arial" w:cs="Arial" w:eastAsia="Arial" w:hAnsi="Arial"/>
          <w:i w:val="1"/>
          <w:iCs w:val="1"/>
          <w:rtl w:val="0"/>
        </w:rPr>
        <w:t xml:space="preserve">Jurnal Maksipreneur: Manajemen, Koperasi, Dan Entrepreneurship</w:t>
      </w:r>
      <w:r w:rsidDel="00000000" w:rsidR="00000000" w:rsidRPr="00000000">
        <w:rPr>
          <w:rFonts w:ascii="Arial" w:cs="Arial" w:eastAsia="Arial" w:hAnsi="Arial"/>
          <w:rtl w:val="0"/>
        </w:rPr>
        <w:t xml:space="preserve">, </w:t>
      </w:r>
      <w:r w:rsidDel="00000000" w:rsidR="00000000" w:rsidRPr="00000000">
        <w:rPr>
          <w:rFonts w:ascii="Arial" w:cs="Arial" w:eastAsia="Arial" w:hAnsi="Arial"/>
          <w:i w:val="1"/>
          <w:iCs w:val="1"/>
          <w:rtl w:val="0"/>
        </w:rPr>
        <w:t xml:space="preserve">13</w:t>
      </w:r>
      <w:r w:rsidDel="00000000" w:rsidR="00000000" w:rsidRPr="00000000">
        <w:rPr>
          <w:rFonts w:ascii="Arial" w:cs="Arial" w:eastAsia="Arial" w:hAnsi="Arial"/>
          <w:rtl w:val="0"/>
        </w:rPr>
        <w:t xml:space="preserve">(1), pp.92-103.</w:t>
      </w:r>
    </w:p>
    <w:p w:rsidR="00000000" w:rsidDel="00000000" w:rsidP="00000000" w:rsidRDefault="00000000" w:rsidRPr="00000000" w14:paraId="00000105">
      <w:pPr>
        <w:spacing w:line="360" w:lineRule="auto"/>
        <w:jc w:val="both"/>
        <w:rPr>
          <w:rFonts w:ascii="Arial" w:cs="Arial" w:eastAsia="Arial" w:hAnsi="Arial"/>
        </w:rPr>
      </w:pPr>
      <w:r w:rsidDel="00000000" w:rsidR="00000000" w:rsidRPr="00000000">
        <w:rPr>
          <w:rFonts w:ascii="Arial" w:cs="Arial" w:eastAsia="Arial" w:hAnsi="Arial"/>
          <w:rtl w:val="0"/>
        </w:rPr>
        <w:t xml:space="preserve">Eisenschmidt, E., Heidmets, M., Kitsing, M., Kasesalk, M. and Vanari, K., (2023). Aim High and Work Hard: Building a World-Class Learning System in Estonia. </w:t>
      </w:r>
      <w:r w:rsidDel="00000000" w:rsidR="00000000" w:rsidRPr="00000000">
        <w:rPr>
          <w:rFonts w:ascii="Arial" w:cs="Arial" w:eastAsia="Arial" w:hAnsi="Arial"/>
          <w:i w:val="1"/>
          <w:iCs w:val="1"/>
          <w:rtl w:val="0"/>
        </w:rPr>
        <w:t xml:space="preserve">National Center on Education and the Economy</w:t>
      </w:r>
      <w:r w:rsidDel="00000000" w:rsidR="00000000" w:rsidRPr="00000000">
        <w:rPr>
          <w:rFonts w:ascii="Arial" w:cs="Arial" w:eastAsia="Arial" w:hAnsi="Arial"/>
          <w:rtl w:val="0"/>
        </w:rPr>
        <w:t xml:space="preserve">.</w:t>
      </w:r>
    </w:p>
    <w:p w:rsidR="00000000" w:rsidDel="00000000" w:rsidP="00000000" w:rsidRDefault="00000000" w:rsidRPr="00000000" w14:paraId="00000106">
      <w:pPr>
        <w:spacing w:line="360" w:lineRule="auto"/>
        <w:jc w:val="both"/>
        <w:rPr>
          <w:rFonts w:ascii="Arial" w:cs="Arial" w:eastAsia="Arial" w:hAnsi="Arial"/>
        </w:rPr>
      </w:pPr>
      <w:r w:rsidDel="00000000" w:rsidR="00000000" w:rsidRPr="00000000">
        <w:rPr>
          <w:rFonts w:ascii="Arial" w:cs="Arial" w:eastAsia="Arial" w:hAnsi="Arial"/>
          <w:rtl w:val="0"/>
        </w:rPr>
        <w:t xml:space="preserve">Espinosa, V.I. and Pino, A., (2025). E-Government as a development strategy: The case of Estonia. </w:t>
      </w:r>
      <w:r w:rsidDel="00000000" w:rsidR="00000000" w:rsidRPr="00000000">
        <w:rPr>
          <w:rFonts w:ascii="Arial" w:cs="Arial" w:eastAsia="Arial" w:hAnsi="Arial"/>
          <w:i w:val="1"/>
          <w:iCs w:val="1"/>
          <w:rtl w:val="0"/>
        </w:rPr>
        <w:t xml:space="preserve">International Journal of Public Administration</w:t>
      </w:r>
      <w:r w:rsidDel="00000000" w:rsidR="00000000" w:rsidRPr="00000000">
        <w:rPr>
          <w:rFonts w:ascii="Arial" w:cs="Arial" w:eastAsia="Arial" w:hAnsi="Arial"/>
          <w:rtl w:val="0"/>
        </w:rPr>
        <w:t xml:space="preserve">, </w:t>
      </w:r>
      <w:r w:rsidDel="00000000" w:rsidR="00000000" w:rsidRPr="00000000">
        <w:rPr>
          <w:rFonts w:ascii="Arial" w:cs="Arial" w:eastAsia="Arial" w:hAnsi="Arial"/>
          <w:i w:val="1"/>
          <w:iCs w:val="1"/>
          <w:rtl w:val="0"/>
        </w:rPr>
        <w:t xml:space="preserve">48</w:t>
      </w:r>
      <w:r w:rsidDel="00000000" w:rsidR="00000000" w:rsidRPr="00000000">
        <w:rPr>
          <w:rFonts w:ascii="Arial" w:cs="Arial" w:eastAsia="Arial" w:hAnsi="Arial"/>
          <w:rtl w:val="0"/>
        </w:rPr>
        <w:t xml:space="preserve">(2), pp.86-99.</w:t>
      </w:r>
    </w:p>
    <w:p w:rsidR="00000000" w:rsidDel="00000000" w:rsidP="00000000" w:rsidRDefault="00000000" w:rsidRPr="00000000" w14:paraId="00000107">
      <w:pPr>
        <w:spacing w:line="360" w:lineRule="auto"/>
        <w:jc w:val="both"/>
        <w:rPr>
          <w:rFonts w:ascii="Arial" w:cs="Arial" w:eastAsia="Arial" w:hAnsi="Arial"/>
        </w:rPr>
      </w:pPr>
      <w:r w:rsidDel="00000000" w:rsidR="00000000" w:rsidRPr="00000000">
        <w:rPr>
          <w:rFonts w:ascii="Arial" w:cs="Arial" w:eastAsia="Arial" w:hAnsi="Arial"/>
          <w:rtl w:val="0"/>
        </w:rPr>
        <w:t xml:space="preserve">Fu, Y. and Chen, X., (2023). The effect of brand attachment on consumer willingness to pay price premiums based on cosmetic products insight. </w:t>
      </w:r>
      <w:r w:rsidDel="00000000" w:rsidR="00000000" w:rsidRPr="00000000">
        <w:rPr>
          <w:rFonts w:ascii="Arial" w:cs="Arial" w:eastAsia="Arial" w:hAnsi="Arial"/>
          <w:i w:val="1"/>
          <w:iCs w:val="1"/>
          <w:rtl w:val="0"/>
        </w:rPr>
        <w:t xml:space="preserve">Highlights in Business, Economics and Management</w:t>
      </w:r>
      <w:r w:rsidDel="00000000" w:rsidR="00000000" w:rsidRPr="00000000">
        <w:rPr>
          <w:rFonts w:ascii="Arial" w:cs="Arial" w:eastAsia="Arial" w:hAnsi="Arial"/>
          <w:rtl w:val="0"/>
        </w:rPr>
        <w:t xml:space="preserve">, </w:t>
      </w:r>
      <w:r w:rsidDel="00000000" w:rsidR="00000000" w:rsidRPr="00000000">
        <w:rPr>
          <w:rFonts w:ascii="Arial" w:cs="Arial" w:eastAsia="Arial" w:hAnsi="Arial"/>
          <w:i w:val="1"/>
          <w:iCs w:val="1"/>
          <w:rtl w:val="0"/>
        </w:rPr>
        <w:t xml:space="preserve">17</w:t>
      </w:r>
      <w:r w:rsidDel="00000000" w:rsidR="00000000" w:rsidRPr="00000000">
        <w:rPr>
          <w:rFonts w:ascii="Arial" w:cs="Arial" w:eastAsia="Arial" w:hAnsi="Arial"/>
          <w:rtl w:val="0"/>
        </w:rPr>
        <w:t xml:space="preserve">, pp.14-20.</w:t>
      </w:r>
    </w:p>
    <w:p w:rsidR="00000000" w:rsidDel="00000000" w:rsidP="00000000" w:rsidRDefault="00000000" w:rsidRPr="00000000" w14:paraId="00000108">
      <w:pPr>
        <w:spacing w:line="360" w:lineRule="auto"/>
        <w:jc w:val="both"/>
        <w:rPr>
          <w:rFonts w:ascii="Arial" w:cs="Arial" w:eastAsia="Arial" w:hAnsi="Arial"/>
        </w:rPr>
      </w:pPr>
      <w:r w:rsidDel="00000000" w:rsidR="00000000" w:rsidRPr="00000000">
        <w:rPr>
          <w:rFonts w:ascii="Arial" w:cs="Arial" w:eastAsia="Arial" w:hAnsi="Arial"/>
          <w:rtl w:val="0"/>
        </w:rPr>
        <w:t xml:space="preserve">Golalizadeh, F., Ranjbarian, B. and Ansari, A., (2023). An evaluation and analysis of perceived online service quality dimensions impacts on online purchasing behavior of luxury cosmetic products by women. </w:t>
      </w:r>
      <w:r w:rsidDel="00000000" w:rsidR="00000000" w:rsidRPr="00000000">
        <w:rPr>
          <w:rFonts w:ascii="Arial" w:cs="Arial" w:eastAsia="Arial" w:hAnsi="Arial"/>
          <w:i w:val="1"/>
          <w:iCs w:val="1"/>
          <w:rtl w:val="0"/>
        </w:rPr>
        <w:t xml:space="preserve">Interdisciplinary Journal of Management Studies</w:t>
      </w:r>
      <w:r w:rsidDel="00000000" w:rsidR="00000000" w:rsidRPr="00000000">
        <w:rPr>
          <w:rFonts w:ascii="Arial" w:cs="Arial" w:eastAsia="Arial" w:hAnsi="Arial"/>
          <w:rtl w:val="0"/>
        </w:rPr>
        <w:t xml:space="preserve">, </w:t>
      </w:r>
      <w:r w:rsidDel="00000000" w:rsidR="00000000" w:rsidRPr="00000000">
        <w:rPr>
          <w:rFonts w:ascii="Arial" w:cs="Arial" w:eastAsia="Arial" w:hAnsi="Arial"/>
          <w:i w:val="1"/>
          <w:iCs w:val="1"/>
          <w:rtl w:val="0"/>
        </w:rPr>
        <w:t xml:space="preserve">17</w:t>
      </w:r>
      <w:r w:rsidDel="00000000" w:rsidR="00000000" w:rsidRPr="00000000">
        <w:rPr>
          <w:rFonts w:ascii="Arial" w:cs="Arial" w:eastAsia="Arial" w:hAnsi="Arial"/>
          <w:rtl w:val="0"/>
        </w:rPr>
        <w:t xml:space="preserve">(1), pp.37-52.</w:t>
      </w:r>
    </w:p>
    <w:p w:rsidR="00000000" w:rsidDel="00000000" w:rsidP="00000000" w:rsidRDefault="00000000" w:rsidRPr="00000000" w14:paraId="00000109">
      <w:pPr>
        <w:spacing w:line="360" w:lineRule="auto"/>
        <w:jc w:val="both"/>
        <w:rPr>
          <w:rFonts w:ascii="Arial" w:cs="Arial" w:eastAsia="Arial" w:hAnsi="Arial"/>
        </w:rPr>
      </w:pPr>
      <w:r w:rsidDel="00000000" w:rsidR="00000000" w:rsidRPr="00000000">
        <w:rPr>
          <w:rFonts w:ascii="Arial" w:cs="Arial" w:eastAsia="Arial" w:hAnsi="Arial"/>
          <w:rtl w:val="0"/>
        </w:rPr>
        <w:t xml:space="preserve">Golalizadeh, F., Ranjbarian, B. and Ansari, A., (2023). Designing a Model for Customer’s Emotions Impact on Online Purchase Intention and impulsive buying of Luxury Cosmetic Products with Emphasis on the Role of Perceived Service Quality. </w:t>
      </w:r>
      <w:r w:rsidDel="00000000" w:rsidR="00000000" w:rsidRPr="00000000">
        <w:rPr>
          <w:rFonts w:ascii="Arial" w:cs="Arial" w:eastAsia="Arial" w:hAnsi="Arial"/>
          <w:i w:val="1"/>
          <w:iCs w:val="1"/>
          <w:rtl w:val="0"/>
        </w:rPr>
        <w:t xml:space="preserve">Journal of Business Management</w:t>
      </w:r>
      <w:r w:rsidDel="00000000" w:rsidR="00000000" w:rsidRPr="00000000">
        <w:rPr>
          <w:rFonts w:ascii="Arial" w:cs="Arial" w:eastAsia="Arial" w:hAnsi="Arial"/>
          <w:rtl w:val="0"/>
        </w:rPr>
        <w:t xml:space="preserve">, </w:t>
      </w:r>
      <w:r w:rsidDel="00000000" w:rsidR="00000000" w:rsidRPr="00000000">
        <w:rPr>
          <w:rFonts w:ascii="Arial" w:cs="Arial" w:eastAsia="Arial" w:hAnsi="Arial"/>
          <w:i w:val="1"/>
          <w:iCs w:val="1"/>
          <w:rtl w:val="0"/>
        </w:rPr>
        <w:t xml:space="preserve">15</w:t>
      </w:r>
      <w:r w:rsidDel="00000000" w:rsidR="00000000" w:rsidRPr="00000000">
        <w:rPr>
          <w:rFonts w:ascii="Arial" w:cs="Arial" w:eastAsia="Arial" w:hAnsi="Arial"/>
          <w:rtl w:val="0"/>
        </w:rPr>
        <w:t xml:space="preserve">(1), pp.131-155.</w:t>
      </w:r>
    </w:p>
    <w:p w:rsidR="00000000" w:rsidDel="00000000" w:rsidP="00000000" w:rsidRDefault="00000000" w:rsidRPr="00000000" w14:paraId="0000010A">
      <w:pPr>
        <w:spacing w:line="360" w:lineRule="auto"/>
        <w:jc w:val="both"/>
        <w:rPr>
          <w:rFonts w:ascii="Arial" w:cs="Arial" w:eastAsia="Arial" w:hAnsi="Arial"/>
        </w:rPr>
      </w:pPr>
      <w:r w:rsidDel="00000000" w:rsidR="00000000" w:rsidRPr="00000000">
        <w:rPr>
          <w:rFonts w:ascii="Arial" w:cs="Arial" w:eastAsia="Arial" w:hAnsi="Arial"/>
          <w:rtl w:val="0"/>
        </w:rPr>
        <w:t xml:space="preserve">Ivașcenco, I., (2025). Business antifragility strategies in the cosmetics industry: Modeling decision-making under uncertainty.</w:t>
      </w:r>
    </w:p>
    <w:p w:rsidR="00000000" w:rsidDel="00000000" w:rsidP="00000000" w:rsidRDefault="00000000" w:rsidRPr="00000000" w14:paraId="0000010B">
      <w:pPr>
        <w:spacing w:line="360" w:lineRule="auto"/>
        <w:jc w:val="both"/>
        <w:rPr>
          <w:rFonts w:ascii="Arial" w:cs="Arial" w:eastAsia="Arial" w:hAnsi="Arial"/>
        </w:rPr>
      </w:pPr>
      <w:r w:rsidDel="00000000" w:rsidR="00000000" w:rsidRPr="00000000">
        <w:rPr>
          <w:rFonts w:ascii="Arial" w:cs="Arial" w:eastAsia="Arial" w:hAnsi="Arial"/>
          <w:rtl w:val="0"/>
        </w:rPr>
        <w:t xml:space="preserve">Jokinen, K., (2024). Country of origin in international marketing: using Finnish country of origin in South Korea. </w:t>
      </w:r>
      <w:r w:rsidDel="00000000" w:rsidR="00000000" w:rsidRPr="00000000">
        <w:rPr>
          <w:rFonts w:ascii="Arial" w:cs="Arial" w:eastAsia="Arial" w:hAnsi="Arial"/>
          <w:i w:val="1"/>
          <w:iCs w:val="1"/>
          <w:rtl w:val="0"/>
        </w:rPr>
        <w:t xml:space="preserve">Group</w:t>
      </w:r>
      <w:r w:rsidDel="00000000" w:rsidR="00000000" w:rsidRPr="00000000">
        <w:rPr>
          <w:rFonts w:ascii="Arial" w:cs="Arial" w:eastAsia="Arial" w:hAnsi="Arial"/>
          <w:rtl w:val="0"/>
        </w:rPr>
        <w:t xml:space="preserve">, </w:t>
      </w:r>
      <w:r w:rsidDel="00000000" w:rsidR="00000000" w:rsidRPr="00000000">
        <w:rPr>
          <w:rFonts w:ascii="Arial" w:cs="Arial" w:eastAsia="Arial" w:hAnsi="Arial"/>
          <w:i w:val="1"/>
          <w:iCs w:val="1"/>
          <w:rtl w:val="0"/>
        </w:rPr>
        <w:t xml:space="preserve">1</w:t>
      </w:r>
      <w:r w:rsidDel="00000000" w:rsidR="00000000" w:rsidRPr="00000000">
        <w:rPr>
          <w:rFonts w:ascii="Arial" w:cs="Arial" w:eastAsia="Arial" w:hAnsi="Arial"/>
          <w:rtl w:val="0"/>
        </w:rPr>
        <w:t xml:space="preserve">(2), p.46min.</w:t>
      </w:r>
    </w:p>
    <w:p w:rsidR="00000000" w:rsidDel="00000000" w:rsidP="00000000" w:rsidRDefault="00000000" w:rsidRPr="00000000" w14:paraId="0000010C">
      <w:pPr>
        <w:spacing w:line="360" w:lineRule="auto"/>
        <w:jc w:val="both"/>
        <w:rPr>
          <w:rFonts w:ascii="Arial" w:cs="Arial" w:eastAsia="Arial" w:hAnsi="Arial"/>
        </w:rPr>
      </w:pPr>
      <w:r w:rsidDel="00000000" w:rsidR="00000000" w:rsidRPr="00000000">
        <w:rPr>
          <w:rFonts w:ascii="Arial" w:cs="Arial" w:eastAsia="Arial" w:hAnsi="Arial"/>
          <w:rtl w:val="0"/>
        </w:rPr>
        <w:t xml:space="preserve">Kerner, R. and Kitsing, M., (2023). Small is beautiful and important: economies and firms trading in digital services. </w:t>
      </w:r>
      <w:r w:rsidDel="00000000" w:rsidR="00000000" w:rsidRPr="00000000">
        <w:rPr>
          <w:rFonts w:ascii="Arial" w:cs="Arial" w:eastAsia="Arial" w:hAnsi="Arial"/>
          <w:i w:val="1"/>
          <w:iCs w:val="1"/>
          <w:rtl w:val="0"/>
        </w:rPr>
        <w:t xml:space="preserve">Journal of Business Economics and Management (JBEM)</w:t>
      </w:r>
      <w:r w:rsidDel="00000000" w:rsidR="00000000" w:rsidRPr="00000000">
        <w:rPr>
          <w:rFonts w:ascii="Arial" w:cs="Arial" w:eastAsia="Arial" w:hAnsi="Arial"/>
          <w:rtl w:val="0"/>
        </w:rPr>
        <w:t xml:space="preserve">, </w:t>
      </w:r>
      <w:r w:rsidDel="00000000" w:rsidR="00000000" w:rsidRPr="00000000">
        <w:rPr>
          <w:rFonts w:ascii="Arial" w:cs="Arial" w:eastAsia="Arial" w:hAnsi="Arial"/>
          <w:i w:val="1"/>
          <w:iCs w:val="1"/>
          <w:rtl w:val="0"/>
        </w:rPr>
        <w:t xml:space="preserve">24</w:t>
      </w:r>
      <w:r w:rsidDel="00000000" w:rsidR="00000000" w:rsidRPr="00000000">
        <w:rPr>
          <w:rFonts w:ascii="Arial" w:cs="Arial" w:eastAsia="Arial" w:hAnsi="Arial"/>
          <w:rtl w:val="0"/>
        </w:rPr>
        <w:t xml:space="preserve">(1), pp.93-111.</w:t>
      </w:r>
    </w:p>
    <w:p w:rsidR="00000000" w:rsidDel="00000000" w:rsidP="00000000" w:rsidRDefault="00000000" w:rsidRPr="00000000" w14:paraId="0000010D">
      <w:pPr>
        <w:spacing w:line="360" w:lineRule="auto"/>
        <w:jc w:val="both"/>
        <w:rPr>
          <w:rFonts w:ascii="Arial" w:cs="Arial" w:eastAsia="Arial" w:hAnsi="Arial"/>
        </w:rPr>
      </w:pPr>
      <w:r w:rsidDel="00000000" w:rsidR="00000000" w:rsidRPr="00000000">
        <w:rPr>
          <w:rFonts w:ascii="Arial" w:cs="Arial" w:eastAsia="Arial" w:hAnsi="Arial"/>
          <w:rtl w:val="0"/>
        </w:rPr>
        <w:t xml:space="preserve">Koswara, A. and Herlina, L., (2025). Global trends in the halal beauty and skincare industry: A search engine-based market analysis. </w:t>
      </w:r>
      <w:r w:rsidDel="00000000" w:rsidR="00000000" w:rsidRPr="00000000">
        <w:rPr>
          <w:rFonts w:ascii="Arial" w:cs="Arial" w:eastAsia="Arial" w:hAnsi="Arial"/>
          <w:i w:val="1"/>
          <w:iCs w:val="1"/>
          <w:rtl w:val="0"/>
        </w:rPr>
        <w:t xml:space="preserve">International Journal of Halal Industry</w:t>
      </w:r>
      <w:r w:rsidDel="00000000" w:rsidR="00000000" w:rsidRPr="00000000">
        <w:rPr>
          <w:rFonts w:ascii="Arial" w:cs="Arial" w:eastAsia="Arial" w:hAnsi="Arial"/>
          <w:rtl w:val="0"/>
        </w:rPr>
        <w:t xml:space="preserve">, </w:t>
      </w:r>
      <w:r w:rsidDel="00000000" w:rsidR="00000000" w:rsidRPr="00000000">
        <w:rPr>
          <w:rFonts w:ascii="Arial" w:cs="Arial" w:eastAsia="Arial" w:hAnsi="Arial"/>
          <w:i w:val="1"/>
          <w:iCs w:val="1"/>
          <w:rtl w:val="0"/>
        </w:rPr>
        <w:t xml:space="preserve">1</w:t>
      </w:r>
      <w:r w:rsidDel="00000000" w:rsidR="00000000" w:rsidRPr="00000000">
        <w:rPr>
          <w:rFonts w:ascii="Arial" w:cs="Arial" w:eastAsia="Arial" w:hAnsi="Arial"/>
          <w:rtl w:val="0"/>
        </w:rPr>
        <w:t xml:space="preserve">(1), pp.84-99.</w:t>
      </w:r>
    </w:p>
    <w:p w:rsidR="00000000" w:rsidDel="00000000" w:rsidP="00000000" w:rsidRDefault="00000000" w:rsidRPr="00000000" w14:paraId="0000010E">
      <w:pPr>
        <w:spacing w:line="360" w:lineRule="auto"/>
        <w:jc w:val="both"/>
        <w:rPr>
          <w:rFonts w:ascii="Arial" w:cs="Arial" w:eastAsia="Arial" w:hAnsi="Arial"/>
        </w:rPr>
      </w:pPr>
      <w:r w:rsidDel="00000000" w:rsidR="00000000" w:rsidRPr="00000000">
        <w:rPr>
          <w:rFonts w:ascii="Arial" w:cs="Arial" w:eastAsia="Arial" w:hAnsi="Arial"/>
          <w:rtl w:val="0"/>
        </w:rPr>
        <w:t xml:space="preserve">Künnapas, K., Maslionkina, P., Hinno, R. and Liberts, R., (2025). Current AI applications by Estonian tax authorities and use case scenarios. </w:t>
      </w:r>
      <w:r w:rsidDel="00000000" w:rsidR="00000000" w:rsidRPr="00000000">
        <w:rPr>
          <w:rFonts w:ascii="Arial" w:cs="Arial" w:eastAsia="Arial" w:hAnsi="Arial"/>
          <w:i w:val="1"/>
          <w:iCs w:val="1"/>
          <w:rtl w:val="0"/>
        </w:rPr>
        <w:t xml:space="preserve">TalTech Journal of European Studies</w:t>
      </w:r>
      <w:r w:rsidDel="00000000" w:rsidR="00000000" w:rsidRPr="00000000">
        <w:rPr>
          <w:rFonts w:ascii="Arial" w:cs="Arial" w:eastAsia="Arial" w:hAnsi="Arial"/>
          <w:rtl w:val="0"/>
        </w:rPr>
        <w:t xml:space="preserve">, </w:t>
      </w:r>
      <w:r w:rsidDel="00000000" w:rsidR="00000000" w:rsidRPr="00000000">
        <w:rPr>
          <w:rFonts w:ascii="Arial" w:cs="Arial" w:eastAsia="Arial" w:hAnsi="Arial"/>
          <w:i w:val="1"/>
          <w:iCs w:val="1"/>
          <w:rtl w:val="0"/>
        </w:rPr>
        <w:t xml:space="preserve">15</w:t>
      </w:r>
      <w:r w:rsidDel="00000000" w:rsidR="00000000" w:rsidRPr="00000000">
        <w:rPr>
          <w:rFonts w:ascii="Arial" w:cs="Arial" w:eastAsia="Arial" w:hAnsi="Arial"/>
          <w:rtl w:val="0"/>
        </w:rPr>
        <w:t xml:space="preserve">(1).</w:t>
      </w:r>
    </w:p>
    <w:p w:rsidR="00000000" w:rsidDel="00000000" w:rsidP="00000000" w:rsidRDefault="00000000" w:rsidRPr="00000000" w14:paraId="0000010F">
      <w:pPr>
        <w:spacing w:line="360" w:lineRule="auto"/>
        <w:jc w:val="both"/>
        <w:rPr>
          <w:rFonts w:ascii="Arial" w:cs="Arial" w:eastAsia="Arial" w:hAnsi="Arial"/>
        </w:rPr>
      </w:pPr>
      <w:r w:rsidDel="00000000" w:rsidR="00000000" w:rsidRPr="00000000">
        <w:rPr>
          <w:rFonts w:ascii="Arial" w:cs="Arial" w:eastAsia="Arial" w:hAnsi="Arial"/>
          <w:rtl w:val="0"/>
        </w:rPr>
        <w:t xml:space="preserve">Lavuri, R., Jabbour, C.J.C., Grebinevych, O. and Roubaud, D., (2022). Green factors stimulating the purchase intention of innovative luxury organic beauty products: Implications for sustainable development. </w:t>
      </w:r>
      <w:r w:rsidDel="00000000" w:rsidR="00000000" w:rsidRPr="00000000">
        <w:rPr>
          <w:rFonts w:ascii="Arial" w:cs="Arial" w:eastAsia="Arial" w:hAnsi="Arial"/>
          <w:i w:val="1"/>
          <w:iCs w:val="1"/>
          <w:rtl w:val="0"/>
        </w:rPr>
        <w:t xml:space="preserve">Journal of Environmental Management</w:t>
      </w:r>
      <w:r w:rsidDel="00000000" w:rsidR="00000000" w:rsidRPr="00000000">
        <w:rPr>
          <w:rFonts w:ascii="Arial" w:cs="Arial" w:eastAsia="Arial" w:hAnsi="Arial"/>
          <w:rtl w:val="0"/>
        </w:rPr>
        <w:t xml:space="preserve">, </w:t>
      </w:r>
      <w:r w:rsidDel="00000000" w:rsidR="00000000" w:rsidRPr="00000000">
        <w:rPr>
          <w:rFonts w:ascii="Arial" w:cs="Arial" w:eastAsia="Arial" w:hAnsi="Arial"/>
          <w:i w:val="1"/>
          <w:iCs w:val="1"/>
          <w:rtl w:val="0"/>
        </w:rPr>
        <w:t xml:space="preserve">301</w:t>
      </w:r>
      <w:r w:rsidDel="00000000" w:rsidR="00000000" w:rsidRPr="00000000">
        <w:rPr>
          <w:rFonts w:ascii="Arial" w:cs="Arial" w:eastAsia="Arial" w:hAnsi="Arial"/>
          <w:rtl w:val="0"/>
        </w:rPr>
        <w:t xml:space="preserve">, p.113899.</w:t>
      </w:r>
    </w:p>
    <w:p w:rsidR="00000000" w:rsidDel="00000000" w:rsidP="00000000" w:rsidRDefault="00000000" w:rsidRPr="00000000" w14:paraId="00000110">
      <w:pPr>
        <w:spacing w:line="360" w:lineRule="auto"/>
        <w:jc w:val="both"/>
        <w:rPr>
          <w:rFonts w:ascii="Arial" w:cs="Arial" w:eastAsia="Arial" w:hAnsi="Arial"/>
        </w:rPr>
      </w:pPr>
      <w:r w:rsidDel="00000000" w:rsidR="00000000" w:rsidRPr="00000000">
        <w:rPr>
          <w:rFonts w:ascii="Arial" w:cs="Arial" w:eastAsia="Arial" w:hAnsi="Arial"/>
          <w:rtl w:val="0"/>
        </w:rPr>
        <w:t xml:space="preserve">Lees, L., Karro, K., Barboza, F.R., Ideon, A., Kotta, J., Lepland, T., Roio, M. and Aps, R., (2023). Integrating maritime cultural heritage into maritime spatial planning in Estonia. </w:t>
      </w:r>
      <w:r w:rsidDel="00000000" w:rsidR="00000000" w:rsidRPr="00000000">
        <w:rPr>
          <w:rFonts w:ascii="Arial" w:cs="Arial" w:eastAsia="Arial" w:hAnsi="Arial"/>
          <w:i w:val="1"/>
          <w:iCs w:val="1"/>
          <w:rtl w:val="0"/>
        </w:rPr>
        <w:t xml:space="preserve">Marine Policy</w:t>
      </w:r>
      <w:r w:rsidDel="00000000" w:rsidR="00000000" w:rsidRPr="00000000">
        <w:rPr>
          <w:rFonts w:ascii="Arial" w:cs="Arial" w:eastAsia="Arial" w:hAnsi="Arial"/>
          <w:rtl w:val="0"/>
        </w:rPr>
        <w:t xml:space="preserve">, </w:t>
      </w:r>
      <w:r w:rsidDel="00000000" w:rsidR="00000000" w:rsidRPr="00000000">
        <w:rPr>
          <w:rFonts w:ascii="Arial" w:cs="Arial" w:eastAsia="Arial" w:hAnsi="Arial"/>
          <w:i w:val="1"/>
          <w:iCs w:val="1"/>
          <w:rtl w:val="0"/>
        </w:rPr>
        <w:t xml:space="preserve">147</w:t>
      </w:r>
      <w:r w:rsidDel="00000000" w:rsidR="00000000" w:rsidRPr="00000000">
        <w:rPr>
          <w:rFonts w:ascii="Arial" w:cs="Arial" w:eastAsia="Arial" w:hAnsi="Arial"/>
          <w:rtl w:val="0"/>
        </w:rPr>
        <w:t xml:space="preserve">, p.105337.</w:t>
      </w:r>
    </w:p>
    <w:p w:rsidR="00000000" w:rsidDel="00000000" w:rsidP="00000000" w:rsidRDefault="00000000" w:rsidRPr="00000000" w14:paraId="00000111">
      <w:pPr>
        <w:spacing w:line="360" w:lineRule="auto"/>
        <w:jc w:val="both"/>
        <w:rPr>
          <w:rFonts w:ascii="Arial" w:cs="Arial" w:eastAsia="Arial" w:hAnsi="Arial"/>
        </w:rPr>
      </w:pPr>
      <w:r w:rsidDel="00000000" w:rsidR="00000000" w:rsidRPr="00000000">
        <w:rPr>
          <w:rFonts w:ascii="Arial" w:cs="Arial" w:eastAsia="Arial" w:hAnsi="Arial"/>
          <w:rtl w:val="0"/>
        </w:rPr>
        <w:t xml:space="preserve">Lienata, A. and Berlianto, M.P., (2023). The Effect of Service Quality and Clinic Image on Satisfaction to Mediate Revisit Intention and Loyalty in Beauty Clinic Industry. </w:t>
      </w:r>
      <w:r w:rsidDel="00000000" w:rsidR="00000000" w:rsidRPr="00000000">
        <w:rPr>
          <w:rFonts w:ascii="Arial" w:cs="Arial" w:eastAsia="Arial" w:hAnsi="Arial"/>
          <w:i w:val="1"/>
          <w:iCs w:val="1"/>
          <w:rtl w:val="0"/>
        </w:rPr>
        <w:t xml:space="preserve">Daengku: Journal of Humanities and Social Sciences Innovation</w:t>
      </w:r>
      <w:r w:rsidDel="00000000" w:rsidR="00000000" w:rsidRPr="00000000">
        <w:rPr>
          <w:rFonts w:ascii="Arial" w:cs="Arial" w:eastAsia="Arial" w:hAnsi="Arial"/>
          <w:rtl w:val="0"/>
        </w:rPr>
        <w:t xml:space="preserve">, </w:t>
      </w:r>
      <w:r w:rsidDel="00000000" w:rsidR="00000000" w:rsidRPr="00000000">
        <w:rPr>
          <w:rFonts w:ascii="Arial" w:cs="Arial" w:eastAsia="Arial" w:hAnsi="Arial"/>
          <w:i w:val="1"/>
          <w:iCs w:val="1"/>
          <w:rtl w:val="0"/>
        </w:rPr>
        <w:t xml:space="preserve">3</w:t>
      </w:r>
      <w:r w:rsidDel="00000000" w:rsidR="00000000" w:rsidRPr="00000000">
        <w:rPr>
          <w:rFonts w:ascii="Arial" w:cs="Arial" w:eastAsia="Arial" w:hAnsi="Arial"/>
          <w:rtl w:val="0"/>
        </w:rPr>
        <w:t xml:space="preserve">(4), pp.551-563</w:t>
      </w:r>
    </w:p>
    <w:p w:rsidR="00000000" w:rsidDel="00000000" w:rsidP="00000000" w:rsidRDefault="00000000" w:rsidRPr="00000000" w14:paraId="00000112">
      <w:pPr>
        <w:spacing w:line="360" w:lineRule="auto"/>
        <w:jc w:val="both"/>
        <w:rPr>
          <w:rFonts w:ascii="Arial" w:cs="Arial" w:eastAsia="Arial" w:hAnsi="Arial"/>
        </w:rPr>
      </w:pPr>
      <w:r w:rsidDel="00000000" w:rsidR="00000000" w:rsidRPr="00000000">
        <w:rPr>
          <w:rFonts w:ascii="Arial" w:cs="Arial" w:eastAsia="Arial" w:hAnsi="Arial"/>
          <w:rtl w:val="0"/>
        </w:rPr>
        <w:t xml:space="preserve">Market.us (2026). </w:t>
      </w:r>
      <w:r w:rsidDel="00000000" w:rsidR="00000000" w:rsidRPr="00000000">
        <w:rPr>
          <w:rFonts w:ascii="Arial" w:cs="Arial" w:eastAsia="Arial" w:hAnsi="Arial"/>
          <w:i w:val="1"/>
          <w:iCs w:val="1"/>
          <w:rtl w:val="0"/>
        </w:rPr>
        <w:t xml:space="preserve">Online beauty and personal care product market size, share 2025</w:t>
      </w:r>
      <w:r w:rsidDel="00000000" w:rsidR="00000000" w:rsidRPr="00000000">
        <w:rPr>
          <w:rFonts w:ascii="Arial" w:cs="Arial" w:eastAsia="Arial" w:hAnsi="Arial"/>
          <w:rtl w:val="0"/>
        </w:rPr>
        <w:t xml:space="preserve">. [online] Market.us. Available at: </w:t>
      </w:r>
      <w:hyperlink r:id="rId25">
        <w:r w:rsidDel="00000000" w:rsidR="00000000" w:rsidRPr="00000000">
          <w:rPr>
            <w:rFonts w:ascii="Arial" w:cs="Arial" w:eastAsia="Arial" w:hAnsi="Arial"/>
            <w:color w:val="0000ff"/>
            <w:u w:val="single"/>
            <w:rtl w:val="0"/>
          </w:rPr>
          <w:t xml:space="preserve">https://market.us/report/online-beauty-and-personal-care-product-market/</w:t>
        </w:r>
      </w:hyperlink>
      <w:r w:rsidDel="00000000" w:rsidR="00000000" w:rsidRPr="00000000">
        <w:rPr>
          <w:rFonts w:ascii="Arial" w:cs="Arial" w:eastAsia="Arial" w:hAnsi="Arial"/>
          <w:rtl w:val="0"/>
        </w:rPr>
        <w:t xml:space="preserve"> [Accessed 1 Aug. 2026].</w:t>
      </w:r>
    </w:p>
    <w:p w:rsidR="00000000" w:rsidDel="00000000" w:rsidP="00000000" w:rsidRDefault="00000000" w:rsidRPr="00000000" w14:paraId="00000113">
      <w:pPr>
        <w:spacing w:line="360" w:lineRule="auto"/>
        <w:jc w:val="both"/>
        <w:rPr>
          <w:rFonts w:ascii="Arial" w:cs="Arial" w:eastAsia="Arial" w:hAnsi="Arial"/>
        </w:rPr>
      </w:pPr>
      <w:r w:rsidDel="00000000" w:rsidR="00000000" w:rsidRPr="00000000">
        <w:rPr>
          <w:rFonts w:ascii="Arial" w:cs="Arial" w:eastAsia="Arial" w:hAnsi="Arial"/>
          <w:rtl w:val="0"/>
        </w:rPr>
        <w:t xml:space="preserve">Marketresearch.com (2026). </w:t>
      </w:r>
      <w:r w:rsidDel="00000000" w:rsidR="00000000" w:rsidRPr="00000000">
        <w:rPr>
          <w:rFonts w:ascii="Arial" w:cs="Arial" w:eastAsia="Arial" w:hAnsi="Arial"/>
          <w:i w:val="1"/>
          <w:iCs w:val="1"/>
          <w:rtl w:val="0"/>
        </w:rPr>
        <w:t xml:space="preserve">Cosmetics-Personal-Care-Estonia</w:t>
      </w:r>
      <w:r w:rsidDel="00000000" w:rsidR="00000000" w:rsidRPr="00000000">
        <w:rPr>
          <w:rFonts w:ascii="Arial" w:cs="Arial" w:eastAsia="Arial" w:hAnsi="Arial"/>
          <w:rtl w:val="0"/>
        </w:rPr>
        <w:t xml:space="preserve">. [online] Marketresearch.com. Available at: </w:t>
      </w:r>
      <w:hyperlink r:id="rId26">
        <w:r w:rsidDel="00000000" w:rsidR="00000000" w:rsidRPr="00000000">
          <w:rPr>
            <w:rFonts w:ascii="Arial" w:cs="Arial" w:eastAsia="Arial" w:hAnsi="Arial"/>
            <w:color w:val="0000ff"/>
            <w:u w:val="single"/>
            <w:rtl w:val="0"/>
          </w:rPr>
          <w:t xml:space="preserve">https://www.marketresearch.com/seek/Cosmetics-Personal-Care-Estonia/113/1286/1.html</w:t>
        </w:r>
      </w:hyperlink>
      <w:r w:rsidDel="00000000" w:rsidR="00000000" w:rsidRPr="00000000">
        <w:rPr>
          <w:rFonts w:ascii="Arial" w:cs="Arial" w:eastAsia="Arial" w:hAnsi="Arial"/>
          <w:rtl w:val="0"/>
        </w:rPr>
        <w:t xml:space="preserve"> [Accessed 1 Aug. 2026].</w:t>
      </w:r>
    </w:p>
    <w:p w:rsidR="00000000" w:rsidDel="00000000" w:rsidP="00000000" w:rsidRDefault="00000000" w:rsidRPr="00000000" w14:paraId="00000114">
      <w:pPr>
        <w:spacing w:line="360" w:lineRule="auto"/>
        <w:jc w:val="both"/>
        <w:rPr>
          <w:rFonts w:ascii="Arial" w:cs="Arial" w:eastAsia="Arial" w:hAnsi="Arial"/>
        </w:rPr>
      </w:pPr>
      <w:r w:rsidDel="00000000" w:rsidR="00000000" w:rsidRPr="00000000">
        <w:rPr>
          <w:rFonts w:ascii="Arial" w:cs="Arial" w:eastAsia="Arial" w:hAnsi="Arial"/>
          <w:rtl w:val="0"/>
        </w:rPr>
        <w:t xml:space="preserve">Mishra, A.B. and Darshi, P.K., (2025). Nykaa's Strategy for Engaging Generation Z: Driving Growth Through Innovation, Omnichannel, Influencer Marketing, and Customer Focus. In </w:t>
      </w:r>
      <w:r w:rsidDel="00000000" w:rsidR="00000000" w:rsidRPr="00000000">
        <w:rPr>
          <w:rFonts w:ascii="Arial" w:cs="Arial" w:eastAsia="Arial" w:hAnsi="Arial"/>
          <w:i w:val="1"/>
          <w:iCs w:val="1"/>
          <w:rtl w:val="0"/>
        </w:rPr>
        <w:t xml:space="preserve">Organizational Risks, Challenges, and Barriers in Developing Sustainability Start-Ups</w:t>
      </w:r>
      <w:r w:rsidDel="00000000" w:rsidR="00000000" w:rsidRPr="00000000">
        <w:rPr>
          <w:rFonts w:ascii="Arial" w:cs="Arial" w:eastAsia="Arial" w:hAnsi="Arial"/>
          <w:rtl w:val="0"/>
        </w:rPr>
        <w:t xml:space="preserve"> (pp. 197-212). IGI Global Scientific Publishing.</w:t>
      </w:r>
    </w:p>
    <w:p w:rsidR="00000000" w:rsidDel="00000000" w:rsidP="00000000" w:rsidRDefault="00000000" w:rsidRPr="00000000" w14:paraId="00000115">
      <w:pPr>
        <w:spacing w:line="360" w:lineRule="auto"/>
        <w:jc w:val="both"/>
        <w:rPr>
          <w:rFonts w:ascii="Arial" w:cs="Arial" w:eastAsia="Arial" w:hAnsi="Arial"/>
        </w:rPr>
      </w:pPr>
      <w:r w:rsidDel="00000000" w:rsidR="00000000" w:rsidRPr="00000000">
        <w:rPr>
          <w:rFonts w:ascii="Arial" w:cs="Arial" w:eastAsia="Arial" w:hAnsi="Arial"/>
          <w:rtl w:val="0"/>
        </w:rPr>
        <w:t xml:space="preserve">Mordorintelligence.com (2025). </w:t>
      </w:r>
      <w:r w:rsidDel="00000000" w:rsidR="00000000" w:rsidRPr="00000000">
        <w:rPr>
          <w:rFonts w:ascii="Arial" w:cs="Arial" w:eastAsia="Arial" w:hAnsi="Arial"/>
          <w:i w:val="1"/>
          <w:iCs w:val="1"/>
          <w:rtl w:val="0"/>
        </w:rPr>
        <w:t xml:space="preserve">Estonia E-commerce Market Report, Forecast, Size 2022 - 27</w:t>
      </w:r>
      <w:r w:rsidDel="00000000" w:rsidR="00000000" w:rsidRPr="00000000">
        <w:rPr>
          <w:rFonts w:ascii="Arial" w:cs="Arial" w:eastAsia="Arial" w:hAnsi="Arial"/>
          <w:rtl w:val="0"/>
        </w:rPr>
        <w:t xml:space="preserve">. [online] </w:t>
      </w:r>
      <w:r w:rsidDel="00000000" w:rsidR="00000000" w:rsidRPr="00000000">
        <w:rPr>
          <w:rFonts w:ascii="Arial" w:cs="Arial" w:eastAsia="Arial" w:hAnsi="Arial"/>
          <w:i w:val="1"/>
          <w:iCs w:val="1"/>
          <w:rtl w:val="0"/>
        </w:rPr>
        <w:t xml:space="preserve">www.mordorintelligence.com</w:t>
      </w:r>
      <w:r w:rsidDel="00000000" w:rsidR="00000000" w:rsidRPr="00000000">
        <w:rPr>
          <w:rFonts w:ascii="Arial" w:cs="Arial" w:eastAsia="Arial" w:hAnsi="Arial"/>
          <w:rtl w:val="0"/>
        </w:rPr>
        <w:t xml:space="preserve">. Available at: </w:t>
      </w:r>
      <w:hyperlink r:id="rId27">
        <w:r w:rsidDel="00000000" w:rsidR="00000000" w:rsidRPr="00000000">
          <w:rPr>
            <w:rFonts w:ascii="Arial" w:cs="Arial" w:eastAsia="Arial" w:hAnsi="Arial"/>
            <w:color w:val="0000ff"/>
            <w:u w:val="single"/>
            <w:rtl w:val="0"/>
          </w:rPr>
          <w:t xml:space="preserve">https://www.mordorintelligence.com/industry-reports/estonia-ecommerce-market</w:t>
        </w:r>
      </w:hyperlink>
      <w:r w:rsidDel="00000000" w:rsidR="00000000" w:rsidRPr="00000000">
        <w:rPr>
          <w:rFonts w:ascii="Arial" w:cs="Arial" w:eastAsia="Arial" w:hAnsi="Arial"/>
          <w:rtl w:val="0"/>
        </w:rPr>
        <w:t xml:space="preserve"> [Accessed 1 Aug. 2026].</w:t>
      </w:r>
    </w:p>
    <w:p w:rsidR="00000000" w:rsidDel="00000000" w:rsidP="00000000" w:rsidRDefault="00000000" w:rsidRPr="00000000" w14:paraId="00000116">
      <w:pPr>
        <w:spacing w:line="360" w:lineRule="auto"/>
        <w:jc w:val="both"/>
        <w:rPr>
          <w:rFonts w:ascii="Arial" w:cs="Arial" w:eastAsia="Arial" w:hAnsi="Arial"/>
        </w:rPr>
      </w:pPr>
      <w:r w:rsidDel="00000000" w:rsidR="00000000" w:rsidRPr="00000000">
        <w:rPr>
          <w:rFonts w:ascii="Arial" w:cs="Arial" w:eastAsia="Arial" w:hAnsi="Arial"/>
          <w:rtl w:val="0"/>
        </w:rPr>
        <w:t xml:space="preserve">Nazera, F., Tanvir, K., Haq, M.K. and Raju, V., (2024). Examining the Impact of Perceived Quality, Aesthetics, and Durability on Customer Satisfaction: Empirical Evidence and Implications. </w:t>
      </w:r>
      <w:r w:rsidDel="00000000" w:rsidR="00000000" w:rsidRPr="00000000">
        <w:rPr>
          <w:rFonts w:ascii="Arial" w:cs="Arial" w:eastAsia="Arial" w:hAnsi="Arial"/>
          <w:i w:val="1"/>
          <w:iCs w:val="1"/>
          <w:rtl w:val="0"/>
        </w:rPr>
        <w:t xml:space="preserve">Journal of Reproducible Research</w:t>
      </w:r>
      <w:r w:rsidDel="00000000" w:rsidR="00000000" w:rsidRPr="00000000">
        <w:rPr>
          <w:rFonts w:ascii="Arial" w:cs="Arial" w:eastAsia="Arial" w:hAnsi="Arial"/>
          <w:rtl w:val="0"/>
        </w:rPr>
        <w:t xml:space="preserve">, </w:t>
      </w:r>
      <w:r w:rsidDel="00000000" w:rsidR="00000000" w:rsidRPr="00000000">
        <w:rPr>
          <w:rFonts w:ascii="Arial" w:cs="Arial" w:eastAsia="Arial" w:hAnsi="Arial"/>
          <w:i w:val="1"/>
          <w:iCs w:val="1"/>
          <w:rtl w:val="0"/>
        </w:rPr>
        <w:t xml:space="preserve">2</w:t>
      </w:r>
      <w:r w:rsidDel="00000000" w:rsidR="00000000" w:rsidRPr="00000000">
        <w:rPr>
          <w:rFonts w:ascii="Arial" w:cs="Arial" w:eastAsia="Arial" w:hAnsi="Arial"/>
          <w:rtl w:val="0"/>
        </w:rPr>
        <w:t xml:space="preserve">(2), pp.115-124.</w:t>
      </w:r>
    </w:p>
    <w:p w:rsidR="00000000" w:rsidDel="00000000" w:rsidP="00000000" w:rsidRDefault="00000000" w:rsidRPr="00000000" w14:paraId="00000117">
      <w:pPr>
        <w:spacing w:line="360" w:lineRule="auto"/>
        <w:jc w:val="both"/>
        <w:rPr>
          <w:rFonts w:ascii="Arial" w:cs="Arial" w:eastAsia="Arial" w:hAnsi="Arial"/>
        </w:rPr>
      </w:pPr>
      <w:r w:rsidDel="00000000" w:rsidR="00000000" w:rsidRPr="00000000">
        <w:rPr>
          <w:rFonts w:ascii="Arial" w:cs="Arial" w:eastAsia="Arial" w:hAnsi="Arial"/>
          <w:rtl w:val="0"/>
        </w:rPr>
        <w:t xml:space="preserve">Nemény, D.V. and Papp-Váry, Á., (2024). Building a Digital Nation: The Estonian Approach to Country Branding. </w:t>
      </w:r>
      <w:r w:rsidDel="00000000" w:rsidR="00000000" w:rsidRPr="00000000">
        <w:rPr>
          <w:rFonts w:ascii="Arial" w:cs="Arial" w:eastAsia="Arial" w:hAnsi="Arial"/>
          <w:i w:val="1"/>
          <w:iCs w:val="1"/>
          <w:rtl w:val="0"/>
        </w:rPr>
        <w:t xml:space="preserve">European Unity: From Maastricht to Modern Union. Budapest: Aposztróf</w:t>
      </w:r>
      <w:r w:rsidDel="00000000" w:rsidR="00000000" w:rsidRPr="00000000">
        <w:rPr>
          <w:rFonts w:ascii="Arial" w:cs="Arial" w:eastAsia="Arial" w:hAnsi="Arial"/>
          <w:rtl w:val="0"/>
        </w:rPr>
        <w:t xml:space="preserve">, pp.280-293.</w:t>
      </w:r>
    </w:p>
    <w:p w:rsidR="00000000" w:rsidDel="00000000" w:rsidP="00000000" w:rsidRDefault="00000000" w:rsidRPr="00000000" w14:paraId="00000118">
      <w:pPr>
        <w:spacing w:line="360" w:lineRule="auto"/>
        <w:jc w:val="both"/>
        <w:rPr>
          <w:rFonts w:ascii="Arial" w:cs="Arial" w:eastAsia="Arial" w:hAnsi="Arial"/>
        </w:rPr>
      </w:pPr>
      <w:r w:rsidDel="00000000" w:rsidR="00000000" w:rsidRPr="00000000">
        <w:rPr>
          <w:rFonts w:ascii="Arial" w:cs="Arial" w:eastAsia="Arial" w:hAnsi="Arial"/>
          <w:rtl w:val="0"/>
        </w:rPr>
        <w:t xml:space="preserve">Ntrackr.com (2025). </w:t>
      </w:r>
      <w:r w:rsidDel="00000000" w:rsidR="00000000" w:rsidRPr="00000000">
        <w:rPr>
          <w:rFonts w:ascii="Arial" w:cs="Arial" w:eastAsia="Arial" w:hAnsi="Arial"/>
          <w:i w:val="1"/>
          <w:iCs w:val="1"/>
          <w:rtl w:val="0"/>
        </w:rPr>
        <w:t xml:space="preserve">Nykaa posts rs 2,267 cr revenue in Q3 FY25, profit soars 52%</w:t>
      </w:r>
      <w:r w:rsidDel="00000000" w:rsidR="00000000" w:rsidRPr="00000000">
        <w:rPr>
          <w:rFonts w:ascii="Arial" w:cs="Arial" w:eastAsia="Arial" w:hAnsi="Arial"/>
          <w:rtl w:val="0"/>
        </w:rPr>
        <w:t xml:space="preserve">. [online] </w:t>
      </w:r>
      <w:r w:rsidDel="00000000" w:rsidR="00000000" w:rsidRPr="00000000">
        <w:rPr>
          <w:rFonts w:ascii="Arial" w:cs="Arial" w:eastAsia="Arial" w:hAnsi="Arial"/>
          <w:i w:val="1"/>
          <w:iCs w:val="1"/>
          <w:rtl w:val="0"/>
        </w:rPr>
        <w:t xml:space="preserve">Entrackr</w:t>
      </w:r>
      <w:r w:rsidDel="00000000" w:rsidR="00000000" w:rsidRPr="00000000">
        <w:rPr>
          <w:rFonts w:ascii="Arial" w:cs="Arial" w:eastAsia="Arial" w:hAnsi="Arial"/>
          <w:rtl w:val="0"/>
        </w:rPr>
        <w:t xml:space="preserve">. Available at: </w:t>
      </w:r>
      <w:hyperlink r:id="rId28">
        <w:r w:rsidDel="00000000" w:rsidR="00000000" w:rsidRPr="00000000">
          <w:rPr>
            <w:rFonts w:ascii="Arial" w:cs="Arial" w:eastAsia="Arial" w:hAnsi="Arial"/>
            <w:color w:val="467886"/>
            <w:u w:val="single"/>
            <w:rtl w:val="0"/>
          </w:rPr>
          <w:t xml:space="preserve">https://entrackr.com/news/nykaa-posts-rs-2267-cr-revenue-in-q3-fy25-profit-soars-52-8707485</w:t>
        </w:r>
      </w:hyperlink>
      <w:r w:rsidDel="00000000" w:rsidR="00000000" w:rsidRPr="00000000">
        <w:rPr>
          <w:rFonts w:ascii="Arial" w:cs="Arial" w:eastAsia="Arial" w:hAnsi="Arial"/>
          <w:rtl w:val="0"/>
        </w:rPr>
        <w:t xml:space="preserve"> [Accessed 24 July 2026].</w:t>
      </w:r>
    </w:p>
    <w:p w:rsidR="00000000" w:rsidDel="00000000" w:rsidP="00000000" w:rsidRDefault="00000000" w:rsidRPr="00000000" w14:paraId="00000119">
      <w:pPr>
        <w:spacing w:line="360" w:lineRule="auto"/>
        <w:jc w:val="both"/>
        <w:rPr>
          <w:rFonts w:ascii="Arial" w:cs="Arial" w:eastAsia="Arial" w:hAnsi="Arial"/>
        </w:rPr>
      </w:pPr>
      <w:r w:rsidDel="00000000" w:rsidR="00000000" w:rsidRPr="00000000">
        <w:rPr>
          <w:rFonts w:ascii="Arial" w:cs="Arial" w:eastAsia="Arial" w:hAnsi="Arial"/>
          <w:rtl w:val="0"/>
        </w:rPr>
        <w:t xml:space="preserve">Nykaa.com (2026). </w:t>
      </w:r>
      <w:r w:rsidDel="00000000" w:rsidR="00000000" w:rsidRPr="00000000">
        <w:rPr>
          <w:rFonts w:ascii="Arial" w:cs="Arial" w:eastAsia="Arial" w:hAnsi="Arial"/>
          <w:i w:val="1"/>
          <w:iCs w:val="1"/>
          <w:rtl w:val="0"/>
        </w:rPr>
        <w:t xml:space="preserve">Investor relations</w:t>
      </w:r>
      <w:r w:rsidDel="00000000" w:rsidR="00000000" w:rsidRPr="00000000">
        <w:rPr>
          <w:rFonts w:ascii="Arial" w:cs="Arial" w:eastAsia="Arial" w:hAnsi="Arial"/>
          <w:rtl w:val="0"/>
        </w:rPr>
        <w:t xml:space="preserve">. [online] </w:t>
      </w:r>
      <w:r w:rsidDel="00000000" w:rsidR="00000000" w:rsidRPr="00000000">
        <w:rPr>
          <w:rFonts w:ascii="Arial" w:cs="Arial" w:eastAsia="Arial" w:hAnsi="Arial"/>
          <w:i w:val="1"/>
          <w:iCs w:val="1"/>
          <w:rtl w:val="0"/>
        </w:rPr>
        <w:t xml:space="preserve">www.nykaa.com</w:t>
      </w:r>
      <w:r w:rsidDel="00000000" w:rsidR="00000000" w:rsidRPr="00000000">
        <w:rPr>
          <w:rFonts w:ascii="Arial" w:cs="Arial" w:eastAsia="Arial" w:hAnsi="Arial"/>
          <w:rtl w:val="0"/>
        </w:rPr>
        <w:t xml:space="preserve">. Available at: </w:t>
      </w:r>
      <w:hyperlink r:id="rId29">
        <w:r w:rsidDel="00000000" w:rsidR="00000000" w:rsidRPr="00000000">
          <w:rPr>
            <w:rFonts w:ascii="Arial" w:cs="Arial" w:eastAsia="Arial" w:hAnsi="Arial"/>
            <w:color w:val="467886"/>
            <w:u w:val="single"/>
            <w:rtl w:val="0"/>
          </w:rPr>
          <w:t xml:space="preserve">https://www.nykaa.com/investor-relations/lp</w:t>
        </w:r>
      </w:hyperlink>
      <w:r w:rsidDel="00000000" w:rsidR="00000000" w:rsidRPr="00000000">
        <w:rPr>
          <w:rFonts w:ascii="Arial" w:cs="Arial" w:eastAsia="Arial" w:hAnsi="Arial"/>
          <w:rtl w:val="0"/>
        </w:rPr>
        <w:t xml:space="preserve"> [Accessed 24 July 2026].</w:t>
      </w:r>
    </w:p>
    <w:p w:rsidR="00000000" w:rsidDel="00000000" w:rsidP="00000000" w:rsidRDefault="00000000" w:rsidRPr="00000000" w14:paraId="0000011A">
      <w:pPr>
        <w:spacing w:line="360" w:lineRule="auto"/>
        <w:jc w:val="both"/>
        <w:rPr>
          <w:rFonts w:ascii="Arial" w:cs="Arial" w:eastAsia="Arial" w:hAnsi="Arial"/>
        </w:rPr>
      </w:pPr>
      <w:r w:rsidDel="00000000" w:rsidR="00000000" w:rsidRPr="00000000">
        <w:rPr>
          <w:rFonts w:ascii="Arial" w:cs="Arial" w:eastAsia="Arial" w:hAnsi="Arial"/>
          <w:rtl w:val="0"/>
        </w:rPr>
        <w:t xml:space="preserve">Perret, J.K. and Schwientek, J., (2025). Beauty Tech—Customer Experience and Loyalty of Augmented Reality-and Artificial Intelligence-Driven Cosmetics. </w:t>
      </w:r>
      <w:r w:rsidDel="00000000" w:rsidR="00000000" w:rsidRPr="00000000">
        <w:rPr>
          <w:rFonts w:ascii="Arial" w:cs="Arial" w:eastAsia="Arial" w:hAnsi="Arial"/>
          <w:i w:val="1"/>
          <w:iCs w:val="1"/>
          <w:rtl w:val="0"/>
        </w:rPr>
        <w:t xml:space="preserve">Digital</w:t>
      </w:r>
      <w:r w:rsidDel="00000000" w:rsidR="00000000" w:rsidRPr="00000000">
        <w:rPr>
          <w:rFonts w:ascii="Arial" w:cs="Arial" w:eastAsia="Arial" w:hAnsi="Arial"/>
          <w:rtl w:val="0"/>
        </w:rPr>
        <w:t xml:space="preserve">, </w:t>
      </w:r>
      <w:r w:rsidDel="00000000" w:rsidR="00000000" w:rsidRPr="00000000">
        <w:rPr>
          <w:rFonts w:ascii="Arial" w:cs="Arial" w:eastAsia="Arial" w:hAnsi="Arial"/>
          <w:i w:val="1"/>
          <w:iCs w:val="1"/>
          <w:rtl w:val="0"/>
        </w:rPr>
        <w:t xml:space="preserve">5</w:t>
      </w:r>
      <w:r w:rsidDel="00000000" w:rsidR="00000000" w:rsidRPr="00000000">
        <w:rPr>
          <w:rFonts w:ascii="Arial" w:cs="Arial" w:eastAsia="Arial" w:hAnsi="Arial"/>
          <w:rtl w:val="0"/>
        </w:rPr>
        <w:t xml:space="preserve">(2), p.21.</w:t>
      </w:r>
    </w:p>
    <w:p w:rsidR="00000000" w:rsidDel="00000000" w:rsidP="00000000" w:rsidRDefault="00000000" w:rsidRPr="00000000" w14:paraId="0000011B">
      <w:pPr>
        <w:spacing w:line="360" w:lineRule="auto"/>
        <w:jc w:val="both"/>
        <w:rPr>
          <w:rFonts w:ascii="Arial" w:cs="Arial" w:eastAsia="Arial" w:hAnsi="Arial"/>
        </w:rPr>
      </w:pPr>
      <w:r w:rsidDel="00000000" w:rsidR="00000000" w:rsidRPr="00000000">
        <w:rPr>
          <w:rFonts w:ascii="Arial" w:cs="Arial" w:eastAsia="Arial" w:hAnsi="Arial"/>
          <w:rtl w:val="0"/>
        </w:rPr>
        <w:t xml:space="preserve">Rane, N., Paramesha, M., Choudhary, S. and Rane, J., (2024). Artificial intelligence in sales and marketing: Enhancing customer satisfaction, experience and loyalty. </w:t>
      </w:r>
      <w:r w:rsidDel="00000000" w:rsidR="00000000" w:rsidRPr="00000000">
        <w:rPr>
          <w:rFonts w:ascii="Arial" w:cs="Arial" w:eastAsia="Arial" w:hAnsi="Arial"/>
          <w:i w:val="1"/>
          <w:iCs w:val="1"/>
          <w:rtl w:val="0"/>
        </w:rPr>
        <w:t xml:space="preserve">Experience and Loyalty (May 17, 2024)</w:t>
      </w:r>
      <w:r w:rsidDel="00000000" w:rsidR="00000000" w:rsidRPr="00000000">
        <w:rPr>
          <w:rFonts w:ascii="Arial" w:cs="Arial" w:eastAsia="Arial" w:hAnsi="Arial"/>
          <w:rtl w:val="0"/>
        </w:rPr>
        <w:t xml:space="preserve">.</w:t>
      </w:r>
    </w:p>
    <w:p w:rsidR="00000000" w:rsidDel="00000000" w:rsidP="00000000" w:rsidRDefault="00000000" w:rsidRPr="00000000" w14:paraId="0000011C">
      <w:pPr>
        <w:spacing w:line="360" w:lineRule="auto"/>
        <w:jc w:val="both"/>
        <w:rPr>
          <w:rFonts w:ascii="Arial" w:cs="Arial" w:eastAsia="Arial" w:hAnsi="Arial"/>
        </w:rPr>
      </w:pPr>
      <w:r w:rsidDel="00000000" w:rsidR="00000000" w:rsidRPr="00000000">
        <w:rPr>
          <w:rFonts w:ascii="Arial" w:cs="Arial" w:eastAsia="Arial" w:hAnsi="Arial"/>
          <w:rtl w:val="0"/>
        </w:rPr>
        <w:t xml:space="preserve">Reddy, B.V., Kumar, A.A., Raju, M.C., Srikanth, K. and Narmada, B., (2026). The Effect of Online Sales Growth on Profitability Structure at Nykaa. </w:t>
      </w:r>
      <w:r w:rsidDel="00000000" w:rsidR="00000000" w:rsidRPr="00000000">
        <w:rPr>
          <w:rFonts w:ascii="Arial" w:cs="Arial" w:eastAsia="Arial" w:hAnsi="Arial"/>
          <w:i w:val="1"/>
          <w:iCs w:val="1"/>
          <w:rtl w:val="0"/>
        </w:rPr>
        <w:t xml:space="preserve">International Journal of AI Electronics and Nexus Energy</w:t>
      </w:r>
      <w:r w:rsidDel="00000000" w:rsidR="00000000" w:rsidRPr="00000000">
        <w:rPr>
          <w:rFonts w:ascii="Arial" w:cs="Arial" w:eastAsia="Arial" w:hAnsi="Arial"/>
          <w:rtl w:val="0"/>
        </w:rPr>
        <w:t xml:space="preserve">, </w:t>
      </w:r>
      <w:r w:rsidDel="00000000" w:rsidR="00000000" w:rsidRPr="00000000">
        <w:rPr>
          <w:rFonts w:ascii="Arial" w:cs="Arial" w:eastAsia="Arial" w:hAnsi="Arial"/>
          <w:i w:val="1"/>
          <w:iCs w:val="1"/>
          <w:rtl w:val="0"/>
        </w:rPr>
        <w:t xml:space="preserve">2</w:t>
      </w:r>
      <w:r w:rsidDel="00000000" w:rsidR="00000000" w:rsidRPr="00000000">
        <w:rPr>
          <w:rFonts w:ascii="Arial" w:cs="Arial" w:eastAsia="Arial" w:hAnsi="Arial"/>
          <w:rtl w:val="0"/>
        </w:rPr>
        <w:t xml:space="preserve">(1), pp.435-443.</w:t>
      </w:r>
    </w:p>
    <w:p w:rsidR="00000000" w:rsidDel="00000000" w:rsidP="00000000" w:rsidRDefault="00000000" w:rsidRPr="00000000" w14:paraId="0000011D">
      <w:pPr>
        <w:spacing w:line="360" w:lineRule="auto"/>
        <w:jc w:val="both"/>
        <w:rPr>
          <w:rFonts w:ascii="Arial" w:cs="Arial" w:eastAsia="Arial" w:hAnsi="Arial"/>
        </w:rPr>
      </w:pPr>
      <w:r w:rsidDel="00000000" w:rsidR="00000000" w:rsidRPr="00000000">
        <w:rPr>
          <w:rFonts w:ascii="Arial" w:cs="Arial" w:eastAsia="Arial" w:hAnsi="Arial"/>
          <w:rtl w:val="0"/>
        </w:rPr>
        <w:t xml:space="preserve">Riyadi, A., Lotte, L.N.A. and Hamas, R.W., (2024). New market penetration strategy: Expanding beauty products to global markets. </w:t>
      </w:r>
      <w:r w:rsidDel="00000000" w:rsidR="00000000" w:rsidRPr="00000000">
        <w:rPr>
          <w:rFonts w:ascii="Arial" w:cs="Arial" w:eastAsia="Arial" w:hAnsi="Arial"/>
          <w:i w:val="1"/>
          <w:iCs w:val="1"/>
          <w:rtl w:val="0"/>
        </w:rPr>
        <w:t xml:space="preserve">International Journal of Economic Literature</w:t>
      </w:r>
      <w:r w:rsidDel="00000000" w:rsidR="00000000" w:rsidRPr="00000000">
        <w:rPr>
          <w:rFonts w:ascii="Arial" w:cs="Arial" w:eastAsia="Arial" w:hAnsi="Arial"/>
          <w:rtl w:val="0"/>
        </w:rPr>
        <w:t xml:space="preserve">, </w:t>
      </w:r>
      <w:r w:rsidDel="00000000" w:rsidR="00000000" w:rsidRPr="00000000">
        <w:rPr>
          <w:rFonts w:ascii="Arial" w:cs="Arial" w:eastAsia="Arial" w:hAnsi="Arial"/>
          <w:i w:val="1"/>
          <w:iCs w:val="1"/>
          <w:rtl w:val="0"/>
        </w:rPr>
        <w:t xml:space="preserve">2</w:t>
      </w:r>
      <w:r w:rsidDel="00000000" w:rsidR="00000000" w:rsidRPr="00000000">
        <w:rPr>
          <w:rFonts w:ascii="Arial" w:cs="Arial" w:eastAsia="Arial" w:hAnsi="Arial"/>
          <w:rtl w:val="0"/>
        </w:rPr>
        <w:t xml:space="preserve">(4), pp.1215-1224.</w:t>
      </w:r>
    </w:p>
    <w:p w:rsidR="00000000" w:rsidDel="00000000" w:rsidP="00000000" w:rsidRDefault="00000000" w:rsidRPr="00000000" w14:paraId="0000011E">
      <w:pPr>
        <w:spacing w:line="360" w:lineRule="auto"/>
        <w:jc w:val="both"/>
        <w:rPr>
          <w:rFonts w:ascii="Arial" w:cs="Arial" w:eastAsia="Arial" w:hAnsi="Arial"/>
        </w:rPr>
      </w:pPr>
      <w:r w:rsidDel="00000000" w:rsidR="00000000" w:rsidRPr="00000000">
        <w:rPr>
          <w:rFonts w:ascii="Arial" w:cs="Arial" w:eastAsia="Arial" w:hAnsi="Arial"/>
          <w:rtl w:val="0"/>
        </w:rPr>
        <w:t xml:space="preserve">Saini, S. and Bansal, R., (2025). Influencer credibility and brand image: the mediating effect of brand attitude in the premium cosmetics market. </w:t>
      </w:r>
      <w:r w:rsidDel="00000000" w:rsidR="00000000" w:rsidRPr="00000000">
        <w:rPr>
          <w:rFonts w:ascii="Arial" w:cs="Arial" w:eastAsia="Arial" w:hAnsi="Arial"/>
          <w:i w:val="1"/>
          <w:iCs w:val="1"/>
          <w:rtl w:val="0"/>
        </w:rPr>
        <w:t xml:space="preserve">Jindal Management Journal</w:t>
      </w:r>
      <w:r w:rsidDel="00000000" w:rsidR="00000000" w:rsidRPr="00000000">
        <w:rPr>
          <w:rFonts w:ascii="Arial" w:cs="Arial" w:eastAsia="Arial" w:hAnsi="Arial"/>
          <w:rtl w:val="0"/>
        </w:rPr>
        <w:t xml:space="preserve">, </w:t>
      </w:r>
      <w:r w:rsidDel="00000000" w:rsidR="00000000" w:rsidRPr="00000000">
        <w:rPr>
          <w:rFonts w:ascii="Arial" w:cs="Arial" w:eastAsia="Arial" w:hAnsi="Arial"/>
          <w:i w:val="1"/>
          <w:iCs w:val="1"/>
          <w:rtl w:val="0"/>
        </w:rPr>
        <w:t xml:space="preserve">14</w:t>
      </w:r>
      <w:r w:rsidDel="00000000" w:rsidR="00000000" w:rsidRPr="00000000">
        <w:rPr>
          <w:rFonts w:ascii="Arial" w:cs="Arial" w:eastAsia="Arial" w:hAnsi="Arial"/>
          <w:rtl w:val="0"/>
        </w:rPr>
        <w:t xml:space="preserve">(2), pp.208-225.</w:t>
      </w:r>
    </w:p>
    <w:p w:rsidR="00000000" w:rsidDel="00000000" w:rsidP="00000000" w:rsidRDefault="00000000" w:rsidRPr="00000000" w14:paraId="0000011F">
      <w:pPr>
        <w:spacing w:line="360" w:lineRule="auto"/>
        <w:jc w:val="both"/>
        <w:rPr>
          <w:rFonts w:ascii="Arial" w:cs="Arial" w:eastAsia="Arial" w:hAnsi="Arial"/>
        </w:rPr>
      </w:pPr>
      <w:r w:rsidDel="00000000" w:rsidR="00000000" w:rsidRPr="00000000">
        <w:rPr>
          <w:rFonts w:ascii="Arial" w:cs="Arial" w:eastAsia="Arial" w:hAnsi="Arial"/>
          <w:rtl w:val="0"/>
        </w:rPr>
        <w:t xml:space="preserve">Saini, S. and Bansal, R., (2025). Parasocial relationships and self-disclosure: Strengthening brand image through brand attitude in premium cosmetics. </w:t>
      </w:r>
      <w:r w:rsidDel="00000000" w:rsidR="00000000" w:rsidRPr="00000000">
        <w:rPr>
          <w:rFonts w:ascii="Arial" w:cs="Arial" w:eastAsia="Arial" w:hAnsi="Arial"/>
          <w:i w:val="1"/>
          <w:iCs w:val="1"/>
          <w:rtl w:val="0"/>
        </w:rPr>
        <w:t xml:space="preserve">Journal of Promotion Management</w:t>
      </w:r>
      <w:r w:rsidDel="00000000" w:rsidR="00000000" w:rsidRPr="00000000">
        <w:rPr>
          <w:rFonts w:ascii="Arial" w:cs="Arial" w:eastAsia="Arial" w:hAnsi="Arial"/>
          <w:rtl w:val="0"/>
        </w:rPr>
        <w:t xml:space="preserve">, </w:t>
      </w:r>
      <w:r w:rsidDel="00000000" w:rsidR="00000000" w:rsidRPr="00000000">
        <w:rPr>
          <w:rFonts w:ascii="Arial" w:cs="Arial" w:eastAsia="Arial" w:hAnsi="Arial"/>
          <w:i w:val="1"/>
          <w:iCs w:val="1"/>
          <w:rtl w:val="0"/>
        </w:rPr>
        <w:t xml:space="preserve">31</w:t>
      </w:r>
      <w:r w:rsidDel="00000000" w:rsidR="00000000" w:rsidRPr="00000000">
        <w:rPr>
          <w:rFonts w:ascii="Arial" w:cs="Arial" w:eastAsia="Arial" w:hAnsi="Arial"/>
          <w:rtl w:val="0"/>
        </w:rPr>
        <w:t xml:space="preserve">(2), pp.337-366.</w:t>
      </w:r>
    </w:p>
    <w:p w:rsidR="00000000" w:rsidDel="00000000" w:rsidP="00000000" w:rsidRDefault="00000000" w:rsidRPr="00000000" w14:paraId="00000120">
      <w:pPr>
        <w:spacing w:line="360" w:lineRule="auto"/>
        <w:jc w:val="both"/>
        <w:rPr>
          <w:rFonts w:ascii="Arial" w:cs="Arial" w:eastAsia="Arial" w:hAnsi="Arial"/>
        </w:rPr>
      </w:pPr>
      <w:r w:rsidDel="00000000" w:rsidR="00000000" w:rsidRPr="00000000">
        <w:rPr>
          <w:rFonts w:ascii="Arial" w:cs="Arial" w:eastAsia="Arial" w:hAnsi="Arial"/>
          <w:rtl w:val="0"/>
        </w:rPr>
        <w:t xml:space="preserve">Serebrova, T., (2024). The Launching of B2B Sales of La Biosthetique Brand Products on the Estonian Market.</w:t>
      </w:r>
    </w:p>
    <w:p w:rsidR="00000000" w:rsidDel="00000000" w:rsidP="00000000" w:rsidRDefault="00000000" w:rsidRPr="00000000" w14:paraId="00000121">
      <w:pPr>
        <w:spacing w:line="360" w:lineRule="auto"/>
        <w:jc w:val="both"/>
        <w:rPr>
          <w:rFonts w:ascii="Arial" w:cs="Arial" w:eastAsia="Arial" w:hAnsi="Arial"/>
        </w:rPr>
      </w:pPr>
      <w:r w:rsidDel="00000000" w:rsidR="00000000" w:rsidRPr="00000000">
        <w:rPr>
          <w:rFonts w:ascii="Arial" w:cs="Arial" w:eastAsia="Arial" w:hAnsi="Arial"/>
          <w:rtl w:val="0"/>
        </w:rPr>
        <w:t xml:space="preserve">Serebrova, T., (2024). The Launching of B2B Sales of La Biosthetique Brand Products on the Estonian Market.</w:t>
      </w:r>
    </w:p>
    <w:p w:rsidR="00000000" w:rsidDel="00000000" w:rsidP="00000000" w:rsidRDefault="00000000" w:rsidRPr="00000000" w14:paraId="00000122">
      <w:pPr>
        <w:spacing w:line="360" w:lineRule="auto"/>
        <w:jc w:val="both"/>
        <w:rPr>
          <w:rFonts w:ascii="Arial" w:cs="Arial" w:eastAsia="Arial" w:hAnsi="Arial"/>
        </w:rPr>
      </w:pPr>
      <w:r w:rsidDel="00000000" w:rsidR="00000000" w:rsidRPr="00000000">
        <w:rPr>
          <w:rFonts w:ascii="Arial" w:cs="Arial" w:eastAsia="Arial" w:hAnsi="Arial"/>
          <w:rtl w:val="0"/>
        </w:rPr>
        <w:t xml:space="preserve">Suchitra, S. and Pai, R., (2024). Nykaa: A comprehensive analysis of a leading Indian e-commerce cosmetic company. </w:t>
      </w:r>
      <w:r w:rsidDel="00000000" w:rsidR="00000000" w:rsidRPr="00000000">
        <w:rPr>
          <w:rFonts w:ascii="Arial" w:cs="Arial" w:eastAsia="Arial" w:hAnsi="Arial"/>
          <w:i w:val="1"/>
          <w:iCs w:val="1"/>
          <w:rtl w:val="0"/>
        </w:rPr>
        <w:t xml:space="preserve">Available at SSRN 5355677</w:t>
      </w:r>
      <w:r w:rsidDel="00000000" w:rsidR="00000000" w:rsidRPr="00000000">
        <w:rPr>
          <w:rFonts w:ascii="Arial" w:cs="Arial" w:eastAsia="Arial" w:hAnsi="Arial"/>
          <w:rtl w:val="0"/>
        </w:rPr>
        <w:t xml:space="preserve">.</w:t>
      </w:r>
    </w:p>
    <w:p w:rsidR="00000000" w:rsidDel="00000000" w:rsidP="00000000" w:rsidRDefault="00000000" w:rsidRPr="00000000" w14:paraId="00000123">
      <w:pPr>
        <w:spacing w:line="360" w:lineRule="auto"/>
        <w:jc w:val="both"/>
        <w:rPr>
          <w:rFonts w:ascii="Arial" w:cs="Arial" w:eastAsia="Arial" w:hAnsi="Arial"/>
        </w:rPr>
      </w:pPr>
      <w:r w:rsidDel="00000000" w:rsidR="00000000" w:rsidRPr="00000000">
        <w:rPr>
          <w:rFonts w:ascii="Arial" w:cs="Arial" w:eastAsia="Arial" w:hAnsi="Arial"/>
          <w:rtl w:val="0"/>
        </w:rPr>
        <w:t xml:space="preserve">Suhartini, H. and Sary, F.P., (2025). Empowering performance through engagement: the mediating role of employee engagement in the relationship between transformational leadership, self-directed learning, and employee performance in the cosmetics industry. </w:t>
      </w:r>
      <w:r w:rsidDel="00000000" w:rsidR="00000000" w:rsidRPr="00000000">
        <w:rPr>
          <w:rFonts w:ascii="Arial" w:cs="Arial" w:eastAsia="Arial" w:hAnsi="Arial"/>
          <w:i w:val="1"/>
          <w:iCs w:val="1"/>
          <w:rtl w:val="0"/>
        </w:rPr>
        <w:t xml:space="preserve">International Journal of Business Innovation and Research</w:t>
      </w:r>
      <w:r w:rsidDel="00000000" w:rsidR="00000000" w:rsidRPr="00000000">
        <w:rPr>
          <w:rFonts w:ascii="Arial" w:cs="Arial" w:eastAsia="Arial" w:hAnsi="Arial"/>
          <w:rtl w:val="0"/>
        </w:rPr>
        <w:t xml:space="preserve">, </w:t>
      </w:r>
      <w:r w:rsidDel="00000000" w:rsidR="00000000" w:rsidRPr="00000000">
        <w:rPr>
          <w:rFonts w:ascii="Arial" w:cs="Arial" w:eastAsia="Arial" w:hAnsi="Arial"/>
          <w:i w:val="1"/>
          <w:iCs w:val="1"/>
          <w:rtl w:val="0"/>
        </w:rPr>
        <w:t xml:space="preserve">37</w:t>
      </w:r>
      <w:r w:rsidDel="00000000" w:rsidR="00000000" w:rsidRPr="00000000">
        <w:rPr>
          <w:rFonts w:ascii="Arial" w:cs="Arial" w:eastAsia="Arial" w:hAnsi="Arial"/>
          <w:rtl w:val="0"/>
        </w:rPr>
        <w:t xml:space="preserve">(7), pp.1-22.</w:t>
      </w:r>
    </w:p>
    <w:p w:rsidR="00000000" w:rsidDel="00000000" w:rsidP="00000000" w:rsidRDefault="00000000" w:rsidRPr="00000000" w14:paraId="00000124">
      <w:pPr>
        <w:spacing w:line="360" w:lineRule="auto"/>
        <w:jc w:val="both"/>
        <w:rPr>
          <w:rFonts w:ascii="Arial" w:cs="Arial" w:eastAsia="Arial" w:hAnsi="Arial"/>
        </w:rPr>
      </w:pPr>
      <w:r w:rsidDel="00000000" w:rsidR="00000000" w:rsidRPr="00000000">
        <w:rPr>
          <w:rFonts w:ascii="Arial" w:cs="Arial" w:eastAsia="Arial" w:hAnsi="Arial"/>
          <w:rtl w:val="0"/>
        </w:rPr>
        <w:t xml:space="preserve">Theculturefactor.com. (2023). </w:t>
      </w:r>
      <w:r w:rsidDel="00000000" w:rsidR="00000000" w:rsidRPr="00000000">
        <w:rPr>
          <w:rFonts w:ascii="Arial" w:cs="Arial" w:eastAsia="Arial" w:hAnsi="Arial"/>
          <w:i w:val="1"/>
          <w:iCs w:val="1"/>
          <w:rtl w:val="0"/>
        </w:rPr>
        <w:t xml:space="preserve">Country Comparison Tool</w:t>
      </w:r>
      <w:r w:rsidDel="00000000" w:rsidR="00000000" w:rsidRPr="00000000">
        <w:rPr>
          <w:rFonts w:ascii="Arial" w:cs="Arial" w:eastAsia="Arial" w:hAnsi="Arial"/>
          <w:rtl w:val="0"/>
        </w:rPr>
        <w:t xml:space="preserve">. [online] Available at: </w:t>
      </w:r>
      <w:hyperlink r:id="rId30">
        <w:r w:rsidDel="00000000" w:rsidR="00000000" w:rsidRPr="00000000">
          <w:rPr>
            <w:rFonts w:ascii="Arial" w:cs="Arial" w:eastAsia="Arial" w:hAnsi="Arial"/>
            <w:color w:val="0000ff"/>
            <w:u w:val="single"/>
            <w:rtl w:val="0"/>
          </w:rPr>
          <w:t xml:space="preserve">https://www.theculturefactor.com/country-comparison-tool?countries=estonia%2Cindia</w:t>
        </w:r>
      </w:hyperlink>
      <w:r w:rsidDel="00000000" w:rsidR="00000000" w:rsidRPr="00000000">
        <w:rPr>
          <w:rFonts w:ascii="Arial" w:cs="Arial" w:eastAsia="Arial" w:hAnsi="Arial"/>
          <w:rtl w:val="0"/>
        </w:rPr>
        <w:t xml:space="preserve"> [Accessed 1 Aug. 2026].</w:t>
      </w:r>
    </w:p>
    <w:p w:rsidR="00000000" w:rsidDel="00000000" w:rsidP="00000000" w:rsidRDefault="00000000" w:rsidRPr="00000000" w14:paraId="00000125">
      <w:pPr>
        <w:spacing w:line="360" w:lineRule="auto"/>
        <w:jc w:val="both"/>
        <w:rPr>
          <w:rFonts w:ascii="Arial" w:cs="Arial" w:eastAsia="Arial" w:hAnsi="Arial"/>
        </w:rPr>
      </w:pPr>
      <w:r w:rsidDel="00000000" w:rsidR="00000000" w:rsidRPr="00000000">
        <w:rPr>
          <w:rFonts w:ascii="Arial" w:cs="Arial" w:eastAsia="Arial" w:hAnsi="Arial"/>
          <w:rtl w:val="0"/>
        </w:rPr>
        <w:t xml:space="preserve">Theintactone.com (2022). </w:t>
      </w:r>
      <w:r w:rsidDel="00000000" w:rsidR="00000000" w:rsidRPr="00000000">
        <w:rPr>
          <w:rFonts w:ascii="Arial" w:cs="Arial" w:eastAsia="Arial" w:hAnsi="Arial"/>
          <w:i w:val="1"/>
          <w:iCs w:val="1"/>
          <w:rtl w:val="0"/>
        </w:rPr>
        <w:t xml:space="preserve">International Market Entry Strategies: Different Entry Modes and Market Entry Strategies</w:t>
      </w:r>
      <w:r w:rsidDel="00000000" w:rsidR="00000000" w:rsidRPr="00000000">
        <w:rPr>
          <w:rFonts w:ascii="Arial" w:cs="Arial" w:eastAsia="Arial" w:hAnsi="Arial"/>
          <w:rtl w:val="0"/>
        </w:rPr>
        <w:t xml:space="preserve">. [online] </w:t>
      </w:r>
      <w:r w:rsidDel="00000000" w:rsidR="00000000" w:rsidRPr="00000000">
        <w:rPr>
          <w:rFonts w:ascii="Arial" w:cs="Arial" w:eastAsia="Arial" w:hAnsi="Arial"/>
          <w:i w:val="1"/>
          <w:iCs w:val="1"/>
          <w:rtl w:val="0"/>
        </w:rPr>
        <w:t xml:space="preserve">theintactone.com</w:t>
      </w:r>
      <w:r w:rsidDel="00000000" w:rsidR="00000000" w:rsidRPr="00000000">
        <w:rPr>
          <w:rFonts w:ascii="Arial" w:cs="Arial" w:eastAsia="Arial" w:hAnsi="Arial"/>
          <w:rtl w:val="0"/>
        </w:rPr>
        <w:t xml:space="preserve">. Available at: </w:t>
      </w:r>
      <w:hyperlink r:id="rId31">
        <w:r w:rsidDel="00000000" w:rsidR="00000000" w:rsidRPr="00000000">
          <w:rPr>
            <w:rFonts w:ascii="Arial" w:cs="Arial" w:eastAsia="Arial" w:hAnsi="Arial"/>
            <w:color w:val="0000ff"/>
            <w:u w:val="single"/>
            <w:rtl w:val="0"/>
          </w:rPr>
          <w:t xml:space="preserve">https://theintactone.com/2019/07/06/im-u2-topic-12-international-market-entry-strategies-different-entry-modes-and-market-entry-strategies/</w:t>
        </w:r>
      </w:hyperlink>
      <w:r w:rsidDel="00000000" w:rsidR="00000000" w:rsidRPr="00000000">
        <w:rPr>
          <w:rFonts w:ascii="Arial" w:cs="Arial" w:eastAsia="Arial" w:hAnsi="Arial"/>
          <w:rtl w:val="0"/>
        </w:rPr>
        <w:t xml:space="preserve"> [Accessed 1 Aug. 2026].</w:t>
      </w:r>
    </w:p>
    <w:p w:rsidR="00000000" w:rsidDel="00000000" w:rsidP="00000000" w:rsidRDefault="00000000" w:rsidRPr="00000000" w14:paraId="00000126">
      <w:pPr>
        <w:spacing w:line="360" w:lineRule="auto"/>
        <w:jc w:val="both"/>
        <w:rPr>
          <w:rFonts w:ascii="Arial" w:cs="Arial" w:eastAsia="Arial" w:hAnsi="Arial"/>
        </w:rPr>
      </w:pPr>
      <w:r w:rsidDel="00000000" w:rsidR="00000000" w:rsidRPr="00000000">
        <w:rPr>
          <w:rFonts w:ascii="Arial" w:cs="Arial" w:eastAsia="Arial" w:hAnsi="Arial"/>
          <w:rtl w:val="0"/>
        </w:rPr>
        <w:t xml:space="preserve">Turcu, O., Brancu, C. and Busu, C., (2024), March. The beauty boom: analyzing the socio-economic contribution of the beauty industry to the European Union. In </w:t>
      </w:r>
      <w:r w:rsidDel="00000000" w:rsidR="00000000" w:rsidRPr="00000000">
        <w:rPr>
          <w:rFonts w:ascii="Arial" w:cs="Arial" w:eastAsia="Arial" w:hAnsi="Arial"/>
          <w:i w:val="1"/>
          <w:iCs w:val="1"/>
          <w:rtl w:val="0"/>
        </w:rPr>
        <w:t xml:space="preserve">International Conference on Business Excellence</w:t>
      </w:r>
      <w:r w:rsidDel="00000000" w:rsidR="00000000" w:rsidRPr="00000000">
        <w:rPr>
          <w:rFonts w:ascii="Arial" w:cs="Arial" w:eastAsia="Arial" w:hAnsi="Arial"/>
          <w:rtl w:val="0"/>
        </w:rPr>
        <w:t xml:space="preserve"> (pp. 403-412). Cham: Springer Nature Switzerland.</w:t>
      </w:r>
    </w:p>
    <w:p w:rsidR="00000000" w:rsidDel="00000000" w:rsidP="00000000" w:rsidRDefault="00000000" w:rsidRPr="00000000" w14:paraId="00000127">
      <w:pPr>
        <w:spacing w:line="360" w:lineRule="auto"/>
        <w:jc w:val="both"/>
        <w:rPr>
          <w:rFonts w:ascii="Arial" w:cs="Arial" w:eastAsia="Arial" w:hAnsi="Arial"/>
        </w:rPr>
      </w:pPr>
      <w:r w:rsidDel="00000000" w:rsidR="00000000" w:rsidRPr="00000000">
        <w:rPr>
          <w:rFonts w:ascii="Arial" w:cs="Arial" w:eastAsia="Arial" w:hAnsi="Arial"/>
          <w:rtl w:val="0"/>
        </w:rPr>
        <w:t xml:space="preserve">Vely, C., (2025). Impact of Social Media Marketing on Consumers Behavior in Purchasing Cosmetic Products.</w:t>
      </w:r>
    </w:p>
    <w:p w:rsidR="00000000" w:rsidDel="00000000" w:rsidP="00000000" w:rsidRDefault="00000000" w:rsidRPr="00000000" w14:paraId="00000128">
      <w:pPr>
        <w:spacing w:line="360" w:lineRule="auto"/>
        <w:jc w:val="both"/>
        <w:rPr>
          <w:rFonts w:ascii="Arial" w:cs="Arial" w:eastAsia="Arial" w:hAnsi="Arial"/>
        </w:rPr>
      </w:pPr>
      <w:r w:rsidDel="00000000" w:rsidR="00000000" w:rsidRPr="00000000">
        <w:rPr>
          <w:rFonts w:ascii="Arial" w:cs="Arial" w:eastAsia="Arial" w:hAnsi="Arial"/>
          <w:rtl w:val="0"/>
        </w:rPr>
        <w:t xml:space="preserve">Vidya Hattangadi (2021). </w:t>
      </w:r>
      <w:r w:rsidDel="00000000" w:rsidR="00000000" w:rsidRPr="00000000">
        <w:rPr>
          <w:rFonts w:ascii="Arial" w:cs="Arial" w:eastAsia="Arial" w:hAnsi="Arial"/>
          <w:i w:val="1"/>
          <w:iCs w:val="1"/>
          <w:rtl w:val="0"/>
        </w:rPr>
        <w:t xml:space="preserve">What is Porter’s Diamond Model</w:t>
      </w:r>
      <w:r w:rsidDel="00000000" w:rsidR="00000000" w:rsidRPr="00000000">
        <w:rPr>
          <w:rFonts w:ascii="Arial" w:cs="Arial" w:eastAsia="Arial" w:hAnsi="Arial"/>
          <w:rtl w:val="0"/>
        </w:rPr>
        <w:t xml:space="preserve">. [online] </w:t>
      </w:r>
      <w:r w:rsidDel="00000000" w:rsidR="00000000" w:rsidRPr="00000000">
        <w:rPr>
          <w:rFonts w:ascii="Arial" w:cs="Arial" w:eastAsia="Arial" w:hAnsi="Arial"/>
          <w:i w:val="1"/>
          <w:iCs w:val="1"/>
          <w:rtl w:val="0"/>
        </w:rPr>
        <w:t xml:space="preserve">Dr. Vidya Hattangadi</w:t>
      </w:r>
      <w:r w:rsidDel="00000000" w:rsidR="00000000" w:rsidRPr="00000000">
        <w:rPr>
          <w:rFonts w:ascii="Arial" w:cs="Arial" w:eastAsia="Arial" w:hAnsi="Arial"/>
          <w:rtl w:val="0"/>
        </w:rPr>
        <w:t xml:space="preserve">. Available at: </w:t>
      </w:r>
      <w:hyperlink r:id="rId32">
        <w:r w:rsidDel="00000000" w:rsidR="00000000" w:rsidRPr="00000000">
          <w:rPr>
            <w:rFonts w:ascii="Arial" w:cs="Arial" w:eastAsia="Arial" w:hAnsi="Arial"/>
            <w:color w:val="0000ff"/>
            <w:u w:val="single"/>
            <w:rtl w:val="0"/>
          </w:rPr>
          <w:t xml:space="preserve">https://drvidyahattangadi.com/what-is-porters-diamond-model/</w:t>
        </w:r>
      </w:hyperlink>
      <w:r w:rsidDel="00000000" w:rsidR="00000000" w:rsidRPr="00000000">
        <w:rPr>
          <w:rFonts w:ascii="Arial" w:cs="Arial" w:eastAsia="Arial" w:hAnsi="Arial"/>
          <w:rtl w:val="0"/>
        </w:rPr>
        <w:t xml:space="preserve"> [Accessed 1 Aug. 2026].</w:t>
      </w:r>
    </w:p>
    <w:p w:rsidR="00000000" w:rsidDel="00000000" w:rsidP="00000000" w:rsidRDefault="00000000" w:rsidRPr="00000000" w14:paraId="00000129">
      <w:pPr>
        <w:spacing w:line="360" w:lineRule="auto"/>
        <w:jc w:val="both"/>
        <w:rPr>
          <w:rFonts w:ascii="Arial" w:cs="Arial" w:eastAsia="Arial" w:hAnsi="Arial"/>
        </w:rPr>
      </w:pPr>
      <w:r w:rsidDel="00000000" w:rsidR="00000000" w:rsidRPr="00000000">
        <w:rPr>
          <w:rFonts w:ascii="Arial" w:cs="Arial" w:eastAsia="Arial" w:hAnsi="Arial"/>
          <w:rtl w:val="0"/>
        </w:rPr>
        <w:t xml:space="preserve">Widyastuti, P., (2023). Brand resonance and brand salience in luxury cosmetic products with symbolic value as the mediating variable. </w:t>
      </w:r>
      <w:r w:rsidDel="00000000" w:rsidR="00000000" w:rsidRPr="00000000">
        <w:rPr>
          <w:rFonts w:ascii="Arial" w:cs="Arial" w:eastAsia="Arial" w:hAnsi="Arial"/>
          <w:i w:val="1"/>
          <w:iCs w:val="1"/>
          <w:rtl w:val="0"/>
        </w:rPr>
        <w:t xml:space="preserve">Journal of Enterprise and Development (JED)</w:t>
      </w:r>
      <w:r w:rsidDel="00000000" w:rsidR="00000000" w:rsidRPr="00000000">
        <w:rPr>
          <w:rFonts w:ascii="Arial" w:cs="Arial" w:eastAsia="Arial" w:hAnsi="Arial"/>
          <w:rtl w:val="0"/>
        </w:rPr>
        <w:t xml:space="preserve">, </w:t>
      </w:r>
      <w:r w:rsidDel="00000000" w:rsidR="00000000" w:rsidRPr="00000000">
        <w:rPr>
          <w:rFonts w:ascii="Arial" w:cs="Arial" w:eastAsia="Arial" w:hAnsi="Arial"/>
          <w:i w:val="1"/>
          <w:iCs w:val="1"/>
          <w:rtl w:val="0"/>
        </w:rPr>
        <w:t xml:space="preserve">5</w:t>
      </w:r>
      <w:r w:rsidDel="00000000" w:rsidR="00000000" w:rsidRPr="00000000">
        <w:rPr>
          <w:rFonts w:ascii="Arial" w:cs="Arial" w:eastAsia="Arial" w:hAnsi="Arial"/>
          <w:rtl w:val="0"/>
        </w:rPr>
        <w:t xml:space="preserve">(3), pp.675-690.</w:t>
      </w:r>
    </w:p>
    <w:p w:rsidR="00000000" w:rsidDel="00000000" w:rsidP="00000000" w:rsidRDefault="00000000" w:rsidRPr="00000000" w14:paraId="0000012A">
      <w:pPr>
        <w:spacing w:line="360" w:lineRule="auto"/>
        <w:jc w:val="both"/>
        <w:rPr>
          <w:rFonts w:ascii="Arial" w:cs="Arial" w:eastAsia="Arial" w:hAnsi="Arial"/>
        </w:rPr>
      </w:pPr>
      <w:r w:rsidDel="00000000" w:rsidR="00000000" w:rsidRPr="00000000">
        <w:rPr>
          <w:rFonts w:ascii="Arial" w:cs="Arial" w:eastAsia="Arial" w:hAnsi="Arial"/>
          <w:rtl w:val="0"/>
        </w:rPr>
        <w:t xml:space="preserve">Yaseen, M., (2025). The Impact of Transformational Leadership on Employee Performance: Mediating Roles Of Employee Engagement and Job Satisfaction. </w:t>
      </w:r>
      <w:r w:rsidDel="00000000" w:rsidR="00000000" w:rsidRPr="00000000">
        <w:rPr>
          <w:rFonts w:ascii="Arial" w:cs="Arial" w:eastAsia="Arial" w:hAnsi="Arial"/>
          <w:i w:val="1"/>
          <w:iCs w:val="1"/>
          <w:rtl w:val="0"/>
        </w:rPr>
        <w:t xml:space="preserve">JRMSI-Jurnal Riset Manajemen Sains Indonesia</w:t>
      </w:r>
      <w:r w:rsidDel="00000000" w:rsidR="00000000" w:rsidRPr="00000000">
        <w:rPr>
          <w:rFonts w:ascii="Arial" w:cs="Arial" w:eastAsia="Arial" w:hAnsi="Arial"/>
          <w:rtl w:val="0"/>
        </w:rPr>
        <w:t xml:space="preserve">, </w:t>
      </w:r>
      <w:r w:rsidDel="00000000" w:rsidR="00000000" w:rsidRPr="00000000">
        <w:rPr>
          <w:rFonts w:ascii="Arial" w:cs="Arial" w:eastAsia="Arial" w:hAnsi="Arial"/>
          <w:i w:val="1"/>
          <w:iCs w:val="1"/>
          <w:rtl w:val="0"/>
        </w:rPr>
        <w:t xml:space="preserve">16</w:t>
      </w:r>
      <w:r w:rsidDel="00000000" w:rsidR="00000000" w:rsidRPr="00000000">
        <w:rPr>
          <w:rFonts w:ascii="Arial" w:cs="Arial" w:eastAsia="Arial" w:hAnsi="Arial"/>
          <w:rtl w:val="0"/>
        </w:rPr>
        <w:t xml:space="preserve">(2), pp.17-31.</w:t>
      </w:r>
    </w:p>
    <w:p w:rsidR="00000000" w:rsidDel="00000000" w:rsidP="00000000" w:rsidRDefault="00000000" w:rsidRPr="00000000" w14:paraId="0000012B">
      <w:pPr>
        <w:spacing w:line="360" w:lineRule="auto"/>
        <w:jc w:val="both"/>
        <w:rPr>
          <w:rFonts w:ascii="Arial" w:cs="Arial" w:eastAsia="Arial" w:hAnsi="Arial"/>
        </w:rPr>
      </w:pPr>
      <w:r w:rsidDel="00000000" w:rsidR="00000000" w:rsidRPr="00000000">
        <w:rPr>
          <w:rFonts w:ascii="Arial" w:cs="Arial" w:eastAsia="Arial" w:hAnsi="Arial"/>
          <w:rtl w:val="0"/>
        </w:rPr>
        <w:t xml:space="preserve">Yusuf, M., Bernardianto, R.B., Satia, M.R., Nurhasanah, N., Irwani, I., Setyoko, P.I. and Saputra, A.S., (2023). Investigating the role transformational leadership, innovative work behavior, and team member exchange on public service organization performance. </w:t>
      </w:r>
      <w:r w:rsidDel="00000000" w:rsidR="00000000" w:rsidRPr="00000000">
        <w:rPr>
          <w:rFonts w:ascii="Arial" w:cs="Arial" w:eastAsia="Arial" w:hAnsi="Arial"/>
          <w:i w:val="1"/>
          <w:iCs w:val="1"/>
          <w:rtl w:val="0"/>
        </w:rPr>
        <w:t xml:space="preserve">Journal of Law and Sustainable Development</w:t>
      </w:r>
      <w:r w:rsidDel="00000000" w:rsidR="00000000" w:rsidRPr="00000000">
        <w:rPr>
          <w:rFonts w:ascii="Arial" w:cs="Arial" w:eastAsia="Arial" w:hAnsi="Arial"/>
          <w:rtl w:val="0"/>
        </w:rPr>
        <w:t xml:space="preserve">, </w:t>
      </w:r>
      <w:r w:rsidDel="00000000" w:rsidR="00000000" w:rsidRPr="00000000">
        <w:rPr>
          <w:rFonts w:ascii="Arial" w:cs="Arial" w:eastAsia="Arial" w:hAnsi="Arial"/>
          <w:i w:val="1"/>
          <w:iCs w:val="1"/>
          <w:rtl w:val="0"/>
        </w:rPr>
        <w:t xml:space="preserve">11</w:t>
      </w:r>
      <w:r w:rsidDel="00000000" w:rsidR="00000000" w:rsidRPr="00000000">
        <w:rPr>
          <w:rFonts w:ascii="Arial" w:cs="Arial" w:eastAsia="Arial" w:hAnsi="Arial"/>
          <w:rtl w:val="0"/>
        </w:rPr>
        <w:t xml:space="preserve">(6).</w:t>
      </w:r>
    </w:p>
    <w:p w:rsidR="00000000" w:rsidDel="00000000" w:rsidP="00000000" w:rsidRDefault="00000000" w:rsidRPr="00000000" w14:paraId="0000012C">
      <w:pPr>
        <w:spacing w:line="360" w:lineRule="auto"/>
        <w:rPr>
          <w:rFonts w:ascii="Arial" w:cs="Arial" w:eastAsia="Arial" w:hAnsi="Arial"/>
        </w:rPr>
      </w:pPr>
      <w:r w:rsidDel="00000000" w:rsidR="00000000" w:rsidRPr="00000000">
        <w:br w:type="page"/>
      </w:r>
      <w:r w:rsidDel="00000000" w:rsidR="00000000" w:rsidRPr="00000000">
        <w:rPr>
          <w:rtl w:val="0"/>
        </w:rPr>
      </w:r>
    </w:p>
    <w:p w:rsidR="00000000" w:rsidDel="00000000" w:rsidP="00000000" w:rsidRDefault="00000000" w:rsidRPr="00000000" w14:paraId="0000012D">
      <w:pPr>
        <w:pStyle w:val="Heading1"/>
        <w:rPr/>
      </w:pPr>
      <w:bookmarkStart w:colFirst="0" w:colLast="0" w:name="_xz92b1o9jnei" w:id="28"/>
      <w:bookmarkEnd w:id="28"/>
      <w:r w:rsidDel="00000000" w:rsidR="00000000" w:rsidRPr="00000000">
        <w:rPr>
          <w:rtl w:val="0"/>
        </w:rPr>
        <w:t xml:space="preserve">Appendixes</w:t>
      </w:r>
    </w:p>
    <w:p w:rsidR="00000000" w:rsidDel="00000000" w:rsidP="00000000" w:rsidRDefault="00000000" w:rsidRPr="00000000" w14:paraId="0000012E">
      <w:pPr>
        <w:spacing w:line="360" w:lineRule="auto"/>
        <w:jc w:val="both"/>
        <w:rPr>
          <w:rFonts w:ascii="Arial" w:cs="Arial" w:eastAsia="Arial" w:hAnsi="Arial"/>
          <w:b w:val="1"/>
          <w:bCs w:val="1"/>
        </w:rPr>
      </w:pPr>
      <w:r w:rsidDel="00000000" w:rsidR="00000000" w:rsidRPr="00000000">
        <w:rPr>
          <w:rFonts w:ascii="Arial" w:cs="Arial" w:eastAsia="Arial" w:hAnsi="Arial"/>
          <w:b w:val="1"/>
          <w:bCs w:val="1"/>
          <w:rtl w:val="0"/>
        </w:rPr>
        <w:t xml:space="preserve">Appendix A: Nykaa Company Profile</w:t>
      </w:r>
    </w:p>
    <w:tbl>
      <w:tblPr>
        <w:tblStyle w:val="Table4"/>
        <w:tblW w:w="9445.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2018"/>
        <w:gridCol w:w="7427"/>
        <w:tblGridChange w:id="0">
          <w:tblGrid>
            <w:gridCol w:w="2018"/>
            <w:gridCol w:w="7427"/>
          </w:tblGrid>
        </w:tblGridChange>
      </w:tblGrid>
      <w:tr>
        <w:trPr>
          <w:cantSplit w:val="0"/>
          <w:tblHeader w:val="0"/>
        </w:trPr>
        <w:tc>
          <w:tcPr/>
          <w:p w:rsidR="00000000" w:rsidDel="00000000" w:rsidP="00000000" w:rsidRDefault="00000000" w:rsidRPr="00000000" w14:paraId="0000012F">
            <w:pPr>
              <w:spacing w:after="160" w:line="360" w:lineRule="auto"/>
              <w:jc w:val="both"/>
              <w:rPr>
                <w:rFonts w:ascii="Arial" w:cs="Arial" w:eastAsia="Arial" w:hAnsi="Arial"/>
                <w:b w:val="1"/>
                <w:bCs w:val="1"/>
              </w:rPr>
            </w:pPr>
            <w:r w:rsidDel="00000000" w:rsidR="00000000" w:rsidRPr="00000000">
              <w:rPr>
                <w:rFonts w:ascii="Arial" w:cs="Arial" w:eastAsia="Arial" w:hAnsi="Arial"/>
                <w:b w:val="1"/>
                <w:bCs w:val="1"/>
                <w:rtl w:val="0"/>
              </w:rPr>
              <w:t xml:space="preserve">Item</w:t>
            </w:r>
          </w:p>
        </w:tc>
        <w:tc>
          <w:tcPr/>
          <w:p w:rsidR="00000000" w:rsidDel="00000000" w:rsidP="00000000" w:rsidRDefault="00000000" w:rsidRPr="00000000" w14:paraId="00000130">
            <w:pPr>
              <w:spacing w:after="160" w:line="360" w:lineRule="auto"/>
              <w:jc w:val="both"/>
              <w:rPr>
                <w:rFonts w:ascii="Arial" w:cs="Arial" w:eastAsia="Arial" w:hAnsi="Arial"/>
                <w:b w:val="1"/>
                <w:bCs w:val="1"/>
              </w:rPr>
            </w:pPr>
            <w:r w:rsidDel="00000000" w:rsidR="00000000" w:rsidRPr="00000000">
              <w:rPr>
                <w:rFonts w:ascii="Arial" w:cs="Arial" w:eastAsia="Arial" w:hAnsi="Arial"/>
                <w:b w:val="1"/>
                <w:bCs w:val="1"/>
                <w:rtl w:val="0"/>
              </w:rPr>
              <w:t xml:space="preserve">Details</w:t>
            </w:r>
          </w:p>
        </w:tc>
      </w:tr>
      <w:tr>
        <w:trPr>
          <w:cantSplit w:val="0"/>
          <w:tblHeader w:val="0"/>
        </w:trPr>
        <w:tc>
          <w:tcPr/>
          <w:p w:rsidR="00000000" w:rsidDel="00000000" w:rsidP="00000000" w:rsidRDefault="00000000" w:rsidRPr="00000000" w14:paraId="00000131">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Company</w:t>
            </w:r>
          </w:p>
        </w:tc>
        <w:tc>
          <w:tcPr/>
          <w:p w:rsidR="00000000" w:rsidDel="00000000" w:rsidP="00000000" w:rsidRDefault="00000000" w:rsidRPr="00000000" w14:paraId="00000132">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Nykaa (FSN E-Commerce Ventures Ltd.)</w:t>
            </w:r>
          </w:p>
        </w:tc>
      </w:tr>
      <w:tr>
        <w:trPr>
          <w:cantSplit w:val="0"/>
          <w:tblHeader w:val="0"/>
        </w:trPr>
        <w:tc>
          <w:tcPr/>
          <w:p w:rsidR="00000000" w:rsidDel="00000000" w:rsidP="00000000" w:rsidRDefault="00000000" w:rsidRPr="00000000" w14:paraId="00000133">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Founded</w:t>
            </w:r>
          </w:p>
        </w:tc>
        <w:tc>
          <w:tcPr/>
          <w:p w:rsidR="00000000" w:rsidDel="00000000" w:rsidP="00000000" w:rsidRDefault="00000000" w:rsidRPr="00000000" w14:paraId="00000134">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2012</w:t>
            </w:r>
          </w:p>
        </w:tc>
      </w:tr>
      <w:tr>
        <w:trPr>
          <w:cantSplit w:val="0"/>
          <w:tblHeader w:val="0"/>
        </w:trPr>
        <w:tc>
          <w:tcPr/>
          <w:p w:rsidR="00000000" w:rsidDel="00000000" w:rsidP="00000000" w:rsidRDefault="00000000" w:rsidRPr="00000000" w14:paraId="00000135">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Headquarters</w:t>
            </w:r>
          </w:p>
        </w:tc>
        <w:tc>
          <w:tcPr/>
          <w:p w:rsidR="00000000" w:rsidDel="00000000" w:rsidP="00000000" w:rsidRDefault="00000000" w:rsidRPr="00000000" w14:paraId="00000136">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Mumbai, India</w:t>
            </w:r>
          </w:p>
        </w:tc>
      </w:tr>
      <w:tr>
        <w:trPr>
          <w:cantSplit w:val="0"/>
          <w:tblHeader w:val="0"/>
        </w:trPr>
        <w:tc>
          <w:tcPr/>
          <w:p w:rsidR="00000000" w:rsidDel="00000000" w:rsidP="00000000" w:rsidRDefault="00000000" w:rsidRPr="00000000" w14:paraId="00000137">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Industry</w:t>
            </w:r>
          </w:p>
        </w:tc>
        <w:tc>
          <w:tcPr/>
          <w:p w:rsidR="00000000" w:rsidDel="00000000" w:rsidP="00000000" w:rsidRDefault="00000000" w:rsidRPr="00000000" w14:paraId="00000138">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Beauty, Cosmetics, Fashion &amp; Lifestyle Retail</w:t>
            </w:r>
          </w:p>
        </w:tc>
      </w:tr>
      <w:tr>
        <w:trPr>
          <w:cantSplit w:val="0"/>
          <w:tblHeader w:val="0"/>
        </w:trPr>
        <w:tc>
          <w:tcPr/>
          <w:p w:rsidR="00000000" w:rsidDel="00000000" w:rsidP="00000000" w:rsidRDefault="00000000" w:rsidRPr="00000000" w14:paraId="00000139">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Business Model</w:t>
            </w:r>
          </w:p>
        </w:tc>
        <w:tc>
          <w:tcPr/>
          <w:p w:rsidR="00000000" w:rsidDel="00000000" w:rsidP="00000000" w:rsidRDefault="00000000" w:rsidRPr="00000000" w14:paraId="0000013A">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Omnichannel (Online + Offline)</w:t>
            </w:r>
          </w:p>
        </w:tc>
      </w:tr>
      <w:tr>
        <w:trPr>
          <w:cantSplit w:val="0"/>
          <w:tblHeader w:val="0"/>
        </w:trPr>
        <w:tc>
          <w:tcPr/>
          <w:p w:rsidR="00000000" w:rsidDel="00000000" w:rsidP="00000000" w:rsidRDefault="00000000" w:rsidRPr="00000000" w14:paraId="0000013B">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Retail Stores</w:t>
            </w:r>
          </w:p>
        </w:tc>
        <w:tc>
          <w:tcPr/>
          <w:p w:rsidR="00000000" w:rsidDel="00000000" w:rsidP="00000000" w:rsidRDefault="00000000" w:rsidRPr="00000000" w14:paraId="0000013C">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230+</w:t>
            </w:r>
          </w:p>
        </w:tc>
      </w:tr>
      <w:tr>
        <w:trPr>
          <w:cantSplit w:val="0"/>
          <w:tblHeader w:val="0"/>
        </w:trPr>
        <w:tc>
          <w:tcPr/>
          <w:p w:rsidR="00000000" w:rsidDel="00000000" w:rsidP="00000000" w:rsidRDefault="00000000" w:rsidRPr="00000000" w14:paraId="0000013D">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Brands Available</w:t>
            </w:r>
          </w:p>
        </w:tc>
        <w:tc>
          <w:tcPr/>
          <w:p w:rsidR="00000000" w:rsidDel="00000000" w:rsidP="00000000" w:rsidRDefault="00000000" w:rsidRPr="00000000" w14:paraId="0000013E">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8,600+</w:t>
            </w:r>
          </w:p>
        </w:tc>
      </w:tr>
      <w:tr>
        <w:trPr>
          <w:cantSplit w:val="0"/>
          <w:tblHeader w:val="0"/>
        </w:trPr>
        <w:tc>
          <w:tcPr/>
          <w:p w:rsidR="00000000" w:rsidDel="00000000" w:rsidP="00000000" w:rsidRDefault="00000000" w:rsidRPr="00000000" w14:paraId="0000013F">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Product SKUs</w:t>
            </w:r>
          </w:p>
        </w:tc>
        <w:tc>
          <w:tcPr/>
          <w:p w:rsidR="00000000" w:rsidDel="00000000" w:rsidP="00000000" w:rsidRDefault="00000000" w:rsidRPr="00000000" w14:paraId="00000140">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6.9 Million+</w:t>
            </w:r>
          </w:p>
        </w:tc>
      </w:tr>
      <w:tr>
        <w:trPr>
          <w:cantSplit w:val="0"/>
          <w:tblHeader w:val="0"/>
        </w:trPr>
        <w:tc>
          <w:tcPr/>
          <w:p w:rsidR="00000000" w:rsidDel="00000000" w:rsidP="00000000" w:rsidRDefault="00000000" w:rsidRPr="00000000" w14:paraId="00000141">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Target Market</w:t>
            </w:r>
          </w:p>
        </w:tc>
        <w:tc>
          <w:tcPr/>
          <w:p w:rsidR="00000000" w:rsidDel="00000000" w:rsidP="00000000" w:rsidRDefault="00000000" w:rsidRPr="00000000" w14:paraId="00000142">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Premium and Mass Beauty Consumers</w:t>
            </w:r>
          </w:p>
        </w:tc>
      </w:tr>
    </w:tbl>
    <w:p w:rsidR="00000000" w:rsidDel="00000000" w:rsidP="00000000" w:rsidRDefault="00000000" w:rsidRPr="00000000" w14:paraId="00000143">
      <w:pPr>
        <w:spacing w:line="36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144">
      <w:pPr>
        <w:spacing w:line="360" w:lineRule="auto"/>
        <w:jc w:val="both"/>
        <w:rPr>
          <w:rFonts w:ascii="Arial" w:cs="Arial" w:eastAsia="Arial" w:hAnsi="Arial"/>
          <w:b w:val="1"/>
          <w:bCs w:val="1"/>
        </w:rPr>
      </w:pPr>
      <w:r w:rsidDel="00000000" w:rsidR="00000000" w:rsidRPr="00000000">
        <w:rPr>
          <w:rFonts w:ascii="Arial" w:cs="Arial" w:eastAsia="Arial" w:hAnsi="Arial"/>
          <w:b w:val="1"/>
          <w:bCs w:val="1"/>
          <w:rtl w:val="0"/>
        </w:rPr>
        <w:t xml:space="preserve">Appendix B: PESTEL Summary for Estonia</w:t>
      </w:r>
    </w:p>
    <w:tbl>
      <w:tblPr>
        <w:tblStyle w:val="Table5"/>
        <w:tblW w:w="9350.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1751"/>
        <w:gridCol w:w="4084"/>
        <w:gridCol w:w="3515"/>
        <w:tblGridChange w:id="0">
          <w:tblGrid>
            <w:gridCol w:w="1751"/>
            <w:gridCol w:w="4084"/>
            <w:gridCol w:w="3515"/>
          </w:tblGrid>
        </w:tblGridChange>
      </w:tblGrid>
      <w:tr>
        <w:trPr>
          <w:cantSplit w:val="0"/>
          <w:tblHeader w:val="0"/>
        </w:trPr>
        <w:tc>
          <w:tcPr/>
          <w:p w:rsidR="00000000" w:rsidDel="00000000" w:rsidP="00000000" w:rsidRDefault="00000000" w:rsidRPr="00000000" w14:paraId="00000145">
            <w:pPr>
              <w:spacing w:after="160" w:line="360" w:lineRule="auto"/>
              <w:jc w:val="both"/>
              <w:rPr>
                <w:rFonts w:ascii="Arial" w:cs="Arial" w:eastAsia="Arial" w:hAnsi="Arial"/>
                <w:b w:val="1"/>
                <w:bCs w:val="1"/>
              </w:rPr>
            </w:pPr>
            <w:r w:rsidDel="00000000" w:rsidR="00000000" w:rsidRPr="00000000">
              <w:rPr>
                <w:rFonts w:ascii="Arial" w:cs="Arial" w:eastAsia="Arial" w:hAnsi="Arial"/>
                <w:b w:val="1"/>
                <w:bCs w:val="1"/>
                <w:rtl w:val="0"/>
              </w:rPr>
              <w:t xml:space="preserve">Factor</w:t>
            </w:r>
          </w:p>
        </w:tc>
        <w:tc>
          <w:tcPr/>
          <w:p w:rsidR="00000000" w:rsidDel="00000000" w:rsidP="00000000" w:rsidRDefault="00000000" w:rsidRPr="00000000" w14:paraId="00000146">
            <w:pPr>
              <w:spacing w:after="160" w:line="360" w:lineRule="auto"/>
              <w:jc w:val="both"/>
              <w:rPr>
                <w:rFonts w:ascii="Arial" w:cs="Arial" w:eastAsia="Arial" w:hAnsi="Arial"/>
                <w:b w:val="1"/>
                <w:bCs w:val="1"/>
              </w:rPr>
            </w:pPr>
            <w:r w:rsidDel="00000000" w:rsidR="00000000" w:rsidRPr="00000000">
              <w:rPr>
                <w:rFonts w:ascii="Arial" w:cs="Arial" w:eastAsia="Arial" w:hAnsi="Arial"/>
                <w:b w:val="1"/>
                <w:bCs w:val="1"/>
                <w:rtl w:val="0"/>
              </w:rPr>
              <w:t xml:space="preserve">Key Findings</w:t>
            </w:r>
          </w:p>
        </w:tc>
        <w:tc>
          <w:tcPr/>
          <w:p w:rsidR="00000000" w:rsidDel="00000000" w:rsidP="00000000" w:rsidRDefault="00000000" w:rsidRPr="00000000" w14:paraId="00000147">
            <w:pPr>
              <w:spacing w:after="160" w:line="360" w:lineRule="auto"/>
              <w:jc w:val="both"/>
              <w:rPr>
                <w:rFonts w:ascii="Arial" w:cs="Arial" w:eastAsia="Arial" w:hAnsi="Arial"/>
                <w:b w:val="1"/>
                <w:bCs w:val="1"/>
              </w:rPr>
            </w:pPr>
            <w:r w:rsidDel="00000000" w:rsidR="00000000" w:rsidRPr="00000000">
              <w:rPr>
                <w:rFonts w:ascii="Arial" w:cs="Arial" w:eastAsia="Arial" w:hAnsi="Arial"/>
                <w:b w:val="1"/>
                <w:bCs w:val="1"/>
                <w:rtl w:val="0"/>
              </w:rPr>
              <w:t xml:space="preserve">Impact on Nykaa</w:t>
            </w:r>
          </w:p>
        </w:tc>
      </w:tr>
      <w:tr>
        <w:trPr>
          <w:cantSplit w:val="0"/>
          <w:tblHeader w:val="0"/>
        </w:trPr>
        <w:tc>
          <w:tcPr/>
          <w:p w:rsidR="00000000" w:rsidDel="00000000" w:rsidP="00000000" w:rsidRDefault="00000000" w:rsidRPr="00000000" w14:paraId="00000148">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Political</w:t>
            </w:r>
          </w:p>
        </w:tc>
        <w:tc>
          <w:tcPr/>
          <w:p w:rsidR="00000000" w:rsidDel="00000000" w:rsidP="00000000" w:rsidRDefault="00000000" w:rsidRPr="00000000" w14:paraId="00000149">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Stable democracy, EU member</w:t>
            </w:r>
          </w:p>
        </w:tc>
        <w:tc>
          <w:tcPr/>
          <w:p w:rsidR="00000000" w:rsidDel="00000000" w:rsidP="00000000" w:rsidRDefault="00000000" w:rsidRPr="00000000" w14:paraId="0000014A">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Low investment risk</w:t>
            </w:r>
          </w:p>
        </w:tc>
      </w:tr>
      <w:tr>
        <w:trPr>
          <w:cantSplit w:val="0"/>
          <w:tblHeader w:val="0"/>
        </w:trPr>
        <w:tc>
          <w:tcPr/>
          <w:p w:rsidR="00000000" w:rsidDel="00000000" w:rsidP="00000000" w:rsidRDefault="00000000" w:rsidRPr="00000000" w14:paraId="0000014B">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Economic</w:t>
            </w:r>
          </w:p>
        </w:tc>
        <w:tc>
          <w:tcPr/>
          <w:p w:rsidR="00000000" w:rsidDel="00000000" w:rsidP="00000000" w:rsidRDefault="00000000" w:rsidRPr="00000000" w14:paraId="0000014C">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High income economy</w:t>
            </w:r>
          </w:p>
        </w:tc>
        <w:tc>
          <w:tcPr/>
          <w:p w:rsidR="00000000" w:rsidDel="00000000" w:rsidP="00000000" w:rsidRDefault="00000000" w:rsidRPr="00000000" w14:paraId="0000014D">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Premium product demand</w:t>
            </w:r>
          </w:p>
        </w:tc>
      </w:tr>
      <w:tr>
        <w:trPr>
          <w:cantSplit w:val="0"/>
          <w:tblHeader w:val="0"/>
        </w:trPr>
        <w:tc>
          <w:tcPr/>
          <w:p w:rsidR="00000000" w:rsidDel="00000000" w:rsidP="00000000" w:rsidRDefault="00000000" w:rsidRPr="00000000" w14:paraId="0000014E">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Social</w:t>
            </w:r>
          </w:p>
        </w:tc>
        <w:tc>
          <w:tcPr/>
          <w:p w:rsidR="00000000" w:rsidDel="00000000" w:rsidP="00000000" w:rsidRDefault="00000000" w:rsidRPr="00000000" w14:paraId="0000014F">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Digital consumers</w:t>
            </w:r>
          </w:p>
        </w:tc>
        <w:tc>
          <w:tcPr/>
          <w:p w:rsidR="00000000" w:rsidDel="00000000" w:rsidP="00000000" w:rsidRDefault="00000000" w:rsidRPr="00000000" w14:paraId="00000150">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Supports online retail</w:t>
            </w:r>
          </w:p>
        </w:tc>
      </w:tr>
      <w:tr>
        <w:trPr>
          <w:cantSplit w:val="0"/>
          <w:tblHeader w:val="0"/>
        </w:trPr>
        <w:tc>
          <w:tcPr/>
          <w:p w:rsidR="00000000" w:rsidDel="00000000" w:rsidP="00000000" w:rsidRDefault="00000000" w:rsidRPr="00000000" w14:paraId="00000151">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Technological</w:t>
            </w:r>
          </w:p>
        </w:tc>
        <w:tc>
          <w:tcPr/>
          <w:p w:rsidR="00000000" w:rsidDel="00000000" w:rsidP="00000000" w:rsidRDefault="00000000" w:rsidRPr="00000000" w14:paraId="00000152">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93%+ internet penetration</w:t>
            </w:r>
          </w:p>
        </w:tc>
        <w:tc>
          <w:tcPr/>
          <w:p w:rsidR="00000000" w:rsidDel="00000000" w:rsidP="00000000" w:rsidRDefault="00000000" w:rsidRPr="00000000" w14:paraId="00000153">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Enables AI platform</w:t>
            </w:r>
          </w:p>
        </w:tc>
      </w:tr>
      <w:tr>
        <w:trPr>
          <w:cantSplit w:val="0"/>
          <w:tblHeader w:val="0"/>
        </w:trPr>
        <w:tc>
          <w:tcPr/>
          <w:p w:rsidR="00000000" w:rsidDel="00000000" w:rsidP="00000000" w:rsidRDefault="00000000" w:rsidRPr="00000000" w14:paraId="00000154">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Environmental</w:t>
            </w:r>
          </w:p>
        </w:tc>
        <w:tc>
          <w:tcPr/>
          <w:p w:rsidR="00000000" w:rsidDel="00000000" w:rsidP="00000000" w:rsidRDefault="00000000" w:rsidRPr="00000000" w14:paraId="00000155">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Strong sustainability policies</w:t>
            </w:r>
          </w:p>
        </w:tc>
        <w:tc>
          <w:tcPr/>
          <w:p w:rsidR="00000000" w:rsidDel="00000000" w:rsidP="00000000" w:rsidRDefault="00000000" w:rsidRPr="00000000" w14:paraId="00000156">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Eco-friendly packaging required</w:t>
            </w:r>
          </w:p>
        </w:tc>
      </w:tr>
      <w:tr>
        <w:trPr>
          <w:cantSplit w:val="0"/>
          <w:tblHeader w:val="0"/>
        </w:trPr>
        <w:tc>
          <w:tcPr/>
          <w:p w:rsidR="00000000" w:rsidDel="00000000" w:rsidP="00000000" w:rsidRDefault="00000000" w:rsidRPr="00000000" w14:paraId="00000157">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Legal</w:t>
            </w:r>
          </w:p>
        </w:tc>
        <w:tc>
          <w:tcPr/>
          <w:p w:rsidR="00000000" w:rsidDel="00000000" w:rsidP="00000000" w:rsidRDefault="00000000" w:rsidRPr="00000000" w14:paraId="00000158">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GDPR and EU Cosmetics Regulation</w:t>
            </w:r>
          </w:p>
        </w:tc>
        <w:tc>
          <w:tcPr/>
          <w:p w:rsidR="00000000" w:rsidDel="00000000" w:rsidP="00000000" w:rsidRDefault="00000000" w:rsidRPr="00000000" w14:paraId="00000159">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Compliance essential</w:t>
            </w:r>
          </w:p>
        </w:tc>
      </w:tr>
    </w:tbl>
    <w:p w:rsidR="00000000" w:rsidDel="00000000" w:rsidP="00000000" w:rsidRDefault="00000000" w:rsidRPr="00000000" w14:paraId="0000015A">
      <w:pPr>
        <w:spacing w:line="36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15B">
      <w:pPr>
        <w:spacing w:line="360" w:lineRule="auto"/>
        <w:jc w:val="both"/>
        <w:rPr>
          <w:rFonts w:ascii="Arial" w:cs="Arial" w:eastAsia="Arial" w:hAnsi="Arial"/>
          <w:b w:val="1"/>
          <w:bCs w:val="1"/>
        </w:rPr>
      </w:pPr>
      <w:r w:rsidDel="00000000" w:rsidR="00000000" w:rsidRPr="00000000">
        <w:rPr>
          <w:rFonts w:ascii="Arial" w:cs="Arial" w:eastAsia="Arial" w:hAnsi="Arial"/>
          <w:b w:val="1"/>
          <w:bCs w:val="1"/>
          <w:rtl w:val="0"/>
        </w:rPr>
        <w:t xml:space="preserve">Appendix C: Porter Diamond Model Summary</w:t>
      </w:r>
    </w:p>
    <w:tbl>
      <w:tblPr>
        <w:tblStyle w:val="Table6"/>
        <w:tblW w:w="9350.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2215"/>
        <w:gridCol w:w="3560"/>
        <w:gridCol w:w="3575"/>
        <w:tblGridChange w:id="0">
          <w:tblGrid>
            <w:gridCol w:w="2215"/>
            <w:gridCol w:w="3560"/>
            <w:gridCol w:w="3575"/>
          </w:tblGrid>
        </w:tblGridChange>
      </w:tblGrid>
      <w:tr>
        <w:trPr>
          <w:cantSplit w:val="0"/>
          <w:tblHeader w:val="0"/>
        </w:trPr>
        <w:tc>
          <w:tcPr/>
          <w:p w:rsidR="00000000" w:rsidDel="00000000" w:rsidP="00000000" w:rsidRDefault="00000000" w:rsidRPr="00000000" w14:paraId="0000015C">
            <w:pPr>
              <w:spacing w:after="160" w:line="360" w:lineRule="auto"/>
              <w:jc w:val="both"/>
              <w:rPr>
                <w:rFonts w:ascii="Arial" w:cs="Arial" w:eastAsia="Arial" w:hAnsi="Arial"/>
                <w:b w:val="1"/>
                <w:bCs w:val="1"/>
              </w:rPr>
            </w:pPr>
            <w:r w:rsidDel="00000000" w:rsidR="00000000" w:rsidRPr="00000000">
              <w:rPr>
                <w:rFonts w:ascii="Arial" w:cs="Arial" w:eastAsia="Arial" w:hAnsi="Arial"/>
                <w:b w:val="1"/>
                <w:bCs w:val="1"/>
                <w:rtl w:val="0"/>
              </w:rPr>
              <w:t xml:space="preserve">Dimension</w:t>
            </w:r>
          </w:p>
        </w:tc>
        <w:tc>
          <w:tcPr/>
          <w:p w:rsidR="00000000" w:rsidDel="00000000" w:rsidP="00000000" w:rsidRDefault="00000000" w:rsidRPr="00000000" w14:paraId="0000015D">
            <w:pPr>
              <w:spacing w:after="160" w:line="360" w:lineRule="auto"/>
              <w:jc w:val="both"/>
              <w:rPr>
                <w:rFonts w:ascii="Arial" w:cs="Arial" w:eastAsia="Arial" w:hAnsi="Arial"/>
                <w:b w:val="1"/>
                <w:bCs w:val="1"/>
              </w:rPr>
            </w:pPr>
            <w:r w:rsidDel="00000000" w:rsidR="00000000" w:rsidRPr="00000000">
              <w:rPr>
                <w:rFonts w:ascii="Arial" w:cs="Arial" w:eastAsia="Arial" w:hAnsi="Arial"/>
                <w:b w:val="1"/>
                <w:bCs w:val="1"/>
                <w:rtl w:val="0"/>
              </w:rPr>
              <w:t xml:space="preserve">Estonia Assessment</w:t>
            </w:r>
          </w:p>
        </w:tc>
        <w:tc>
          <w:tcPr/>
          <w:p w:rsidR="00000000" w:rsidDel="00000000" w:rsidP="00000000" w:rsidRDefault="00000000" w:rsidRPr="00000000" w14:paraId="0000015E">
            <w:pPr>
              <w:spacing w:after="160" w:line="360" w:lineRule="auto"/>
              <w:jc w:val="both"/>
              <w:rPr>
                <w:rFonts w:ascii="Arial" w:cs="Arial" w:eastAsia="Arial" w:hAnsi="Arial"/>
                <w:b w:val="1"/>
                <w:bCs w:val="1"/>
              </w:rPr>
            </w:pPr>
            <w:r w:rsidDel="00000000" w:rsidR="00000000" w:rsidRPr="00000000">
              <w:rPr>
                <w:rFonts w:ascii="Arial" w:cs="Arial" w:eastAsia="Arial" w:hAnsi="Arial"/>
                <w:b w:val="1"/>
                <w:bCs w:val="1"/>
                <w:rtl w:val="0"/>
              </w:rPr>
              <w:t xml:space="preserve">Application to Nykaa</w:t>
            </w:r>
          </w:p>
        </w:tc>
      </w:tr>
      <w:tr>
        <w:trPr>
          <w:cantSplit w:val="0"/>
          <w:tblHeader w:val="0"/>
        </w:trPr>
        <w:tc>
          <w:tcPr/>
          <w:p w:rsidR="00000000" w:rsidDel="00000000" w:rsidP="00000000" w:rsidRDefault="00000000" w:rsidRPr="00000000" w14:paraId="0000015F">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Factor Conditions</w:t>
            </w:r>
          </w:p>
        </w:tc>
        <w:tc>
          <w:tcPr/>
          <w:p w:rsidR="00000000" w:rsidDel="00000000" w:rsidP="00000000" w:rsidRDefault="00000000" w:rsidRPr="00000000" w14:paraId="00000160">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Excellent digital infrastructure</w:t>
            </w:r>
          </w:p>
        </w:tc>
        <w:tc>
          <w:tcPr/>
          <w:p w:rsidR="00000000" w:rsidDel="00000000" w:rsidP="00000000" w:rsidRDefault="00000000" w:rsidRPr="00000000" w14:paraId="00000161">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Supports omnichannel retail</w:t>
            </w:r>
          </w:p>
        </w:tc>
      </w:tr>
      <w:tr>
        <w:trPr>
          <w:cantSplit w:val="0"/>
          <w:tblHeader w:val="0"/>
        </w:trPr>
        <w:tc>
          <w:tcPr/>
          <w:p w:rsidR="00000000" w:rsidDel="00000000" w:rsidP="00000000" w:rsidRDefault="00000000" w:rsidRPr="00000000" w14:paraId="00000162">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Demand Conditions</w:t>
            </w:r>
          </w:p>
        </w:tc>
        <w:tc>
          <w:tcPr/>
          <w:p w:rsidR="00000000" w:rsidDel="00000000" w:rsidP="00000000" w:rsidRDefault="00000000" w:rsidRPr="00000000" w14:paraId="00000163">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Growing premium beauty demand</w:t>
            </w:r>
          </w:p>
        </w:tc>
        <w:tc>
          <w:tcPr/>
          <w:p w:rsidR="00000000" w:rsidDel="00000000" w:rsidP="00000000" w:rsidRDefault="00000000" w:rsidRPr="00000000" w14:paraId="00000164">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Attractive customer base</w:t>
            </w:r>
          </w:p>
        </w:tc>
      </w:tr>
      <w:tr>
        <w:trPr>
          <w:cantSplit w:val="0"/>
          <w:tblHeader w:val="0"/>
        </w:trPr>
        <w:tc>
          <w:tcPr/>
          <w:p w:rsidR="00000000" w:rsidDel="00000000" w:rsidP="00000000" w:rsidRDefault="00000000" w:rsidRPr="00000000" w14:paraId="00000165">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Related Industries</w:t>
            </w:r>
          </w:p>
        </w:tc>
        <w:tc>
          <w:tcPr/>
          <w:p w:rsidR="00000000" w:rsidDel="00000000" w:rsidP="00000000" w:rsidRDefault="00000000" w:rsidRPr="00000000" w14:paraId="00000166">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Strong logistics and fintech</w:t>
            </w:r>
          </w:p>
        </w:tc>
        <w:tc>
          <w:tcPr/>
          <w:p w:rsidR="00000000" w:rsidDel="00000000" w:rsidP="00000000" w:rsidRDefault="00000000" w:rsidRPr="00000000" w14:paraId="00000167">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Efficient supply chain</w:t>
            </w:r>
          </w:p>
        </w:tc>
      </w:tr>
      <w:tr>
        <w:trPr>
          <w:cantSplit w:val="0"/>
          <w:tblHeader w:val="0"/>
        </w:trPr>
        <w:tc>
          <w:tcPr/>
          <w:p w:rsidR="00000000" w:rsidDel="00000000" w:rsidP="00000000" w:rsidRDefault="00000000" w:rsidRPr="00000000" w14:paraId="00000168">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Firm Rivalry</w:t>
            </w:r>
          </w:p>
        </w:tc>
        <w:tc>
          <w:tcPr/>
          <w:p w:rsidR="00000000" w:rsidDel="00000000" w:rsidP="00000000" w:rsidRDefault="00000000" w:rsidRPr="00000000" w14:paraId="00000169">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Moderate competition</w:t>
            </w:r>
          </w:p>
        </w:tc>
        <w:tc>
          <w:tcPr/>
          <w:p w:rsidR="00000000" w:rsidDel="00000000" w:rsidP="00000000" w:rsidRDefault="00000000" w:rsidRPr="00000000" w14:paraId="0000016A">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Opportunity through differentiation</w:t>
            </w:r>
          </w:p>
        </w:tc>
      </w:tr>
    </w:tbl>
    <w:p w:rsidR="00000000" w:rsidDel="00000000" w:rsidP="00000000" w:rsidRDefault="00000000" w:rsidRPr="00000000" w14:paraId="0000016B">
      <w:pPr>
        <w:spacing w:line="36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16C">
      <w:pPr>
        <w:spacing w:line="360" w:lineRule="auto"/>
        <w:jc w:val="both"/>
        <w:rPr>
          <w:rFonts w:ascii="Arial" w:cs="Arial" w:eastAsia="Arial" w:hAnsi="Arial"/>
          <w:b w:val="1"/>
          <w:bCs w:val="1"/>
        </w:rPr>
      </w:pPr>
      <w:r w:rsidDel="00000000" w:rsidR="00000000" w:rsidRPr="00000000">
        <w:rPr>
          <w:rFonts w:ascii="Arial" w:cs="Arial" w:eastAsia="Arial" w:hAnsi="Arial"/>
          <w:b w:val="1"/>
          <w:bCs w:val="1"/>
          <w:rtl w:val="0"/>
        </w:rPr>
        <w:t xml:space="preserve">Appendix D: Hofstede Cultural Comparison</w:t>
      </w:r>
    </w:p>
    <w:tbl>
      <w:tblPr>
        <w:tblStyle w:val="Table7"/>
        <w:tblW w:w="9715.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2618"/>
        <w:gridCol w:w="1230"/>
        <w:gridCol w:w="1230"/>
        <w:gridCol w:w="4637"/>
        <w:tblGridChange w:id="0">
          <w:tblGrid>
            <w:gridCol w:w="2618"/>
            <w:gridCol w:w="1230"/>
            <w:gridCol w:w="1230"/>
            <w:gridCol w:w="4637"/>
          </w:tblGrid>
        </w:tblGridChange>
      </w:tblGrid>
      <w:tr>
        <w:trPr>
          <w:cantSplit w:val="0"/>
          <w:tblHeader w:val="0"/>
        </w:trPr>
        <w:tc>
          <w:tcPr/>
          <w:p w:rsidR="00000000" w:rsidDel="00000000" w:rsidP="00000000" w:rsidRDefault="00000000" w:rsidRPr="00000000" w14:paraId="0000016D">
            <w:pPr>
              <w:spacing w:after="160" w:line="360" w:lineRule="auto"/>
              <w:jc w:val="both"/>
              <w:rPr>
                <w:rFonts w:ascii="Arial" w:cs="Arial" w:eastAsia="Arial" w:hAnsi="Arial"/>
                <w:b w:val="1"/>
                <w:bCs w:val="1"/>
              </w:rPr>
            </w:pPr>
            <w:r w:rsidDel="00000000" w:rsidR="00000000" w:rsidRPr="00000000">
              <w:rPr>
                <w:rFonts w:ascii="Arial" w:cs="Arial" w:eastAsia="Arial" w:hAnsi="Arial"/>
                <w:b w:val="1"/>
                <w:bCs w:val="1"/>
                <w:rtl w:val="0"/>
              </w:rPr>
              <w:t xml:space="preserve">Dimension</w:t>
            </w:r>
          </w:p>
        </w:tc>
        <w:tc>
          <w:tcPr/>
          <w:p w:rsidR="00000000" w:rsidDel="00000000" w:rsidP="00000000" w:rsidRDefault="00000000" w:rsidRPr="00000000" w14:paraId="0000016E">
            <w:pPr>
              <w:spacing w:after="160" w:line="360" w:lineRule="auto"/>
              <w:jc w:val="both"/>
              <w:rPr>
                <w:rFonts w:ascii="Arial" w:cs="Arial" w:eastAsia="Arial" w:hAnsi="Arial"/>
                <w:b w:val="1"/>
                <w:bCs w:val="1"/>
              </w:rPr>
            </w:pPr>
            <w:r w:rsidDel="00000000" w:rsidR="00000000" w:rsidRPr="00000000">
              <w:rPr>
                <w:rFonts w:ascii="Arial" w:cs="Arial" w:eastAsia="Arial" w:hAnsi="Arial"/>
                <w:b w:val="1"/>
                <w:bCs w:val="1"/>
                <w:rtl w:val="0"/>
              </w:rPr>
              <w:t xml:space="preserve">India</w:t>
            </w:r>
          </w:p>
        </w:tc>
        <w:tc>
          <w:tcPr/>
          <w:p w:rsidR="00000000" w:rsidDel="00000000" w:rsidP="00000000" w:rsidRDefault="00000000" w:rsidRPr="00000000" w14:paraId="0000016F">
            <w:pPr>
              <w:spacing w:after="160" w:line="360" w:lineRule="auto"/>
              <w:jc w:val="both"/>
              <w:rPr>
                <w:rFonts w:ascii="Arial" w:cs="Arial" w:eastAsia="Arial" w:hAnsi="Arial"/>
                <w:b w:val="1"/>
                <w:bCs w:val="1"/>
              </w:rPr>
            </w:pPr>
            <w:r w:rsidDel="00000000" w:rsidR="00000000" w:rsidRPr="00000000">
              <w:rPr>
                <w:rFonts w:ascii="Arial" w:cs="Arial" w:eastAsia="Arial" w:hAnsi="Arial"/>
                <w:b w:val="1"/>
                <w:bCs w:val="1"/>
                <w:rtl w:val="0"/>
              </w:rPr>
              <w:t xml:space="preserve">Estonia</w:t>
            </w:r>
          </w:p>
        </w:tc>
        <w:tc>
          <w:tcPr/>
          <w:p w:rsidR="00000000" w:rsidDel="00000000" w:rsidP="00000000" w:rsidRDefault="00000000" w:rsidRPr="00000000" w14:paraId="00000170">
            <w:pPr>
              <w:spacing w:after="160" w:line="360" w:lineRule="auto"/>
              <w:jc w:val="both"/>
              <w:rPr>
                <w:rFonts w:ascii="Arial" w:cs="Arial" w:eastAsia="Arial" w:hAnsi="Arial"/>
                <w:b w:val="1"/>
                <w:bCs w:val="1"/>
              </w:rPr>
            </w:pPr>
            <w:r w:rsidDel="00000000" w:rsidR="00000000" w:rsidRPr="00000000">
              <w:rPr>
                <w:rFonts w:ascii="Arial" w:cs="Arial" w:eastAsia="Arial" w:hAnsi="Arial"/>
                <w:b w:val="1"/>
                <w:bCs w:val="1"/>
                <w:rtl w:val="0"/>
              </w:rPr>
              <w:t xml:space="preserve">Implication for Nykaa</w:t>
            </w:r>
          </w:p>
        </w:tc>
      </w:tr>
      <w:tr>
        <w:trPr>
          <w:cantSplit w:val="0"/>
          <w:tblHeader w:val="0"/>
        </w:trPr>
        <w:tc>
          <w:tcPr/>
          <w:p w:rsidR="00000000" w:rsidDel="00000000" w:rsidP="00000000" w:rsidRDefault="00000000" w:rsidRPr="00000000" w14:paraId="00000171">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Power Distance</w:t>
            </w:r>
          </w:p>
        </w:tc>
        <w:tc>
          <w:tcPr/>
          <w:p w:rsidR="00000000" w:rsidDel="00000000" w:rsidP="00000000" w:rsidRDefault="00000000" w:rsidRPr="00000000" w14:paraId="00000172">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High</w:t>
            </w:r>
          </w:p>
        </w:tc>
        <w:tc>
          <w:tcPr/>
          <w:p w:rsidR="00000000" w:rsidDel="00000000" w:rsidP="00000000" w:rsidRDefault="00000000" w:rsidRPr="00000000" w14:paraId="00000173">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Low</w:t>
            </w:r>
          </w:p>
        </w:tc>
        <w:tc>
          <w:tcPr/>
          <w:p w:rsidR="00000000" w:rsidDel="00000000" w:rsidP="00000000" w:rsidRDefault="00000000" w:rsidRPr="00000000" w14:paraId="00000174">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Transparent communication</w:t>
            </w:r>
          </w:p>
        </w:tc>
      </w:tr>
      <w:tr>
        <w:trPr>
          <w:cantSplit w:val="0"/>
          <w:tblHeader w:val="0"/>
        </w:trPr>
        <w:tc>
          <w:tcPr/>
          <w:p w:rsidR="00000000" w:rsidDel="00000000" w:rsidP="00000000" w:rsidRDefault="00000000" w:rsidRPr="00000000" w14:paraId="00000175">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Individualism</w:t>
            </w:r>
          </w:p>
        </w:tc>
        <w:tc>
          <w:tcPr/>
          <w:p w:rsidR="00000000" w:rsidDel="00000000" w:rsidP="00000000" w:rsidRDefault="00000000" w:rsidRPr="00000000" w14:paraId="00000176">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Low</w:t>
            </w:r>
          </w:p>
        </w:tc>
        <w:tc>
          <w:tcPr/>
          <w:p w:rsidR="00000000" w:rsidDel="00000000" w:rsidP="00000000" w:rsidRDefault="00000000" w:rsidRPr="00000000" w14:paraId="00000177">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High</w:t>
            </w:r>
          </w:p>
        </w:tc>
        <w:tc>
          <w:tcPr/>
          <w:p w:rsidR="00000000" w:rsidDel="00000000" w:rsidP="00000000" w:rsidRDefault="00000000" w:rsidRPr="00000000" w14:paraId="00000178">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Personalised marketing</w:t>
            </w:r>
          </w:p>
        </w:tc>
      </w:tr>
      <w:tr>
        <w:trPr>
          <w:cantSplit w:val="0"/>
          <w:tblHeader w:val="0"/>
        </w:trPr>
        <w:tc>
          <w:tcPr/>
          <w:p w:rsidR="00000000" w:rsidDel="00000000" w:rsidP="00000000" w:rsidRDefault="00000000" w:rsidRPr="00000000" w14:paraId="00000179">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Masculinity</w:t>
            </w:r>
          </w:p>
        </w:tc>
        <w:tc>
          <w:tcPr/>
          <w:p w:rsidR="00000000" w:rsidDel="00000000" w:rsidP="00000000" w:rsidRDefault="00000000" w:rsidRPr="00000000" w14:paraId="0000017A">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Moderate</w:t>
            </w:r>
          </w:p>
        </w:tc>
        <w:tc>
          <w:tcPr/>
          <w:p w:rsidR="00000000" w:rsidDel="00000000" w:rsidP="00000000" w:rsidRDefault="00000000" w:rsidRPr="00000000" w14:paraId="0000017B">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Low</w:t>
            </w:r>
          </w:p>
        </w:tc>
        <w:tc>
          <w:tcPr/>
          <w:p w:rsidR="00000000" w:rsidDel="00000000" w:rsidP="00000000" w:rsidRDefault="00000000" w:rsidRPr="00000000" w14:paraId="0000017C">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Focus on product quality</w:t>
            </w:r>
          </w:p>
        </w:tc>
      </w:tr>
      <w:tr>
        <w:trPr>
          <w:cantSplit w:val="0"/>
          <w:tblHeader w:val="0"/>
        </w:trPr>
        <w:tc>
          <w:tcPr/>
          <w:p w:rsidR="00000000" w:rsidDel="00000000" w:rsidP="00000000" w:rsidRDefault="00000000" w:rsidRPr="00000000" w14:paraId="0000017D">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Uncertainty Avoidance</w:t>
            </w:r>
          </w:p>
        </w:tc>
        <w:tc>
          <w:tcPr/>
          <w:p w:rsidR="00000000" w:rsidDel="00000000" w:rsidP="00000000" w:rsidRDefault="00000000" w:rsidRPr="00000000" w14:paraId="0000017E">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Moderate</w:t>
            </w:r>
          </w:p>
        </w:tc>
        <w:tc>
          <w:tcPr/>
          <w:p w:rsidR="00000000" w:rsidDel="00000000" w:rsidP="00000000" w:rsidRDefault="00000000" w:rsidRPr="00000000" w14:paraId="0000017F">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High</w:t>
            </w:r>
          </w:p>
        </w:tc>
        <w:tc>
          <w:tcPr/>
          <w:p w:rsidR="00000000" w:rsidDel="00000000" w:rsidP="00000000" w:rsidRDefault="00000000" w:rsidRPr="00000000" w14:paraId="00000180">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Build customer trust</w:t>
            </w:r>
          </w:p>
        </w:tc>
      </w:tr>
      <w:tr>
        <w:trPr>
          <w:cantSplit w:val="0"/>
          <w:tblHeader w:val="0"/>
        </w:trPr>
        <w:tc>
          <w:tcPr/>
          <w:p w:rsidR="00000000" w:rsidDel="00000000" w:rsidP="00000000" w:rsidRDefault="00000000" w:rsidRPr="00000000" w14:paraId="00000181">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Long-term Orientation</w:t>
            </w:r>
          </w:p>
        </w:tc>
        <w:tc>
          <w:tcPr/>
          <w:p w:rsidR="00000000" w:rsidDel="00000000" w:rsidP="00000000" w:rsidRDefault="00000000" w:rsidRPr="00000000" w14:paraId="00000182">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High</w:t>
            </w:r>
          </w:p>
        </w:tc>
        <w:tc>
          <w:tcPr/>
          <w:p w:rsidR="00000000" w:rsidDel="00000000" w:rsidP="00000000" w:rsidRDefault="00000000" w:rsidRPr="00000000" w14:paraId="00000183">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High</w:t>
            </w:r>
          </w:p>
        </w:tc>
        <w:tc>
          <w:tcPr/>
          <w:p w:rsidR="00000000" w:rsidDel="00000000" w:rsidP="00000000" w:rsidRDefault="00000000" w:rsidRPr="00000000" w14:paraId="00000184">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Sustainable strategy</w:t>
            </w:r>
          </w:p>
        </w:tc>
      </w:tr>
      <w:tr>
        <w:trPr>
          <w:cantSplit w:val="0"/>
          <w:tblHeader w:val="0"/>
        </w:trPr>
        <w:tc>
          <w:tcPr/>
          <w:p w:rsidR="00000000" w:rsidDel="00000000" w:rsidP="00000000" w:rsidRDefault="00000000" w:rsidRPr="00000000" w14:paraId="00000185">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Indulgence</w:t>
            </w:r>
          </w:p>
        </w:tc>
        <w:tc>
          <w:tcPr/>
          <w:p w:rsidR="00000000" w:rsidDel="00000000" w:rsidP="00000000" w:rsidRDefault="00000000" w:rsidRPr="00000000" w14:paraId="00000186">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Moderate</w:t>
            </w:r>
          </w:p>
        </w:tc>
        <w:tc>
          <w:tcPr/>
          <w:p w:rsidR="00000000" w:rsidDel="00000000" w:rsidP="00000000" w:rsidRDefault="00000000" w:rsidRPr="00000000" w14:paraId="00000187">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Moderate</w:t>
            </w:r>
          </w:p>
        </w:tc>
        <w:tc>
          <w:tcPr/>
          <w:p w:rsidR="00000000" w:rsidDel="00000000" w:rsidP="00000000" w:rsidRDefault="00000000" w:rsidRPr="00000000" w14:paraId="00000188">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Premium lifestyle products</w:t>
            </w:r>
          </w:p>
        </w:tc>
      </w:tr>
    </w:tbl>
    <w:p w:rsidR="00000000" w:rsidDel="00000000" w:rsidP="00000000" w:rsidRDefault="00000000" w:rsidRPr="00000000" w14:paraId="00000189">
      <w:pPr>
        <w:spacing w:line="36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18A">
      <w:pPr>
        <w:spacing w:line="360" w:lineRule="auto"/>
        <w:jc w:val="both"/>
        <w:rPr>
          <w:rFonts w:ascii="Arial" w:cs="Arial" w:eastAsia="Arial" w:hAnsi="Arial"/>
          <w:b w:val="1"/>
          <w:bCs w:val="1"/>
        </w:rPr>
      </w:pPr>
      <w:r w:rsidDel="00000000" w:rsidR="00000000" w:rsidRPr="00000000">
        <w:rPr>
          <w:rFonts w:ascii="Arial" w:cs="Arial" w:eastAsia="Arial" w:hAnsi="Arial"/>
          <w:b w:val="1"/>
          <w:bCs w:val="1"/>
          <w:rtl w:val="0"/>
        </w:rPr>
        <w:t xml:space="preserve">Appendix E: Market Attractiveness Matrix</w:t>
      </w:r>
    </w:p>
    <w:tbl>
      <w:tblPr>
        <w:tblStyle w:val="Table8"/>
        <w:tblW w:w="9715.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2684"/>
        <w:gridCol w:w="1590"/>
        <w:gridCol w:w="5441"/>
        <w:tblGridChange w:id="0">
          <w:tblGrid>
            <w:gridCol w:w="2684"/>
            <w:gridCol w:w="1590"/>
            <w:gridCol w:w="5441"/>
          </w:tblGrid>
        </w:tblGridChange>
      </w:tblGrid>
      <w:tr>
        <w:trPr>
          <w:cantSplit w:val="0"/>
          <w:tblHeader w:val="0"/>
        </w:trPr>
        <w:tc>
          <w:tcPr/>
          <w:p w:rsidR="00000000" w:rsidDel="00000000" w:rsidP="00000000" w:rsidRDefault="00000000" w:rsidRPr="00000000" w14:paraId="0000018B">
            <w:pPr>
              <w:spacing w:after="160" w:line="360" w:lineRule="auto"/>
              <w:jc w:val="both"/>
              <w:rPr>
                <w:rFonts w:ascii="Arial" w:cs="Arial" w:eastAsia="Arial" w:hAnsi="Arial"/>
                <w:b w:val="1"/>
                <w:bCs w:val="1"/>
              </w:rPr>
            </w:pPr>
            <w:r w:rsidDel="00000000" w:rsidR="00000000" w:rsidRPr="00000000">
              <w:rPr>
                <w:rFonts w:ascii="Arial" w:cs="Arial" w:eastAsia="Arial" w:hAnsi="Arial"/>
                <w:b w:val="1"/>
                <w:bCs w:val="1"/>
                <w:rtl w:val="0"/>
              </w:rPr>
              <w:t xml:space="preserve">Criteria</w:t>
            </w:r>
          </w:p>
        </w:tc>
        <w:tc>
          <w:tcPr/>
          <w:p w:rsidR="00000000" w:rsidDel="00000000" w:rsidP="00000000" w:rsidRDefault="00000000" w:rsidRPr="00000000" w14:paraId="0000018C">
            <w:pPr>
              <w:spacing w:after="160" w:line="360" w:lineRule="auto"/>
              <w:jc w:val="both"/>
              <w:rPr>
                <w:rFonts w:ascii="Arial" w:cs="Arial" w:eastAsia="Arial" w:hAnsi="Arial"/>
                <w:b w:val="1"/>
                <w:bCs w:val="1"/>
              </w:rPr>
            </w:pPr>
            <w:r w:rsidDel="00000000" w:rsidR="00000000" w:rsidRPr="00000000">
              <w:rPr>
                <w:rFonts w:ascii="Arial" w:cs="Arial" w:eastAsia="Arial" w:hAnsi="Arial"/>
                <w:b w:val="1"/>
                <w:bCs w:val="1"/>
                <w:rtl w:val="0"/>
              </w:rPr>
              <w:t xml:space="preserve">Rating (1–5)</w:t>
            </w:r>
          </w:p>
        </w:tc>
        <w:tc>
          <w:tcPr/>
          <w:p w:rsidR="00000000" w:rsidDel="00000000" w:rsidP="00000000" w:rsidRDefault="00000000" w:rsidRPr="00000000" w14:paraId="0000018D">
            <w:pPr>
              <w:spacing w:after="160" w:line="360" w:lineRule="auto"/>
              <w:jc w:val="both"/>
              <w:rPr>
                <w:rFonts w:ascii="Arial" w:cs="Arial" w:eastAsia="Arial" w:hAnsi="Arial"/>
                <w:b w:val="1"/>
                <w:bCs w:val="1"/>
              </w:rPr>
            </w:pPr>
            <w:r w:rsidDel="00000000" w:rsidR="00000000" w:rsidRPr="00000000">
              <w:rPr>
                <w:rFonts w:ascii="Arial" w:cs="Arial" w:eastAsia="Arial" w:hAnsi="Arial"/>
                <w:b w:val="1"/>
                <w:bCs w:val="1"/>
                <w:rtl w:val="0"/>
              </w:rPr>
              <w:t xml:space="preserve">Assessment</w:t>
            </w:r>
          </w:p>
        </w:tc>
      </w:tr>
      <w:tr>
        <w:trPr>
          <w:cantSplit w:val="0"/>
          <w:tblHeader w:val="0"/>
        </w:trPr>
        <w:tc>
          <w:tcPr/>
          <w:p w:rsidR="00000000" w:rsidDel="00000000" w:rsidP="00000000" w:rsidRDefault="00000000" w:rsidRPr="00000000" w14:paraId="0000018E">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Political Stability</w:t>
            </w:r>
          </w:p>
        </w:tc>
        <w:tc>
          <w:tcPr/>
          <w:p w:rsidR="00000000" w:rsidDel="00000000" w:rsidP="00000000" w:rsidRDefault="00000000" w:rsidRPr="00000000" w14:paraId="0000018F">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5</w:t>
            </w:r>
          </w:p>
        </w:tc>
        <w:tc>
          <w:tcPr/>
          <w:p w:rsidR="00000000" w:rsidDel="00000000" w:rsidP="00000000" w:rsidRDefault="00000000" w:rsidRPr="00000000" w14:paraId="00000190">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Excellent</w:t>
            </w:r>
          </w:p>
        </w:tc>
      </w:tr>
      <w:tr>
        <w:trPr>
          <w:cantSplit w:val="0"/>
          <w:tblHeader w:val="0"/>
        </w:trPr>
        <w:tc>
          <w:tcPr/>
          <w:p w:rsidR="00000000" w:rsidDel="00000000" w:rsidP="00000000" w:rsidRDefault="00000000" w:rsidRPr="00000000" w14:paraId="00000191">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Economic Environment</w:t>
            </w:r>
          </w:p>
        </w:tc>
        <w:tc>
          <w:tcPr/>
          <w:p w:rsidR="00000000" w:rsidDel="00000000" w:rsidP="00000000" w:rsidRDefault="00000000" w:rsidRPr="00000000" w14:paraId="00000192">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4</w:t>
            </w:r>
          </w:p>
        </w:tc>
        <w:tc>
          <w:tcPr/>
          <w:p w:rsidR="00000000" w:rsidDel="00000000" w:rsidP="00000000" w:rsidRDefault="00000000" w:rsidRPr="00000000" w14:paraId="00000193">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Strong</w:t>
            </w:r>
          </w:p>
        </w:tc>
      </w:tr>
      <w:tr>
        <w:trPr>
          <w:cantSplit w:val="0"/>
          <w:tblHeader w:val="0"/>
        </w:trPr>
        <w:tc>
          <w:tcPr/>
          <w:p w:rsidR="00000000" w:rsidDel="00000000" w:rsidP="00000000" w:rsidRDefault="00000000" w:rsidRPr="00000000" w14:paraId="00000194">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Legal Environment</w:t>
            </w:r>
          </w:p>
        </w:tc>
        <w:tc>
          <w:tcPr/>
          <w:p w:rsidR="00000000" w:rsidDel="00000000" w:rsidP="00000000" w:rsidRDefault="00000000" w:rsidRPr="00000000" w14:paraId="00000195">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4</w:t>
            </w:r>
          </w:p>
        </w:tc>
        <w:tc>
          <w:tcPr/>
          <w:p w:rsidR="00000000" w:rsidDel="00000000" w:rsidP="00000000" w:rsidRDefault="00000000" w:rsidRPr="00000000" w14:paraId="00000196">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Favourable</w:t>
            </w:r>
          </w:p>
        </w:tc>
      </w:tr>
      <w:tr>
        <w:trPr>
          <w:cantSplit w:val="0"/>
          <w:tblHeader w:val="0"/>
        </w:trPr>
        <w:tc>
          <w:tcPr/>
          <w:p w:rsidR="00000000" w:rsidDel="00000000" w:rsidP="00000000" w:rsidRDefault="00000000" w:rsidRPr="00000000" w14:paraId="00000197">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Digital Readiness</w:t>
            </w:r>
          </w:p>
        </w:tc>
        <w:tc>
          <w:tcPr/>
          <w:p w:rsidR="00000000" w:rsidDel="00000000" w:rsidP="00000000" w:rsidRDefault="00000000" w:rsidRPr="00000000" w14:paraId="00000198">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5</w:t>
            </w:r>
          </w:p>
        </w:tc>
        <w:tc>
          <w:tcPr/>
          <w:p w:rsidR="00000000" w:rsidDel="00000000" w:rsidP="00000000" w:rsidRDefault="00000000" w:rsidRPr="00000000" w14:paraId="00000199">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Excellent</w:t>
            </w:r>
          </w:p>
        </w:tc>
      </w:tr>
      <w:tr>
        <w:trPr>
          <w:cantSplit w:val="0"/>
          <w:tblHeader w:val="0"/>
        </w:trPr>
        <w:tc>
          <w:tcPr/>
          <w:p w:rsidR="00000000" w:rsidDel="00000000" w:rsidP="00000000" w:rsidRDefault="00000000" w:rsidRPr="00000000" w14:paraId="0000019A">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Beauty Market Growth</w:t>
            </w:r>
          </w:p>
        </w:tc>
        <w:tc>
          <w:tcPr/>
          <w:p w:rsidR="00000000" w:rsidDel="00000000" w:rsidP="00000000" w:rsidRDefault="00000000" w:rsidRPr="00000000" w14:paraId="0000019B">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4</w:t>
            </w:r>
          </w:p>
        </w:tc>
        <w:tc>
          <w:tcPr/>
          <w:p w:rsidR="00000000" w:rsidDel="00000000" w:rsidP="00000000" w:rsidRDefault="00000000" w:rsidRPr="00000000" w14:paraId="0000019C">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Attractive</w:t>
            </w:r>
          </w:p>
        </w:tc>
      </w:tr>
      <w:tr>
        <w:trPr>
          <w:cantSplit w:val="0"/>
          <w:tblHeader w:val="0"/>
        </w:trPr>
        <w:tc>
          <w:tcPr/>
          <w:p w:rsidR="00000000" w:rsidDel="00000000" w:rsidP="00000000" w:rsidRDefault="00000000" w:rsidRPr="00000000" w14:paraId="0000019D">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Competition</w:t>
            </w:r>
          </w:p>
        </w:tc>
        <w:tc>
          <w:tcPr/>
          <w:p w:rsidR="00000000" w:rsidDel="00000000" w:rsidP="00000000" w:rsidRDefault="00000000" w:rsidRPr="00000000" w14:paraId="0000019E">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3</w:t>
            </w:r>
          </w:p>
        </w:tc>
        <w:tc>
          <w:tcPr/>
          <w:p w:rsidR="00000000" w:rsidDel="00000000" w:rsidP="00000000" w:rsidRDefault="00000000" w:rsidRPr="00000000" w14:paraId="0000019F">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Moderate</w:t>
            </w:r>
          </w:p>
        </w:tc>
      </w:tr>
      <w:tr>
        <w:trPr>
          <w:cantSplit w:val="0"/>
          <w:tblHeader w:val="0"/>
        </w:trPr>
        <w:tc>
          <w:tcPr/>
          <w:p w:rsidR="00000000" w:rsidDel="00000000" w:rsidP="00000000" w:rsidRDefault="00000000" w:rsidRPr="00000000" w14:paraId="000001A0">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Overall Score</w:t>
            </w:r>
          </w:p>
        </w:tc>
        <w:tc>
          <w:tcPr/>
          <w:p w:rsidR="00000000" w:rsidDel="00000000" w:rsidP="00000000" w:rsidRDefault="00000000" w:rsidRPr="00000000" w14:paraId="000001A1">
            <w:pPr>
              <w:spacing w:after="160" w:line="360" w:lineRule="auto"/>
              <w:jc w:val="both"/>
              <w:rPr>
                <w:rFonts w:ascii="Arial" w:cs="Arial" w:eastAsia="Arial" w:hAnsi="Arial"/>
              </w:rPr>
            </w:pPr>
            <w:r w:rsidDel="00000000" w:rsidR="00000000" w:rsidRPr="00000000">
              <w:rPr>
                <w:rFonts w:ascii="Arial" w:cs="Arial" w:eastAsia="Arial" w:hAnsi="Arial"/>
                <w:b w:val="1"/>
                <w:bCs w:val="1"/>
                <w:rtl w:val="0"/>
              </w:rPr>
              <w:t xml:space="preserve">4.4/5</w:t>
            </w:r>
            <w:r w:rsidDel="00000000" w:rsidR="00000000" w:rsidRPr="00000000">
              <w:rPr>
                <w:rtl w:val="0"/>
              </w:rPr>
            </w:r>
          </w:p>
        </w:tc>
        <w:tc>
          <w:tcPr/>
          <w:p w:rsidR="00000000" w:rsidDel="00000000" w:rsidP="00000000" w:rsidRDefault="00000000" w:rsidRPr="00000000" w14:paraId="000001A2">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Highly Attractive</w:t>
            </w:r>
          </w:p>
        </w:tc>
      </w:tr>
    </w:tbl>
    <w:p w:rsidR="00000000" w:rsidDel="00000000" w:rsidP="00000000" w:rsidRDefault="00000000" w:rsidRPr="00000000" w14:paraId="000001A3">
      <w:pPr>
        <w:spacing w:line="36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1A4">
      <w:pPr>
        <w:spacing w:line="360" w:lineRule="auto"/>
        <w:jc w:val="both"/>
        <w:rPr>
          <w:rFonts w:ascii="Arial" w:cs="Arial" w:eastAsia="Arial" w:hAnsi="Arial"/>
          <w:b w:val="1"/>
          <w:bCs w:val="1"/>
        </w:rPr>
      </w:pPr>
      <w:r w:rsidDel="00000000" w:rsidR="00000000" w:rsidRPr="00000000">
        <w:rPr>
          <w:rFonts w:ascii="Arial" w:cs="Arial" w:eastAsia="Arial" w:hAnsi="Arial"/>
          <w:b w:val="1"/>
          <w:bCs w:val="1"/>
          <w:rtl w:val="0"/>
        </w:rPr>
        <w:t xml:space="preserve">Appendix F: OLI Framework Summary</w:t>
      </w:r>
    </w:p>
    <w:tbl>
      <w:tblPr>
        <w:tblStyle w:val="Table9"/>
        <w:tblW w:w="9715.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2016"/>
        <w:gridCol w:w="7699"/>
        <w:tblGridChange w:id="0">
          <w:tblGrid>
            <w:gridCol w:w="2016"/>
            <w:gridCol w:w="7699"/>
          </w:tblGrid>
        </w:tblGridChange>
      </w:tblGrid>
      <w:tr>
        <w:trPr>
          <w:cantSplit w:val="0"/>
          <w:tblHeader w:val="0"/>
        </w:trPr>
        <w:tc>
          <w:tcPr/>
          <w:p w:rsidR="00000000" w:rsidDel="00000000" w:rsidP="00000000" w:rsidRDefault="00000000" w:rsidRPr="00000000" w14:paraId="000001A5">
            <w:pPr>
              <w:spacing w:after="160" w:line="360" w:lineRule="auto"/>
              <w:jc w:val="both"/>
              <w:rPr>
                <w:rFonts w:ascii="Arial" w:cs="Arial" w:eastAsia="Arial" w:hAnsi="Arial"/>
                <w:b w:val="1"/>
                <w:bCs w:val="1"/>
              </w:rPr>
            </w:pPr>
            <w:r w:rsidDel="00000000" w:rsidR="00000000" w:rsidRPr="00000000">
              <w:rPr>
                <w:rFonts w:ascii="Arial" w:cs="Arial" w:eastAsia="Arial" w:hAnsi="Arial"/>
                <w:b w:val="1"/>
                <w:bCs w:val="1"/>
                <w:rtl w:val="0"/>
              </w:rPr>
              <w:t xml:space="preserve">OLI Component</w:t>
            </w:r>
          </w:p>
        </w:tc>
        <w:tc>
          <w:tcPr/>
          <w:p w:rsidR="00000000" w:rsidDel="00000000" w:rsidP="00000000" w:rsidRDefault="00000000" w:rsidRPr="00000000" w14:paraId="000001A6">
            <w:pPr>
              <w:spacing w:after="160" w:line="360" w:lineRule="auto"/>
              <w:jc w:val="both"/>
              <w:rPr>
                <w:rFonts w:ascii="Arial" w:cs="Arial" w:eastAsia="Arial" w:hAnsi="Arial"/>
                <w:b w:val="1"/>
                <w:bCs w:val="1"/>
              </w:rPr>
            </w:pPr>
            <w:r w:rsidDel="00000000" w:rsidR="00000000" w:rsidRPr="00000000">
              <w:rPr>
                <w:rFonts w:ascii="Arial" w:cs="Arial" w:eastAsia="Arial" w:hAnsi="Arial"/>
                <w:b w:val="1"/>
                <w:bCs w:val="1"/>
                <w:rtl w:val="0"/>
              </w:rPr>
              <w:t xml:space="preserve">Nykaa's Advantage</w:t>
            </w:r>
          </w:p>
        </w:tc>
      </w:tr>
      <w:tr>
        <w:trPr>
          <w:cantSplit w:val="0"/>
          <w:tblHeader w:val="0"/>
        </w:trPr>
        <w:tc>
          <w:tcPr/>
          <w:p w:rsidR="00000000" w:rsidDel="00000000" w:rsidP="00000000" w:rsidRDefault="00000000" w:rsidRPr="00000000" w14:paraId="000001A7">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Ownership</w:t>
            </w:r>
          </w:p>
        </w:tc>
        <w:tc>
          <w:tcPr/>
          <w:p w:rsidR="00000000" w:rsidDel="00000000" w:rsidP="00000000" w:rsidRDefault="00000000" w:rsidRPr="00000000" w14:paraId="000001A8">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Strong brand, AI platform, private labels</w:t>
            </w:r>
          </w:p>
        </w:tc>
      </w:tr>
      <w:tr>
        <w:trPr>
          <w:cantSplit w:val="0"/>
          <w:tblHeader w:val="0"/>
        </w:trPr>
        <w:tc>
          <w:tcPr/>
          <w:p w:rsidR="00000000" w:rsidDel="00000000" w:rsidP="00000000" w:rsidRDefault="00000000" w:rsidRPr="00000000" w14:paraId="000001A9">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Location</w:t>
            </w:r>
          </w:p>
        </w:tc>
        <w:tc>
          <w:tcPr/>
          <w:p w:rsidR="00000000" w:rsidDel="00000000" w:rsidP="00000000" w:rsidRDefault="00000000" w:rsidRPr="00000000" w14:paraId="000001AA">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EU access, digital economy, high purchasing power</w:t>
            </w:r>
          </w:p>
        </w:tc>
      </w:tr>
      <w:tr>
        <w:trPr>
          <w:cantSplit w:val="0"/>
          <w:tblHeader w:val="0"/>
        </w:trPr>
        <w:tc>
          <w:tcPr/>
          <w:p w:rsidR="00000000" w:rsidDel="00000000" w:rsidP="00000000" w:rsidRDefault="00000000" w:rsidRPr="00000000" w14:paraId="000001AB">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Internalisation</w:t>
            </w:r>
          </w:p>
        </w:tc>
        <w:tc>
          <w:tcPr/>
          <w:p w:rsidR="00000000" w:rsidDel="00000000" w:rsidP="00000000" w:rsidRDefault="00000000" w:rsidRPr="00000000" w14:paraId="000001AC">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Quality control, customer data, supply chain efficiency</w:t>
            </w:r>
          </w:p>
        </w:tc>
      </w:tr>
    </w:tbl>
    <w:p w:rsidR="00000000" w:rsidDel="00000000" w:rsidP="00000000" w:rsidRDefault="00000000" w:rsidRPr="00000000" w14:paraId="000001AD">
      <w:pPr>
        <w:spacing w:line="36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1AE">
      <w:pPr>
        <w:spacing w:line="360" w:lineRule="auto"/>
        <w:jc w:val="both"/>
        <w:rPr>
          <w:rFonts w:ascii="Arial" w:cs="Arial" w:eastAsia="Arial" w:hAnsi="Arial"/>
          <w:b w:val="1"/>
          <w:bCs w:val="1"/>
        </w:rPr>
      </w:pPr>
      <w:r w:rsidDel="00000000" w:rsidR="00000000" w:rsidRPr="00000000">
        <w:rPr>
          <w:rFonts w:ascii="Arial" w:cs="Arial" w:eastAsia="Arial" w:hAnsi="Arial"/>
          <w:b w:val="1"/>
          <w:bCs w:val="1"/>
          <w:rtl w:val="0"/>
        </w:rPr>
        <w:t xml:space="preserve">Appendix G: Entry Mode Comparison</w:t>
      </w:r>
    </w:p>
    <w:tbl>
      <w:tblPr>
        <w:tblStyle w:val="Table10"/>
        <w:tblW w:w="9985.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2951"/>
        <w:gridCol w:w="1484"/>
        <w:gridCol w:w="1070"/>
        <w:gridCol w:w="1070"/>
        <w:gridCol w:w="3410"/>
        <w:tblGridChange w:id="0">
          <w:tblGrid>
            <w:gridCol w:w="2951"/>
            <w:gridCol w:w="1484"/>
            <w:gridCol w:w="1070"/>
            <w:gridCol w:w="1070"/>
            <w:gridCol w:w="3410"/>
          </w:tblGrid>
        </w:tblGridChange>
      </w:tblGrid>
      <w:tr>
        <w:trPr>
          <w:cantSplit w:val="0"/>
          <w:tblHeader w:val="0"/>
        </w:trPr>
        <w:tc>
          <w:tcPr/>
          <w:p w:rsidR="00000000" w:rsidDel="00000000" w:rsidP="00000000" w:rsidRDefault="00000000" w:rsidRPr="00000000" w14:paraId="000001AF">
            <w:pPr>
              <w:spacing w:after="160" w:line="360" w:lineRule="auto"/>
              <w:jc w:val="both"/>
              <w:rPr>
                <w:rFonts w:ascii="Arial" w:cs="Arial" w:eastAsia="Arial" w:hAnsi="Arial"/>
                <w:b w:val="1"/>
                <w:bCs w:val="1"/>
              </w:rPr>
            </w:pPr>
            <w:r w:rsidDel="00000000" w:rsidR="00000000" w:rsidRPr="00000000">
              <w:rPr>
                <w:rFonts w:ascii="Arial" w:cs="Arial" w:eastAsia="Arial" w:hAnsi="Arial"/>
                <w:b w:val="1"/>
                <w:bCs w:val="1"/>
                <w:rtl w:val="0"/>
              </w:rPr>
              <w:t xml:space="preserve">Entry Mode</w:t>
            </w:r>
          </w:p>
        </w:tc>
        <w:tc>
          <w:tcPr/>
          <w:p w:rsidR="00000000" w:rsidDel="00000000" w:rsidP="00000000" w:rsidRDefault="00000000" w:rsidRPr="00000000" w14:paraId="000001B0">
            <w:pPr>
              <w:spacing w:after="160" w:line="360" w:lineRule="auto"/>
              <w:jc w:val="both"/>
              <w:rPr>
                <w:rFonts w:ascii="Arial" w:cs="Arial" w:eastAsia="Arial" w:hAnsi="Arial"/>
                <w:b w:val="1"/>
                <w:bCs w:val="1"/>
              </w:rPr>
            </w:pPr>
            <w:r w:rsidDel="00000000" w:rsidR="00000000" w:rsidRPr="00000000">
              <w:rPr>
                <w:rFonts w:ascii="Arial" w:cs="Arial" w:eastAsia="Arial" w:hAnsi="Arial"/>
                <w:b w:val="1"/>
                <w:bCs w:val="1"/>
                <w:rtl w:val="0"/>
              </w:rPr>
              <w:t xml:space="preserve">Investment</w:t>
            </w:r>
          </w:p>
        </w:tc>
        <w:tc>
          <w:tcPr/>
          <w:p w:rsidR="00000000" w:rsidDel="00000000" w:rsidP="00000000" w:rsidRDefault="00000000" w:rsidRPr="00000000" w14:paraId="000001B1">
            <w:pPr>
              <w:spacing w:after="160" w:line="360" w:lineRule="auto"/>
              <w:jc w:val="both"/>
              <w:rPr>
                <w:rFonts w:ascii="Arial" w:cs="Arial" w:eastAsia="Arial" w:hAnsi="Arial"/>
                <w:b w:val="1"/>
                <w:bCs w:val="1"/>
              </w:rPr>
            </w:pPr>
            <w:r w:rsidDel="00000000" w:rsidR="00000000" w:rsidRPr="00000000">
              <w:rPr>
                <w:rFonts w:ascii="Arial" w:cs="Arial" w:eastAsia="Arial" w:hAnsi="Arial"/>
                <w:b w:val="1"/>
                <w:bCs w:val="1"/>
                <w:rtl w:val="0"/>
              </w:rPr>
              <w:t xml:space="preserve">Control</w:t>
            </w:r>
          </w:p>
        </w:tc>
        <w:tc>
          <w:tcPr/>
          <w:p w:rsidR="00000000" w:rsidDel="00000000" w:rsidP="00000000" w:rsidRDefault="00000000" w:rsidRPr="00000000" w14:paraId="000001B2">
            <w:pPr>
              <w:spacing w:after="160" w:line="360" w:lineRule="auto"/>
              <w:jc w:val="both"/>
              <w:rPr>
                <w:rFonts w:ascii="Arial" w:cs="Arial" w:eastAsia="Arial" w:hAnsi="Arial"/>
                <w:b w:val="1"/>
                <w:bCs w:val="1"/>
              </w:rPr>
            </w:pPr>
            <w:r w:rsidDel="00000000" w:rsidR="00000000" w:rsidRPr="00000000">
              <w:rPr>
                <w:rFonts w:ascii="Arial" w:cs="Arial" w:eastAsia="Arial" w:hAnsi="Arial"/>
                <w:b w:val="1"/>
                <w:bCs w:val="1"/>
                <w:rtl w:val="0"/>
              </w:rPr>
              <w:t xml:space="preserve">Risk</w:t>
            </w:r>
          </w:p>
        </w:tc>
        <w:tc>
          <w:tcPr/>
          <w:p w:rsidR="00000000" w:rsidDel="00000000" w:rsidP="00000000" w:rsidRDefault="00000000" w:rsidRPr="00000000" w14:paraId="000001B3">
            <w:pPr>
              <w:spacing w:after="160" w:line="360" w:lineRule="auto"/>
              <w:jc w:val="both"/>
              <w:rPr>
                <w:rFonts w:ascii="Arial" w:cs="Arial" w:eastAsia="Arial" w:hAnsi="Arial"/>
                <w:b w:val="1"/>
                <w:bCs w:val="1"/>
              </w:rPr>
            </w:pPr>
            <w:r w:rsidDel="00000000" w:rsidR="00000000" w:rsidRPr="00000000">
              <w:rPr>
                <w:rFonts w:ascii="Arial" w:cs="Arial" w:eastAsia="Arial" w:hAnsi="Arial"/>
                <w:b w:val="1"/>
                <w:bCs w:val="1"/>
                <w:rtl w:val="0"/>
              </w:rPr>
              <w:t xml:space="preserve">Suitability</w:t>
            </w:r>
          </w:p>
        </w:tc>
      </w:tr>
      <w:tr>
        <w:trPr>
          <w:cantSplit w:val="0"/>
          <w:tblHeader w:val="0"/>
        </w:trPr>
        <w:tc>
          <w:tcPr/>
          <w:p w:rsidR="00000000" w:rsidDel="00000000" w:rsidP="00000000" w:rsidRDefault="00000000" w:rsidRPr="00000000" w14:paraId="000001B4">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Exporting</w:t>
            </w:r>
          </w:p>
        </w:tc>
        <w:tc>
          <w:tcPr/>
          <w:p w:rsidR="00000000" w:rsidDel="00000000" w:rsidP="00000000" w:rsidRDefault="00000000" w:rsidRPr="00000000" w14:paraId="000001B5">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Low</w:t>
            </w:r>
          </w:p>
        </w:tc>
        <w:tc>
          <w:tcPr/>
          <w:p w:rsidR="00000000" w:rsidDel="00000000" w:rsidP="00000000" w:rsidRDefault="00000000" w:rsidRPr="00000000" w14:paraId="000001B6">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Low</w:t>
            </w:r>
          </w:p>
        </w:tc>
        <w:tc>
          <w:tcPr/>
          <w:p w:rsidR="00000000" w:rsidDel="00000000" w:rsidP="00000000" w:rsidRDefault="00000000" w:rsidRPr="00000000" w14:paraId="000001B7">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Low</w:t>
            </w:r>
          </w:p>
        </w:tc>
        <w:tc>
          <w:tcPr/>
          <w:p w:rsidR="00000000" w:rsidDel="00000000" w:rsidP="00000000" w:rsidRDefault="00000000" w:rsidRPr="00000000" w14:paraId="000001B8">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Moderate</w:t>
            </w:r>
          </w:p>
        </w:tc>
      </w:tr>
      <w:tr>
        <w:trPr>
          <w:cantSplit w:val="0"/>
          <w:tblHeader w:val="0"/>
        </w:trPr>
        <w:tc>
          <w:tcPr/>
          <w:p w:rsidR="00000000" w:rsidDel="00000000" w:rsidP="00000000" w:rsidRDefault="00000000" w:rsidRPr="00000000" w14:paraId="000001B9">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Licensing</w:t>
            </w:r>
          </w:p>
        </w:tc>
        <w:tc>
          <w:tcPr/>
          <w:p w:rsidR="00000000" w:rsidDel="00000000" w:rsidP="00000000" w:rsidRDefault="00000000" w:rsidRPr="00000000" w14:paraId="000001BA">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Low</w:t>
            </w:r>
          </w:p>
        </w:tc>
        <w:tc>
          <w:tcPr/>
          <w:p w:rsidR="00000000" w:rsidDel="00000000" w:rsidP="00000000" w:rsidRDefault="00000000" w:rsidRPr="00000000" w14:paraId="000001BB">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Low</w:t>
            </w:r>
          </w:p>
        </w:tc>
        <w:tc>
          <w:tcPr/>
          <w:p w:rsidR="00000000" w:rsidDel="00000000" w:rsidP="00000000" w:rsidRDefault="00000000" w:rsidRPr="00000000" w14:paraId="000001BC">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Medium</w:t>
            </w:r>
          </w:p>
        </w:tc>
        <w:tc>
          <w:tcPr/>
          <w:p w:rsidR="00000000" w:rsidDel="00000000" w:rsidP="00000000" w:rsidRDefault="00000000" w:rsidRPr="00000000" w14:paraId="000001BD">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Moderate</w:t>
            </w:r>
          </w:p>
        </w:tc>
      </w:tr>
      <w:tr>
        <w:trPr>
          <w:cantSplit w:val="0"/>
          <w:tblHeader w:val="0"/>
        </w:trPr>
        <w:tc>
          <w:tcPr/>
          <w:p w:rsidR="00000000" w:rsidDel="00000000" w:rsidP="00000000" w:rsidRDefault="00000000" w:rsidRPr="00000000" w14:paraId="000001BE">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Franchising</w:t>
            </w:r>
          </w:p>
        </w:tc>
        <w:tc>
          <w:tcPr/>
          <w:p w:rsidR="00000000" w:rsidDel="00000000" w:rsidP="00000000" w:rsidRDefault="00000000" w:rsidRPr="00000000" w14:paraId="000001BF">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Medium</w:t>
            </w:r>
          </w:p>
        </w:tc>
        <w:tc>
          <w:tcPr/>
          <w:p w:rsidR="00000000" w:rsidDel="00000000" w:rsidP="00000000" w:rsidRDefault="00000000" w:rsidRPr="00000000" w14:paraId="000001C0">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Medium</w:t>
            </w:r>
          </w:p>
        </w:tc>
        <w:tc>
          <w:tcPr/>
          <w:p w:rsidR="00000000" w:rsidDel="00000000" w:rsidP="00000000" w:rsidRDefault="00000000" w:rsidRPr="00000000" w14:paraId="000001C1">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Medium</w:t>
            </w:r>
          </w:p>
        </w:tc>
        <w:tc>
          <w:tcPr/>
          <w:p w:rsidR="00000000" w:rsidDel="00000000" w:rsidP="00000000" w:rsidRDefault="00000000" w:rsidRPr="00000000" w14:paraId="000001C2">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Good</w:t>
            </w:r>
          </w:p>
        </w:tc>
      </w:tr>
      <w:tr>
        <w:trPr>
          <w:cantSplit w:val="0"/>
          <w:tblHeader w:val="0"/>
        </w:trPr>
        <w:tc>
          <w:tcPr/>
          <w:p w:rsidR="00000000" w:rsidDel="00000000" w:rsidP="00000000" w:rsidRDefault="00000000" w:rsidRPr="00000000" w14:paraId="000001C3">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Strategic Alliance</w:t>
            </w:r>
          </w:p>
        </w:tc>
        <w:tc>
          <w:tcPr/>
          <w:p w:rsidR="00000000" w:rsidDel="00000000" w:rsidP="00000000" w:rsidRDefault="00000000" w:rsidRPr="00000000" w14:paraId="000001C4">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Medium</w:t>
            </w:r>
          </w:p>
        </w:tc>
        <w:tc>
          <w:tcPr/>
          <w:p w:rsidR="00000000" w:rsidDel="00000000" w:rsidP="00000000" w:rsidRDefault="00000000" w:rsidRPr="00000000" w14:paraId="000001C5">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High</w:t>
            </w:r>
          </w:p>
        </w:tc>
        <w:tc>
          <w:tcPr/>
          <w:p w:rsidR="00000000" w:rsidDel="00000000" w:rsidP="00000000" w:rsidRDefault="00000000" w:rsidRPr="00000000" w14:paraId="000001C6">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Low</w:t>
            </w:r>
          </w:p>
        </w:tc>
        <w:tc>
          <w:tcPr/>
          <w:p w:rsidR="00000000" w:rsidDel="00000000" w:rsidP="00000000" w:rsidRDefault="00000000" w:rsidRPr="00000000" w14:paraId="000001C7">
            <w:pPr>
              <w:spacing w:after="160" w:line="360" w:lineRule="auto"/>
              <w:jc w:val="both"/>
              <w:rPr>
                <w:rFonts w:ascii="Arial" w:cs="Arial" w:eastAsia="Arial" w:hAnsi="Arial"/>
              </w:rPr>
            </w:pPr>
            <w:r w:rsidDel="00000000" w:rsidR="00000000" w:rsidRPr="00000000">
              <w:rPr>
                <w:rFonts w:ascii="Arial" w:cs="Arial" w:eastAsia="Arial" w:hAnsi="Arial"/>
                <w:b w:val="1"/>
                <w:bCs w:val="1"/>
                <w:rtl w:val="0"/>
              </w:rPr>
              <w:t xml:space="preserve">Best Choice</w:t>
            </w:r>
            <w:r w:rsidDel="00000000" w:rsidR="00000000" w:rsidRPr="00000000">
              <w:rPr>
                <w:rtl w:val="0"/>
              </w:rPr>
            </w:r>
          </w:p>
        </w:tc>
      </w:tr>
      <w:tr>
        <w:trPr>
          <w:cantSplit w:val="0"/>
          <w:tblHeader w:val="0"/>
        </w:trPr>
        <w:tc>
          <w:tcPr/>
          <w:p w:rsidR="00000000" w:rsidDel="00000000" w:rsidP="00000000" w:rsidRDefault="00000000" w:rsidRPr="00000000" w14:paraId="000001C8">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Joint Venture</w:t>
            </w:r>
          </w:p>
        </w:tc>
        <w:tc>
          <w:tcPr/>
          <w:p w:rsidR="00000000" w:rsidDel="00000000" w:rsidP="00000000" w:rsidRDefault="00000000" w:rsidRPr="00000000" w14:paraId="000001C9">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High</w:t>
            </w:r>
          </w:p>
        </w:tc>
        <w:tc>
          <w:tcPr/>
          <w:p w:rsidR="00000000" w:rsidDel="00000000" w:rsidP="00000000" w:rsidRDefault="00000000" w:rsidRPr="00000000" w14:paraId="000001CA">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Shared</w:t>
            </w:r>
          </w:p>
        </w:tc>
        <w:tc>
          <w:tcPr/>
          <w:p w:rsidR="00000000" w:rsidDel="00000000" w:rsidP="00000000" w:rsidRDefault="00000000" w:rsidRPr="00000000" w14:paraId="000001CB">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Medium</w:t>
            </w:r>
          </w:p>
        </w:tc>
        <w:tc>
          <w:tcPr/>
          <w:p w:rsidR="00000000" w:rsidDel="00000000" w:rsidP="00000000" w:rsidRDefault="00000000" w:rsidRPr="00000000" w14:paraId="000001CC">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Good</w:t>
            </w:r>
          </w:p>
        </w:tc>
      </w:tr>
      <w:tr>
        <w:trPr>
          <w:cantSplit w:val="0"/>
          <w:tblHeader w:val="0"/>
        </w:trPr>
        <w:tc>
          <w:tcPr/>
          <w:p w:rsidR="00000000" w:rsidDel="00000000" w:rsidP="00000000" w:rsidRDefault="00000000" w:rsidRPr="00000000" w14:paraId="000001CD">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Acquisition</w:t>
            </w:r>
          </w:p>
        </w:tc>
        <w:tc>
          <w:tcPr/>
          <w:p w:rsidR="00000000" w:rsidDel="00000000" w:rsidP="00000000" w:rsidRDefault="00000000" w:rsidRPr="00000000" w14:paraId="000001CE">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Very High</w:t>
            </w:r>
          </w:p>
        </w:tc>
        <w:tc>
          <w:tcPr/>
          <w:p w:rsidR="00000000" w:rsidDel="00000000" w:rsidP="00000000" w:rsidRDefault="00000000" w:rsidRPr="00000000" w14:paraId="000001CF">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High</w:t>
            </w:r>
          </w:p>
        </w:tc>
        <w:tc>
          <w:tcPr/>
          <w:p w:rsidR="00000000" w:rsidDel="00000000" w:rsidP="00000000" w:rsidRDefault="00000000" w:rsidRPr="00000000" w14:paraId="000001D0">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High</w:t>
            </w:r>
          </w:p>
        </w:tc>
        <w:tc>
          <w:tcPr/>
          <w:p w:rsidR="00000000" w:rsidDel="00000000" w:rsidP="00000000" w:rsidRDefault="00000000" w:rsidRPr="00000000" w14:paraId="000001D1">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Low</w:t>
            </w:r>
          </w:p>
        </w:tc>
      </w:tr>
      <w:tr>
        <w:trPr>
          <w:cantSplit w:val="0"/>
          <w:tblHeader w:val="0"/>
        </w:trPr>
        <w:tc>
          <w:tcPr/>
          <w:p w:rsidR="00000000" w:rsidDel="00000000" w:rsidP="00000000" w:rsidRDefault="00000000" w:rsidRPr="00000000" w14:paraId="000001D2">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Greenfield</w:t>
            </w:r>
          </w:p>
        </w:tc>
        <w:tc>
          <w:tcPr/>
          <w:p w:rsidR="00000000" w:rsidDel="00000000" w:rsidP="00000000" w:rsidRDefault="00000000" w:rsidRPr="00000000" w14:paraId="000001D3">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Very High</w:t>
            </w:r>
          </w:p>
        </w:tc>
        <w:tc>
          <w:tcPr/>
          <w:p w:rsidR="00000000" w:rsidDel="00000000" w:rsidP="00000000" w:rsidRDefault="00000000" w:rsidRPr="00000000" w14:paraId="000001D4">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Full</w:t>
            </w:r>
          </w:p>
        </w:tc>
        <w:tc>
          <w:tcPr/>
          <w:p w:rsidR="00000000" w:rsidDel="00000000" w:rsidP="00000000" w:rsidRDefault="00000000" w:rsidRPr="00000000" w14:paraId="000001D5">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High</w:t>
            </w:r>
          </w:p>
        </w:tc>
        <w:tc>
          <w:tcPr/>
          <w:p w:rsidR="00000000" w:rsidDel="00000000" w:rsidP="00000000" w:rsidRDefault="00000000" w:rsidRPr="00000000" w14:paraId="000001D6">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Low</w:t>
            </w:r>
          </w:p>
        </w:tc>
      </w:tr>
      <w:tr>
        <w:trPr>
          <w:cantSplit w:val="0"/>
          <w:tblHeader w:val="0"/>
        </w:trPr>
        <w:tc>
          <w:tcPr/>
          <w:p w:rsidR="00000000" w:rsidDel="00000000" w:rsidP="00000000" w:rsidRDefault="00000000" w:rsidRPr="00000000" w14:paraId="000001D7">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Wholly Owned Subsidiary</w:t>
            </w:r>
          </w:p>
        </w:tc>
        <w:tc>
          <w:tcPr/>
          <w:p w:rsidR="00000000" w:rsidDel="00000000" w:rsidP="00000000" w:rsidRDefault="00000000" w:rsidRPr="00000000" w14:paraId="000001D8">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High</w:t>
            </w:r>
          </w:p>
        </w:tc>
        <w:tc>
          <w:tcPr/>
          <w:p w:rsidR="00000000" w:rsidDel="00000000" w:rsidP="00000000" w:rsidRDefault="00000000" w:rsidRPr="00000000" w14:paraId="000001D9">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Full</w:t>
            </w:r>
          </w:p>
        </w:tc>
        <w:tc>
          <w:tcPr/>
          <w:p w:rsidR="00000000" w:rsidDel="00000000" w:rsidP="00000000" w:rsidRDefault="00000000" w:rsidRPr="00000000" w14:paraId="000001DA">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High</w:t>
            </w:r>
          </w:p>
        </w:tc>
        <w:tc>
          <w:tcPr/>
          <w:p w:rsidR="00000000" w:rsidDel="00000000" w:rsidP="00000000" w:rsidRDefault="00000000" w:rsidRPr="00000000" w14:paraId="000001DB">
            <w:pPr>
              <w:spacing w:after="160" w:line="360" w:lineRule="auto"/>
              <w:jc w:val="both"/>
              <w:rPr>
                <w:rFonts w:ascii="Arial" w:cs="Arial" w:eastAsia="Arial" w:hAnsi="Arial"/>
              </w:rPr>
            </w:pPr>
            <w:r w:rsidDel="00000000" w:rsidR="00000000" w:rsidRPr="00000000">
              <w:rPr>
                <w:rFonts w:ascii="Arial" w:cs="Arial" w:eastAsia="Arial" w:hAnsi="Arial"/>
                <w:rtl w:val="0"/>
              </w:rPr>
              <w:t xml:space="preserve">High (Long Term)</w:t>
            </w:r>
          </w:p>
        </w:tc>
      </w:tr>
    </w:tbl>
    <w:p w:rsidR="00000000" w:rsidDel="00000000" w:rsidP="00000000" w:rsidRDefault="00000000" w:rsidRPr="00000000" w14:paraId="000001DC">
      <w:pPr>
        <w:spacing w:line="36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1DD">
      <w:pPr>
        <w:spacing w:line="36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1DE">
      <w:pPr>
        <w:spacing w:line="360" w:lineRule="auto"/>
        <w:jc w:val="both"/>
        <w:rPr>
          <w:rFonts w:ascii="Arial" w:cs="Arial" w:eastAsia="Arial" w:hAnsi="Arial"/>
        </w:rPr>
      </w:pPr>
      <w:r w:rsidDel="00000000" w:rsidR="00000000" w:rsidRPr="00000000">
        <w:rPr>
          <w:rtl w:val="0"/>
        </w:rPr>
      </w:r>
    </w:p>
    <w:sectPr>
      <w:footerReference r:id="rId33" w:type="default"/>
      <w:pgSz w:h="15840" w:w="12240" w:orient="portrait"/>
      <w:pgMar w:bottom="1440" w:top="1440" w:left="1440" w:right="1440" w:header="720" w:footer="720"/>
      <w:pgNumType w:start="1"/>
      <w:titlePg w:val="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ptos"/>
  <w:font w:name="Arial"/>
  <w:font w:name="Play"/>
  <w:font w:name="Cambria Math"/>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1DF">
    <w:pPr>
      <w:pBdr>
        <w:top w:space="0" w:sz="0" w:val="nil"/>
        <w:left w:space="0" w:sz="0" w:val="nil"/>
        <w:bottom w:space="0" w:sz="0" w:val="nil"/>
        <w:right w:space="0" w:sz="0" w:val="nil"/>
        <w:between w:space="0" w:sz="0" w:val="nil"/>
      </w:pBdr>
      <w:tabs>
        <w:tab w:val="center" w:leader="none" w:pos="4680"/>
        <w:tab w:val="right" w:leader="none" w:pos="9360"/>
      </w:tabs>
      <w:spacing w:after="0" w:line="240" w:lineRule="auto"/>
      <w:jc w:val="right"/>
      <w:rPr>
        <w:color w:val="000000"/>
      </w:rPr>
    </w:pPr>
    <w:r w:rsidDel="00000000" w:rsidR="00000000" w:rsidRPr="00000000">
      <w:rPr>
        <w:color w:val="000000"/>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1E0">
    <w:pPr>
      <w:pBdr>
        <w:top w:space="0" w:sz="0" w:val="nil"/>
        <w:left w:space="0" w:sz="0" w:val="nil"/>
        <w:bottom w:space="0" w:sz="0" w:val="nil"/>
        <w:right w:space="0" w:sz="0" w:val="nil"/>
        <w:between w:space="0" w:sz="0" w:val="nil"/>
      </w:pBdr>
      <w:tabs>
        <w:tab w:val="center" w:leader="none" w:pos="4680"/>
        <w:tab w:val="right" w:leader="none" w:pos="9360"/>
      </w:tabs>
      <w:spacing w:after="0" w:line="240" w:lineRule="auto"/>
      <w:rPr>
        <w:color w:val="000000"/>
      </w:rPr>
    </w:pP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ptos" w:cs="Aptos" w:eastAsia="Aptos" w:hAnsi="Aptos"/>
        <w:sz w:val="24"/>
        <w:szCs w:val="24"/>
        <w:lang w:val="en"/>
      </w:rPr>
    </w:rPrDefault>
    <w:pPrDefault>
      <w:pPr>
        <w:spacing w:after="160" w:line="278.00000000000006" w:lineRule="auto"/>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spacing w:after="80" w:before="360" w:line="480" w:lineRule="auto"/>
      <w:jc w:val="both"/>
    </w:pPr>
    <w:rPr>
      <w:rFonts w:ascii="Arial" w:cs="Arial" w:eastAsia="Arial" w:hAnsi="Arial"/>
      <w:b w:val="1"/>
      <w:bCs w:val="1"/>
      <w:sz w:val="28"/>
      <w:szCs w:val="28"/>
    </w:rPr>
  </w:style>
  <w:style w:type="paragraph" w:styleId="Heading2">
    <w:name w:val="heading 2"/>
    <w:basedOn w:val="Normal"/>
    <w:next w:val="Normal"/>
    <w:pPr>
      <w:keepNext w:val="1"/>
      <w:keepLines w:val="1"/>
      <w:spacing w:after="80" w:before="160" w:line="480" w:lineRule="auto"/>
    </w:pPr>
    <w:rPr>
      <w:rFonts w:ascii="Arial" w:cs="Arial" w:eastAsia="Arial" w:hAnsi="Arial"/>
      <w:b w:val="1"/>
      <w:bCs w:val="1"/>
      <w:sz w:val="26"/>
      <w:szCs w:val="26"/>
    </w:rPr>
  </w:style>
  <w:style w:type="paragraph" w:styleId="Heading3">
    <w:name w:val="heading 3"/>
    <w:basedOn w:val="Normal"/>
    <w:next w:val="Normal"/>
    <w:pPr>
      <w:keepNext w:val="1"/>
      <w:keepLines w:val="1"/>
      <w:spacing w:after="80" w:before="160" w:lineRule="auto"/>
    </w:pPr>
    <w:rPr>
      <w:color w:val="0f4761"/>
      <w:sz w:val="28"/>
      <w:szCs w:val="28"/>
    </w:rPr>
  </w:style>
  <w:style w:type="paragraph" w:styleId="Heading4">
    <w:name w:val="heading 4"/>
    <w:basedOn w:val="Normal"/>
    <w:next w:val="Normal"/>
    <w:pPr>
      <w:keepNext w:val="1"/>
      <w:keepLines w:val="1"/>
      <w:spacing w:after="40" w:before="80" w:lineRule="auto"/>
    </w:pPr>
    <w:rPr>
      <w:i w:val="1"/>
      <w:iCs w:val="1"/>
      <w:color w:val="0f4761"/>
    </w:rPr>
  </w:style>
  <w:style w:type="paragraph" w:styleId="Heading5">
    <w:name w:val="heading 5"/>
    <w:basedOn w:val="Normal"/>
    <w:next w:val="Normal"/>
    <w:pPr>
      <w:keepNext w:val="1"/>
      <w:keepLines w:val="1"/>
      <w:spacing w:after="40" w:before="80" w:lineRule="auto"/>
    </w:pPr>
    <w:rPr>
      <w:color w:val="0f4761"/>
    </w:rPr>
  </w:style>
  <w:style w:type="paragraph" w:styleId="Heading6">
    <w:name w:val="heading 6"/>
    <w:basedOn w:val="Normal"/>
    <w:next w:val="Normal"/>
    <w:pPr>
      <w:keepNext w:val="1"/>
      <w:keepLines w:val="1"/>
      <w:spacing w:after="0" w:before="40" w:lineRule="auto"/>
    </w:pPr>
    <w:rPr>
      <w:i w:val="1"/>
      <w:iCs w:val="1"/>
      <w:color w:val="595959"/>
    </w:rPr>
  </w:style>
  <w:style w:type="paragraph" w:styleId="Title">
    <w:name w:val="Title"/>
    <w:basedOn w:val="Normal"/>
    <w:next w:val="Normal"/>
    <w:pPr>
      <w:spacing w:after="80" w:line="240" w:lineRule="auto"/>
    </w:pPr>
    <w:rPr>
      <w:rFonts w:ascii="Play" w:cs="Play" w:eastAsia="Play" w:hAnsi="Play"/>
      <w:sz w:val="56"/>
      <w:szCs w:val="56"/>
    </w:rPr>
  </w:style>
  <w:style w:type="paragraph" w:styleId="Subtitle">
    <w:name w:val="Subtitle"/>
    <w:basedOn w:val="Normal"/>
    <w:next w:val="Normal"/>
    <w:pPr/>
    <w:rPr>
      <w:color w:val="595959"/>
      <w:sz w:val="28"/>
      <w:szCs w:val="28"/>
    </w:rPr>
  </w:style>
  <w:style w:type="table" w:styleId="Table1">
    <w:basedOn w:val="TableNormal"/>
    <w:pPr>
      <w:spacing w:after="0" w:line="240" w:lineRule="auto"/>
    </w:pPr>
    <w:tblPr>
      <w:tblStyleRowBandSize w:val="1"/>
      <w:tblStyleColBandSize w:val="1"/>
      <w:tblCellMar>
        <w:top w:w="0.0" w:type="dxa"/>
        <w:left w:w="108.0" w:type="dxa"/>
        <w:bottom w:w="0.0" w:type="dxa"/>
        <w:right w:w="108.0" w:type="dxa"/>
      </w:tblCellMar>
    </w:tblPr>
  </w:style>
  <w:style w:type="table" w:styleId="Table2">
    <w:basedOn w:val="TableNormal"/>
    <w:pPr>
      <w:spacing w:after="0" w:line="240" w:lineRule="auto"/>
    </w:pPr>
    <w:tblPr>
      <w:tblStyleRowBandSize w:val="1"/>
      <w:tblStyleColBandSize w:val="1"/>
      <w:tblCellMar>
        <w:top w:w="0.0" w:type="dxa"/>
        <w:left w:w="108.0" w:type="dxa"/>
        <w:bottom w:w="0.0" w:type="dxa"/>
        <w:right w:w="108.0" w:type="dxa"/>
      </w:tblCellMar>
    </w:tblPr>
  </w:style>
  <w:style w:type="table" w:styleId="Table3">
    <w:basedOn w:val="TableNormal"/>
    <w:pPr>
      <w:spacing w:after="0" w:line="240" w:lineRule="auto"/>
    </w:pPr>
    <w:tblPr>
      <w:tblStyleRowBandSize w:val="1"/>
      <w:tblStyleColBandSize w:val="1"/>
      <w:tblCellMar>
        <w:top w:w="0.0" w:type="dxa"/>
        <w:left w:w="108.0" w:type="dxa"/>
        <w:bottom w:w="0.0" w:type="dxa"/>
        <w:right w:w="108.0" w:type="dxa"/>
      </w:tblCellMar>
    </w:tblPr>
  </w:style>
  <w:style w:type="table" w:styleId="Table4">
    <w:basedOn w:val="TableNormal"/>
    <w:pPr>
      <w:spacing w:after="0" w:line="240" w:lineRule="auto"/>
    </w:pPr>
    <w:tblPr>
      <w:tblStyleRowBandSize w:val="1"/>
      <w:tblStyleColBandSize w:val="1"/>
      <w:tblCellMar>
        <w:top w:w="0.0" w:type="dxa"/>
        <w:left w:w="108.0" w:type="dxa"/>
        <w:bottom w:w="0.0" w:type="dxa"/>
        <w:right w:w="108.0" w:type="dxa"/>
      </w:tblCellMar>
    </w:tblPr>
  </w:style>
  <w:style w:type="table" w:styleId="Table5">
    <w:basedOn w:val="TableNormal"/>
    <w:pPr>
      <w:spacing w:after="0" w:line="240" w:lineRule="auto"/>
    </w:pPr>
    <w:tblPr>
      <w:tblStyleRowBandSize w:val="1"/>
      <w:tblStyleColBandSize w:val="1"/>
      <w:tblCellMar>
        <w:top w:w="0.0" w:type="dxa"/>
        <w:left w:w="108.0" w:type="dxa"/>
        <w:bottom w:w="0.0" w:type="dxa"/>
        <w:right w:w="108.0" w:type="dxa"/>
      </w:tblCellMar>
    </w:tblPr>
  </w:style>
  <w:style w:type="table" w:styleId="Table6">
    <w:basedOn w:val="TableNormal"/>
    <w:pPr>
      <w:spacing w:after="0" w:line="240" w:lineRule="auto"/>
    </w:pPr>
    <w:tblPr>
      <w:tblStyleRowBandSize w:val="1"/>
      <w:tblStyleColBandSize w:val="1"/>
      <w:tblCellMar>
        <w:top w:w="0.0" w:type="dxa"/>
        <w:left w:w="108.0" w:type="dxa"/>
        <w:bottom w:w="0.0" w:type="dxa"/>
        <w:right w:w="108.0" w:type="dxa"/>
      </w:tblCellMar>
    </w:tblPr>
  </w:style>
  <w:style w:type="table" w:styleId="Table7">
    <w:basedOn w:val="TableNormal"/>
    <w:pPr>
      <w:spacing w:after="0" w:line="240" w:lineRule="auto"/>
    </w:pPr>
    <w:tblPr>
      <w:tblStyleRowBandSize w:val="1"/>
      <w:tblStyleColBandSize w:val="1"/>
      <w:tblCellMar>
        <w:top w:w="0.0" w:type="dxa"/>
        <w:left w:w="108.0" w:type="dxa"/>
        <w:bottom w:w="0.0" w:type="dxa"/>
        <w:right w:w="108.0" w:type="dxa"/>
      </w:tblCellMar>
    </w:tblPr>
  </w:style>
  <w:style w:type="table" w:styleId="Table8">
    <w:basedOn w:val="TableNormal"/>
    <w:pPr>
      <w:spacing w:after="0" w:line="240" w:lineRule="auto"/>
    </w:pPr>
    <w:tblPr>
      <w:tblStyleRowBandSize w:val="1"/>
      <w:tblStyleColBandSize w:val="1"/>
      <w:tblCellMar>
        <w:top w:w="0.0" w:type="dxa"/>
        <w:left w:w="108.0" w:type="dxa"/>
        <w:bottom w:w="0.0" w:type="dxa"/>
        <w:right w:w="108.0" w:type="dxa"/>
      </w:tblCellMar>
    </w:tblPr>
  </w:style>
  <w:style w:type="table" w:styleId="Table9">
    <w:basedOn w:val="TableNormal"/>
    <w:pPr>
      <w:spacing w:after="0" w:line="240" w:lineRule="auto"/>
    </w:pPr>
    <w:tblPr>
      <w:tblStyleRowBandSize w:val="1"/>
      <w:tblStyleColBandSize w:val="1"/>
      <w:tblCellMar>
        <w:top w:w="0.0" w:type="dxa"/>
        <w:left w:w="108.0" w:type="dxa"/>
        <w:bottom w:w="0.0" w:type="dxa"/>
        <w:right w:w="108.0" w:type="dxa"/>
      </w:tblCellMar>
    </w:tblPr>
  </w:style>
  <w:style w:type="table" w:styleId="Table10">
    <w:basedOn w:val="TableNormal"/>
    <w:pPr>
      <w:spacing w:after="0" w:line="240" w:lineRule="auto"/>
    </w:pPr>
    <w:tblPr>
      <w:tblStyleRowBandSize w:val="1"/>
      <w:tblStyleColBandSize w:val="1"/>
      <w:tblCellMar>
        <w:top w:w="0.0" w:type="dxa"/>
        <w:left w:w="108.0" w:type="dxa"/>
        <w:bottom w:w="0.0" w:type="dxa"/>
        <w:right w:w="108.0" w:type="dxa"/>
      </w:tblCellMar>
    </w:tblPr>
  </w:style>
</w:styles>
</file>

<file path=word/_rels/document.xml.rels><?xml version="1.0" encoding="UTF-8" standalone="yes"?><Relationships xmlns="http://schemas.openxmlformats.org/package/2006/relationships"><Relationship Id="rId20" Type="http://schemas.microsoft.com/office/2007/relationships/diagramDrawing" Target="diagrams/drawing1.xml"/><Relationship Id="rId22" Type="http://schemas.openxmlformats.org/officeDocument/2006/relationships/hyperlink" Target="https://www.ceicdata.com/en/indicator/estonia/gdp-per-capita" TargetMode="External"/><Relationship Id="rId21" Type="http://schemas.openxmlformats.org/officeDocument/2006/relationships/hyperlink" Target="https://www.aqa.org.uk/resources/business/as-and-a-level/business-7131-7132/teach/teaching-guide-bartlett-and-ghoshals-international-multi-domestic-transnational-and-global-strategies" TargetMode="External"/><Relationship Id="rId24" Type="http://schemas.openxmlformats.org/officeDocument/2006/relationships/hyperlink" Target="https://data.worldbank.org/indicator/NY.GDP.MKTP.CD?locations=EE" TargetMode="External"/><Relationship Id="rId23" Type="http://schemas.openxmlformats.org/officeDocument/2006/relationships/hyperlink" Target="https://corporatefinanceinstitute.com/resources/management/eclectic-paradigm/" TargetMode="External"/><Relationship Id="rId1" Type="http://schemas.openxmlformats.org/officeDocument/2006/relationships/diagramColors" Target="diagrams/colors1.xml"/><Relationship Id="rId2" Type="http://schemas.openxmlformats.org/officeDocument/2006/relationships/diagramData" Target="diagrams/data1.xml"/><Relationship Id="rId3" Type="http://schemas.openxmlformats.org/officeDocument/2006/relationships/diagramLayout" Target="diagrams/layout1.xml"/><Relationship Id="rId4" Type="http://schemas.openxmlformats.org/officeDocument/2006/relationships/diagramQuickStyle" Target="diagrams/quickStyle1.xml"/><Relationship Id="rId9" Type="http://schemas.openxmlformats.org/officeDocument/2006/relationships/styles" Target="styles.xml"/><Relationship Id="rId26" Type="http://schemas.openxmlformats.org/officeDocument/2006/relationships/hyperlink" Target="https://www.marketresearch.com/seek/Cosmetics-Personal-Care-Estonia/113/1286/1.html" TargetMode="External"/><Relationship Id="rId25" Type="http://schemas.openxmlformats.org/officeDocument/2006/relationships/hyperlink" Target="https://market.us/report/online-beauty-and-personal-care-product-market/" TargetMode="External"/><Relationship Id="rId28" Type="http://schemas.openxmlformats.org/officeDocument/2006/relationships/hyperlink" Target="https://entrackr.com/news/nykaa-posts-rs-2267-cr-revenue-in-q3-fy25-profit-soars-52-8707485" TargetMode="External"/><Relationship Id="rId27" Type="http://schemas.openxmlformats.org/officeDocument/2006/relationships/hyperlink" Target="https://www.mordorintelligence.com/industry-reports/estonia-ecommerce-market" TargetMode="External"/><Relationship Id="rId5" Type="http://schemas.openxmlformats.org/officeDocument/2006/relationships/theme" Target="theme/theme1.xml"/><Relationship Id="rId6" Type="http://schemas.openxmlformats.org/officeDocument/2006/relationships/settings" Target="settings.xml"/><Relationship Id="rId29" Type="http://schemas.openxmlformats.org/officeDocument/2006/relationships/hyperlink" Target="https://www.nykaa.com/investor-relations/lp" TargetMode="External"/><Relationship Id="rId7" Type="http://schemas.openxmlformats.org/officeDocument/2006/relationships/fontTable" Target="fontTable.xml"/><Relationship Id="rId8" Type="http://schemas.openxmlformats.org/officeDocument/2006/relationships/numbering" Target="numbering.xml"/><Relationship Id="rId31" Type="http://schemas.openxmlformats.org/officeDocument/2006/relationships/hyperlink" Target="https://theintactone.com/2019/07/06/im-u2-topic-12-international-market-entry-strategies-different-entry-modes-and-market-entry-strategies/" TargetMode="External"/><Relationship Id="rId30" Type="http://schemas.openxmlformats.org/officeDocument/2006/relationships/hyperlink" Target="https://www.theculturefactor.com/country-comparison-tool?countries=estonia%2Cindia" TargetMode="External"/><Relationship Id="rId11" Type="http://schemas.openxmlformats.org/officeDocument/2006/relationships/image" Target="media/image1.png"/><Relationship Id="rId33" Type="http://schemas.openxmlformats.org/officeDocument/2006/relationships/footer" Target="footer1.xml"/><Relationship Id="rId10" Type="http://schemas.openxmlformats.org/officeDocument/2006/relationships/image" Target="media/image2.png"/><Relationship Id="rId32" Type="http://schemas.openxmlformats.org/officeDocument/2006/relationships/hyperlink" Target="https://drvidyahattangadi.com/what-is-porters-diamond-model/" TargetMode="External"/><Relationship Id="rId13" Type="http://schemas.openxmlformats.org/officeDocument/2006/relationships/image" Target="media/image4.png"/><Relationship Id="rId12" Type="http://schemas.openxmlformats.org/officeDocument/2006/relationships/image" Target="media/image5.png"/><Relationship Id="rId15" Type="http://schemas.openxmlformats.org/officeDocument/2006/relationships/image" Target="media/image6.png"/><Relationship Id="rId14" Type="http://schemas.openxmlformats.org/officeDocument/2006/relationships/image" Target="media/image7.png"/><Relationship Id="rId17" Type="http://schemas.openxmlformats.org/officeDocument/2006/relationships/image" Target="media/image8.png"/><Relationship Id="rId16" Type="http://schemas.openxmlformats.org/officeDocument/2006/relationships/image" Target="media/image9.png"/><Relationship Id="rId19" Type="http://schemas.openxmlformats.org/officeDocument/2006/relationships/image" Target="media/image11.png"/><Relationship Id="rId18" Type="http://schemas.openxmlformats.org/officeDocument/2006/relationships/image" Target="media/image12.png"/></Relationships>
</file>

<file path=word/diagrams/_rels/data1.xml.rels><?xml version="1.0" encoding="UTF-8" standalone="yes"?><Relationships xmlns="http://schemas.openxmlformats.org/package/2006/relationships"><Relationship Id="rId11" Type="http://schemas.openxmlformats.org/officeDocument/2006/relationships/image" Target="../media/image1.png"/><Relationship Id="rId10" Type="http://schemas.openxmlformats.org/officeDocument/2006/relationships/image" Target="../media/image2.png"/><Relationship Id="rId13" Type="http://schemas.openxmlformats.org/officeDocument/2006/relationships/image" Target="../media/image4.png"/><Relationship Id="rId12" Type="http://schemas.openxmlformats.org/officeDocument/2006/relationships/image" Target="../media/image5.png"/><Relationship Id="rId15" Type="http://schemas.openxmlformats.org/officeDocument/2006/relationships/image" Target="../media/image6.png"/><Relationship Id="rId14" Type="http://schemas.openxmlformats.org/officeDocument/2006/relationships/image" Target="../media/image7.png"/><Relationship Id="rId17" Type="http://schemas.openxmlformats.org/officeDocument/2006/relationships/image" Target="../media/image8.png"/><Relationship Id="rId16" Type="http://schemas.openxmlformats.org/officeDocument/2006/relationships/image" Target="../media/image9.png"/><Relationship Id="rId19" Type="http://schemas.openxmlformats.org/officeDocument/2006/relationships/image" Target="../media/image11.png"/><Relationship Id="rId18" Type="http://schemas.openxmlformats.org/officeDocument/2006/relationships/image" Target="../media/image12.png"/></Relationships>
</file>

<file path=word/diagrams/colors1.xml><?xml version="1.0" encoding="utf-8"?>
<dgm:colorsDef xmlns:dgm="http://schemas.openxmlformats.org/drawingml/2006/diagram" xmlns:a="http://schemas.openxmlformats.org/drawingml/2006/main" uniqueId="urn:microsoft.com/office/officeart/2005/8/colors/accent5_1">
  <dgm:title val=""/>
  <dgm:desc val=""/>
  <dgm:catLst>
    <dgm:cat type="accent5" pri="11100"/>
  </dgm:catLst>
  <dgm:styleLbl name="node0">
    <dgm:fillClrLst meth="repeat">
      <a:schemeClr val="lt1"/>
    </dgm:fillClrLst>
    <dgm:linClrLst meth="repeat">
      <a:schemeClr val="accent5">
        <a:shade val="80000"/>
      </a:schemeClr>
    </dgm:linClrLst>
    <dgm:effectClrLst/>
    <dgm:txLinClrLst/>
    <dgm:txFillClrLst meth="repeat">
      <a:schemeClr val="dk1"/>
    </dgm:txFillClrLst>
    <dgm:txEffectClrLst/>
  </dgm:styleLbl>
  <dgm:styleLbl name="node1">
    <dgm:fillClrLst meth="repeat">
      <a:schemeClr val="lt1"/>
    </dgm:fillClrLst>
    <dgm:linClrLst meth="repeat">
      <a:schemeClr val="accent5">
        <a:shade val="80000"/>
      </a:schemeClr>
    </dgm:linClrLst>
    <dgm:effectClrLst/>
    <dgm:txLinClrLst/>
    <dgm:txFillClrLst meth="repeat">
      <a:schemeClr val="dk1"/>
    </dgm:txFillClrLst>
    <dgm:txEffectClrLst/>
  </dgm:styleLbl>
  <dgm:styleLbl name="alignNode1">
    <dgm:fillClrLst meth="repeat">
      <a:schemeClr val="lt1"/>
    </dgm:fillClrLst>
    <dgm:linClrLst meth="repeat">
      <a:schemeClr val="accent5">
        <a:shade val="80000"/>
      </a:schemeClr>
    </dgm:linClrLst>
    <dgm:effectClrLst/>
    <dgm:txLinClrLst/>
    <dgm:txFillClrLst meth="repeat">
      <a:schemeClr val="dk1"/>
    </dgm:txFillClrLst>
    <dgm:txEffectClrLst/>
  </dgm:styleLbl>
  <dgm:styleLbl name="lnNode1">
    <dgm:fillClrLst meth="repeat">
      <a:schemeClr val="lt1"/>
    </dgm:fillClrLst>
    <dgm:linClrLst meth="repeat">
      <a:schemeClr val="accent5">
        <a:shade val="80000"/>
      </a:schemeClr>
    </dgm:linClrLst>
    <dgm:effectClrLst/>
    <dgm:txLinClrLst/>
    <dgm:txFillClrLst meth="repeat">
      <a:schemeClr val="dk1"/>
    </dgm:txFillClrLst>
    <dgm:txEffectClrLst/>
  </dgm:styleLbl>
  <dgm:styleLbl name="vennNode1">
    <dgm:fillClrLst meth="repeat">
      <a:schemeClr val="lt1">
        <a:alpha val="50000"/>
      </a:schemeClr>
    </dgm:fillClrLst>
    <dgm:linClrLst meth="repeat">
      <a:schemeClr val="accent5">
        <a:shade val="80000"/>
      </a:schemeClr>
    </dgm:linClrLst>
    <dgm:effectClrLst/>
    <dgm:txLinClrLst/>
    <dgm:txFillClrLst/>
    <dgm:txEffectClrLst/>
  </dgm:styleLbl>
  <dgm:styleLbl name="node2">
    <dgm:fillClrLst meth="repeat">
      <a:schemeClr val="lt1"/>
    </dgm:fillClrLst>
    <dgm:linClrLst meth="repeat">
      <a:schemeClr val="accent5">
        <a:shade val="80000"/>
      </a:schemeClr>
    </dgm:linClrLst>
    <dgm:effectClrLst/>
    <dgm:txLinClrLst/>
    <dgm:txFillClrLst meth="repeat">
      <a:schemeClr val="dk1"/>
    </dgm:txFillClrLst>
    <dgm:txEffectClrLst/>
  </dgm:styleLbl>
  <dgm:styleLbl name="node3">
    <dgm:fillClrLst meth="repeat">
      <a:schemeClr val="lt1"/>
    </dgm:fillClrLst>
    <dgm:linClrLst meth="repeat">
      <a:schemeClr val="accent5">
        <a:shade val="80000"/>
      </a:schemeClr>
    </dgm:linClrLst>
    <dgm:effectClrLst/>
    <dgm:txLinClrLst/>
    <dgm:txFillClrLst meth="repeat">
      <a:schemeClr val="dk1"/>
    </dgm:txFillClrLst>
    <dgm:txEffectClrLst/>
  </dgm:styleLbl>
  <dgm:styleLbl name="node4">
    <dgm:fillClrLst meth="repeat">
      <a:schemeClr val="lt1"/>
    </dgm:fillClrLst>
    <dgm:linClrLst meth="repeat">
      <a:schemeClr val="accent5">
        <a:shade val="80000"/>
      </a:schemeClr>
    </dgm:linClrLst>
    <dgm:effectClrLst/>
    <dgm:txLinClrLst/>
    <dgm:txFillClrLst meth="repeat">
      <a:schemeClr val="dk1"/>
    </dgm:txFillClrLst>
    <dgm:txEffectClrLst/>
  </dgm:styleLbl>
  <dgm:styleLbl name="fgImgPlace1">
    <dgm:fillClrLst meth="repeat">
      <a:schemeClr val="accent5">
        <a:tint val="40000"/>
      </a:schemeClr>
    </dgm:fillClrLst>
    <dgm:linClrLst meth="repeat">
      <a:schemeClr val="accent5">
        <a:shade val="80000"/>
      </a:schemeClr>
    </dgm:linClrLst>
    <dgm:effectClrLst/>
    <dgm:txLinClrLst/>
    <dgm:txFillClrLst meth="repeat">
      <a:schemeClr val="lt1"/>
    </dgm:txFillClrLst>
    <dgm:txEffectClrLst/>
  </dgm:styleLbl>
  <dgm:styleLbl name="alignImgPlace1">
    <dgm:fillClrLst meth="repeat">
      <a:schemeClr val="accent5">
        <a:tint val="40000"/>
      </a:schemeClr>
    </dgm:fillClrLst>
    <dgm:linClrLst meth="repeat">
      <a:schemeClr val="accent5">
        <a:shade val="80000"/>
      </a:schemeClr>
    </dgm:linClrLst>
    <dgm:effectClrLst/>
    <dgm:txLinClrLst/>
    <dgm:txFillClrLst meth="repeat">
      <a:schemeClr val="lt1"/>
    </dgm:txFillClrLst>
    <dgm:txEffectClrLst/>
  </dgm:styleLbl>
  <dgm:styleLbl name="bgImgPlace1">
    <dgm:fillClrLst meth="repeat">
      <a:schemeClr val="accent5">
        <a:tint val="40000"/>
      </a:schemeClr>
    </dgm:fillClrLst>
    <dgm:linClrLst meth="repeat">
      <a:schemeClr val="accent5">
        <a:shade val="80000"/>
      </a:schemeClr>
    </dgm:linClrLst>
    <dgm:effectClrLst/>
    <dgm:txLinClrLst/>
    <dgm:txFillClrLst meth="repeat">
      <a:schemeClr val="lt1"/>
    </dgm:txFillClrLst>
    <dgm:txEffectClrLst/>
  </dgm:styleLbl>
  <dgm:styleLbl name="sibTrans2D1">
    <dgm:fillClrLst meth="repeat">
      <a:schemeClr val="accent5">
        <a:tint val="60000"/>
      </a:schemeClr>
    </dgm:fillClrLst>
    <dgm:linClrLst meth="repeat">
      <a:schemeClr val="accent5">
        <a:tint val="60000"/>
      </a:schemeClr>
    </dgm:linClrLst>
    <dgm:effectClrLst/>
    <dgm:txLinClrLst/>
    <dgm:txFillClrLst meth="repeat">
      <a:schemeClr val="dk1"/>
    </dgm:txFillClrLst>
    <dgm:txEffectClrLst/>
  </dgm:styleLbl>
  <dgm:styleLbl name="fgSibTrans2D1">
    <dgm:fillClrLst meth="repeat">
      <a:schemeClr val="accent5">
        <a:tint val="60000"/>
      </a:schemeClr>
    </dgm:fillClrLst>
    <dgm:linClrLst meth="repeat">
      <a:schemeClr val="accent5">
        <a:tint val="60000"/>
      </a:schemeClr>
    </dgm:linClrLst>
    <dgm:effectClrLst/>
    <dgm:txLinClrLst/>
    <dgm:txFillClrLst meth="repeat">
      <a:schemeClr val="dk1"/>
    </dgm:txFillClrLst>
    <dgm:txEffectClrLst/>
  </dgm:styleLbl>
  <dgm:styleLbl name="bgSibTrans2D1">
    <dgm:fillClrLst meth="repeat">
      <a:schemeClr val="accent5">
        <a:tint val="60000"/>
      </a:schemeClr>
    </dgm:fillClrLst>
    <dgm:linClrLst meth="repeat">
      <a:schemeClr val="accent5">
        <a:tint val="60000"/>
      </a:schemeClr>
    </dgm:linClrLst>
    <dgm:effectClrLst/>
    <dgm:txLinClrLst/>
    <dgm:txFillClrLst meth="repeat">
      <a:schemeClr val="dk1"/>
    </dgm:txFillClrLst>
    <dgm:txEffectClrLst/>
  </dgm:styleLbl>
  <dgm:styleLbl name="sibTrans1D1">
    <dgm:fillClrLst meth="repeat">
      <a:schemeClr val="accent5"/>
    </dgm:fillClrLst>
    <dgm:linClrLst meth="repeat">
      <a:schemeClr val="accent5"/>
    </dgm:linClrLst>
    <dgm:effectClrLst/>
    <dgm:txLinClrLst/>
    <dgm:txFillClrLst meth="repeat">
      <a:schemeClr val="tx1"/>
    </dgm:txFillClrLst>
    <dgm:txEffectClrLst/>
  </dgm:styleLbl>
  <dgm:styleLbl name="callout">
    <dgm:fillClrLst meth="repeat">
      <a:schemeClr val="accent5"/>
    </dgm:fillClrLst>
    <dgm:linClrLst meth="repeat">
      <a:schemeClr val="accent5"/>
    </dgm:linClrLst>
    <dgm:effectClrLst/>
    <dgm:txLinClrLst/>
    <dgm:txFillClrLst meth="repeat">
      <a:schemeClr val="tx1"/>
    </dgm:txFillClrLst>
    <dgm:txEffectClrLst/>
  </dgm:styleLbl>
  <dgm:styleLbl name="asst0">
    <dgm:fillClrLst meth="repeat">
      <a:schemeClr val="lt1"/>
    </dgm:fillClrLst>
    <dgm:linClrLst meth="repeat">
      <a:schemeClr val="accent5">
        <a:shade val="80000"/>
      </a:schemeClr>
    </dgm:linClrLst>
    <dgm:effectClrLst/>
    <dgm:txLinClrLst/>
    <dgm:txFillClrLst meth="repeat">
      <a:schemeClr val="dk1"/>
    </dgm:txFillClrLst>
    <dgm:txEffectClrLst/>
  </dgm:styleLbl>
  <dgm:styleLbl name="asst1">
    <dgm:fillClrLst meth="repeat">
      <a:schemeClr val="lt1"/>
    </dgm:fillClrLst>
    <dgm:linClrLst meth="repeat">
      <a:schemeClr val="accent5">
        <a:shade val="80000"/>
      </a:schemeClr>
    </dgm:linClrLst>
    <dgm:effectClrLst/>
    <dgm:txLinClrLst/>
    <dgm:txFillClrLst meth="repeat">
      <a:schemeClr val="dk1"/>
    </dgm:txFillClrLst>
    <dgm:txEffectClrLst/>
  </dgm:styleLbl>
  <dgm:styleLbl name="asst2">
    <dgm:fillClrLst meth="repeat">
      <a:schemeClr val="lt1"/>
    </dgm:fillClrLst>
    <dgm:linClrLst meth="repeat">
      <a:schemeClr val="accent5">
        <a:shade val="80000"/>
      </a:schemeClr>
    </dgm:linClrLst>
    <dgm:effectClrLst/>
    <dgm:txLinClrLst/>
    <dgm:txFillClrLst meth="repeat">
      <a:schemeClr val="dk1"/>
    </dgm:txFillClrLst>
    <dgm:txEffectClrLst/>
  </dgm:styleLbl>
  <dgm:styleLbl name="asst3">
    <dgm:fillClrLst meth="repeat">
      <a:schemeClr val="lt1"/>
    </dgm:fillClrLst>
    <dgm:linClrLst meth="repeat">
      <a:schemeClr val="accent5">
        <a:shade val="80000"/>
      </a:schemeClr>
    </dgm:linClrLst>
    <dgm:effectClrLst/>
    <dgm:txLinClrLst/>
    <dgm:txFillClrLst meth="repeat">
      <a:schemeClr val="dk1"/>
    </dgm:txFillClrLst>
    <dgm:txEffectClrLst/>
  </dgm:styleLbl>
  <dgm:styleLbl name="asst4">
    <dgm:fillClrLst meth="repeat">
      <a:schemeClr val="lt1"/>
    </dgm:fillClrLst>
    <dgm:linClrLst meth="repeat">
      <a:schemeClr val="accent5">
        <a:shade val="80000"/>
      </a:schemeClr>
    </dgm:linClrLst>
    <dgm:effectClrLst/>
    <dgm:txLinClrLst/>
    <dgm:txFillClrLst meth="repeat">
      <a:schemeClr val="dk1"/>
    </dgm:txFillClrLst>
    <dgm:txEffectClrLst/>
  </dgm:styleLbl>
  <dgm:styleLbl name="parChTrans2D1">
    <dgm:fillClrLst meth="repeat">
      <a:schemeClr val="accent5">
        <a:tint val="60000"/>
      </a:schemeClr>
    </dgm:fillClrLst>
    <dgm:linClrLst meth="repeat">
      <a:schemeClr val="accent5">
        <a:tint val="60000"/>
      </a:schemeClr>
    </dgm:linClrLst>
    <dgm:effectClrLst/>
    <dgm:txLinClrLst/>
    <dgm:txFillClrLst/>
    <dgm:txEffectClrLst/>
  </dgm:styleLbl>
  <dgm:styleLbl name="parChTrans2D2">
    <dgm:fillClrLst meth="repeat">
      <a:schemeClr val="accent5"/>
    </dgm:fillClrLst>
    <dgm:linClrLst meth="repeat">
      <a:schemeClr val="accent5"/>
    </dgm:linClrLst>
    <dgm:effectClrLst/>
    <dgm:txLinClrLst/>
    <dgm:txFillClrLst/>
    <dgm:txEffectClrLst/>
  </dgm:styleLbl>
  <dgm:styleLbl name="parChTrans2D3">
    <dgm:fillClrLst meth="repeat">
      <a:schemeClr val="accent5"/>
    </dgm:fillClrLst>
    <dgm:linClrLst meth="repeat">
      <a:schemeClr val="accent5"/>
    </dgm:linClrLst>
    <dgm:effectClrLst/>
    <dgm:txLinClrLst/>
    <dgm:txFillClrLst/>
    <dgm:txEffectClrLst/>
  </dgm:styleLbl>
  <dgm:styleLbl name="parChTrans2D4">
    <dgm:fillClrLst meth="repeat">
      <a:schemeClr val="accent5"/>
    </dgm:fillClrLst>
    <dgm:linClrLst meth="repeat">
      <a:schemeClr val="accent5"/>
    </dgm:linClrLst>
    <dgm:effectClrLst/>
    <dgm:txLinClrLst/>
    <dgm:txFillClrLst meth="repeat">
      <a:schemeClr val="lt1"/>
    </dgm:txFillClrLst>
    <dgm:txEffectClrLst/>
  </dgm:styleLbl>
  <dgm:styleLbl name="parChTrans1D1">
    <dgm:fillClrLst meth="repeat">
      <a:schemeClr val="accent5"/>
    </dgm:fillClrLst>
    <dgm:linClrLst meth="repeat">
      <a:schemeClr val="accent5">
        <a:shade val="60000"/>
      </a:schemeClr>
    </dgm:linClrLst>
    <dgm:effectClrLst/>
    <dgm:txLinClrLst/>
    <dgm:txFillClrLst meth="repeat">
      <a:schemeClr val="tx1"/>
    </dgm:txFillClrLst>
    <dgm:txEffectClrLst/>
  </dgm:styleLbl>
  <dgm:styleLbl name="parChTrans1D2">
    <dgm:fillClrLst meth="repeat">
      <a:schemeClr val="accent5"/>
    </dgm:fillClrLst>
    <dgm:linClrLst meth="repeat">
      <a:schemeClr val="accent5">
        <a:shade val="60000"/>
      </a:schemeClr>
    </dgm:linClrLst>
    <dgm:effectClrLst/>
    <dgm:txLinClrLst/>
    <dgm:txFillClrLst meth="repeat">
      <a:schemeClr val="tx1"/>
    </dgm:txFillClrLst>
    <dgm:txEffectClrLst/>
  </dgm:styleLbl>
  <dgm:styleLbl name="parChTrans1D3">
    <dgm:fillClrLst meth="repeat">
      <a:schemeClr val="accent5"/>
    </dgm:fillClrLst>
    <dgm:linClrLst meth="repeat">
      <a:schemeClr val="accent5">
        <a:shade val="80000"/>
      </a:schemeClr>
    </dgm:linClrLst>
    <dgm:effectClrLst/>
    <dgm:txLinClrLst/>
    <dgm:txFillClrLst meth="repeat">
      <a:schemeClr val="tx1"/>
    </dgm:txFillClrLst>
    <dgm:txEffectClrLst/>
  </dgm:styleLbl>
  <dgm:styleLbl name="parChTrans1D4">
    <dgm:fillClrLst meth="repeat">
      <a:schemeClr val="accent5"/>
    </dgm:fillClrLst>
    <dgm:linClrLst meth="repeat">
      <a:schemeClr val="accent5">
        <a:shade val="80000"/>
      </a:schemeClr>
    </dgm:linClrLst>
    <dgm:effectClrLst/>
    <dgm:txLinClrLst/>
    <dgm:txFillClrLst meth="repeat">
      <a:schemeClr val="tx1"/>
    </dgm:txFillClrLst>
    <dgm:txEffectClrLst/>
  </dgm:styleLbl>
  <dgm:styleLbl name="fgAcc1">
    <dgm:fillClrLst meth="repeat">
      <a:schemeClr val="accent5">
        <a:alpha val="90000"/>
        <a:tint val="40000"/>
      </a:schemeClr>
    </dgm:fillClrLst>
    <dgm:linClrLst meth="repeat">
      <a:schemeClr val="accent5"/>
    </dgm:linClrLst>
    <dgm:effectClrLst/>
    <dgm:txLinClrLst/>
    <dgm:txFillClrLst meth="repeat">
      <a:schemeClr val="dk1"/>
    </dgm:txFillClrLst>
    <dgm:txEffectClrLst/>
  </dgm:styleLbl>
  <dgm:styleLbl name="conFgAcc1">
    <dgm:fillClrLst meth="repeat">
      <a:schemeClr val="accent5">
        <a:alpha val="90000"/>
        <a:tint val="40000"/>
      </a:schemeClr>
    </dgm:fillClrLst>
    <dgm:linClrLst meth="repeat">
      <a:schemeClr val="accent5"/>
    </dgm:linClrLst>
    <dgm:effectClrLst/>
    <dgm:txLinClrLst/>
    <dgm:txFillClrLst meth="repeat">
      <a:schemeClr val="dk1"/>
    </dgm:txFillClrLst>
    <dgm:txEffectClrLst/>
  </dgm:styleLbl>
  <dgm:styleLbl name="alignAcc1">
    <dgm:fillClrLst meth="repeat">
      <a:schemeClr val="accent5">
        <a:alpha val="90000"/>
        <a:tint val="40000"/>
      </a:schemeClr>
    </dgm:fillClrLst>
    <dgm:linClrLst meth="repeat">
      <a:schemeClr val="accent5"/>
    </dgm:linClrLst>
    <dgm:effectClrLst/>
    <dgm:txLinClrLst/>
    <dgm:txFillClrLst meth="repeat">
      <a:schemeClr val="dk1"/>
    </dgm:txFillClrLst>
    <dgm:txEffectClrLst/>
  </dgm:styleLbl>
  <dgm:styleLbl name="trAlignAcc1">
    <dgm:fillClrLst meth="repeat">
      <a:schemeClr val="accent5">
        <a:alpha val="40000"/>
        <a:tint val="40000"/>
      </a:schemeClr>
    </dgm:fillClrLst>
    <dgm:linClrLst meth="repeat">
      <a:schemeClr val="accent5"/>
    </dgm:linClrLst>
    <dgm:effectClrLst/>
    <dgm:txLinClrLst/>
    <dgm:txFillClrLst meth="repeat">
      <a:schemeClr val="dk1"/>
    </dgm:txFillClrLst>
    <dgm:txEffectClrLst/>
  </dgm:styleLbl>
  <dgm:styleLbl name="bgAcc1">
    <dgm:fillClrLst meth="repeat">
      <a:schemeClr val="accent5">
        <a:alpha val="90000"/>
        <a:tint val="40000"/>
      </a:schemeClr>
    </dgm:fillClrLst>
    <dgm:linClrLst meth="repeat">
      <a:schemeClr val="accent5"/>
    </dgm:linClrLst>
    <dgm:effectClrLst/>
    <dgm:txLinClrLst/>
    <dgm:txFillClrLst meth="repeat">
      <a:schemeClr val="dk1"/>
    </dgm:txFillClrLst>
    <dgm:txEffectClrLst/>
  </dgm:styleLbl>
  <dgm:styleLbl name="solidFgAcc1">
    <dgm:fillClrLst meth="repeat">
      <a:schemeClr val="lt1"/>
    </dgm:fillClrLst>
    <dgm:linClrLst meth="repeat">
      <a:schemeClr val="accent5"/>
    </dgm:linClrLst>
    <dgm:effectClrLst/>
    <dgm:txLinClrLst/>
    <dgm:txFillClrLst meth="repeat">
      <a:schemeClr val="dk1"/>
    </dgm:txFillClrLst>
    <dgm:txEffectClrLst/>
  </dgm:styleLbl>
  <dgm:styleLbl name="solidAlignAcc1">
    <dgm:fillClrLst meth="repeat">
      <a:schemeClr val="lt1"/>
    </dgm:fillClrLst>
    <dgm:linClrLst meth="repeat">
      <a:schemeClr val="accent5"/>
    </dgm:linClrLst>
    <dgm:effectClrLst/>
    <dgm:txLinClrLst/>
    <dgm:txFillClrLst meth="repeat">
      <a:schemeClr val="dk1"/>
    </dgm:txFillClrLst>
    <dgm:txEffectClrLst/>
  </dgm:styleLbl>
  <dgm:styleLbl name="solidBgAcc1">
    <dgm:fillClrLst meth="repeat">
      <a:schemeClr val="lt1"/>
    </dgm:fillClrLst>
    <dgm:linClrLst meth="repeat">
      <a:schemeClr val="accent5"/>
    </dgm:linClrLst>
    <dgm:effectClrLst/>
    <dgm:txLinClrLst/>
    <dgm:txFillClrLst meth="repeat">
      <a:schemeClr val="dk1"/>
    </dgm:txFillClrLst>
    <dgm:txEffectClrLst/>
  </dgm:styleLbl>
  <dgm:styleLbl name="fgAccFollowNode1">
    <dgm:fillClrLst meth="repeat">
      <a:schemeClr val="lt1">
        <a:alpha val="90000"/>
        <a:tint val="40000"/>
      </a:schemeClr>
    </dgm:fillClrLst>
    <dgm:linClrLst meth="repeat">
      <a:schemeClr val="accent5">
        <a:alpha val="90000"/>
      </a:schemeClr>
    </dgm:linClrLst>
    <dgm:effectClrLst/>
    <dgm:txLinClrLst/>
    <dgm:txFillClrLst meth="repeat">
      <a:schemeClr val="dk1"/>
    </dgm:txFillClrLst>
    <dgm:txEffectClrLst/>
  </dgm:styleLbl>
  <dgm:styleLbl name="alignAccFollowNode1">
    <dgm:fillClrLst meth="repeat">
      <a:schemeClr val="lt1">
        <a:alpha val="90000"/>
        <a:tint val="40000"/>
      </a:schemeClr>
    </dgm:fillClrLst>
    <dgm:linClrLst meth="repeat">
      <a:schemeClr val="accent5">
        <a:alpha val="90000"/>
      </a:schemeClr>
    </dgm:linClrLst>
    <dgm:effectClrLst/>
    <dgm:txLinClrLst/>
    <dgm:txFillClrLst meth="repeat">
      <a:schemeClr val="dk1"/>
    </dgm:txFillClrLst>
    <dgm:txEffectClrLst/>
  </dgm:styleLbl>
  <dgm:styleLbl name="bgAccFollowNode1">
    <dgm:fillClrLst meth="repeat">
      <a:schemeClr val="lt1">
        <a:alpha val="90000"/>
        <a:tint val="40000"/>
      </a:schemeClr>
    </dgm:fillClrLst>
    <dgm:linClrLst meth="repeat">
      <a:schemeClr val="accent5">
        <a:alpha val="90000"/>
      </a:schemeClr>
    </dgm:linClrLst>
    <dgm:effectClrLst/>
    <dgm:txLinClrLst/>
    <dgm:txFillClrLst meth="repeat">
      <a:schemeClr val="dk1"/>
    </dgm:txFillClrLst>
    <dgm:txEffectClrLst/>
  </dgm:styleLbl>
  <dgm:styleLbl name="fgAcc0">
    <dgm:fillClrLst meth="repeat">
      <a:schemeClr val="accent5">
        <a:alpha val="90000"/>
        <a:tint val="40000"/>
      </a:schemeClr>
    </dgm:fillClrLst>
    <dgm:linClrLst meth="repeat">
      <a:schemeClr val="accent5"/>
    </dgm:linClrLst>
    <dgm:effectClrLst/>
    <dgm:txLinClrLst/>
    <dgm:txFillClrLst meth="repeat">
      <a:schemeClr val="dk1"/>
    </dgm:txFillClrLst>
    <dgm:txEffectClrLst/>
  </dgm:styleLbl>
  <dgm:styleLbl name="fgAcc2">
    <dgm:fillClrLst meth="repeat">
      <a:schemeClr val="accent5">
        <a:alpha val="90000"/>
        <a:tint val="40000"/>
      </a:schemeClr>
    </dgm:fillClrLst>
    <dgm:linClrLst meth="repeat">
      <a:schemeClr val="accent5"/>
    </dgm:linClrLst>
    <dgm:effectClrLst/>
    <dgm:txLinClrLst/>
    <dgm:txFillClrLst meth="repeat">
      <a:schemeClr val="dk1"/>
    </dgm:txFillClrLst>
    <dgm:txEffectClrLst/>
  </dgm:styleLbl>
  <dgm:styleLbl name="fgAcc3">
    <dgm:fillClrLst meth="repeat">
      <a:schemeClr val="accent5">
        <a:alpha val="90000"/>
        <a:tint val="40000"/>
      </a:schemeClr>
    </dgm:fillClrLst>
    <dgm:linClrLst meth="repeat">
      <a:schemeClr val="accent5"/>
    </dgm:linClrLst>
    <dgm:effectClrLst/>
    <dgm:txLinClrLst/>
    <dgm:txFillClrLst meth="repeat">
      <a:schemeClr val="dk1"/>
    </dgm:txFillClrLst>
    <dgm:txEffectClrLst/>
  </dgm:styleLbl>
  <dgm:styleLbl name="fgAcc4">
    <dgm:fillClrLst meth="repeat">
      <a:schemeClr val="accent5">
        <a:alpha val="90000"/>
        <a:tint val="40000"/>
      </a:schemeClr>
    </dgm:fillClrLst>
    <dgm:linClrLst meth="repeat">
      <a:schemeClr val="accent5"/>
    </dgm:linClrLst>
    <dgm:effectClrLst/>
    <dgm:txLinClrLst/>
    <dgm:txFillClrLst meth="repeat">
      <a:schemeClr val="dk1"/>
    </dgm:txFillClrLst>
    <dgm:txEffectClrLst/>
  </dgm:styleLbl>
  <dgm:styleLbl name="bgShp">
    <dgm:fillClrLst meth="repeat">
      <a:schemeClr val="accent5">
        <a:tint val="40000"/>
      </a:schemeClr>
    </dgm:fillClrLst>
    <dgm:linClrLst meth="repeat">
      <a:schemeClr val="accent5"/>
    </dgm:linClrLst>
    <dgm:effectClrLst/>
    <dgm:txLinClrLst/>
    <dgm:txFillClrLst meth="repeat">
      <a:schemeClr val="dk1"/>
    </dgm:txFillClrLst>
    <dgm:txEffectClrLst/>
  </dgm:styleLbl>
  <dgm:styleLbl name="dkBgShp">
    <dgm:fillClrLst meth="repeat">
      <a:schemeClr val="accent5">
        <a:shade val="80000"/>
      </a:schemeClr>
    </dgm:fillClrLst>
    <dgm:linClrLst meth="repeat">
      <a:schemeClr val="accent5"/>
    </dgm:linClrLst>
    <dgm:effectClrLst/>
    <dgm:txLinClrLst/>
    <dgm:txFillClrLst meth="repeat">
      <a:schemeClr val="lt1"/>
    </dgm:txFillClrLst>
    <dgm:txEffectClrLst/>
  </dgm:styleLbl>
  <dgm:styleLbl name="trBgShp">
    <dgm:fillClrLst meth="repeat">
      <a:schemeClr val="accent5">
        <a:tint val="50000"/>
        <a:alpha val="40000"/>
      </a:schemeClr>
    </dgm:fillClrLst>
    <dgm:linClrLst meth="repeat">
      <a:schemeClr val="accent5"/>
    </dgm:linClrLst>
    <dgm:effectClrLst/>
    <dgm:txLinClrLst/>
    <dgm:txFillClrLst meth="repeat">
      <a:schemeClr val="lt1"/>
    </dgm:txFillClrLst>
    <dgm:txEffectClrLst/>
  </dgm:styleLbl>
  <dgm:styleLbl name="fgShp">
    <dgm:fillClrLst meth="repeat">
      <a:schemeClr val="accent5">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318BD4E7-BC16-4DAC-9741-7FB86CF87A0F}" type="doc">
      <dgm:prSet loTypeId="urn:microsoft.com/office/officeart/2005/8/layout/radial3" loCatId="cycle" qsTypeId="urn:microsoft.com/office/officeart/2005/8/quickstyle/simple1" qsCatId="simple" csTypeId="urn:microsoft.com/office/officeart/2005/8/colors/accent5_1" csCatId="accent5" phldr="1"/>
      <dgm:spPr/>
      <dgm:t>
        <a:bodyPr/>
        <a:lstStyle/>
        <a:p>
          <a:endParaRPr lang="en-US"/>
        </a:p>
      </dgm:t>
    </dgm:pt>
    <dgm:pt modelId="{52740A77-3B1E-42FC-BD20-51ACCAC32298}">
      <dgm:prSet phldrT="[Text]" custT="1"/>
      <dgm:spPr/>
      <dgm:t>
        <a:bodyPr/>
        <a:lstStyle/>
        <a:p>
          <a:pPr algn="ctr"/>
          <a:r>
            <a:rPr lang="en-US" sz="1400" b="1">
              <a:latin typeface="Times New Roman" panose="02020603050405020304" pitchFamily="18" charset="0"/>
              <a:cs typeface="Times New Roman" panose="02020603050405020304" pitchFamily="18" charset="0"/>
            </a:rPr>
            <a:t>Gibbs' Reflective Cycle</a:t>
          </a:r>
        </a:p>
      </dgm:t>
    </dgm:pt>
    <dgm:pt modelId="{B60D964D-D008-403F-9AC1-D65C9007748B}" type="parTrans" cxnId="{7968B01B-119C-4B2D-B31B-B3BE47B02B53}">
      <dgm:prSet/>
      <dgm:spPr/>
      <dgm:t>
        <a:bodyPr/>
        <a:lstStyle/>
        <a:p>
          <a:pPr algn="ctr"/>
          <a:endParaRPr lang="en-US"/>
        </a:p>
      </dgm:t>
    </dgm:pt>
    <dgm:pt modelId="{A848CA11-BCB8-41B6-846A-2A62E94B9D22}" type="sibTrans" cxnId="{7968B01B-119C-4B2D-B31B-B3BE47B02B53}">
      <dgm:prSet/>
      <dgm:spPr/>
      <dgm:t>
        <a:bodyPr/>
        <a:lstStyle/>
        <a:p>
          <a:pPr algn="ctr"/>
          <a:endParaRPr lang="en-US"/>
        </a:p>
      </dgm:t>
    </dgm:pt>
    <dgm:pt modelId="{DF92E4F2-7ACB-4245-9B89-58C278AEB4A3}">
      <dgm:prSet phldrT="[Text]" custT="1"/>
      <dgm:spPr/>
      <dgm:t>
        <a:bodyPr/>
        <a:lstStyle/>
        <a:p>
          <a:pPr algn="ctr"/>
          <a:r>
            <a:rPr lang="en-US" sz="1000" b="1">
              <a:latin typeface="Times New Roman" panose="02020603050405020304" pitchFamily="18" charset="0"/>
              <a:cs typeface="Times New Roman" panose="02020603050405020304" pitchFamily="18" charset="0"/>
            </a:rPr>
            <a:t>Description</a:t>
          </a:r>
        </a:p>
      </dgm:t>
    </dgm:pt>
    <dgm:pt modelId="{18D9CF44-B1FA-41AB-9591-2F28FB345FD3}" type="parTrans" cxnId="{59C1CEF1-D0A3-43FC-8CE9-181B3686D0BA}">
      <dgm:prSet/>
      <dgm:spPr/>
      <dgm:t>
        <a:bodyPr/>
        <a:lstStyle/>
        <a:p>
          <a:pPr algn="ctr"/>
          <a:endParaRPr lang="en-US"/>
        </a:p>
      </dgm:t>
    </dgm:pt>
    <dgm:pt modelId="{AEA14A6D-13AC-4768-84CC-6253DF94B9B3}" type="sibTrans" cxnId="{59C1CEF1-D0A3-43FC-8CE9-181B3686D0BA}">
      <dgm:prSet/>
      <dgm:spPr/>
      <dgm:t>
        <a:bodyPr/>
        <a:lstStyle/>
        <a:p>
          <a:pPr algn="ctr"/>
          <a:endParaRPr lang="en-US"/>
        </a:p>
      </dgm:t>
    </dgm:pt>
    <dgm:pt modelId="{C94C1DA6-3EF2-4D28-B70C-FA96582F43C6}">
      <dgm:prSet phldrT="[Text]" custT="1"/>
      <dgm:spPr/>
      <dgm:t>
        <a:bodyPr/>
        <a:lstStyle/>
        <a:p>
          <a:pPr algn="ctr"/>
          <a:r>
            <a:rPr lang="en-US" sz="1200" b="1">
              <a:latin typeface="Times New Roman" panose="02020603050405020304" pitchFamily="18" charset="0"/>
              <a:cs typeface="Times New Roman" panose="02020603050405020304" pitchFamily="18" charset="0"/>
            </a:rPr>
            <a:t>Evaluation</a:t>
          </a:r>
        </a:p>
      </dgm:t>
    </dgm:pt>
    <dgm:pt modelId="{D1C78DCE-9A96-4D0F-AABF-165F5268346C}" type="parTrans" cxnId="{256811F9-C0CE-4504-836F-ABFB909F829B}">
      <dgm:prSet/>
      <dgm:spPr/>
      <dgm:t>
        <a:bodyPr/>
        <a:lstStyle/>
        <a:p>
          <a:pPr algn="ctr"/>
          <a:endParaRPr lang="en-US"/>
        </a:p>
      </dgm:t>
    </dgm:pt>
    <dgm:pt modelId="{89B8E2CA-F9DB-4895-AABF-129F01F67004}" type="sibTrans" cxnId="{256811F9-C0CE-4504-836F-ABFB909F829B}">
      <dgm:prSet/>
      <dgm:spPr/>
      <dgm:t>
        <a:bodyPr/>
        <a:lstStyle/>
        <a:p>
          <a:pPr algn="ctr"/>
          <a:endParaRPr lang="en-US"/>
        </a:p>
      </dgm:t>
    </dgm:pt>
    <dgm:pt modelId="{D7AAD354-0B4C-4482-A178-F78853FAF706}">
      <dgm:prSet phldrT="[Text]" custT="1"/>
      <dgm:spPr/>
      <dgm:t>
        <a:bodyPr/>
        <a:lstStyle/>
        <a:p>
          <a:pPr algn="ctr"/>
          <a:r>
            <a:rPr lang="en-US" sz="1200" b="1">
              <a:latin typeface="Times New Roman" panose="02020603050405020304" pitchFamily="18" charset="0"/>
              <a:cs typeface="Times New Roman" panose="02020603050405020304" pitchFamily="18" charset="0"/>
            </a:rPr>
            <a:t>Conclusion</a:t>
          </a:r>
        </a:p>
      </dgm:t>
    </dgm:pt>
    <dgm:pt modelId="{DF7C9576-2274-4F0B-B0F0-EAD7F5F8E13C}" type="parTrans" cxnId="{0CADAE21-C66F-40EF-81D0-5E0CA6A97DB6}">
      <dgm:prSet/>
      <dgm:spPr/>
      <dgm:t>
        <a:bodyPr/>
        <a:lstStyle/>
        <a:p>
          <a:pPr algn="ctr"/>
          <a:endParaRPr lang="en-US"/>
        </a:p>
      </dgm:t>
    </dgm:pt>
    <dgm:pt modelId="{41062A86-66B6-4F25-9FD2-AB44EC61DA28}" type="sibTrans" cxnId="{0CADAE21-C66F-40EF-81D0-5E0CA6A97DB6}">
      <dgm:prSet/>
      <dgm:spPr/>
      <dgm:t>
        <a:bodyPr/>
        <a:lstStyle/>
        <a:p>
          <a:pPr algn="ctr"/>
          <a:endParaRPr lang="en-US"/>
        </a:p>
      </dgm:t>
    </dgm:pt>
    <dgm:pt modelId="{493B2D10-E4ED-44B1-A26B-C777E874E39A}">
      <dgm:prSet phldrT="[Text]" custT="1"/>
      <dgm:spPr/>
      <dgm:t>
        <a:bodyPr/>
        <a:lstStyle/>
        <a:p>
          <a:pPr algn="ctr"/>
          <a:r>
            <a:rPr lang="en-US" sz="1200" b="1">
              <a:latin typeface="Times New Roman" panose="02020603050405020304" pitchFamily="18" charset="0"/>
              <a:cs typeface="Times New Roman" panose="02020603050405020304" pitchFamily="18" charset="0"/>
            </a:rPr>
            <a:t>Action plan</a:t>
          </a:r>
        </a:p>
      </dgm:t>
    </dgm:pt>
    <dgm:pt modelId="{9032B105-DB65-484E-94A4-236B11B67CD5}" type="parTrans" cxnId="{1B6E4550-60C6-4845-90AA-CFAB41A6B721}">
      <dgm:prSet/>
      <dgm:spPr/>
      <dgm:t>
        <a:bodyPr/>
        <a:lstStyle/>
        <a:p>
          <a:pPr algn="ctr"/>
          <a:endParaRPr lang="en-US"/>
        </a:p>
      </dgm:t>
    </dgm:pt>
    <dgm:pt modelId="{0FC9F550-85E7-4F63-8F43-3D29D0B9C955}" type="sibTrans" cxnId="{1B6E4550-60C6-4845-90AA-CFAB41A6B721}">
      <dgm:prSet/>
      <dgm:spPr/>
      <dgm:t>
        <a:bodyPr/>
        <a:lstStyle/>
        <a:p>
          <a:pPr algn="ctr"/>
          <a:endParaRPr lang="en-US"/>
        </a:p>
      </dgm:t>
    </dgm:pt>
    <dgm:pt modelId="{78533EFF-0AA7-48D0-AE31-C38CE691A0C2}">
      <dgm:prSet custT="1"/>
      <dgm:spPr/>
      <dgm:t>
        <a:bodyPr/>
        <a:lstStyle/>
        <a:p>
          <a:pPr algn="ctr"/>
          <a:r>
            <a:rPr lang="en-US" sz="1200" b="1">
              <a:latin typeface="Times New Roman" panose="02020603050405020304" pitchFamily="18" charset="0"/>
              <a:cs typeface="Times New Roman" panose="02020603050405020304" pitchFamily="18" charset="0"/>
            </a:rPr>
            <a:t>Feelings</a:t>
          </a:r>
        </a:p>
      </dgm:t>
    </dgm:pt>
    <dgm:pt modelId="{68A59BF0-623C-4342-86A2-A07113C027AE}" type="sibTrans" cxnId="{E2399F99-A7A0-4619-8EFD-865CB7A8DE43}">
      <dgm:prSet/>
      <dgm:spPr/>
      <dgm:t>
        <a:bodyPr/>
        <a:lstStyle/>
        <a:p>
          <a:pPr algn="ctr"/>
          <a:endParaRPr lang="en-US"/>
        </a:p>
      </dgm:t>
    </dgm:pt>
    <dgm:pt modelId="{DFF10C15-C530-4D31-87E4-8ABF52ACA2BD}" type="parTrans" cxnId="{E2399F99-A7A0-4619-8EFD-865CB7A8DE43}">
      <dgm:prSet/>
      <dgm:spPr/>
      <dgm:t>
        <a:bodyPr/>
        <a:lstStyle/>
        <a:p>
          <a:pPr algn="ctr"/>
          <a:endParaRPr lang="en-US"/>
        </a:p>
      </dgm:t>
    </dgm:pt>
    <dgm:pt modelId="{B70BABD7-3644-45B9-A129-F67B40376BE6}">
      <dgm:prSet custT="1"/>
      <dgm:spPr/>
      <dgm:t>
        <a:bodyPr/>
        <a:lstStyle/>
        <a:p>
          <a:r>
            <a:rPr lang="en-US" sz="1200" b="1">
              <a:latin typeface="Times New Roman" panose="02020603050405020304" pitchFamily="18" charset="0"/>
              <a:cs typeface="Times New Roman" panose="02020603050405020304" pitchFamily="18" charset="0"/>
            </a:rPr>
            <a:t>Analysis</a:t>
          </a:r>
        </a:p>
      </dgm:t>
    </dgm:pt>
    <dgm:pt modelId="{E49E5EBC-0AF7-490C-BEFB-3183E1286D7B}" type="parTrans" cxnId="{388B4BE4-6A1A-481A-930A-1A25E599FD5E}">
      <dgm:prSet/>
      <dgm:spPr/>
      <dgm:t>
        <a:bodyPr/>
        <a:lstStyle/>
        <a:p>
          <a:endParaRPr lang="en-US"/>
        </a:p>
      </dgm:t>
    </dgm:pt>
    <dgm:pt modelId="{1AADB3A6-33A7-46C0-B71E-002625D4E4F9}" type="sibTrans" cxnId="{388B4BE4-6A1A-481A-930A-1A25E599FD5E}">
      <dgm:prSet/>
      <dgm:spPr/>
      <dgm:t>
        <a:bodyPr/>
        <a:lstStyle/>
        <a:p>
          <a:endParaRPr lang="en-US"/>
        </a:p>
      </dgm:t>
    </dgm:pt>
    <dgm:pt modelId="{9C8E4A56-7D06-4FD1-936E-05E2F0D48B43}" type="pres">
      <dgm:prSet presAssocID="{318BD4E7-BC16-4DAC-9741-7FB86CF87A0F}" presName="composite" presStyleCnt="0">
        <dgm:presLayoutVars>
          <dgm:chMax val="1"/>
          <dgm:dir/>
          <dgm:resizeHandles val="exact"/>
        </dgm:presLayoutVars>
      </dgm:prSet>
      <dgm:spPr/>
    </dgm:pt>
    <dgm:pt modelId="{BF5286CB-2B38-4A92-9E55-CED50C49FEDB}" type="pres">
      <dgm:prSet presAssocID="{318BD4E7-BC16-4DAC-9741-7FB86CF87A0F}" presName="radial" presStyleCnt="0">
        <dgm:presLayoutVars>
          <dgm:animLvl val="ctr"/>
        </dgm:presLayoutVars>
      </dgm:prSet>
      <dgm:spPr/>
    </dgm:pt>
    <dgm:pt modelId="{4F6F3B7F-A1D8-4B8E-B171-6936DDCE314D}" type="pres">
      <dgm:prSet presAssocID="{52740A77-3B1E-42FC-BD20-51ACCAC32298}" presName="centerShape" presStyleLbl="vennNode1" presStyleIdx="0" presStyleCnt="7" custLinFactNeighborX="460" custLinFactNeighborY="1381"/>
      <dgm:spPr/>
    </dgm:pt>
    <dgm:pt modelId="{804391BC-958A-41E5-87DF-493C294CCD0D}" type="pres">
      <dgm:prSet presAssocID="{DF92E4F2-7ACB-4245-9B89-58C278AEB4A3}" presName="node" presStyleLbl="vennNode1" presStyleIdx="1" presStyleCnt="7">
        <dgm:presLayoutVars>
          <dgm:bulletEnabled val="1"/>
        </dgm:presLayoutVars>
      </dgm:prSet>
      <dgm:spPr/>
    </dgm:pt>
    <dgm:pt modelId="{B5C01237-A1E9-45F3-B392-532039E22410}" type="pres">
      <dgm:prSet presAssocID="{78533EFF-0AA7-48D0-AE31-C38CE691A0C2}" presName="node" presStyleLbl="vennNode1" presStyleIdx="2" presStyleCnt="7">
        <dgm:presLayoutVars>
          <dgm:bulletEnabled val="1"/>
        </dgm:presLayoutVars>
      </dgm:prSet>
      <dgm:spPr/>
    </dgm:pt>
    <dgm:pt modelId="{50B90531-ACD8-4E27-9493-0BF4E28BB7E7}" type="pres">
      <dgm:prSet presAssocID="{C94C1DA6-3EF2-4D28-B70C-FA96582F43C6}" presName="node" presStyleLbl="vennNode1" presStyleIdx="3" presStyleCnt="7">
        <dgm:presLayoutVars>
          <dgm:bulletEnabled val="1"/>
        </dgm:presLayoutVars>
      </dgm:prSet>
      <dgm:spPr/>
    </dgm:pt>
    <dgm:pt modelId="{E7D44A09-851C-4230-A801-8E97973296E2}" type="pres">
      <dgm:prSet presAssocID="{B70BABD7-3644-45B9-A129-F67B40376BE6}" presName="node" presStyleLbl="vennNode1" presStyleIdx="4" presStyleCnt="7">
        <dgm:presLayoutVars>
          <dgm:bulletEnabled val="1"/>
        </dgm:presLayoutVars>
      </dgm:prSet>
      <dgm:spPr/>
    </dgm:pt>
    <dgm:pt modelId="{72173D06-B66F-4726-BA2C-70DB432A8A84}" type="pres">
      <dgm:prSet presAssocID="{D7AAD354-0B4C-4482-A178-F78853FAF706}" presName="node" presStyleLbl="vennNode1" presStyleIdx="5" presStyleCnt="7" custScaleX="105751" custScaleY="104770">
        <dgm:presLayoutVars>
          <dgm:bulletEnabled val="1"/>
        </dgm:presLayoutVars>
      </dgm:prSet>
      <dgm:spPr/>
    </dgm:pt>
    <dgm:pt modelId="{5E9787E0-1FA2-4AAE-8285-9E72FB4CA984}" type="pres">
      <dgm:prSet presAssocID="{493B2D10-E4ED-44B1-A26B-C777E874E39A}" presName="node" presStyleLbl="vennNode1" presStyleIdx="6" presStyleCnt="7">
        <dgm:presLayoutVars>
          <dgm:bulletEnabled val="1"/>
        </dgm:presLayoutVars>
      </dgm:prSet>
      <dgm:spPr/>
    </dgm:pt>
  </dgm:ptLst>
  <dgm:cxnLst>
    <dgm:cxn modelId="{775C5D08-F08D-4770-BABA-7F0BA7C5475F}" type="presOf" srcId="{C94C1DA6-3EF2-4D28-B70C-FA96582F43C6}" destId="{50B90531-ACD8-4E27-9493-0BF4E28BB7E7}" srcOrd="0" destOrd="0" presId="urn:microsoft.com/office/officeart/2005/8/layout/radial3"/>
    <dgm:cxn modelId="{70CC4709-5290-4B45-861A-8110061ABE06}" type="presOf" srcId="{D7AAD354-0B4C-4482-A178-F78853FAF706}" destId="{72173D06-B66F-4726-BA2C-70DB432A8A84}" srcOrd="0" destOrd="0" presId="urn:microsoft.com/office/officeart/2005/8/layout/radial3"/>
    <dgm:cxn modelId="{7968B01B-119C-4B2D-B31B-B3BE47B02B53}" srcId="{318BD4E7-BC16-4DAC-9741-7FB86CF87A0F}" destId="{52740A77-3B1E-42FC-BD20-51ACCAC32298}" srcOrd="0" destOrd="0" parTransId="{B60D964D-D008-403F-9AC1-D65C9007748B}" sibTransId="{A848CA11-BCB8-41B6-846A-2A62E94B9D22}"/>
    <dgm:cxn modelId="{0CADAE21-C66F-40EF-81D0-5E0CA6A97DB6}" srcId="{52740A77-3B1E-42FC-BD20-51ACCAC32298}" destId="{D7AAD354-0B4C-4482-A178-F78853FAF706}" srcOrd="4" destOrd="0" parTransId="{DF7C9576-2274-4F0B-B0F0-EAD7F5F8E13C}" sibTransId="{41062A86-66B6-4F25-9FD2-AB44EC61DA28}"/>
    <dgm:cxn modelId="{B3804328-5C80-4979-837C-ED2FBCC7509B}" type="presOf" srcId="{318BD4E7-BC16-4DAC-9741-7FB86CF87A0F}" destId="{9C8E4A56-7D06-4FD1-936E-05E2F0D48B43}" srcOrd="0" destOrd="0" presId="urn:microsoft.com/office/officeart/2005/8/layout/radial3"/>
    <dgm:cxn modelId="{1B6E4550-60C6-4845-90AA-CFAB41A6B721}" srcId="{52740A77-3B1E-42FC-BD20-51ACCAC32298}" destId="{493B2D10-E4ED-44B1-A26B-C777E874E39A}" srcOrd="5" destOrd="0" parTransId="{9032B105-DB65-484E-94A4-236B11B67CD5}" sibTransId="{0FC9F550-85E7-4F63-8F43-3D29D0B9C955}"/>
    <dgm:cxn modelId="{DF897F96-F3FF-4EFC-B085-4048BDD89E4B}" type="presOf" srcId="{DF92E4F2-7ACB-4245-9B89-58C278AEB4A3}" destId="{804391BC-958A-41E5-87DF-493C294CCD0D}" srcOrd="0" destOrd="0" presId="urn:microsoft.com/office/officeart/2005/8/layout/radial3"/>
    <dgm:cxn modelId="{E2399F99-A7A0-4619-8EFD-865CB7A8DE43}" srcId="{52740A77-3B1E-42FC-BD20-51ACCAC32298}" destId="{78533EFF-0AA7-48D0-AE31-C38CE691A0C2}" srcOrd="1" destOrd="0" parTransId="{DFF10C15-C530-4D31-87E4-8ABF52ACA2BD}" sibTransId="{68A59BF0-623C-4342-86A2-A07113C027AE}"/>
    <dgm:cxn modelId="{8B146DA6-55BB-459B-972F-38ABAD87A427}" type="presOf" srcId="{78533EFF-0AA7-48D0-AE31-C38CE691A0C2}" destId="{B5C01237-A1E9-45F3-B392-532039E22410}" srcOrd="0" destOrd="0" presId="urn:microsoft.com/office/officeart/2005/8/layout/radial3"/>
    <dgm:cxn modelId="{459574CD-C3CE-4E05-BE6B-AE4A9420E2F0}" type="presOf" srcId="{B70BABD7-3644-45B9-A129-F67B40376BE6}" destId="{E7D44A09-851C-4230-A801-8E97973296E2}" srcOrd="0" destOrd="0" presId="urn:microsoft.com/office/officeart/2005/8/layout/radial3"/>
    <dgm:cxn modelId="{E2E590D8-B4E4-4EBE-8646-20AD34F1294F}" type="presOf" srcId="{493B2D10-E4ED-44B1-A26B-C777E874E39A}" destId="{5E9787E0-1FA2-4AAE-8285-9E72FB4CA984}" srcOrd="0" destOrd="0" presId="urn:microsoft.com/office/officeart/2005/8/layout/radial3"/>
    <dgm:cxn modelId="{388B4BE4-6A1A-481A-930A-1A25E599FD5E}" srcId="{52740A77-3B1E-42FC-BD20-51ACCAC32298}" destId="{B70BABD7-3644-45B9-A129-F67B40376BE6}" srcOrd="3" destOrd="0" parTransId="{E49E5EBC-0AF7-490C-BEFB-3183E1286D7B}" sibTransId="{1AADB3A6-33A7-46C0-B71E-002625D4E4F9}"/>
    <dgm:cxn modelId="{59C1CEF1-D0A3-43FC-8CE9-181B3686D0BA}" srcId="{52740A77-3B1E-42FC-BD20-51ACCAC32298}" destId="{DF92E4F2-7ACB-4245-9B89-58C278AEB4A3}" srcOrd="0" destOrd="0" parTransId="{18D9CF44-B1FA-41AB-9591-2F28FB345FD3}" sibTransId="{AEA14A6D-13AC-4768-84CC-6253DF94B9B3}"/>
    <dgm:cxn modelId="{256811F9-C0CE-4504-836F-ABFB909F829B}" srcId="{52740A77-3B1E-42FC-BD20-51ACCAC32298}" destId="{C94C1DA6-3EF2-4D28-B70C-FA96582F43C6}" srcOrd="2" destOrd="0" parTransId="{D1C78DCE-9A96-4D0F-AABF-165F5268346C}" sibTransId="{89B8E2CA-F9DB-4895-AABF-129F01F67004}"/>
    <dgm:cxn modelId="{918E72F9-4BA9-4B25-A8A1-FDD85402C466}" type="presOf" srcId="{52740A77-3B1E-42FC-BD20-51ACCAC32298}" destId="{4F6F3B7F-A1D8-4B8E-B171-6936DDCE314D}" srcOrd="0" destOrd="0" presId="urn:microsoft.com/office/officeart/2005/8/layout/radial3"/>
    <dgm:cxn modelId="{61BBD0C2-44C0-475E-88F3-1A4B4F41092D}" type="presParOf" srcId="{9C8E4A56-7D06-4FD1-936E-05E2F0D48B43}" destId="{BF5286CB-2B38-4A92-9E55-CED50C49FEDB}" srcOrd="0" destOrd="0" presId="urn:microsoft.com/office/officeart/2005/8/layout/radial3"/>
    <dgm:cxn modelId="{B7136A31-0F6E-4DE6-A4FA-1DCC852C5B7D}" type="presParOf" srcId="{BF5286CB-2B38-4A92-9E55-CED50C49FEDB}" destId="{4F6F3B7F-A1D8-4B8E-B171-6936DDCE314D}" srcOrd="0" destOrd="0" presId="urn:microsoft.com/office/officeart/2005/8/layout/radial3"/>
    <dgm:cxn modelId="{A33E8202-4F46-41D1-A870-34094F40DD70}" type="presParOf" srcId="{BF5286CB-2B38-4A92-9E55-CED50C49FEDB}" destId="{804391BC-958A-41E5-87DF-493C294CCD0D}" srcOrd="1" destOrd="0" presId="urn:microsoft.com/office/officeart/2005/8/layout/radial3"/>
    <dgm:cxn modelId="{8F5FBA23-CF4C-43A6-8C04-F9CBF1C8CFEE}" type="presParOf" srcId="{BF5286CB-2B38-4A92-9E55-CED50C49FEDB}" destId="{B5C01237-A1E9-45F3-B392-532039E22410}" srcOrd="2" destOrd="0" presId="urn:microsoft.com/office/officeart/2005/8/layout/radial3"/>
    <dgm:cxn modelId="{2A3A0447-EDAC-4231-B267-B7F70C419158}" type="presParOf" srcId="{BF5286CB-2B38-4A92-9E55-CED50C49FEDB}" destId="{50B90531-ACD8-4E27-9493-0BF4E28BB7E7}" srcOrd="3" destOrd="0" presId="urn:microsoft.com/office/officeart/2005/8/layout/radial3"/>
    <dgm:cxn modelId="{2DB8A98C-DAF4-4CD4-8FA4-D0ACE6E5950F}" type="presParOf" srcId="{BF5286CB-2B38-4A92-9E55-CED50C49FEDB}" destId="{E7D44A09-851C-4230-A801-8E97973296E2}" srcOrd="4" destOrd="0" presId="urn:microsoft.com/office/officeart/2005/8/layout/radial3"/>
    <dgm:cxn modelId="{2D5DF1F1-5163-43E4-913D-10B264E06875}" type="presParOf" srcId="{BF5286CB-2B38-4A92-9E55-CED50C49FEDB}" destId="{72173D06-B66F-4726-BA2C-70DB432A8A84}" srcOrd="5" destOrd="0" presId="urn:microsoft.com/office/officeart/2005/8/layout/radial3"/>
    <dgm:cxn modelId="{9E6E802F-E242-4809-862E-C8B908663D7D}" type="presParOf" srcId="{BF5286CB-2B38-4A92-9E55-CED50C49FEDB}" destId="{5E9787E0-1FA2-4AAE-8285-9E72FB4CA984}" srcOrd="6" destOrd="0" presId="urn:microsoft.com/office/officeart/2005/8/layout/radial3"/>
  </dgm:cxnLst>
  <dgm:bg/>
  <dgm:whole/>
  <dgm:extLst>
    <a:ext uri="http://schemas.microsoft.com/office/drawing/2008/diagram">
      <dsp:dataModelExt xmlns:dsp="http://schemas.microsoft.com/office/drawing/2008/diagram" relId="rId20"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4F6F3B7F-A1D8-4B8E-B171-6936DDCE314D}">
      <dsp:nvSpPr>
        <dsp:cNvPr id="0" name=""/>
        <dsp:cNvSpPr/>
      </dsp:nvSpPr>
      <dsp:spPr>
        <a:xfrm>
          <a:off x="1888014" y="888549"/>
          <a:ext cx="2118642" cy="2118642"/>
        </a:xfrm>
        <a:prstGeom prst="ellipse">
          <a:avLst/>
        </a:prstGeom>
        <a:solidFill>
          <a:schemeClr val="lt1">
            <a:alpha val="50000"/>
            <a:hueOff val="0"/>
            <a:satOff val="0"/>
            <a:lumOff val="0"/>
            <a:alphaOff val="0"/>
          </a:schemeClr>
        </a:solidFill>
        <a:ln w="25400" cap="flat" cmpd="sng" algn="ctr">
          <a:solidFill>
            <a:schemeClr val="accent5">
              <a:shade val="80000"/>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tx1"/>
        </a:fontRef>
      </dsp:style>
      <dsp:txBody>
        <a:bodyPr spcFirstLastPara="0" vert="horz" wrap="square" lIns="17780" tIns="17780" rIns="17780" bIns="17780" numCol="1" spcCol="1270" anchor="ctr" anchorCtr="0">
          <a:noAutofit/>
        </a:bodyPr>
        <a:lstStyle/>
        <a:p>
          <a:pPr marL="0" lvl="0" indent="0" algn="ctr" defTabSz="622300">
            <a:lnSpc>
              <a:spcPct val="90000"/>
            </a:lnSpc>
            <a:spcBef>
              <a:spcPct val="0"/>
            </a:spcBef>
            <a:spcAft>
              <a:spcPct val="35000"/>
            </a:spcAft>
            <a:buNone/>
          </a:pPr>
          <a:r>
            <a:rPr lang="en-US" sz="1400" b="1" kern="1200">
              <a:latin typeface="Times New Roman" panose="02020603050405020304" pitchFamily="18" charset="0"/>
              <a:cs typeface="Times New Roman" panose="02020603050405020304" pitchFamily="18" charset="0"/>
            </a:rPr>
            <a:t>Gibbs' Reflective Cycle</a:t>
          </a:r>
        </a:p>
      </dsp:txBody>
      <dsp:txXfrm>
        <a:off x="2198282" y="1198817"/>
        <a:ext cx="1498106" cy="1498106"/>
      </dsp:txXfrm>
    </dsp:sp>
    <dsp:sp modelId="{804391BC-958A-41E5-87DF-493C294CCD0D}">
      <dsp:nvSpPr>
        <dsp:cNvPr id="0" name=""/>
        <dsp:cNvSpPr/>
      </dsp:nvSpPr>
      <dsp:spPr>
        <a:xfrm>
          <a:off x="2404982" y="378"/>
          <a:ext cx="1059321" cy="1059321"/>
        </a:xfrm>
        <a:prstGeom prst="ellipse">
          <a:avLst/>
        </a:prstGeom>
        <a:solidFill>
          <a:schemeClr val="lt1">
            <a:alpha val="50000"/>
            <a:hueOff val="0"/>
            <a:satOff val="0"/>
            <a:lumOff val="0"/>
            <a:alphaOff val="0"/>
          </a:schemeClr>
        </a:solidFill>
        <a:ln w="25400" cap="flat" cmpd="sng" algn="ctr">
          <a:solidFill>
            <a:schemeClr val="accent5">
              <a:shade val="80000"/>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tx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US" sz="1000" b="1" kern="1200">
              <a:latin typeface="Times New Roman" panose="02020603050405020304" pitchFamily="18" charset="0"/>
              <a:cs typeface="Times New Roman" panose="02020603050405020304" pitchFamily="18" charset="0"/>
            </a:rPr>
            <a:t>Description</a:t>
          </a:r>
        </a:p>
      </dsp:txBody>
      <dsp:txXfrm>
        <a:off x="2560116" y="155512"/>
        <a:ext cx="749053" cy="749053"/>
      </dsp:txXfrm>
    </dsp:sp>
    <dsp:sp modelId="{B5C01237-A1E9-45F3-B392-532039E22410}">
      <dsp:nvSpPr>
        <dsp:cNvPr id="0" name=""/>
        <dsp:cNvSpPr/>
      </dsp:nvSpPr>
      <dsp:spPr>
        <a:xfrm>
          <a:off x="3599857" y="690239"/>
          <a:ext cx="1059321" cy="1059321"/>
        </a:xfrm>
        <a:prstGeom prst="ellipse">
          <a:avLst/>
        </a:prstGeom>
        <a:solidFill>
          <a:schemeClr val="lt1">
            <a:alpha val="50000"/>
            <a:hueOff val="0"/>
            <a:satOff val="0"/>
            <a:lumOff val="0"/>
            <a:alphaOff val="0"/>
          </a:schemeClr>
        </a:solidFill>
        <a:ln w="25400" cap="flat" cmpd="sng" algn="ctr">
          <a:solidFill>
            <a:schemeClr val="accent5">
              <a:shade val="80000"/>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tx1"/>
        </a:fontRef>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r>
            <a:rPr lang="en-US" sz="1200" b="1" kern="1200">
              <a:latin typeface="Times New Roman" panose="02020603050405020304" pitchFamily="18" charset="0"/>
              <a:cs typeface="Times New Roman" panose="02020603050405020304" pitchFamily="18" charset="0"/>
            </a:rPr>
            <a:t>Feelings</a:t>
          </a:r>
        </a:p>
      </dsp:txBody>
      <dsp:txXfrm>
        <a:off x="3754991" y="845373"/>
        <a:ext cx="749053" cy="749053"/>
      </dsp:txXfrm>
    </dsp:sp>
    <dsp:sp modelId="{50B90531-ACD8-4E27-9493-0BF4E28BB7E7}">
      <dsp:nvSpPr>
        <dsp:cNvPr id="0" name=""/>
        <dsp:cNvSpPr/>
      </dsp:nvSpPr>
      <dsp:spPr>
        <a:xfrm>
          <a:off x="3599857" y="2069963"/>
          <a:ext cx="1059321" cy="1059321"/>
        </a:xfrm>
        <a:prstGeom prst="ellipse">
          <a:avLst/>
        </a:prstGeom>
        <a:solidFill>
          <a:schemeClr val="lt1">
            <a:alpha val="50000"/>
            <a:hueOff val="0"/>
            <a:satOff val="0"/>
            <a:lumOff val="0"/>
            <a:alphaOff val="0"/>
          </a:schemeClr>
        </a:solidFill>
        <a:ln w="25400" cap="flat" cmpd="sng" algn="ctr">
          <a:solidFill>
            <a:schemeClr val="accent5">
              <a:shade val="80000"/>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tx1"/>
        </a:fontRef>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r>
            <a:rPr lang="en-US" sz="1200" b="1" kern="1200">
              <a:latin typeface="Times New Roman" panose="02020603050405020304" pitchFamily="18" charset="0"/>
              <a:cs typeface="Times New Roman" panose="02020603050405020304" pitchFamily="18" charset="0"/>
            </a:rPr>
            <a:t>Evaluation</a:t>
          </a:r>
        </a:p>
      </dsp:txBody>
      <dsp:txXfrm>
        <a:off x="3754991" y="2225097"/>
        <a:ext cx="749053" cy="749053"/>
      </dsp:txXfrm>
    </dsp:sp>
    <dsp:sp modelId="{E7D44A09-851C-4230-A801-8E97973296E2}">
      <dsp:nvSpPr>
        <dsp:cNvPr id="0" name=""/>
        <dsp:cNvSpPr/>
      </dsp:nvSpPr>
      <dsp:spPr>
        <a:xfrm>
          <a:off x="2404982" y="2759825"/>
          <a:ext cx="1059321" cy="1059321"/>
        </a:xfrm>
        <a:prstGeom prst="ellipse">
          <a:avLst/>
        </a:prstGeom>
        <a:solidFill>
          <a:schemeClr val="lt1">
            <a:alpha val="50000"/>
            <a:hueOff val="0"/>
            <a:satOff val="0"/>
            <a:lumOff val="0"/>
            <a:alphaOff val="0"/>
          </a:schemeClr>
        </a:solidFill>
        <a:ln w="25400" cap="flat" cmpd="sng" algn="ctr">
          <a:solidFill>
            <a:schemeClr val="accent5">
              <a:shade val="80000"/>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tx1"/>
        </a:fontRef>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r>
            <a:rPr lang="en-US" sz="1200" b="1" kern="1200">
              <a:latin typeface="Times New Roman" panose="02020603050405020304" pitchFamily="18" charset="0"/>
              <a:cs typeface="Times New Roman" panose="02020603050405020304" pitchFamily="18" charset="0"/>
            </a:rPr>
            <a:t>Analysis</a:t>
          </a:r>
        </a:p>
      </dsp:txBody>
      <dsp:txXfrm>
        <a:off x="2560116" y="2914959"/>
        <a:ext cx="749053" cy="749053"/>
      </dsp:txXfrm>
    </dsp:sp>
    <dsp:sp modelId="{72173D06-B66F-4726-BA2C-70DB432A8A84}">
      <dsp:nvSpPr>
        <dsp:cNvPr id="0" name=""/>
        <dsp:cNvSpPr/>
      </dsp:nvSpPr>
      <dsp:spPr>
        <a:xfrm>
          <a:off x="1179645" y="2044698"/>
          <a:ext cx="1120242" cy="1109851"/>
        </a:xfrm>
        <a:prstGeom prst="ellipse">
          <a:avLst/>
        </a:prstGeom>
        <a:solidFill>
          <a:schemeClr val="lt1">
            <a:alpha val="50000"/>
            <a:hueOff val="0"/>
            <a:satOff val="0"/>
            <a:lumOff val="0"/>
            <a:alphaOff val="0"/>
          </a:schemeClr>
        </a:solidFill>
        <a:ln w="25400" cap="flat" cmpd="sng" algn="ctr">
          <a:solidFill>
            <a:schemeClr val="accent5">
              <a:shade val="80000"/>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tx1"/>
        </a:fontRef>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r>
            <a:rPr lang="en-US" sz="1200" b="1" kern="1200">
              <a:latin typeface="Times New Roman" panose="02020603050405020304" pitchFamily="18" charset="0"/>
              <a:cs typeface="Times New Roman" panose="02020603050405020304" pitchFamily="18" charset="0"/>
            </a:rPr>
            <a:t>Conclusion</a:t>
          </a:r>
        </a:p>
      </dsp:txBody>
      <dsp:txXfrm>
        <a:off x="1343701" y="2207232"/>
        <a:ext cx="792130" cy="784783"/>
      </dsp:txXfrm>
    </dsp:sp>
    <dsp:sp modelId="{5E9787E0-1FA2-4AAE-8285-9E72FB4CA984}">
      <dsp:nvSpPr>
        <dsp:cNvPr id="0" name=""/>
        <dsp:cNvSpPr/>
      </dsp:nvSpPr>
      <dsp:spPr>
        <a:xfrm>
          <a:off x="1210106" y="690239"/>
          <a:ext cx="1059321" cy="1059321"/>
        </a:xfrm>
        <a:prstGeom prst="ellipse">
          <a:avLst/>
        </a:prstGeom>
        <a:solidFill>
          <a:schemeClr val="lt1">
            <a:alpha val="50000"/>
            <a:hueOff val="0"/>
            <a:satOff val="0"/>
            <a:lumOff val="0"/>
            <a:alphaOff val="0"/>
          </a:schemeClr>
        </a:solidFill>
        <a:ln w="25400" cap="flat" cmpd="sng" algn="ctr">
          <a:solidFill>
            <a:schemeClr val="accent5">
              <a:shade val="80000"/>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tx1"/>
        </a:fontRef>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r>
            <a:rPr lang="en-US" sz="1200" b="1" kern="1200">
              <a:latin typeface="Times New Roman" panose="02020603050405020304" pitchFamily="18" charset="0"/>
              <a:cs typeface="Times New Roman" panose="02020603050405020304" pitchFamily="18" charset="0"/>
            </a:rPr>
            <a:t>Action plan</a:t>
          </a:r>
        </a:p>
      </dsp:txBody>
      <dsp:txXfrm>
        <a:off x="1365240" y="845373"/>
        <a:ext cx="749053" cy="749053"/>
      </dsp:txXfrm>
    </dsp:sp>
  </dsp:spTree>
</dsp:drawing>
</file>

<file path=word/diagrams/layout1.xml><?xml version="1.0" encoding="utf-8"?>
<dgm:layoutDef xmlns:dgm="http://schemas.openxmlformats.org/drawingml/2006/diagram" xmlns:a="http://schemas.openxmlformats.org/drawingml/2006/main" uniqueId="urn:microsoft.com/office/officeart/2005/8/layout/radial3">
  <dgm:title val=""/>
  <dgm:desc val=""/>
  <dgm:catLst>
    <dgm:cat type="relationship" pri="31000"/>
    <dgm:cat type="cycle" pri="12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composite">
    <dgm:varLst>
      <dgm:chMax val="1"/>
      <dgm:dir/>
      <dgm:resizeHandles val="exact"/>
    </dgm:varLst>
    <dgm:alg type="composite">
      <dgm:param type="ar" val="1"/>
    </dgm:alg>
    <dgm:shape xmlns:r="http://schemas.openxmlformats.org/officeDocument/2006/relationships" r:blip="">
      <dgm:adjLst/>
    </dgm:shape>
    <dgm:presOf/>
    <dgm:constrLst/>
    <dgm:ruleLst/>
    <dgm:layoutNode name="radial">
      <dgm:varLst>
        <dgm:animLvl val="ctr"/>
      </dgm:varLst>
      <dgm:choose name="Name0">
        <dgm:if name="Name1" func="var" arg="dir" op="equ" val="norm">
          <dgm:choose name="Name2">
            <dgm:if name="Name3" axis="ch ch" ptType="node node" st="1 1" cnt="1 0" func="cnt" op="lte" val="1">
              <dgm:alg type="cycle">
                <dgm:param type="stAng" val="90"/>
                <dgm:param type="spanAng" val="360"/>
                <dgm:param type="ctrShpMap" val="fNode"/>
              </dgm:alg>
            </dgm:if>
            <dgm:else name="Name4">
              <dgm:alg type="cycle">
                <dgm:param type="stAng" val="0"/>
                <dgm:param type="spanAng" val="360"/>
                <dgm:param type="ctrShpMap" val="fNode"/>
              </dgm:alg>
            </dgm:else>
          </dgm:choose>
        </dgm:if>
        <dgm:else name="Name5">
          <dgm:alg type="cycle">
            <dgm:param type="stAng" val="0"/>
            <dgm:param type="spanAng" val="-360"/>
            <dgm:param type="ctrShpMap" val="fNode"/>
          </dgm:alg>
        </dgm:else>
      </dgm:choose>
      <dgm:shape xmlns:r="http://schemas.openxmlformats.org/officeDocument/2006/relationships" r:blip="">
        <dgm:adjLst/>
      </dgm:shape>
      <dgm:presOf/>
      <dgm:constrLst>
        <dgm:constr type="w" for="ch" forName="centerShape" refType="w"/>
        <dgm:constr type="h" for="ch" forName="centerShape" refType="h"/>
        <dgm:constr type="w" for="ch" forName="node" refType="w" fact="0.5"/>
        <dgm:constr type="h" for="ch" forName="node" refType="h" fact="0.5"/>
        <dgm:constr type="sp" refType="w" refFor="ch" refForName="node" fact="-0.2"/>
        <dgm:constr type="sibSp" refType="w" refFor="ch" refForName="node" fact="-0.2"/>
        <dgm:constr type="primFontSz" for="ch" forName="centerShape" val="65"/>
        <dgm:constr type="primFontSz" for="des" forName="node" val="65"/>
        <dgm:constr type="primFontSz" for="ch" forName="node" refType="primFontSz" refFor="ch" refForName="centerShape" op="lte"/>
      </dgm:constrLst>
      <dgm:ruleLst/>
      <dgm:forEach name="Name6" axis="ch" ptType="node" cnt="1">
        <dgm:layoutNode name="centerShape" styleLbl="vennNode1">
          <dgm:alg type="tx"/>
          <dgm:shape xmlns:r="http://schemas.openxmlformats.org/officeDocument/2006/relationships" type="ellipse" r:blip="">
            <dgm:adjLst/>
          </dgm:shape>
          <dgm:presOf axis="self"/>
          <dgm:constrLst>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name="Name7" axis="ch" ptType="node">
          <dgm:layoutNode name="node" styleLbl="vennNode1">
            <dgm:varLst>
              <dgm:bulletEnabled val="1"/>
            </dgm:varLst>
            <dgm:alg type="tx">
              <dgm:param type="txAnchorVertCh" val="mid"/>
            </dgm:alg>
            <dgm:shape xmlns:r="http://schemas.openxmlformats.org/officeDocument/2006/relationships" type="ellipse" r:blip="">
              <dgm:adjLst/>
            </dgm:shape>
            <dgm:presOf axis="desOrSelf" ptType="node"/>
            <dgm:constrLst>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dgm:forEach>
    </dgm:layoutNode>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