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786A4" w14:textId="596D3374" w:rsidR="00D47947" w:rsidRDefault="000E5343">
      <w:r w:rsidRPr="000E5343">
        <w:rPr>
          <w:noProof/>
        </w:rPr>
        <w:drawing>
          <wp:inline distT="0" distB="0" distL="0" distR="0" wp14:anchorId="3681EA50" wp14:editId="145546F5">
            <wp:extent cx="5731510" cy="3820795"/>
            <wp:effectExtent l="0" t="0" r="0" b="0"/>
            <wp:docPr id="1007602415" name="Picture 1007602415" descr="Six-Day War | Definition, Causes, History, Summary, Outcomes, &amp; Fa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x-Day War | Definition, Causes, History, Summary, Outcomes, &amp; Fact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7E41214" w14:textId="1E99B13A" w:rsidR="000E5343" w:rsidRPr="0097478D" w:rsidRDefault="000E5343" w:rsidP="000E5343">
      <w:pPr>
        <w:jc w:val="right"/>
        <w:rPr>
          <w:rFonts w:ascii="Times New Roman" w:hAnsi="Times New Roman" w:cs="Times New Roman"/>
          <w:i/>
          <w:iCs/>
          <w:sz w:val="18"/>
          <w:szCs w:val="18"/>
          <w:lang w:val="it-IT"/>
        </w:rPr>
      </w:pPr>
      <w:r w:rsidRPr="0097478D">
        <w:rPr>
          <w:rFonts w:ascii="Times New Roman" w:hAnsi="Times New Roman" w:cs="Times New Roman"/>
          <w:i/>
          <w:iCs/>
          <w:sz w:val="18"/>
          <w:szCs w:val="18"/>
          <w:lang w:val="it-IT"/>
        </w:rPr>
        <w:t>(Britannica.com, n.d.)</w:t>
      </w:r>
    </w:p>
    <w:p w14:paraId="0DEC5541" w14:textId="77777777" w:rsidR="000E5343" w:rsidRPr="0097478D" w:rsidRDefault="000E5343" w:rsidP="000E5343">
      <w:pPr>
        <w:jc w:val="right"/>
        <w:rPr>
          <w:rFonts w:ascii="Times New Roman" w:hAnsi="Times New Roman" w:cs="Times New Roman"/>
          <w:i/>
          <w:iCs/>
          <w:sz w:val="18"/>
          <w:szCs w:val="18"/>
          <w:lang w:val="it-IT"/>
        </w:rPr>
      </w:pPr>
    </w:p>
    <w:p w14:paraId="46237A69" w14:textId="5349A7BF" w:rsidR="000E5343" w:rsidRPr="0097478D" w:rsidRDefault="000E5343" w:rsidP="000E5343">
      <w:pPr>
        <w:jc w:val="right"/>
        <w:rPr>
          <w:rFonts w:ascii="Times New Roman" w:hAnsi="Times New Roman" w:cs="Times New Roman"/>
          <w:b/>
          <w:bCs/>
          <w:sz w:val="24"/>
          <w:szCs w:val="24"/>
          <w:lang w:val="it-IT"/>
        </w:rPr>
      </w:pPr>
      <w:r w:rsidRPr="0097478D">
        <w:rPr>
          <w:rFonts w:ascii="Times New Roman" w:hAnsi="Times New Roman" w:cs="Times New Roman"/>
          <w:b/>
          <w:bCs/>
          <w:sz w:val="24"/>
          <w:szCs w:val="24"/>
          <w:lang w:val="it-IT"/>
        </w:rPr>
        <w:t>Xaverna Black (2115326)</w:t>
      </w:r>
    </w:p>
    <w:p w14:paraId="4CFE10CD" w14:textId="77777777" w:rsidR="000E5343" w:rsidRPr="000E5343" w:rsidRDefault="000E5343" w:rsidP="000E5343">
      <w:pPr>
        <w:jc w:val="right"/>
        <w:rPr>
          <w:rFonts w:ascii="Times New Roman" w:hAnsi="Times New Roman" w:cs="Times New Roman"/>
          <w:b/>
          <w:bCs/>
          <w:sz w:val="24"/>
          <w:szCs w:val="24"/>
        </w:rPr>
      </w:pPr>
      <w:r w:rsidRPr="0097478D">
        <w:rPr>
          <w:rFonts w:ascii="Times New Roman" w:hAnsi="Times New Roman" w:cs="Times New Roman"/>
          <w:b/>
          <w:bCs/>
          <w:sz w:val="24"/>
          <w:szCs w:val="24"/>
          <w:lang w:val="it-IT"/>
        </w:rPr>
        <w:t xml:space="preserve"> </w:t>
      </w:r>
      <w:r w:rsidRPr="000E5343">
        <w:rPr>
          <w:rFonts w:ascii="Times New Roman" w:hAnsi="Times New Roman" w:cs="Times New Roman"/>
          <w:b/>
          <w:bCs/>
          <w:sz w:val="24"/>
          <w:szCs w:val="24"/>
        </w:rPr>
        <w:t>Cold War, Hot War: Global Perspectives on War History</w:t>
      </w:r>
    </w:p>
    <w:p w14:paraId="49D7586C" w14:textId="23DCC41F" w:rsidR="000E5343" w:rsidRPr="000E5343" w:rsidRDefault="000E5343" w:rsidP="000E5343">
      <w:pPr>
        <w:jc w:val="right"/>
        <w:rPr>
          <w:rFonts w:ascii="Times New Roman" w:hAnsi="Times New Roman" w:cs="Times New Roman"/>
          <w:b/>
          <w:bCs/>
          <w:sz w:val="24"/>
          <w:szCs w:val="24"/>
        </w:rPr>
      </w:pPr>
      <w:r w:rsidRPr="000E5343">
        <w:rPr>
          <w:rFonts w:ascii="Times New Roman" w:hAnsi="Times New Roman" w:cs="Times New Roman"/>
          <w:b/>
          <w:bCs/>
          <w:sz w:val="24"/>
          <w:szCs w:val="24"/>
        </w:rPr>
        <w:t>Assessment #</w:t>
      </w:r>
      <w:r>
        <w:rPr>
          <w:rFonts w:ascii="Times New Roman" w:hAnsi="Times New Roman" w:cs="Times New Roman"/>
          <w:b/>
          <w:bCs/>
          <w:sz w:val="24"/>
          <w:szCs w:val="24"/>
        </w:rPr>
        <w:t>2</w:t>
      </w:r>
    </w:p>
    <w:p w14:paraId="6567F9CE" w14:textId="77777777" w:rsidR="000E5343" w:rsidRPr="000E5343" w:rsidRDefault="000E5343" w:rsidP="000E5343">
      <w:pPr>
        <w:jc w:val="right"/>
        <w:rPr>
          <w:rFonts w:ascii="Times New Roman" w:hAnsi="Times New Roman" w:cs="Times New Roman"/>
          <w:b/>
          <w:bCs/>
          <w:sz w:val="24"/>
          <w:szCs w:val="24"/>
        </w:rPr>
      </w:pPr>
    </w:p>
    <w:p w14:paraId="01D398DF" w14:textId="60E7341E" w:rsidR="000E5343" w:rsidRDefault="000E5343" w:rsidP="000E5343">
      <w:pPr>
        <w:jc w:val="right"/>
        <w:rPr>
          <w:rFonts w:ascii="Times New Roman" w:hAnsi="Times New Roman" w:cs="Times New Roman"/>
          <w:b/>
          <w:bCs/>
          <w:sz w:val="24"/>
          <w:szCs w:val="24"/>
        </w:rPr>
      </w:pPr>
    </w:p>
    <w:p w14:paraId="66C366FB" w14:textId="77777777" w:rsidR="000E5343" w:rsidRDefault="000E5343" w:rsidP="000E5343">
      <w:pPr>
        <w:jc w:val="right"/>
        <w:rPr>
          <w:rFonts w:ascii="Times New Roman" w:hAnsi="Times New Roman" w:cs="Times New Roman"/>
          <w:b/>
          <w:bCs/>
          <w:sz w:val="24"/>
          <w:szCs w:val="24"/>
        </w:rPr>
      </w:pPr>
    </w:p>
    <w:p w14:paraId="0B240B0A" w14:textId="77777777" w:rsidR="000E5343" w:rsidRDefault="000E5343" w:rsidP="000E5343">
      <w:pPr>
        <w:jc w:val="right"/>
        <w:rPr>
          <w:rFonts w:ascii="Times New Roman" w:hAnsi="Times New Roman" w:cs="Times New Roman"/>
          <w:b/>
          <w:bCs/>
          <w:sz w:val="24"/>
          <w:szCs w:val="24"/>
        </w:rPr>
      </w:pPr>
    </w:p>
    <w:p w14:paraId="192645A4" w14:textId="77777777" w:rsidR="000E5343" w:rsidRDefault="000E5343" w:rsidP="000E5343">
      <w:pPr>
        <w:jc w:val="right"/>
        <w:rPr>
          <w:rFonts w:ascii="Times New Roman" w:hAnsi="Times New Roman" w:cs="Times New Roman"/>
          <w:b/>
          <w:bCs/>
          <w:sz w:val="24"/>
          <w:szCs w:val="24"/>
        </w:rPr>
      </w:pPr>
    </w:p>
    <w:p w14:paraId="7F767C56" w14:textId="77777777" w:rsidR="000E5343" w:rsidRDefault="000E5343" w:rsidP="000E5343">
      <w:pPr>
        <w:jc w:val="right"/>
        <w:rPr>
          <w:rFonts w:ascii="Times New Roman" w:hAnsi="Times New Roman" w:cs="Times New Roman"/>
          <w:b/>
          <w:bCs/>
          <w:sz w:val="24"/>
          <w:szCs w:val="24"/>
        </w:rPr>
      </w:pPr>
    </w:p>
    <w:p w14:paraId="5C40C05E" w14:textId="77777777" w:rsidR="000E5343" w:rsidRDefault="000E5343" w:rsidP="000E5343">
      <w:pPr>
        <w:jc w:val="right"/>
        <w:rPr>
          <w:rFonts w:ascii="Times New Roman" w:hAnsi="Times New Roman" w:cs="Times New Roman"/>
          <w:b/>
          <w:bCs/>
          <w:sz w:val="24"/>
          <w:szCs w:val="24"/>
        </w:rPr>
      </w:pPr>
    </w:p>
    <w:p w14:paraId="71EF38DA" w14:textId="77777777" w:rsidR="000E5343" w:rsidRDefault="000E5343" w:rsidP="000E5343">
      <w:pPr>
        <w:jc w:val="right"/>
        <w:rPr>
          <w:rFonts w:ascii="Times New Roman" w:hAnsi="Times New Roman" w:cs="Times New Roman"/>
          <w:b/>
          <w:bCs/>
          <w:sz w:val="24"/>
          <w:szCs w:val="24"/>
        </w:rPr>
      </w:pPr>
    </w:p>
    <w:p w14:paraId="1AE9F5AF" w14:textId="77777777" w:rsidR="000E5343" w:rsidRDefault="000E5343" w:rsidP="000E5343">
      <w:pPr>
        <w:jc w:val="right"/>
        <w:rPr>
          <w:rFonts w:ascii="Times New Roman" w:hAnsi="Times New Roman" w:cs="Times New Roman"/>
          <w:b/>
          <w:bCs/>
          <w:sz w:val="24"/>
          <w:szCs w:val="24"/>
        </w:rPr>
      </w:pPr>
    </w:p>
    <w:p w14:paraId="68350BE6" w14:textId="77777777" w:rsidR="000E5343" w:rsidRDefault="000E5343" w:rsidP="000E5343">
      <w:pPr>
        <w:jc w:val="right"/>
        <w:rPr>
          <w:rFonts w:ascii="Times New Roman" w:hAnsi="Times New Roman" w:cs="Times New Roman"/>
          <w:b/>
          <w:bCs/>
          <w:sz w:val="24"/>
          <w:szCs w:val="24"/>
        </w:rPr>
      </w:pPr>
    </w:p>
    <w:p w14:paraId="359080CA" w14:textId="77777777" w:rsidR="000E5343" w:rsidRDefault="000E5343" w:rsidP="000E5343">
      <w:pPr>
        <w:jc w:val="right"/>
        <w:rPr>
          <w:rFonts w:ascii="Times New Roman" w:hAnsi="Times New Roman" w:cs="Times New Roman"/>
          <w:b/>
          <w:bCs/>
          <w:sz w:val="24"/>
          <w:szCs w:val="24"/>
        </w:rPr>
      </w:pPr>
    </w:p>
    <w:p w14:paraId="1DD2596F" w14:textId="77777777" w:rsidR="000E5343" w:rsidRDefault="000E5343" w:rsidP="000E5343">
      <w:pPr>
        <w:jc w:val="right"/>
        <w:rPr>
          <w:rFonts w:ascii="Times New Roman" w:hAnsi="Times New Roman" w:cs="Times New Roman"/>
          <w:b/>
          <w:bCs/>
          <w:sz w:val="24"/>
          <w:szCs w:val="24"/>
        </w:rPr>
      </w:pPr>
    </w:p>
    <w:p w14:paraId="06703E8D" w14:textId="0F3BAA21" w:rsidR="000E5343" w:rsidRDefault="000E5343" w:rsidP="000E5343">
      <w:pPr>
        <w:jc w:val="center"/>
        <w:rPr>
          <w:rFonts w:ascii="Times New Roman" w:hAnsi="Times New Roman" w:cs="Times New Roman"/>
          <w:b/>
          <w:bCs/>
          <w:sz w:val="24"/>
          <w:szCs w:val="24"/>
        </w:rPr>
      </w:pPr>
      <w:r>
        <w:rPr>
          <w:rFonts w:ascii="Times New Roman" w:hAnsi="Times New Roman" w:cs="Times New Roman"/>
          <w:b/>
          <w:bCs/>
          <w:sz w:val="24"/>
          <w:szCs w:val="24"/>
        </w:rPr>
        <w:t>How did the Arab- Israeli tensions during the 1960s and 1970s influence US and Soviet policy in the Middle East?</w:t>
      </w:r>
    </w:p>
    <w:p w14:paraId="491A4FE2" w14:textId="0EB30B2D" w:rsidR="00EC291C" w:rsidRDefault="00FA74F3" w:rsidP="00396EB3">
      <w:pPr>
        <w:jc w:val="both"/>
        <w:rPr>
          <w:rFonts w:ascii="Times New Roman" w:hAnsi="Times New Roman" w:cs="Times New Roman"/>
          <w:sz w:val="24"/>
          <w:szCs w:val="24"/>
        </w:rPr>
      </w:pPr>
      <w:r w:rsidRPr="00FA74F3">
        <w:rPr>
          <w:rFonts w:ascii="Times New Roman" w:hAnsi="Times New Roman" w:cs="Times New Roman"/>
          <w:sz w:val="24"/>
          <w:szCs w:val="24"/>
        </w:rPr>
        <w:t xml:space="preserve">The crucible of </w:t>
      </w:r>
      <w:proofErr w:type="gramStart"/>
      <w:r w:rsidRPr="00FA74F3">
        <w:rPr>
          <w:rFonts w:ascii="Times New Roman" w:hAnsi="Times New Roman" w:cs="Times New Roman"/>
          <w:sz w:val="24"/>
          <w:szCs w:val="24"/>
        </w:rPr>
        <w:t>Arab-Israeli</w:t>
      </w:r>
      <w:proofErr w:type="gramEnd"/>
      <w:r w:rsidRPr="00FA74F3">
        <w:rPr>
          <w:rFonts w:ascii="Times New Roman" w:hAnsi="Times New Roman" w:cs="Times New Roman"/>
          <w:sz w:val="24"/>
          <w:szCs w:val="24"/>
        </w:rPr>
        <w:t xml:space="preserve"> tensions in the 1960s and 1970s acted as a litmus test for the superpower competition, influencing the parameters of US and Soviet Middle East policy. The turbulent terrain, defined by wars such as the Six-Day War, War of Attrition, and Yom Kippur War, </w:t>
      </w:r>
      <w:r w:rsidR="00CD7B9A">
        <w:rPr>
          <w:rFonts w:ascii="Times New Roman" w:hAnsi="Times New Roman" w:cs="Times New Roman"/>
          <w:sz w:val="24"/>
          <w:szCs w:val="24"/>
        </w:rPr>
        <w:t>compelled</w:t>
      </w:r>
      <w:r w:rsidRPr="00FA74F3">
        <w:rPr>
          <w:rFonts w:ascii="Times New Roman" w:hAnsi="Times New Roman" w:cs="Times New Roman"/>
          <w:sz w:val="24"/>
          <w:szCs w:val="24"/>
        </w:rPr>
        <w:t xml:space="preserve"> the United States and the Soviet Union to </w:t>
      </w:r>
      <w:r w:rsidR="00583B02" w:rsidRPr="00FA74F3">
        <w:rPr>
          <w:rFonts w:ascii="Times New Roman" w:hAnsi="Times New Roman" w:cs="Times New Roman"/>
          <w:sz w:val="24"/>
          <w:szCs w:val="24"/>
        </w:rPr>
        <w:t>recalibrate</w:t>
      </w:r>
      <w:r w:rsidRPr="00FA74F3">
        <w:rPr>
          <w:rFonts w:ascii="Times New Roman" w:hAnsi="Times New Roman" w:cs="Times New Roman"/>
          <w:sz w:val="24"/>
          <w:szCs w:val="24"/>
        </w:rPr>
        <w:t xml:space="preserve"> their geopolitical policies as they sought to traverse the region's complicated web of alliances and enmities. Both superpowers' strategies were influenced not just by historical, ideological, and geopolitical consideration, but also by the desire to preserve regional peace, secure access to energy resources, and offset the other superpower's influence. </w:t>
      </w:r>
      <w:r w:rsidR="00632F53" w:rsidRPr="00632F53">
        <w:rPr>
          <w:rFonts w:ascii="Times New Roman" w:hAnsi="Times New Roman" w:cs="Times New Roman"/>
          <w:sz w:val="24"/>
          <w:szCs w:val="24"/>
        </w:rPr>
        <w:t xml:space="preserve">This essay </w:t>
      </w:r>
      <w:r w:rsidR="00583B02">
        <w:rPr>
          <w:rFonts w:ascii="Times New Roman" w:hAnsi="Times New Roman" w:cs="Times New Roman"/>
          <w:sz w:val="24"/>
          <w:szCs w:val="24"/>
        </w:rPr>
        <w:t>endeavours</w:t>
      </w:r>
      <w:r w:rsidR="00632F53" w:rsidRPr="00632F53">
        <w:rPr>
          <w:rFonts w:ascii="Times New Roman" w:hAnsi="Times New Roman" w:cs="Times New Roman"/>
          <w:sz w:val="24"/>
          <w:szCs w:val="24"/>
        </w:rPr>
        <w:t xml:space="preserve"> to unravel the intricate dynamics that unfolded during this pivotal period, shedding light on the profound influence of Arab-Israeli tensions on the Middle East policies pursued by the US and the Soviet Union, exploring the root causes of Arab-Israeli tensions and examining the factors that shaped their respective strategies and the impact of their involvement on the conflict's trajectory.</w:t>
      </w:r>
    </w:p>
    <w:p w14:paraId="2D377242" w14:textId="30845F6E" w:rsidR="00EC291C" w:rsidRDefault="008162D5" w:rsidP="00396EB3">
      <w:pPr>
        <w:jc w:val="both"/>
        <w:rPr>
          <w:rFonts w:ascii="Times New Roman" w:hAnsi="Times New Roman" w:cs="Times New Roman"/>
          <w:sz w:val="24"/>
          <w:szCs w:val="24"/>
        </w:rPr>
      </w:pPr>
      <w:r w:rsidRPr="008162D5">
        <w:rPr>
          <w:rFonts w:ascii="Times New Roman" w:hAnsi="Times New Roman" w:cs="Times New Roman"/>
          <w:sz w:val="24"/>
          <w:szCs w:val="24"/>
        </w:rPr>
        <w:t xml:space="preserve">The state of Israel, founded in 1948, evolved in a tumultuous geopolitical framework affected by the aftermath of WWII and the complexity of the Arab-Israeli conflict. Prior to the escalation of Arab-Israeli hostilities in the 1960s and 1970s, Israel went through a phase of nation-building and consolidation. The country's first prime minister, David Ben-Gurion, and his contemporaries concentrated on laying the groundwork for a viable and secure state. Waves of Jewish immigration, the integration of various communities, and the formation of critical institutions defined Israel's early years. The 1948 Arab-Israeli War, which preceded Israel's declaration of independence following the United Nations partition plan of Palestine in 1947, laid the groundwork for Israel's long-term enmity towards its Arab neighbours. </w:t>
      </w:r>
      <w:r w:rsidR="00CA61EE" w:rsidRPr="00CA61EE">
        <w:rPr>
          <w:rFonts w:ascii="Times New Roman" w:hAnsi="Times New Roman" w:cs="Times New Roman"/>
          <w:sz w:val="24"/>
          <w:szCs w:val="24"/>
        </w:rPr>
        <w:t>As a result, the relocation of hundreds of thousands of Palestinian refugees heightened hatred. (Smith, n.d). Egypt, Iraq, Jordan, Lebanon, and Syria were among the Arab countries who opposed Israel's independence.</w:t>
      </w:r>
      <w:r w:rsidR="00BE20F0">
        <w:rPr>
          <w:rFonts w:ascii="Times New Roman" w:hAnsi="Times New Roman" w:cs="Times New Roman"/>
          <w:sz w:val="24"/>
          <w:szCs w:val="24"/>
        </w:rPr>
        <w:t xml:space="preserve"> </w:t>
      </w:r>
      <w:r w:rsidR="00CA61EE" w:rsidRPr="00CA61EE">
        <w:rPr>
          <w:rFonts w:ascii="Times New Roman" w:hAnsi="Times New Roman" w:cs="Times New Roman"/>
          <w:sz w:val="24"/>
          <w:szCs w:val="24"/>
        </w:rPr>
        <w:t>(Encyclopedia Britannica</w:t>
      </w:r>
      <w:r w:rsidR="005719E4">
        <w:rPr>
          <w:rFonts w:ascii="Times New Roman" w:hAnsi="Times New Roman" w:cs="Times New Roman"/>
          <w:sz w:val="24"/>
          <w:szCs w:val="24"/>
        </w:rPr>
        <w:t>, n.d</w:t>
      </w:r>
      <w:r w:rsidR="00CA61EE" w:rsidRPr="00CA61EE">
        <w:rPr>
          <w:rFonts w:ascii="Times New Roman" w:hAnsi="Times New Roman" w:cs="Times New Roman"/>
          <w:sz w:val="24"/>
          <w:szCs w:val="24"/>
        </w:rPr>
        <w:t xml:space="preserve">) While the founding of Israel was a substantial contributor to Arab-Israeli hostilities, it was not the sole cause. Deep-rooted historical and geographical disputes between Jews and Arabs in the region, along with competing national aspirations, played a critical part in generating a hostile climate. As a result, while the founding of Israel in 1948 was significant, the larger historical and geopolitical backdrop, as recounted by Morris and other historians, highlights the numerous layers that contributed to the tensions that would deepen in the decades that followed. </w:t>
      </w:r>
      <w:r w:rsidR="00BE4641" w:rsidRPr="00BE4641">
        <w:rPr>
          <w:rFonts w:ascii="Times New Roman" w:hAnsi="Times New Roman" w:cs="Times New Roman"/>
          <w:sz w:val="24"/>
          <w:szCs w:val="24"/>
        </w:rPr>
        <w:t>(Morris, 2008, p</w:t>
      </w:r>
      <w:r w:rsidR="00670BF2">
        <w:rPr>
          <w:rFonts w:ascii="Times New Roman" w:hAnsi="Times New Roman" w:cs="Times New Roman"/>
          <w:sz w:val="24"/>
          <w:szCs w:val="24"/>
        </w:rPr>
        <w:t>p</w:t>
      </w:r>
      <w:r w:rsidR="00BE4641" w:rsidRPr="00BE4641">
        <w:rPr>
          <w:rFonts w:ascii="Times New Roman" w:hAnsi="Times New Roman" w:cs="Times New Roman"/>
          <w:sz w:val="24"/>
          <w:szCs w:val="24"/>
        </w:rPr>
        <w:t>. 3-120).</w:t>
      </w:r>
    </w:p>
    <w:p w14:paraId="453B372D" w14:textId="31556C27" w:rsidR="00C50E10" w:rsidRDefault="00510080" w:rsidP="00C50E10">
      <w:pPr>
        <w:jc w:val="both"/>
        <w:rPr>
          <w:rFonts w:ascii="Times New Roman" w:hAnsi="Times New Roman" w:cs="Times New Roman"/>
          <w:sz w:val="24"/>
          <w:szCs w:val="24"/>
        </w:rPr>
      </w:pPr>
      <w:r w:rsidRPr="00510080">
        <w:rPr>
          <w:rFonts w:ascii="Times New Roman" w:hAnsi="Times New Roman" w:cs="Times New Roman"/>
          <w:sz w:val="24"/>
          <w:szCs w:val="24"/>
        </w:rPr>
        <w:t xml:space="preserve">The escalation of Arab-Israeli tensions in the 1960s had a profound influence on US and Soviet Middle East strategy. Arab nationalism and pan-Arabism movements, as well as the establishment of the Palestine Liberation Organisation (PLO) in 1964 and Hamas in the late 1980s, exacerbated Arab-Israeli relations. The PLO was founded by Yasser Arafat with the purpose of freeing and advocating for Palestine and establishing a Palestinian state. Hence, earning backing from Arab governments and the international </w:t>
      </w:r>
      <w:r>
        <w:rPr>
          <w:rFonts w:ascii="Times New Roman" w:hAnsi="Times New Roman" w:cs="Times New Roman"/>
          <w:sz w:val="24"/>
          <w:szCs w:val="24"/>
        </w:rPr>
        <w:t xml:space="preserve">community </w:t>
      </w:r>
      <w:r w:rsidR="007017CF" w:rsidRPr="007017CF">
        <w:rPr>
          <w:rFonts w:ascii="Times New Roman" w:hAnsi="Times New Roman" w:cs="Times New Roman"/>
          <w:sz w:val="24"/>
          <w:szCs w:val="24"/>
        </w:rPr>
        <w:t>(Ali and James, 2020</w:t>
      </w:r>
      <w:r w:rsidR="002157B0" w:rsidRPr="007017CF">
        <w:rPr>
          <w:rFonts w:ascii="Times New Roman" w:hAnsi="Times New Roman" w:cs="Times New Roman"/>
          <w:sz w:val="24"/>
          <w:szCs w:val="24"/>
        </w:rPr>
        <w:t>)</w:t>
      </w:r>
      <w:r>
        <w:rPr>
          <w:rFonts w:ascii="Times New Roman" w:hAnsi="Times New Roman" w:cs="Times New Roman"/>
          <w:sz w:val="24"/>
          <w:szCs w:val="24"/>
        </w:rPr>
        <w:t>.</w:t>
      </w:r>
      <w:r w:rsidR="0030344E">
        <w:rPr>
          <w:rFonts w:ascii="Times New Roman" w:hAnsi="Times New Roman" w:cs="Times New Roman"/>
          <w:sz w:val="24"/>
          <w:szCs w:val="24"/>
        </w:rPr>
        <w:t xml:space="preserve"> </w:t>
      </w:r>
      <w:r w:rsidR="007B20FC" w:rsidRPr="007B20FC">
        <w:rPr>
          <w:rFonts w:ascii="Times New Roman" w:hAnsi="Times New Roman" w:cs="Times New Roman"/>
          <w:sz w:val="24"/>
          <w:szCs w:val="24"/>
        </w:rPr>
        <w:t>Furthermore, the 1960s and 1970s included an array of major incidents that heightened Arab-Israeli relations. The Six-Day War, which lasted from June 5th to June 10th, 1967, was an iconic moment in the Arab-Israeli conflict, significantly changing the Middle East's political and geographical environment. The Israeli Defence Force launched the operation by attacking Egyptian airfields. As a result of escalating tensions and geopolitical manoeuvring, Israel easily defeated its Arab neighbours, including Egypt, Syria, and Jordan, and took control of the Sinai Peninsula, the West Bank, East Jerusalem, and the Golan Heights. (Makrynika, n.d</w:t>
      </w:r>
      <w:r w:rsidR="005719E4" w:rsidRPr="007B20FC">
        <w:rPr>
          <w:rFonts w:ascii="Times New Roman" w:hAnsi="Times New Roman" w:cs="Times New Roman"/>
          <w:sz w:val="24"/>
          <w:szCs w:val="24"/>
        </w:rPr>
        <w:t>) Prior</w:t>
      </w:r>
      <w:r w:rsidR="007B20FC" w:rsidRPr="007B20FC">
        <w:rPr>
          <w:rFonts w:ascii="Times New Roman" w:hAnsi="Times New Roman" w:cs="Times New Roman"/>
          <w:sz w:val="24"/>
          <w:szCs w:val="24"/>
        </w:rPr>
        <w:t xml:space="preserve"> to the Six-Day War, the Johnson administration sought to dissuade Soviet intervention and pursue a cease-fire while also backing Israel's occupation through military agreements (State.gov, 2019).</w:t>
      </w:r>
      <w:r w:rsidR="00916538">
        <w:rPr>
          <w:rFonts w:ascii="Times New Roman" w:hAnsi="Times New Roman" w:cs="Times New Roman"/>
          <w:sz w:val="24"/>
          <w:szCs w:val="24"/>
        </w:rPr>
        <w:t xml:space="preserve"> </w:t>
      </w:r>
      <w:r w:rsidR="00B70BF4" w:rsidRPr="00B70BF4">
        <w:rPr>
          <w:rFonts w:ascii="Times New Roman" w:hAnsi="Times New Roman" w:cs="Times New Roman"/>
          <w:sz w:val="24"/>
          <w:szCs w:val="24"/>
        </w:rPr>
        <w:t xml:space="preserve">They initially advised a ceasefire to avoid Arab defeat and alienating pro-Western Arab countries, especially after Egypt accused the US of enabling Israel and broke diplomatic relations. However, after June 5, the government did not urge a rapid Israeli departure, thinking that peace settlements should be implemented owing to the instability of the prewar armistice system. (State.gov, 2019) The 1967 War established a unique connection between the United States and Israel based on shared political and strategic interests in Cold War problems. (Makrynika, n.d) The impact of this fight extended well beyond the immediate military consequences, changing the regional balance of </w:t>
      </w:r>
      <w:r w:rsidR="00EE33DE" w:rsidRPr="00B70BF4">
        <w:rPr>
          <w:rFonts w:ascii="Times New Roman" w:hAnsi="Times New Roman" w:cs="Times New Roman"/>
          <w:sz w:val="24"/>
          <w:szCs w:val="24"/>
        </w:rPr>
        <w:t>power,</w:t>
      </w:r>
      <w:r w:rsidR="00B70BF4" w:rsidRPr="00B70BF4">
        <w:rPr>
          <w:rFonts w:ascii="Times New Roman" w:hAnsi="Times New Roman" w:cs="Times New Roman"/>
          <w:sz w:val="24"/>
          <w:szCs w:val="24"/>
        </w:rPr>
        <w:t xml:space="preserve"> and attracting the attention of the world’s superpowers, the United </w:t>
      </w:r>
      <w:r w:rsidR="00765B38" w:rsidRPr="00B70BF4">
        <w:rPr>
          <w:rFonts w:ascii="Times New Roman" w:hAnsi="Times New Roman" w:cs="Times New Roman"/>
          <w:sz w:val="24"/>
          <w:szCs w:val="24"/>
        </w:rPr>
        <w:t>States,</w:t>
      </w:r>
      <w:r w:rsidR="00B70BF4" w:rsidRPr="00B70BF4">
        <w:rPr>
          <w:rFonts w:ascii="Times New Roman" w:hAnsi="Times New Roman" w:cs="Times New Roman"/>
          <w:sz w:val="24"/>
          <w:szCs w:val="24"/>
        </w:rPr>
        <w:t xml:space="preserve"> and the Soviet Union. </w:t>
      </w:r>
      <w:r w:rsidR="007560CD">
        <w:rPr>
          <w:rFonts w:ascii="Times New Roman" w:hAnsi="Times New Roman" w:cs="Times New Roman"/>
          <w:sz w:val="24"/>
          <w:szCs w:val="24"/>
        </w:rPr>
        <w:t xml:space="preserve"> </w:t>
      </w:r>
      <w:r w:rsidR="0070759C" w:rsidRPr="0070759C">
        <w:rPr>
          <w:rFonts w:ascii="Times New Roman" w:hAnsi="Times New Roman" w:cs="Times New Roman"/>
          <w:sz w:val="24"/>
          <w:szCs w:val="24"/>
        </w:rPr>
        <w:t xml:space="preserve">The US saw Israel as a critical partner in the strategically important Middle East, seeing its existence as critical to regional security. In a region defined by Cold War tensions and the development of Soviet influence, the US regarded Israel as a democratic and trusted partner (Khalidi, 2010, p. 82). Given Israel's perceived strategic importance, the US provided significant military and economic help to the newly constituted state, forming a tight connection that would define the geopolitics of the area for decades to come. </w:t>
      </w:r>
      <w:r w:rsidR="006079B9" w:rsidRPr="006079B9">
        <w:rPr>
          <w:rFonts w:ascii="Times New Roman" w:hAnsi="Times New Roman" w:cs="Times New Roman"/>
          <w:sz w:val="24"/>
          <w:szCs w:val="24"/>
        </w:rPr>
        <w:t xml:space="preserve">To offset American influence and create a presence in the Middle East, the Soviet Union offered support to Arab states and communist governments, notably Egypt and Syria, perceiving them as partners in the fight against Western imperialism and capitalism. They were influenced by ideological concerns as well as strategic goals. </w:t>
      </w:r>
      <w:r w:rsidR="00B76EA9" w:rsidRPr="006079B9">
        <w:rPr>
          <w:rFonts w:ascii="Times New Roman" w:hAnsi="Times New Roman" w:cs="Times New Roman"/>
          <w:sz w:val="24"/>
          <w:szCs w:val="24"/>
        </w:rPr>
        <w:t>To</w:t>
      </w:r>
      <w:r w:rsidR="006079B9" w:rsidRPr="006079B9">
        <w:rPr>
          <w:rFonts w:ascii="Times New Roman" w:hAnsi="Times New Roman" w:cs="Times New Roman"/>
          <w:sz w:val="24"/>
          <w:szCs w:val="24"/>
        </w:rPr>
        <w:t xml:space="preserve"> strengthen their capacities against Israel, the USSR gave these countries with military aid, weaponry, </w:t>
      </w:r>
      <w:r w:rsidR="00DA46BB">
        <w:rPr>
          <w:rFonts w:ascii="Times New Roman" w:hAnsi="Times New Roman" w:cs="Times New Roman"/>
          <w:sz w:val="24"/>
          <w:szCs w:val="24"/>
        </w:rPr>
        <w:t xml:space="preserve">including </w:t>
      </w:r>
      <w:r w:rsidR="00912E4A">
        <w:rPr>
          <w:rFonts w:ascii="Times New Roman" w:hAnsi="Times New Roman" w:cs="Times New Roman"/>
          <w:sz w:val="24"/>
          <w:szCs w:val="24"/>
        </w:rPr>
        <w:t>s</w:t>
      </w:r>
      <w:r w:rsidR="00DA46BB">
        <w:rPr>
          <w:rFonts w:ascii="Times New Roman" w:hAnsi="Times New Roman" w:cs="Times New Roman"/>
          <w:sz w:val="24"/>
          <w:szCs w:val="24"/>
        </w:rPr>
        <w:t>urface-</w:t>
      </w:r>
      <w:r w:rsidR="00912E4A">
        <w:rPr>
          <w:rFonts w:ascii="Times New Roman" w:hAnsi="Times New Roman" w:cs="Times New Roman"/>
          <w:sz w:val="24"/>
          <w:szCs w:val="24"/>
        </w:rPr>
        <w:t>to-</w:t>
      </w:r>
      <w:r w:rsidR="00DA46BB">
        <w:rPr>
          <w:rFonts w:ascii="Times New Roman" w:hAnsi="Times New Roman" w:cs="Times New Roman"/>
          <w:sz w:val="24"/>
          <w:szCs w:val="24"/>
        </w:rPr>
        <w:t>air</w:t>
      </w:r>
      <w:r w:rsidR="005133F5">
        <w:rPr>
          <w:rFonts w:ascii="Times New Roman" w:hAnsi="Times New Roman" w:cs="Times New Roman"/>
          <w:sz w:val="24"/>
          <w:szCs w:val="24"/>
        </w:rPr>
        <w:t xml:space="preserve"> </w:t>
      </w:r>
      <w:r w:rsidR="00DA46BB">
        <w:rPr>
          <w:rFonts w:ascii="Times New Roman" w:hAnsi="Times New Roman" w:cs="Times New Roman"/>
          <w:sz w:val="24"/>
          <w:szCs w:val="24"/>
        </w:rPr>
        <w:t>missiles</w:t>
      </w:r>
      <w:r w:rsidR="00247D97">
        <w:rPr>
          <w:rFonts w:ascii="Times New Roman" w:hAnsi="Times New Roman" w:cs="Times New Roman"/>
          <w:sz w:val="24"/>
          <w:szCs w:val="24"/>
        </w:rPr>
        <w:t xml:space="preserve"> </w:t>
      </w:r>
      <w:r w:rsidR="006079B9" w:rsidRPr="006079B9">
        <w:rPr>
          <w:rFonts w:ascii="Times New Roman" w:hAnsi="Times New Roman" w:cs="Times New Roman"/>
          <w:sz w:val="24"/>
          <w:szCs w:val="24"/>
        </w:rPr>
        <w:t xml:space="preserve">and technological </w:t>
      </w:r>
      <w:r w:rsidR="005133F5" w:rsidRPr="006079B9">
        <w:rPr>
          <w:rFonts w:ascii="Times New Roman" w:hAnsi="Times New Roman" w:cs="Times New Roman"/>
          <w:sz w:val="24"/>
          <w:szCs w:val="24"/>
        </w:rPr>
        <w:t>assistance.</w:t>
      </w:r>
      <w:r w:rsidR="005133F5">
        <w:rPr>
          <w:rFonts w:ascii="Times New Roman" w:hAnsi="Times New Roman" w:cs="Times New Roman"/>
          <w:sz w:val="24"/>
          <w:szCs w:val="24"/>
        </w:rPr>
        <w:t xml:space="preserve"> (Ruan, 2021)</w:t>
      </w:r>
      <w:r w:rsidR="006079B9" w:rsidRPr="006079B9">
        <w:rPr>
          <w:rFonts w:ascii="Times New Roman" w:hAnsi="Times New Roman" w:cs="Times New Roman"/>
          <w:sz w:val="24"/>
          <w:szCs w:val="24"/>
        </w:rPr>
        <w:t xml:space="preserve"> The Soviet motives were driven by a desire to increase influence in the area, tap into existing Arab nationalism, and oppose the increasing alliance between the US and Israel (Khalidi, 2010, p. 86). </w:t>
      </w:r>
    </w:p>
    <w:p w14:paraId="07B31D25" w14:textId="35758B43" w:rsidR="00FB0BD4" w:rsidRPr="00FB0BD4" w:rsidRDefault="00356069" w:rsidP="00FB0BD4">
      <w:pPr>
        <w:jc w:val="both"/>
        <w:rPr>
          <w:rFonts w:ascii="Times New Roman" w:hAnsi="Times New Roman" w:cs="Times New Roman"/>
          <w:sz w:val="24"/>
          <w:szCs w:val="24"/>
        </w:rPr>
      </w:pPr>
      <w:r w:rsidRPr="00356069">
        <w:rPr>
          <w:rFonts w:ascii="Times New Roman" w:hAnsi="Times New Roman" w:cs="Times New Roman"/>
          <w:sz w:val="24"/>
          <w:szCs w:val="24"/>
        </w:rPr>
        <w:t>The War of Attrition, which lasted nearly eighteen months from March 1969 to August 1970, was a significant and protracted phase in the aftermath of the Six-Day War, as detailed in Michael B. Oren's exhaustive work, "Six Days of War: June 1967 and the Making of the Modern Middle East" (Oren, 2002). This conflict, which mostly included Israel and Egypt, was distinguished by intermittent engagements, artillery duels, and air clashes near the Suez Canal and the Sinai Peninsula. The conflict of Attrition against Israel, which began following resistance and active defence, was critical for Egyptian military forces, impacting preparation and planning for the October 1973 conflict and assuring efficient performance.</w:t>
      </w:r>
      <w:r w:rsidR="0092242E" w:rsidRPr="0092242E">
        <w:t xml:space="preserve"> </w:t>
      </w:r>
      <w:r w:rsidR="0092242E" w:rsidRPr="0092242E">
        <w:rPr>
          <w:rFonts w:ascii="Times New Roman" w:hAnsi="Times New Roman" w:cs="Times New Roman"/>
          <w:sz w:val="24"/>
          <w:szCs w:val="24"/>
        </w:rPr>
        <w:t>(Sorby, 1969</w:t>
      </w:r>
      <w:r w:rsidR="0080499B">
        <w:rPr>
          <w:rFonts w:ascii="Times New Roman" w:hAnsi="Times New Roman" w:cs="Times New Roman"/>
          <w:sz w:val="24"/>
          <w:szCs w:val="24"/>
        </w:rPr>
        <w:t>, p.144</w:t>
      </w:r>
      <w:r w:rsidR="0092242E" w:rsidRPr="0092242E">
        <w:rPr>
          <w:rFonts w:ascii="Times New Roman" w:hAnsi="Times New Roman" w:cs="Times New Roman"/>
          <w:sz w:val="24"/>
          <w:szCs w:val="24"/>
        </w:rPr>
        <w:t>)</w:t>
      </w:r>
      <w:r w:rsidR="00FB0BD4" w:rsidRPr="00FB0BD4">
        <w:rPr>
          <w:rFonts w:ascii="Times New Roman" w:hAnsi="Times New Roman" w:cs="Times New Roman"/>
          <w:sz w:val="24"/>
          <w:szCs w:val="24"/>
        </w:rPr>
        <w:t xml:space="preserve"> </w:t>
      </w:r>
      <w:r w:rsidR="004F0F1F" w:rsidRPr="004F0F1F">
        <w:rPr>
          <w:rFonts w:ascii="Times New Roman" w:hAnsi="Times New Roman" w:cs="Times New Roman"/>
          <w:sz w:val="24"/>
          <w:szCs w:val="24"/>
        </w:rPr>
        <w:t xml:space="preserve">Its significance stems from its strategic ramifications, as both groups sought to wear down the opponent and ensure favourable conditions for future discussions. The Soviet Union's active engagement in the War of Attrition was remarkable, indicating the Soviet Union's dedication to aiding its Arab allies. Military advisers and pilots from the Soviet Union actively participated in the fight, giving Egypt with critical experience and technological help (Oren, 2002, p. 402). This direct confrontation highlighted the Soviet Union's commitment to preserve regional influence and balance Israeli military strength. During the War of Attrition, the United States provided indirect support for Israel on the opposite side of the Cold War split. </w:t>
      </w:r>
      <w:r w:rsidR="00FB0BD4" w:rsidRPr="00FB0BD4">
        <w:rPr>
          <w:rFonts w:ascii="Times New Roman" w:hAnsi="Times New Roman" w:cs="Times New Roman"/>
          <w:sz w:val="24"/>
          <w:szCs w:val="24"/>
        </w:rPr>
        <w:t>While not directly involving American forces, the U.S. provided crucial military and economic aid to Israel, reinforcing the alliance established after the Six-Day War (Oren, 2002, p. 403).</w:t>
      </w:r>
      <w:r w:rsidR="002C3BBA">
        <w:rPr>
          <w:rFonts w:ascii="Times New Roman" w:hAnsi="Times New Roman" w:cs="Times New Roman"/>
          <w:sz w:val="24"/>
          <w:szCs w:val="24"/>
        </w:rPr>
        <w:t xml:space="preserve"> </w:t>
      </w:r>
      <w:r w:rsidR="00924FA4" w:rsidRPr="00924FA4">
        <w:rPr>
          <w:rFonts w:ascii="Times New Roman" w:hAnsi="Times New Roman" w:cs="Times New Roman"/>
          <w:sz w:val="24"/>
          <w:szCs w:val="24"/>
        </w:rPr>
        <w:t>The US assistance attempted to assure that Israel had the resources it needed to defend itself and preserve regional security, consistent with broader American Cold War aims.</w:t>
      </w:r>
      <w:r w:rsidR="00924FA4" w:rsidRPr="00924FA4">
        <w:rPr>
          <w:rFonts w:ascii="Times New Roman" w:hAnsi="Times New Roman" w:cs="Times New Roman"/>
          <w:sz w:val="24"/>
          <w:szCs w:val="24"/>
          <w:highlight w:val="cyan"/>
        </w:rPr>
        <w:t xml:space="preserve"> </w:t>
      </w:r>
    </w:p>
    <w:p w14:paraId="569A0638" w14:textId="0A8776D8" w:rsidR="00E34DB0" w:rsidRDefault="00F00A64" w:rsidP="00C50E10">
      <w:pPr>
        <w:jc w:val="both"/>
        <w:rPr>
          <w:rFonts w:ascii="Times New Roman" w:hAnsi="Times New Roman" w:cs="Times New Roman"/>
          <w:sz w:val="24"/>
          <w:szCs w:val="24"/>
        </w:rPr>
      </w:pPr>
      <w:r w:rsidRPr="00F00A64">
        <w:rPr>
          <w:rFonts w:ascii="Times New Roman" w:hAnsi="Times New Roman" w:cs="Times New Roman"/>
          <w:sz w:val="24"/>
          <w:szCs w:val="24"/>
        </w:rPr>
        <w:t xml:space="preserve">Following the War of Attrition, the Yom Kippur War of October 6, 1973, also known as the October War, had a tremendous influence on superpower relations during the Cold War, with consequences that extended well beyond the immediate battle (Makrynika, n.d.). The war, which commenced on the holiest day of the Jewish calendar (Yom Kippur) with surprise attacks on Israel by Egypt and Syria, represented a dramatic difference from prior confrontations, catching Israel off guard and resulting to initial Arab triumphs. They launched an attack when Israel's military were doing Yom Kippur religious ceremonies. </w:t>
      </w:r>
      <w:r w:rsidR="00613CB6" w:rsidRPr="00613CB6">
        <w:rPr>
          <w:rFonts w:ascii="Times New Roman" w:hAnsi="Times New Roman" w:cs="Times New Roman"/>
          <w:sz w:val="24"/>
          <w:szCs w:val="24"/>
        </w:rPr>
        <w:t xml:space="preserve">As a result, their alertness would be momentarily reduced yet Egyptians stunned both Israel and the United States by invading the Suez Canal's east bank with 100,000 men and tanks. Syrians, working with Egyptians, launched an offensive on the Golan Heights, hoping to involve Israel and the United States in Middle East peace talks. (Makrynika, n.d) The primary consequences of the battle included </w:t>
      </w:r>
      <w:r w:rsidR="005C0A26" w:rsidRPr="00613CB6">
        <w:rPr>
          <w:rFonts w:ascii="Times New Roman" w:hAnsi="Times New Roman" w:cs="Times New Roman"/>
          <w:sz w:val="24"/>
          <w:szCs w:val="24"/>
        </w:rPr>
        <w:t>many</w:t>
      </w:r>
      <w:r w:rsidR="00613CB6" w:rsidRPr="00613CB6">
        <w:rPr>
          <w:rFonts w:ascii="Times New Roman" w:hAnsi="Times New Roman" w:cs="Times New Roman"/>
          <w:sz w:val="24"/>
          <w:szCs w:val="24"/>
        </w:rPr>
        <w:t xml:space="preserve"> Israeli casualties. (Maratib</w:t>
      </w:r>
      <w:r w:rsidR="005F148E">
        <w:rPr>
          <w:rFonts w:ascii="Times New Roman" w:hAnsi="Times New Roman" w:cs="Times New Roman"/>
          <w:sz w:val="24"/>
          <w:szCs w:val="24"/>
        </w:rPr>
        <w:t xml:space="preserve"> et al</w:t>
      </w:r>
      <w:r w:rsidR="00E663C0">
        <w:rPr>
          <w:rFonts w:ascii="Times New Roman" w:hAnsi="Times New Roman" w:cs="Times New Roman"/>
          <w:sz w:val="24"/>
          <w:szCs w:val="24"/>
        </w:rPr>
        <w:t>.</w:t>
      </w:r>
      <w:r w:rsidR="00613CB6" w:rsidRPr="00613CB6">
        <w:rPr>
          <w:rFonts w:ascii="Times New Roman" w:hAnsi="Times New Roman" w:cs="Times New Roman"/>
          <w:sz w:val="24"/>
          <w:szCs w:val="24"/>
        </w:rPr>
        <w:t xml:space="preserve"> 2022) As the battle progressed, the United States and the Soviet Union, were embroiled in diplomatic efforts to settle the problem. The Yom Kippur War forced them to engage in a delicate diplomatic tango.</w:t>
      </w:r>
      <w:r w:rsidR="00613CB6">
        <w:rPr>
          <w:rFonts w:ascii="Times New Roman" w:hAnsi="Times New Roman" w:cs="Times New Roman"/>
          <w:sz w:val="24"/>
          <w:szCs w:val="24"/>
        </w:rPr>
        <w:t xml:space="preserve"> </w:t>
      </w:r>
      <w:r w:rsidR="008A50B5" w:rsidRPr="008A50B5">
        <w:rPr>
          <w:rFonts w:ascii="Times New Roman" w:hAnsi="Times New Roman" w:cs="Times New Roman"/>
          <w:sz w:val="24"/>
          <w:szCs w:val="24"/>
        </w:rPr>
        <w:t xml:space="preserve">While both the US and the Soviet Union immediately resupplied their respective allies, the prospect of a direct superpower battle heightened tensions. Recognising the hazards of a larger confrontation, both countries shifted their focus to diplomacy </w:t>
      </w:r>
      <w:r w:rsidR="00765B38" w:rsidRPr="008A50B5">
        <w:rPr>
          <w:rFonts w:ascii="Times New Roman" w:hAnsi="Times New Roman" w:cs="Times New Roman"/>
          <w:sz w:val="24"/>
          <w:szCs w:val="24"/>
        </w:rPr>
        <w:t>to</w:t>
      </w:r>
      <w:r w:rsidR="008A50B5" w:rsidRPr="008A50B5">
        <w:rPr>
          <w:rFonts w:ascii="Times New Roman" w:hAnsi="Times New Roman" w:cs="Times New Roman"/>
          <w:sz w:val="24"/>
          <w:szCs w:val="24"/>
        </w:rPr>
        <w:t xml:space="preserve"> de-escalate the situation. Under Secretary of State Henry Kissinger's guidance, the United States played a key role in commencing ceasefire discussions, emphasising the need of avoiding a superpower clash in the Middle East (Quandt, 2005, p. 76). The United Nations has sent peacekeepers to volatile regions.  Egypt and Israel signed an interim agreement in 1975, indicating their commitment to resolve their disagreements amicably. </w:t>
      </w:r>
      <w:r w:rsidR="002826DB">
        <w:rPr>
          <w:rFonts w:ascii="Times New Roman" w:hAnsi="Times New Roman" w:cs="Times New Roman"/>
          <w:sz w:val="24"/>
          <w:szCs w:val="24"/>
        </w:rPr>
        <w:t>(</w:t>
      </w:r>
      <w:r w:rsidR="008A50B5" w:rsidRPr="008A50B5">
        <w:rPr>
          <w:rFonts w:ascii="Times New Roman" w:hAnsi="Times New Roman" w:cs="Times New Roman"/>
          <w:sz w:val="24"/>
          <w:szCs w:val="24"/>
        </w:rPr>
        <w:t>Trueman</w:t>
      </w:r>
      <w:r w:rsidR="002826DB">
        <w:rPr>
          <w:rFonts w:ascii="Times New Roman" w:hAnsi="Times New Roman" w:cs="Times New Roman"/>
          <w:sz w:val="24"/>
          <w:szCs w:val="24"/>
        </w:rPr>
        <w:t xml:space="preserve">, </w:t>
      </w:r>
      <w:r w:rsidR="008A50B5" w:rsidRPr="008A50B5">
        <w:rPr>
          <w:rFonts w:ascii="Times New Roman" w:hAnsi="Times New Roman" w:cs="Times New Roman"/>
          <w:sz w:val="24"/>
          <w:szCs w:val="24"/>
        </w:rPr>
        <w:t xml:space="preserve">2015) </w:t>
      </w:r>
      <w:r w:rsidR="006A7F10" w:rsidRPr="006A7F10">
        <w:rPr>
          <w:rFonts w:ascii="Times New Roman" w:hAnsi="Times New Roman" w:cs="Times New Roman"/>
          <w:sz w:val="24"/>
          <w:szCs w:val="24"/>
        </w:rPr>
        <w:t>In 1978, the United States successfully arranged the Camp David Accords by utilising its power and diplomatic ability. This historic accord, sponsored by President Jimmy Carter, resulted in Egypt and Israel signing a peace treaty. The Camp David Accords not only ended three decades of hostility between the two countries, but they also changed the Middle East's geopolitical dynamics</w:t>
      </w:r>
      <w:r w:rsidR="00870432">
        <w:rPr>
          <w:rFonts w:ascii="Times New Roman" w:hAnsi="Times New Roman" w:cs="Times New Roman"/>
          <w:sz w:val="24"/>
          <w:szCs w:val="24"/>
        </w:rPr>
        <w:t xml:space="preserve"> promoting peace and stability</w:t>
      </w:r>
      <w:r w:rsidR="006A7F10" w:rsidRPr="006A7F10">
        <w:rPr>
          <w:rFonts w:ascii="Times New Roman" w:hAnsi="Times New Roman" w:cs="Times New Roman"/>
          <w:sz w:val="24"/>
          <w:szCs w:val="24"/>
        </w:rPr>
        <w:t>. This diplomatic achievement highlighted the superpowers' capacity to manage crises and engage in constructive diplomacy, although indirectly, to bring about regional stability (Quandt, 2005, p. 122). The United States made an important contribution to the search for a peaceful solution by actively participating in the exploration of a concrete solution to the Arab-Israeli conflict.</w:t>
      </w:r>
    </w:p>
    <w:p w14:paraId="65AEF45E" w14:textId="7DA6C4A4" w:rsidR="00CF01D9" w:rsidRPr="00A07046" w:rsidRDefault="003403EA" w:rsidP="007A416A">
      <w:pPr>
        <w:jc w:val="both"/>
        <w:rPr>
          <w:rFonts w:ascii="Times New Roman" w:hAnsi="Times New Roman" w:cs="Times New Roman"/>
          <w:sz w:val="24"/>
          <w:szCs w:val="24"/>
        </w:rPr>
      </w:pPr>
      <w:r w:rsidRPr="003403EA">
        <w:rPr>
          <w:rFonts w:ascii="Times New Roman" w:hAnsi="Times New Roman" w:cs="Times New Roman"/>
          <w:sz w:val="24"/>
          <w:szCs w:val="24"/>
        </w:rPr>
        <w:t xml:space="preserve">The repercussions of the Arab-Israeli crises of the 1960s and 1970s had enormous impacts on US and Soviet Middle East policy, changing the geopolitical environment in ways that echo to the current day. The wars during this time reflected the United States' cementing of its position as a dominating force in the Middle East. The Middle East's strategic importance, notably in terms of oil resources, became a top priority for the United States (Yergin, 1991, p. 650). </w:t>
      </w:r>
      <w:r w:rsidR="00C06114" w:rsidRPr="00C06114">
        <w:rPr>
          <w:rFonts w:ascii="Times New Roman" w:hAnsi="Times New Roman" w:cs="Times New Roman"/>
          <w:sz w:val="24"/>
          <w:szCs w:val="24"/>
        </w:rPr>
        <w:t xml:space="preserve">The United States' commitment to guaranteeing Israel's security became a cornerstone of its Middle East policy, and this relationship functioned as a keystone in the United States' wider plan to fight Soviet dominance in the area. The United States' rise as a dominating force in the Middle East was accompanied by the formation of strategic partnerships. Aside from Israel, the United States developed strong connections with major regional players such as Saudi Arabia. These agreements were motivated not just by ideological concerns, but also by the need to secure access to key oil resources. The United States aggressively participated in diplomatic initiatives and military aid programmes, portraying itself as a significant regional mediator (Yergin, 1991, p. 651). </w:t>
      </w:r>
      <w:r w:rsidR="00373142" w:rsidRPr="00373142">
        <w:rPr>
          <w:rFonts w:ascii="Times New Roman" w:hAnsi="Times New Roman" w:cs="Times New Roman"/>
          <w:sz w:val="24"/>
          <w:szCs w:val="24"/>
        </w:rPr>
        <w:t>According to Lazarowitz, "in the 1960s, the main goal of the United States in the Middle East was to maintain regional security and stability, minimise the influence of the Soviet Union, and maintain friendly relations with as many countries in the region as possible while supporting Israel." (Lazarowitz, 2008)</w:t>
      </w:r>
      <w:r w:rsidR="00D217E7">
        <w:rPr>
          <w:rFonts w:ascii="Times New Roman" w:hAnsi="Times New Roman" w:cs="Times New Roman"/>
          <w:sz w:val="24"/>
          <w:szCs w:val="24"/>
        </w:rPr>
        <w:t xml:space="preserve"> </w:t>
      </w:r>
      <w:r w:rsidR="00ED28FC" w:rsidRPr="00ED28FC">
        <w:rPr>
          <w:rFonts w:ascii="Times New Roman" w:hAnsi="Times New Roman" w:cs="Times New Roman"/>
          <w:sz w:val="24"/>
          <w:szCs w:val="24"/>
        </w:rPr>
        <w:t xml:space="preserve">In contrast, the Arab-Israeli war and the involvement of the superpowers had distinct consequences for the Soviet Union. Despite its initial efforts to bolster Arab companions, the USSR encountered problems that resulted in a decline in its Middle Eastern influence. Failures by the Soviet Union to provide military and diplomatic support to Arab governments during wars such as the Six-Day War and the Yom Kippur War undermined Moscow's position in the area (Golan, 1990, p. 267). The Soviet Union's power to control events in the Middle East was restricted by its failure to gain long-term diplomatic triumphs. </w:t>
      </w:r>
      <w:r w:rsidR="0001355D" w:rsidRPr="0001355D">
        <w:rPr>
          <w:rFonts w:ascii="Times New Roman" w:hAnsi="Times New Roman" w:cs="Times New Roman"/>
          <w:sz w:val="24"/>
          <w:szCs w:val="24"/>
        </w:rPr>
        <w:t>The shifting dynamics inside the Arab world accentuated the Soviet Union's collapse in power. Internal disputes among Arab governments, as well as the advent of new regional powers such as Iran, made it difficult for the Soviet Union to maintain coherent connections with its old Arab allies. The Soviet Union's deteriorating fortunes in the Middle East became clear with Egypt's historic pivot towards the United States following the Camp David Accords in 1978, which marked a huge setback for Soviet influence (Golan, 1990, p. 275). Egypt became the first Arab state to formally recognise Israel, marking a significant milestone in Arab-Israeli relations. This discovery had a significant influence on both giants' regional policy</w:t>
      </w:r>
      <w:r w:rsidR="00D217E7">
        <w:rPr>
          <w:rFonts w:ascii="Times New Roman" w:hAnsi="Times New Roman" w:cs="Times New Roman"/>
          <w:sz w:val="24"/>
          <w:szCs w:val="24"/>
        </w:rPr>
        <w:t>.</w:t>
      </w:r>
    </w:p>
    <w:p w14:paraId="4C595F3B" w14:textId="3A300310" w:rsidR="00CF01D9" w:rsidRDefault="0064285F" w:rsidP="007A416A">
      <w:pPr>
        <w:jc w:val="both"/>
        <w:rPr>
          <w:rFonts w:ascii="Times New Roman" w:hAnsi="Times New Roman" w:cs="Times New Roman"/>
          <w:sz w:val="24"/>
          <w:szCs w:val="24"/>
        </w:rPr>
      </w:pPr>
      <w:r w:rsidRPr="0064285F">
        <w:rPr>
          <w:rFonts w:ascii="Times New Roman" w:hAnsi="Times New Roman" w:cs="Times New Roman"/>
          <w:sz w:val="24"/>
          <w:szCs w:val="24"/>
          <w:lang w:val="en-US"/>
        </w:rPr>
        <w:t>During the 1960s and 1970s, Arab-Israeli tensions produced a competitive climate in the Middle East for the United States and the Soviet Union. Both countries wanted to impose their authority in the region and obtain strategic benefits. To fight Soviet influence and protect its relationships, the US implemented a programme of negotiations, military aid, and arms sales to Arab governments. Meanwhile, the Soviet Union supplied military aid, supported Arab friends, and expanded its area of influence via media and intellectual influence. The rivalry for influence in the Middle East between the United States and the Soviet Union fueled the arms race, contributed to regional instability, and fostered proxy conflicts. (Anziska, n.d</w:t>
      </w:r>
      <w:r w:rsidR="00C15D9E">
        <w:rPr>
          <w:rFonts w:ascii="Times New Roman" w:hAnsi="Times New Roman" w:cs="Times New Roman"/>
          <w:sz w:val="24"/>
          <w:szCs w:val="24"/>
          <w:lang w:val="en-US"/>
        </w:rPr>
        <w:t>)</w:t>
      </w:r>
      <w:r w:rsidR="00C15D9E" w:rsidRPr="00C15D9E">
        <w:t xml:space="preserve"> </w:t>
      </w:r>
      <w:r w:rsidR="00C15D9E" w:rsidRPr="00C15D9E">
        <w:rPr>
          <w:rFonts w:ascii="Times New Roman" w:hAnsi="Times New Roman" w:cs="Times New Roman"/>
          <w:sz w:val="24"/>
          <w:szCs w:val="24"/>
          <w:lang w:val="en-US"/>
        </w:rPr>
        <w:t>The 1960s and 1970s Arab-Israeli tensions sparked an arms race in the Middle East, causing regional instability that the US and Soviet Union exploited for their own interests.</w:t>
      </w:r>
      <w:r w:rsidR="00D520E9" w:rsidRPr="00D520E9">
        <w:t xml:space="preserve"> </w:t>
      </w:r>
      <w:r w:rsidR="00D520E9" w:rsidRPr="00D520E9">
        <w:rPr>
          <w:rFonts w:ascii="Times New Roman" w:hAnsi="Times New Roman" w:cs="Times New Roman"/>
          <w:sz w:val="24"/>
          <w:szCs w:val="24"/>
        </w:rPr>
        <w:t>(Bariiev, n.d.)</w:t>
      </w:r>
      <w:r w:rsidR="00D007C3" w:rsidRPr="00D007C3">
        <w:rPr>
          <w:rFonts w:ascii="Times New Roman" w:hAnsi="Times New Roman" w:cs="Times New Roman"/>
          <w:sz w:val="24"/>
          <w:szCs w:val="24"/>
          <w:lang w:val="en-US"/>
        </w:rPr>
        <w:t xml:space="preserve"> </w:t>
      </w:r>
      <w:r w:rsidR="00B341E5" w:rsidRPr="00B341E5">
        <w:rPr>
          <w:rFonts w:ascii="Times New Roman" w:hAnsi="Times New Roman" w:cs="Times New Roman"/>
          <w:sz w:val="24"/>
          <w:szCs w:val="24"/>
          <w:lang w:val="en-US"/>
        </w:rPr>
        <w:t xml:space="preserve">In the second segment of the 1950s, the Soviet Union </w:t>
      </w:r>
      <w:r w:rsidR="00F536D2" w:rsidRPr="00B341E5">
        <w:rPr>
          <w:rFonts w:ascii="Times New Roman" w:hAnsi="Times New Roman" w:cs="Times New Roman"/>
          <w:sz w:val="24"/>
          <w:szCs w:val="24"/>
          <w:lang w:val="en-US"/>
        </w:rPr>
        <w:t>vehemently opposed</w:t>
      </w:r>
      <w:r w:rsidR="00B341E5" w:rsidRPr="00B341E5">
        <w:rPr>
          <w:rFonts w:ascii="Times New Roman" w:hAnsi="Times New Roman" w:cs="Times New Roman"/>
          <w:sz w:val="24"/>
          <w:szCs w:val="24"/>
          <w:lang w:val="en-US"/>
        </w:rPr>
        <w:t xml:space="preserve"> western interventionism in the Middle East. The Soviet Union's position on western policies in the region, which was perceived as imperialist expansion, was consistent with its ideology and the prevailing international political context, which was </w:t>
      </w:r>
      <w:r w:rsidR="009C717C" w:rsidRPr="00B341E5">
        <w:rPr>
          <w:rFonts w:ascii="Times New Roman" w:hAnsi="Times New Roman" w:cs="Times New Roman"/>
          <w:sz w:val="24"/>
          <w:szCs w:val="24"/>
          <w:lang w:val="en-US"/>
        </w:rPr>
        <w:t>characterized</w:t>
      </w:r>
      <w:r w:rsidR="00B341E5" w:rsidRPr="00B341E5">
        <w:rPr>
          <w:rFonts w:ascii="Times New Roman" w:hAnsi="Times New Roman" w:cs="Times New Roman"/>
          <w:sz w:val="24"/>
          <w:szCs w:val="24"/>
          <w:lang w:val="en-US"/>
        </w:rPr>
        <w:t xml:space="preserve"> by capitalism-socialism conflict and competition. </w:t>
      </w:r>
      <w:r w:rsidR="00CA2606" w:rsidRPr="00CA2606">
        <w:rPr>
          <w:rFonts w:ascii="Times New Roman" w:hAnsi="Times New Roman" w:cs="Times New Roman"/>
          <w:sz w:val="24"/>
          <w:szCs w:val="24"/>
        </w:rPr>
        <w:t>(Bekcan, 2019)</w:t>
      </w:r>
    </w:p>
    <w:p w14:paraId="67A96F41" w14:textId="54E4096F" w:rsidR="00576D1A" w:rsidRPr="00A07046" w:rsidRDefault="000F3B77" w:rsidP="007A416A">
      <w:pPr>
        <w:jc w:val="both"/>
        <w:rPr>
          <w:rFonts w:ascii="Times New Roman" w:hAnsi="Times New Roman" w:cs="Times New Roman"/>
          <w:sz w:val="24"/>
          <w:szCs w:val="24"/>
          <w:lang w:val="en-US"/>
        </w:rPr>
      </w:pPr>
      <w:r w:rsidRPr="000F3B77">
        <w:rPr>
          <w:rFonts w:ascii="Times New Roman" w:hAnsi="Times New Roman" w:cs="Times New Roman"/>
          <w:sz w:val="24"/>
          <w:szCs w:val="24"/>
          <w:lang w:val="en-US"/>
        </w:rPr>
        <w:t xml:space="preserve">The Arab Oil Embargo and ensuing energy crises in the 1970s had a </w:t>
      </w:r>
      <w:r w:rsidR="008648D1" w:rsidRPr="000F3B77">
        <w:rPr>
          <w:rFonts w:ascii="Times New Roman" w:hAnsi="Times New Roman" w:cs="Times New Roman"/>
          <w:sz w:val="24"/>
          <w:szCs w:val="24"/>
          <w:lang w:val="en-US"/>
        </w:rPr>
        <w:t>considerable influence</w:t>
      </w:r>
      <w:r w:rsidRPr="000F3B77">
        <w:rPr>
          <w:rFonts w:ascii="Times New Roman" w:hAnsi="Times New Roman" w:cs="Times New Roman"/>
          <w:sz w:val="24"/>
          <w:szCs w:val="24"/>
          <w:lang w:val="en-US"/>
        </w:rPr>
        <w:t xml:space="preserve"> on both US and Soviet Middle East strategy. The price of oil surged </w:t>
      </w:r>
      <w:r w:rsidR="00B76EA9" w:rsidRPr="000F3B77">
        <w:rPr>
          <w:rFonts w:ascii="Times New Roman" w:hAnsi="Times New Roman" w:cs="Times New Roman"/>
          <w:sz w:val="24"/>
          <w:szCs w:val="24"/>
          <w:lang w:val="en-US"/>
        </w:rPr>
        <w:t>because of</w:t>
      </w:r>
      <w:r w:rsidRPr="000F3B77">
        <w:rPr>
          <w:rFonts w:ascii="Times New Roman" w:hAnsi="Times New Roman" w:cs="Times New Roman"/>
          <w:sz w:val="24"/>
          <w:szCs w:val="24"/>
          <w:lang w:val="en-US"/>
        </w:rPr>
        <w:t xml:space="preserve"> the embargo, and the United States, which was highly reliant on imported oil, experienced serious economic hardships. In response, the US began adopting programmes aimed at increasing domestic energy output, saving energy, and discovering alternate oil supplies. This policy move had ramifications for the US-Soviet relationship, as the Soviet Union, a major oil supplier, attempted to </w:t>
      </w:r>
      <w:r w:rsidR="004C630A" w:rsidRPr="000F3B77">
        <w:rPr>
          <w:rFonts w:ascii="Times New Roman" w:hAnsi="Times New Roman" w:cs="Times New Roman"/>
          <w:sz w:val="24"/>
          <w:szCs w:val="24"/>
          <w:lang w:val="en-US"/>
        </w:rPr>
        <w:t>capitalize</w:t>
      </w:r>
      <w:r w:rsidRPr="000F3B77">
        <w:rPr>
          <w:rFonts w:ascii="Times New Roman" w:hAnsi="Times New Roman" w:cs="Times New Roman"/>
          <w:sz w:val="24"/>
          <w:szCs w:val="24"/>
          <w:lang w:val="en-US"/>
        </w:rPr>
        <w:t xml:space="preserve"> on the crisis. The Soviets used their oil assets to expand their influence in the region and strengthen ties with Arab governments. (Chunchao, 2021)</w:t>
      </w:r>
      <w:r w:rsidR="00341BE3">
        <w:rPr>
          <w:rFonts w:ascii="Times New Roman" w:hAnsi="Times New Roman" w:cs="Times New Roman"/>
          <w:sz w:val="24"/>
          <w:szCs w:val="24"/>
          <w:lang w:val="en-US"/>
        </w:rPr>
        <w:t xml:space="preserve"> </w:t>
      </w:r>
      <w:r w:rsidR="000779C1" w:rsidRPr="000779C1">
        <w:rPr>
          <w:rFonts w:ascii="Times New Roman" w:hAnsi="Times New Roman" w:cs="Times New Roman"/>
          <w:sz w:val="24"/>
          <w:szCs w:val="24"/>
          <w:lang w:val="en-US"/>
        </w:rPr>
        <w:t xml:space="preserve">Thus, the Arab Oil Embargo and energy crisis not only damaged US economic stability, but also had strategic and geopolitical implications for the Cold War rivalry between the US and the Soviet Union. Furthermore, Arab oil producing countries in Baghdad have declared a truce in selling oil to countries backing Israeli war, with Iraq's oil extraction suspended </w:t>
      </w:r>
      <w:r w:rsidR="00086F8F" w:rsidRPr="000779C1">
        <w:rPr>
          <w:rFonts w:ascii="Times New Roman" w:hAnsi="Times New Roman" w:cs="Times New Roman"/>
          <w:sz w:val="24"/>
          <w:szCs w:val="24"/>
          <w:lang w:val="en-US"/>
        </w:rPr>
        <w:t>because of</w:t>
      </w:r>
      <w:r w:rsidR="000779C1" w:rsidRPr="000779C1">
        <w:rPr>
          <w:rFonts w:ascii="Times New Roman" w:hAnsi="Times New Roman" w:cs="Times New Roman"/>
          <w:sz w:val="24"/>
          <w:szCs w:val="24"/>
          <w:lang w:val="en-US"/>
        </w:rPr>
        <w:t xml:space="preserve"> the US and British attitude. The United States was concerned because it was heavily reliant on Middle Eastern energy resources. </w:t>
      </w:r>
      <w:r w:rsidR="00576D1A" w:rsidRPr="00576D1A">
        <w:rPr>
          <w:rFonts w:ascii="Times New Roman" w:hAnsi="Times New Roman" w:cs="Times New Roman"/>
          <w:sz w:val="24"/>
          <w:szCs w:val="24"/>
        </w:rPr>
        <w:t>(Theoharis et al., 1993 p.67)</w:t>
      </w:r>
    </w:p>
    <w:p w14:paraId="08A6F45B" w14:textId="50BA21F1" w:rsidR="007A416A" w:rsidRDefault="00E54148" w:rsidP="007A416A">
      <w:pPr>
        <w:jc w:val="both"/>
        <w:rPr>
          <w:rFonts w:ascii="Times New Roman" w:hAnsi="Times New Roman" w:cs="Times New Roman"/>
          <w:sz w:val="24"/>
          <w:szCs w:val="24"/>
        </w:rPr>
      </w:pPr>
      <w:r w:rsidRPr="00E54148">
        <w:rPr>
          <w:rFonts w:ascii="Times New Roman" w:hAnsi="Times New Roman" w:cs="Times New Roman"/>
          <w:sz w:val="24"/>
          <w:szCs w:val="24"/>
        </w:rPr>
        <w:t xml:space="preserve">Ultimately, the demise of Soviet influence in the Middle East and the growth of US unilateralism in the latter half of the twentieth century signalled a fundamental shift in the regional balance of power. Errors of the Soviet Union, most notably the ill-fated involvement in Afghanistan in 1979, were key contributors to the loss of Soviet authority. This involvement, as described in Artemy Kalinovsky's article "A Long Goodbye: The Soviet Withdrawal from Afghanistan" (2011), proved to be a stumbling block for the Soviet Union. The costly and lengthy struggle not only taxed the Soviet military but also undermined the USSR's standing as a trustworthy partner in the </w:t>
      </w:r>
      <w:r>
        <w:rPr>
          <w:rFonts w:ascii="Times New Roman" w:hAnsi="Times New Roman" w:cs="Times New Roman"/>
          <w:sz w:val="24"/>
          <w:szCs w:val="24"/>
        </w:rPr>
        <w:t xml:space="preserve">region. </w:t>
      </w:r>
      <w:r w:rsidR="001B39AE" w:rsidRPr="001B39AE">
        <w:rPr>
          <w:rFonts w:ascii="Times New Roman" w:hAnsi="Times New Roman" w:cs="Times New Roman"/>
          <w:sz w:val="24"/>
          <w:szCs w:val="24"/>
        </w:rPr>
        <w:t xml:space="preserve">The Afghan involvement demonstrated the limits of Soviet force projection and contributed to an overextension narrative, hastening the fall of Soviet influence in the Middle East (Kalinovsky, 2011, p. 120). Concurrently, the emergence of US unilateralism in the Middle East grew more visible. The United States, emboldened by the Soviet Union's diminishing power and aiming to assert its control in the area, took a series of unilateral moves. Among these were the Camp David Accords, negotiated by President Jimmy Carter in 1978. While bringing peace between Israel and Egypt, this diplomatic endeavour demonstrated the United States' ability to unilaterally change the geopolitical environment in the Middle East (Quandt, 2005, p. 122). </w:t>
      </w:r>
      <w:r w:rsidR="00301478" w:rsidRPr="00301478">
        <w:rPr>
          <w:rFonts w:ascii="Times New Roman" w:hAnsi="Times New Roman" w:cs="Times New Roman"/>
          <w:sz w:val="24"/>
          <w:szCs w:val="24"/>
        </w:rPr>
        <w:t>Furthermore, the United States' involvement in Lebanon in 1982, aiming at regional stabilisation, demonstrated a unilateral strategy that demonstrated the United States' determination to impose its power by direct military intervention (Quandt, 2005, p. 125). The fall of Soviet influence and the emergence of US unilateralism has far-reaching effects for the Middle East's political dynamics. As the Soviet Union grappled with domestic issues and the costs of its adventures, the United States emerged as the region's leading external force. The turn towards US unilateralism, defined by diplomatic efforts and military operations in the absence of direct superpower competition, ushered in a new era in Middle Eastern geopolitics.</w:t>
      </w:r>
    </w:p>
    <w:p w14:paraId="1D1A8A6D" w14:textId="1948E2C8" w:rsidR="00724E32" w:rsidRDefault="00E44A7F" w:rsidP="008D2509">
      <w:pPr>
        <w:jc w:val="both"/>
        <w:rPr>
          <w:rFonts w:ascii="Times New Roman" w:hAnsi="Times New Roman" w:cs="Times New Roman"/>
          <w:sz w:val="24"/>
          <w:szCs w:val="24"/>
        </w:rPr>
      </w:pPr>
      <w:r w:rsidRPr="00E44A7F">
        <w:rPr>
          <w:rFonts w:ascii="Times New Roman" w:hAnsi="Times New Roman" w:cs="Times New Roman"/>
          <w:sz w:val="24"/>
          <w:szCs w:val="24"/>
        </w:rPr>
        <w:t xml:space="preserve">In conclusion, Arab-Israeli tensions in the 1960s and 1970s profoundly </w:t>
      </w:r>
      <w:r w:rsidR="00F94D86" w:rsidRPr="00E44A7F">
        <w:rPr>
          <w:rFonts w:ascii="Times New Roman" w:hAnsi="Times New Roman" w:cs="Times New Roman"/>
          <w:sz w:val="24"/>
          <w:szCs w:val="24"/>
        </w:rPr>
        <w:t>moulded</w:t>
      </w:r>
      <w:r w:rsidRPr="00E44A7F">
        <w:rPr>
          <w:rFonts w:ascii="Times New Roman" w:hAnsi="Times New Roman" w:cs="Times New Roman"/>
          <w:sz w:val="24"/>
          <w:szCs w:val="24"/>
        </w:rPr>
        <w:t xml:space="preserve"> US and Soviet Middle East strategies, acting as a vital theatre for superpower conflict. The Arab-Israeli tensions were pivotal in this dynamic, influencing regional geopolitical strategy. The development of Israel as a vital US ally, along with Soviet assistance for Arab governments, resulted in a complicated environment marked by proxy battles, weapons competitions, and diplomatic manoeuvring. The United States' strategic alignment with Israel, as well as the Soviet Union's support for Arab states, were visible in wars such as the Six-Day War, War of Attrition, and Yom Kippur War. </w:t>
      </w:r>
      <w:r w:rsidR="00DF0DBA" w:rsidRPr="00DF0DBA">
        <w:rPr>
          <w:rFonts w:ascii="Times New Roman" w:hAnsi="Times New Roman" w:cs="Times New Roman"/>
          <w:sz w:val="24"/>
          <w:szCs w:val="24"/>
        </w:rPr>
        <w:t xml:space="preserve">While the U.S. viewed Israel as crucial for regional stability, the Soviet Union, guided by ideology and a desire to counterbalance U.S. </w:t>
      </w:r>
      <w:r w:rsidR="00F94D86">
        <w:rPr>
          <w:rFonts w:ascii="Times New Roman" w:hAnsi="Times New Roman" w:cs="Times New Roman"/>
          <w:sz w:val="24"/>
          <w:szCs w:val="24"/>
        </w:rPr>
        <w:t>dominance</w:t>
      </w:r>
      <w:r w:rsidR="00DF0DBA" w:rsidRPr="00DF0DBA">
        <w:rPr>
          <w:rFonts w:ascii="Times New Roman" w:hAnsi="Times New Roman" w:cs="Times New Roman"/>
          <w:sz w:val="24"/>
          <w:szCs w:val="24"/>
        </w:rPr>
        <w:t>, supported Arab states militarily. The decline of Soviet influence, particularly in Afghanistan, contrasted with the emergence of U.S. unilateralism, exemplified by the Camp David Accords and interventions in the region. These tensions fuelled an arms race, regional instability, and power dynamics adjustments. The enduring repercussions of this period continue to shape the contemporary geopolitical landscape, underscoring the lasting impact of the Arab-Israeli conflicts on global politics.</w:t>
      </w:r>
    </w:p>
    <w:p w14:paraId="114C44AE" w14:textId="1B85E957" w:rsidR="008648D1" w:rsidRPr="008648D1" w:rsidRDefault="008648D1" w:rsidP="008648D1">
      <w:pPr>
        <w:jc w:val="center"/>
        <w:rPr>
          <w:rFonts w:ascii="Times New Roman" w:hAnsi="Times New Roman" w:cs="Times New Roman"/>
          <w:b/>
          <w:bCs/>
          <w:i/>
          <w:iCs/>
          <w:sz w:val="32"/>
          <w:szCs w:val="32"/>
          <w:u w:val="single"/>
        </w:rPr>
      </w:pPr>
      <w:r w:rsidRPr="008648D1">
        <w:rPr>
          <w:rFonts w:ascii="Times New Roman" w:hAnsi="Times New Roman" w:cs="Times New Roman"/>
          <w:b/>
          <w:bCs/>
          <w:i/>
          <w:iCs/>
          <w:sz w:val="32"/>
          <w:szCs w:val="32"/>
          <w:u w:val="single"/>
        </w:rPr>
        <w:t xml:space="preserve">Reference </w:t>
      </w:r>
      <w:r w:rsidR="00FA6CA3" w:rsidRPr="00FA6CA3">
        <w:rPr>
          <w:rFonts w:ascii="Times New Roman" w:hAnsi="Times New Roman" w:cs="Times New Roman"/>
          <w:b/>
          <w:bCs/>
          <w:i/>
          <w:iCs/>
          <w:sz w:val="32"/>
          <w:szCs w:val="32"/>
          <w:u w:val="single"/>
        </w:rPr>
        <w:t>List</w:t>
      </w:r>
    </w:p>
    <w:p w14:paraId="35F38A46"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Ali, M. and James, M. (2020). Six-Day War that Changed the Middle East. </w:t>
      </w:r>
      <w:r w:rsidRPr="008648D1">
        <w:rPr>
          <w:rFonts w:ascii="Times New Roman" w:hAnsi="Times New Roman" w:cs="Times New Roman"/>
          <w:i/>
          <w:iCs/>
          <w:sz w:val="24"/>
          <w:szCs w:val="24"/>
        </w:rPr>
        <w:t>International Humanities Studies</w:t>
      </w:r>
      <w:r w:rsidRPr="008648D1">
        <w:rPr>
          <w:rFonts w:ascii="Times New Roman" w:hAnsi="Times New Roman" w:cs="Times New Roman"/>
          <w:sz w:val="24"/>
          <w:szCs w:val="24"/>
        </w:rPr>
        <w:t>, [online] 7(1), pp.14–20. Available at: http://ihs-humanities.com/journals/vol7_no1_march2020/2.pdf.</w:t>
      </w:r>
    </w:p>
    <w:p w14:paraId="5B0C68B5"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Anziska, S. (n.d.). </w:t>
      </w:r>
      <w:proofErr w:type="gramStart"/>
      <w:r w:rsidRPr="008648D1">
        <w:rPr>
          <w:rFonts w:ascii="Times New Roman" w:hAnsi="Times New Roman" w:cs="Times New Roman"/>
          <w:i/>
          <w:iCs/>
          <w:sz w:val="24"/>
          <w:szCs w:val="24"/>
        </w:rPr>
        <w:t>Arab−Israeli</w:t>
      </w:r>
      <w:proofErr w:type="gramEnd"/>
      <w:r w:rsidRPr="008648D1">
        <w:rPr>
          <w:rFonts w:ascii="Times New Roman" w:hAnsi="Times New Roman" w:cs="Times New Roman"/>
          <w:i/>
          <w:iCs/>
          <w:sz w:val="24"/>
          <w:szCs w:val="24"/>
        </w:rPr>
        <w:t xml:space="preserve"> Wars and US Foreign Policy</w:t>
      </w:r>
      <w:r w:rsidRPr="008648D1">
        <w:rPr>
          <w:rFonts w:ascii="Times New Roman" w:hAnsi="Times New Roman" w:cs="Times New Roman"/>
          <w:sz w:val="24"/>
          <w:szCs w:val="24"/>
        </w:rPr>
        <w:t>. [online] pp.1–40. Available at: https://discovery.ucl.ac.uk/id/eprint/10091128/1/Anziska_AMH-00756%20%28SA%20copyedits%29.pdf [Accessed 19 Nov. 2023].</w:t>
      </w:r>
    </w:p>
    <w:p w14:paraId="0619DA53"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proofErr w:type="spellStart"/>
      <w:r w:rsidRPr="008648D1">
        <w:rPr>
          <w:rFonts w:ascii="Times New Roman" w:hAnsi="Times New Roman" w:cs="Times New Roman"/>
          <w:sz w:val="24"/>
          <w:szCs w:val="24"/>
        </w:rPr>
        <w:t>Bariiev</w:t>
      </w:r>
      <w:proofErr w:type="spellEnd"/>
      <w:r w:rsidRPr="008648D1">
        <w:rPr>
          <w:rFonts w:ascii="Times New Roman" w:hAnsi="Times New Roman" w:cs="Times New Roman"/>
          <w:sz w:val="24"/>
          <w:szCs w:val="24"/>
        </w:rPr>
        <w:t xml:space="preserve">, R. (n.d.). </w:t>
      </w:r>
      <w:r w:rsidRPr="008648D1">
        <w:rPr>
          <w:rFonts w:ascii="Times New Roman" w:hAnsi="Times New Roman" w:cs="Times New Roman"/>
          <w:i/>
          <w:iCs/>
          <w:sz w:val="24"/>
          <w:szCs w:val="24"/>
        </w:rPr>
        <w:t>UNIWERSYTET WARSZAWSKI WYDZIAŁ NAUK POLITYCZNYCH I STUDIÓW MIĘDZYNARODOWYCH The Soviet Union Strategy towards the Middle East</w:t>
      </w:r>
      <w:r w:rsidRPr="008648D1">
        <w:rPr>
          <w:rFonts w:ascii="Times New Roman" w:hAnsi="Times New Roman" w:cs="Times New Roman"/>
          <w:sz w:val="24"/>
          <w:szCs w:val="24"/>
        </w:rPr>
        <w:t>. [online] pp.327–335. Available at: https://ornak.icm.edu.pl/bitstream/handle/item/4542/0000-DR-329809-praca.pdf?sequence=1 [Accessed 17 Nov. 2023].</w:t>
      </w:r>
    </w:p>
    <w:p w14:paraId="28D94B37"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proofErr w:type="spellStart"/>
      <w:r w:rsidRPr="008648D1">
        <w:rPr>
          <w:rFonts w:ascii="Times New Roman" w:hAnsi="Times New Roman" w:cs="Times New Roman"/>
          <w:sz w:val="24"/>
          <w:szCs w:val="24"/>
        </w:rPr>
        <w:t>Bekcan</w:t>
      </w:r>
      <w:proofErr w:type="spellEnd"/>
      <w:r w:rsidRPr="008648D1">
        <w:rPr>
          <w:rFonts w:ascii="Times New Roman" w:hAnsi="Times New Roman" w:cs="Times New Roman"/>
          <w:sz w:val="24"/>
          <w:szCs w:val="24"/>
        </w:rPr>
        <w:t xml:space="preserve">, U. (2019). </w:t>
      </w:r>
      <w:r w:rsidRPr="008648D1">
        <w:rPr>
          <w:rFonts w:ascii="Times New Roman" w:hAnsi="Times New Roman" w:cs="Times New Roman"/>
          <w:i/>
          <w:iCs/>
          <w:sz w:val="24"/>
          <w:szCs w:val="24"/>
        </w:rPr>
        <w:t>THE COLD WAR IN THE MIDDLE EAST IN THE SECOND HALF OF THE 1950s: WHAT WAS THE SOVIET RESPONSE AGAINST WESTERN INTERVENTIONISM?</w:t>
      </w:r>
      <w:r w:rsidRPr="008648D1">
        <w:rPr>
          <w:rFonts w:ascii="Times New Roman" w:hAnsi="Times New Roman" w:cs="Times New Roman"/>
          <w:sz w:val="24"/>
          <w:szCs w:val="24"/>
        </w:rPr>
        <w:t xml:space="preserve"> [online] pp.65–66. Available at: https://dergipark.org.tr/en/download/article-file/770205 [Accessed 14 Nov. 2023].</w:t>
      </w:r>
    </w:p>
    <w:p w14:paraId="33274523"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Britannica.com. (n.d.). Available at: https://cdn.britannica.com/20/99920-050-441604E2/Israeli-troop-unit-Gaza-Six-Day-War-June-6-1967.jpg [Accessed 8 Nov. 2023].</w:t>
      </w:r>
    </w:p>
    <w:p w14:paraId="0494267C"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proofErr w:type="spellStart"/>
      <w:r w:rsidRPr="008648D1">
        <w:rPr>
          <w:rFonts w:ascii="Times New Roman" w:hAnsi="Times New Roman" w:cs="Times New Roman"/>
          <w:sz w:val="24"/>
          <w:szCs w:val="24"/>
        </w:rPr>
        <w:t>Chunchao</w:t>
      </w:r>
      <w:proofErr w:type="spellEnd"/>
      <w:r w:rsidRPr="008648D1">
        <w:rPr>
          <w:rFonts w:ascii="Times New Roman" w:hAnsi="Times New Roman" w:cs="Times New Roman"/>
          <w:sz w:val="24"/>
          <w:szCs w:val="24"/>
        </w:rPr>
        <w:t xml:space="preserve">, Z. (2021). American policy in the </w:t>
      </w:r>
      <w:proofErr w:type="gramStart"/>
      <w:r w:rsidRPr="008648D1">
        <w:rPr>
          <w:rFonts w:ascii="Times New Roman" w:hAnsi="Times New Roman" w:cs="Times New Roman"/>
          <w:sz w:val="24"/>
          <w:szCs w:val="24"/>
        </w:rPr>
        <w:t>six day</w:t>
      </w:r>
      <w:proofErr w:type="gramEnd"/>
      <w:r w:rsidRPr="008648D1">
        <w:rPr>
          <w:rFonts w:ascii="Times New Roman" w:hAnsi="Times New Roman" w:cs="Times New Roman"/>
          <w:sz w:val="24"/>
          <w:szCs w:val="24"/>
        </w:rPr>
        <w:t xml:space="preserve"> war and anti- Americanism in the Middle East. </w:t>
      </w:r>
      <w:r w:rsidRPr="008648D1">
        <w:rPr>
          <w:rFonts w:ascii="Times New Roman" w:hAnsi="Times New Roman" w:cs="Times New Roman"/>
          <w:i/>
          <w:iCs/>
          <w:sz w:val="24"/>
          <w:szCs w:val="24"/>
        </w:rPr>
        <w:t>International Journal of Frontiers in Sociology</w:t>
      </w:r>
      <w:r w:rsidRPr="008648D1">
        <w:rPr>
          <w:rFonts w:ascii="Times New Roman" w:hAnsi="Times New Roman" w:cs="Times New Roman"/>
          <w:sz w:val="24"/>
          <w:szCs w:val="24"/>
        </w:rPr>
        <w:t xml:space="preserve">, 3(19), pp.39–44. </w:t>
      </w:r>
      <w:proofErr w:type="spellStart"/>
      <w:proofErr w:type="gramStart"/>
      <w:r w:rsidRPr="008648D1">
        <w:rPr>
          <w:rFonts w:ascii="Times New Roman" w:hAnsi="Times New Roman" w:cs="Times New Roman"/>
          <w:sz w:val="24"/>
          <w:szCs w:val="24"/>
        </w:rPr>
        <w:t>doi:https</w:t>
      </w:r>
      <w:proofErr w:type="spellEnd"/>
      <w:r w:rsidRPr="008648D1">
        <w:rPr>
          <w:rFonts w:ascii="Times New Roman" w:hAnsi="Times New Roman" w:cs="Times New Roman"/>
          <w:sz w:val="24"/>
          <w:szCs w:val="24"/>
        </w:rPr>
        <w:t>://doi.org/10.25236/ijfs.2021.031908</w:t>
      </w:r>
      <w:proofErr w:type="gramEnd"/>
      <w:r w:rsidRPr="008648D1">
        <w:rPr>
          <w:rFonts w:ascii="Times New Roman" w:hAnsi="Times New Roman" w:cs="Times New Roman"/>
          <w:sz w:val="24"/>
          <w:szCs w:val="24"/>
        </w:rPr>
        <w:t>.</w:t>
      </w:r>
    </w:p>
    <w:p w14:paraId="4295238F"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Dawud, D., San, R. and California, F. (2019). </w:t>
      </w:r>
      <w:r w:rsidRPr="008648D1">
        <w:rPr>
          <w:rFonts w:ascii="Times New Roman" w:hAnsi="Times New Roman" w:cs="Times New Roman"/>
          <w:i/>
          <w:iCs/>
          <w:sz w:val="24"/>
          <w:szCs w:val="24"/>
        </w:rPr>
        <w:t xml:space="preserve">"THE </w:t>
      </w:r>
      <w:proofErr w:type="gramStart"/>
      <w:r w:rsidRPr="008648D1">
        <w:rPr>
          <w:rFonts w:ascii="Times New Roman" w:hAnsi="Times New Roman" w:cs="Times New Roman"/>
          <w:i/>
          <w:iCs/>
          <w:sz w:val="24"/>
          <w:szCs w:val="24"/>
        </w:rPr>
        <w:t>ARAB-ISRAELI</w:t>
      </w:r>
      <w:proofErr w:type="gramEnd"/>
      <w:r w:rsidRPr="008648D1">
        <w:rPr>
          <w:rFonts w:ascii="Times New Roman" w:hAnsi="Times New Roman" w:cs="Times New Roman"/>
          <w:i/>
          <w:iCs/>
          <w:sz w:val="24"/>
          <w:szCs w:val="24"/>
        </w:rPr>
        <w:t xml:space="preserve"> CONFLICT: FOREIGN INTERVENTION A* </w:t>
      </w:r>
      <w:proofErr w:type="spellStart"/>
      <w:r w:rsidRPr="008648D1">
        <w:rPr>
          <w:rFonts w:ascii="Times New Roman" w:hAnsi="Times New Roman" w:cs="Times New Roman"/>
          <w:i/>
          <w:iCs/>
          <w:sz w:val="24"/>
          <w:szCs w:val="24"/>
        </w:rPr>
        <w:t>fOL</w:t>
      </w:r>
      <w:proofErr w:type="spellEnd"/>
      <w:r w:rsidRPr="008648D1">
        <w:rPr>
          <w:rFonts w:ascii="Times New Roman" w:hAnsi="Times New Roman" w:cs="Times New Roman"/>
          <w:i/>
          <w:iCs/>
          <w:sz w:val="24"/>
          <w:szCs w:val="24"/>
        </w:rPr>
        <w:t>\</w:t>
      </w:r>
      <w:r w:rsidRPr="008648D1">
        <w:rPr>
          <w:rFonts w:ascii="Times New Roman" w:hAnsi="Times New Roman" w:cs="Times New Roman"/>
          <w:sz w:val="24"/>
          <w:szCs w:val="24"/>
        </w:rPr>
        <w:t>. [online] Available at: https://sfsu-dspace.calstate.edu/bitstream/handle/10211.3/214138/AS362019POLIR36.pdf?sequence=1 [Accessed 16 Nov. 2023].</w:t>
      </w:r>
    </w:p>
    <w:p w14:paraId="6E820DD9"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Encyclopedia Britannica. (n.d.). </w:t>
      </w:r>
      <w:r w:rsidRPr="008648D1">
        <w:rPr>
          <w:rFonts w:ascii="Times New Roman" w:hAnsi="Times New Roman" w:cs="Times New Roman"/>
          <w:i/>
          <w:iCs/>
          <w:sz w:val="24"/>
          <w:szCs w:val="24"/>
        </w:rPr>
        <w:t xml:space="preserve">Learn about the causes and consequences of the </w:t>
      </w:r>
      <w:proofErr w:type="gramStart"/>
      <w:r w:rsidRPr="008648D1">
        <w:rPr>
          <w:rFonts w:ascii="Times New Roman" w:hAnsi="Times New Roman" w:cs="Times New Roman"/>
          <w:i/>
          <w:iCs/>
          <w:sz w:val="24"/>
          <w:szCs w:val="24"/>
        </w:rPr>
        <w:t>Arab-Israeli</w:t>
      </w:r>
      <w:proofErr w:type="gramEnd"/>
      <w:r w:rsidRPr="008648D1">
        <w:rPr>
          <w:rFonts w:ascii="Times New Roman" w:hAnsi="Times New Roman" w:cs="Times New Roman"/>
          <w:i/>
          <w:iCs/>
          <w:sz w:val="24"/>
          <w:szCs w:val="24"/>
        </w:rPr>
        <w:t xml:space="preserve"> wars</w:t>
      </w:r>
      <w:r w:rsidRPr="008648D1">
        <w:rPr>
          <w:rFonts w:ascii="Times New Roman" w:hAnsi="Times New Roman" w:cs="Times New Roman"/>
          <w:sz w:val="24"/>
          <w:szCs w:val="24"/>
        </w:rPr>
        <w:t>. [online] Available at: https://www.britannica.com/summary/Arab-Israeli-wars [Accessed 15 Nov. 2023].</w:t>
      </w:r>
    </w:p>
    <w:p w14:paraId="0E5A2310"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Golan, G. (1990). </w:t>
      </w:r>
      <w:r w:rsidRPr="008648D1">
        <w:rPr>
          <w:rFonts w:ascii="Times New Roman" w:hAnsi="Times New Roman" w:cs="Times New Roman"/>
          <w:i/>
          <w:iCs/>
          <w:sz w:val="24"/>
          <w:szCs w:val="24"/>
        </w:rPr>
        <w:t>Soviet Policies in the Middle East</w:t>
      </w:r>
      <w:r w:rsidRPr="008648D1">
        <w:rPr>
          <w:rFonts w:ascii="Times New Roman" w:hAnsi="Times New Roman" w:cs="Times New Roman"/>
          <w:sz w:val="24"/>
          <w:szCs w:val="24"/>
        </w:rPr>
        <w:t>. Cambridge University Press, pp.267, 275.</w:t>
      </w:r>
    </w:p>
    <w:p w14:paraId="32FFDF93"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Kalinovsky, A.M. (2011). </w:t>
      </w:r>
      <w:r w:rsidRPr="008648D1">
        <w:rPr>
          <w:rFonts w:ascii="Times New Roman" w:hAnsi="Times New Roman" w:cs="Times New Roman"/>
          <w:i/>
          <w:iCs/>
          <w:sz w:val="24"/>
          <w:szCs w:val="24"/>
        </w:rPr>
        <w:t xml:space="preserve">A long </w:t>
      </w:r>
      <w:proofErr w:type="gramStart"/>
      <w:r w:rsidRPr="008648D1">
        <w:rPr>
          <w:rFonts w:ascii="Times New Roman" w:hAnsi="Times New Roman" w:cs="Times New Roman"/>
          <w:i/>
          <w:iCs/>
          <w:sz w:val="24"/>
          <w:szCs w:val="24"/>
        </w:rPr>
        <w:t>goodbye :</w:t>
      </w:r>
      <w:proofErr w:type="gramEnd"/>
      <w:r w:rsidRPr="008648D1">
        <w:rPr>
          <w:rFonts w:ascii="Times New Roman" w:hAnsi="Times New Roman" w:cs="Times New Roman"/>
          <w:i/>
          <w:iCs/>
          <w:sz w:val="24"/>
          <w:szCs w:val="24"/>
        </w:rPr>
        <w:t xml:space="preserve"> the Soviet withdrawal from Afghanistan</w:t>
      </w:r>
      <w:r w:rsidRPr="008648D1">
        <w:rPr>
          <w:rFonts w:ascii="Times New Roman" w:hAnsi="Times New Roman" w:cs="Times New Roman"/>
          <w:sz w:val="24"/>
          <w:szCs w:val="24"/>
        </w:rPr>
        <w:t>. Cambridge (Mass.): Harvard University Press, p.120.</w:t>
      </w:r>
    </w:p>
    <w:p w14:paraId="1D30DE2D"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Khalidi, R. (2010). </w:t>
      </w:r>
      <w:r w:rsidRPr="008648D1">
        <w:rPr>
          <w:rFonts w:ascii="Times New Roman" w:hAnsi="Times New Roman" w:cs="Times New Roman"/>
          <w:i/>
          <w:iCs/>
          <w:sz w:val="24"/>
          <w:szCs w:val="24"/>
        </w:rPr>
        <w:t xml:space="preserve">Resurrecting Empire: Western Footprints and America’s Perilous Path in the Middle </w:t>
      </w:r>
      <w:proofErr w:type="gramStart"/>
      <w:r w:rsidRPr="008648D1">
        <w:rPr>
          <w:rFonts w:ascii="Times New Roman" w:hAnsi="Times New Roman" w:cs="Times New Roman"/>
          <w:i/>
          <w:iCs/>
          <w:sz w:val="24"/>
          <w:szCs w:val="24"/>
        </w:rPr>
        <w:t xml:space="preserve">East </w:t>
      </w:r>
      <w:r w:rsidRPr="008648D1">
        <w:rPr>
          <w:rFonts w:ascii="Times New Roman" w:hAnsi="Times New Roman" w:cs="Times New Roman"/>
          <w:sz w:val="24"/>
          <w:szCs w:val="24"/>
        </w:rPr>
        <w:t>.</w:t>
      </w:r>
      <w:proofErr w:type="gramEnd"/>
      <w:r w:rsidRPr="008648D1">
        <w:rPr>
          <w:rFonts w:ascii="Times New Roman" w:hAnsi="Times New Roman" w:cs="Times New Roman"/>
          <w:sz w:val="24"/>
          <w:szCs w:val="24"/>
        </w:rPr>
        <w:t xml:space="preserve"> Beacon Press, pp.82, 86.</w:t>
      </w:r>
    </w:p>
    <w:p w14:paraId="76C81AAB"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Klare, M.T. and Holt, H. (2001). </w:t>
      </w:r>
      <w:r w:rsidRPr="008648D1">
        <w:rPr>
          <w:rFonts w:ascii="Times New Roman" w:hAnsi="Times New Roman" w:cs="Times New Roman"/>
          <w:i/>
          <w:iCs/>
          <w:sz w:val="24"/>
          <w:szCs w:val="24"/>
        </w:rPr>
        <w:t xml:space="preserve">Resource </w:t>
      </w:r>
      <w:proofErr w:type="gramStart"/>
      <w:r w:rsidRPr="008648D1">
        <w:rPr>
          <w:rFonts w:ascii="Times New Roman" w:hAnsi="Times New Roman" w:cs="Times New Roman"/>
          <w:i/>
          <w:iCs/>
          <w:sz w:val="24"/>
          <w:szCs w:val="24"/>
        </w:rPr>
        <w:t>war :</w:t>
      </w:r>
      <w:proofErr w:type="gramEnd"/>
      <w:r w:rsidRPr="008648D1">
        <w:rPr>
          <w:rFonts w:ascii="Times New Roman" w:hAnsi="Times New Roman" w:cs="Times New Roman"/>
          <w:i/>
          <w:iCs/>
          <w:sz w:val="24"/>
          <w:szCs w:val="24"/>
        </w:rPr>
        <w:t xml:space="preserve"> the new landscape of global conflict</w:t>
      </w:r>
      <w:r w:rsidRPr="008648D1">
        <w:rPr>
          <w:rFonts w:ascii="Times New Roman" w:hAnsi="Times New Roman" w:cs="Times New Roman"/>
          <w:sz w:val="24"/>
          <w:szCs w:val="24"/>
        </w:rPr>
        <w:t>. New York: Henry Holt And Company, p.194.</w:t>
      </w:r>
    </w:p>
    <w:p w14:paraId="75B40668"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Lazarowitz, A. (2008). Different Approaches to a Regional Search for Balance: The Johnson Administration, the State Department, and the Middle East, 1964-1967*. </w:t>
      </w:r>
      <w:r w:rsidRPr="008648D1">
        <w:rPr>
          <w:rFonts w:ascii="Times New Roman" w:hAnsi="Times New Roman" w:cs="Times New Roman"/>
          <w:i/>
          <w:iCs/>
          <w:sz w:val="24"/>
          <w:szCs w:val="24"/>
        </w:rPr>
        <w:t>Diplomatic History</w:t>
      </w:r>
      <w:r w:rsidRPr="008648D1">
        <w:rPr>
          <w:rFonts w:ascii="Times New Roman" w:hAnsi="Times New Roman" w:cs="Times New Roman"/>
          <w:sz w:val="24"/>
          <w:szCs w:val="24"/>
        </w:rPr>
        <w:t xml:space="preserve">, 32(1), p.30. </w:t>
      </w:r>
      <w:proofErr w:type="spellStart"/>
      <w:proofErr w:type="gramStart"/>
      <w:r w:rsidRPr="008648D1">
        <w:rPr>
          <w:rFonts w:ascii="Times New Roman" w:hAnsi="Times New Roman" w:cs="Times New Roman"/>
          <w:sz w:val="24"/>
          <w:szCs w:val="24"/>
        </w:rPr>
        <w:t>doi:https</w:t>
      </w:r>
      <w:proofErr w:type="spellEnd"/>
      <w:r w:rsidRPr="008648D1">
        <w:rPr>
          <w:rFonts w:ascii="Times New Roman" w:hAnsi="Times New Roman" w:cs="Times New Roman"/>
          <w:sz w:val="24"/>
          <w:szCs w:val="24"/>
        </w:rPr>
        <w:t>://doi.org/10.1111/j.1467-7709.2007.00676.x</w:t>
      </w:r>
      <w:proofErr w:type="gramEnd"/>
      <w:r w:rsidRPr="008648D1">
        <w:rPr>
          <w:rFonts w:ascii="Times New Roman" w:hAnsi="Times New Roman" w:cs="Times New Roman"/>
          <w:sz w:val="24"/>
          <w:szCs w:val="24"/>
        </w:rPr>
        <w:t>.</w:t>
      </w:r>
    </w:p>
    <w:p w14:paraId="1666C064"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Makrynika, E. (n.d.). </w:t>
      </w:r>
      <w:r w:rsidRPr="008648D1">
        <w:rPr>
          <w:rFonts w:ascii="Times New Roman" w:hAnsi="Times New Roman" w:cs="Times New Roman"/>
          <w:i/>
          <w:iCs/>
          <w:sz w:val="24"/>
          <w:szCs w:val="24"/>
        </w:rPr>
        <w:t>THE UNITED STATES AND THE ARAB – ISRAELI CONFLICT FROM THE SIX-DAY WAR TO THE OSLO ACCORDS: 1967 – 1993</w:t>
      </w:r>
      <w:r w:rsidRPr="008648D1">
        <w:rPr>
          <w:rFonts w:ascii="Times New Roman" w:hAnsi="Times New Roman" w:cs="Times New Roman"/>
          <w:sz w:val="24"/>
          <w:szCs w:val="24"/>
        </w:rPr>
        <w:t>. [Dissertation] pp.1–75. Available at: https://dione.lib.unipi.gr/xmlui/bitstream/handle/unipi/15257/Makrynika_21010.pdf?sequence=1&amp;isAllowed=y [Accessed 14 Nov. 2023].</w:t>
      </w:r>
    </w:p>
    <w:p w14:paraId="7EEF727F"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Maratib, A., Ghulam, M. and Tooba, A. (2022). Arab Israel Conflict: Historical </w:t>
      </w:r>
      <w:proofErr w:type="gramStart"/>
      <w:r w:rsidRPr="008648D1">
        <w:rPr>
          <w:rFonts w:ascii="Times New Roman" w:hAnsi="Times New Roman" w:cs="Times New Roman"/>
          <w:sz w:val="24"/>
          <w:szCs w:val="24"/>
        </w:rPr>
        <w:t>Analysis .</w:t>
      </w:r>
      <w:proofErr w:type="gramEnd"/>
    </w:p>
    <w:p w14:paraId="43087EDA"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Morris, B. (2008). </w:t>
      </w:r>
      <w:r w:rsidRPr="008648D1">
        <w:rPr>
          <w:rFonts w:ascii="Times New Roman" w:hAnsi="Times New Roman" w:cs="Times New Roman"/>
          <w:i/>
          <w:iCs/>
          <w:sz w:val="24"/>
          <w:szCs w:val="24"/>
        </w:rPr>
        <w:t xml:space="preserve">1948 A History of the First </w:t>
      </w:r>
      <w:proofErr w:type="gramStart"/>
      <w:r w:rsidRPr="008648D1">
        <w:rPr>
          <w:rFonts w:ascii="Times New Roman" w:hAnsi="Times New Roman" w:cs="Times New Roman"/>
          <w:i/>
          <w:iCs/>
          <w:sz w:val="24"/>
          <w:szCs w:val="24"/>
        </w:rPr>
        <w:t>Arab-Israeli</w:t>
      </w:r>
      <w:proofErr w:type="gramEnd"/>
      <w:r w:rsidRPr="008648D1">
        <w:rPr>
          <w:rFonts w:ascii="Times New Roman" w:hAnsi="Times New Roman" w:cs="Times New Roman"/>
          <w:i/>
          <w:iCs/>
          <w:sz w:val="24"/>
          <w:szCs w:val="24"/>
        </w:rPr>
        <w:t xml:space="preserve"> War</w:t>
      </w:r>
      <w:r w:rsidRPr="008648D1">
        <w:rPr>
          <w:rFonts w:ascii="Times New Roman" w:hAnsi="Times New Roman" w:cs="Times New Roman"/>
          <w:sz w:val="24"/>
          <w:szCs w:val="24"/>
        </w:rPr>
        <w:t>. Yale University Press, pp.3–120.</w:t>
      </w:r>
    </w:p>
    <w:p w14:paraId="37F74FD5"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Oren, M. (2002). </w:t>
      </w:r>
      <w:r w:rsidRPr="008648D1">
        <w:rPr>
          <w:rFonts w:ascii="Times New Roman" w:hAnsi="Times New Roman" w:cs="Times New Roman"/>
          <w:i/>
          <w:iCs/>
          <w:sz w:val="24"/>
          <w:szCs w:val="24"/>
        </w:rPr>
        <w:t xml:space="preserve">Six days of </w:t>
      </w:r>
      <w:proofErr w:type="gramStart"/>
      <w:r w:rsidRPr="008648D1">
        <w:rPr>
          <w:rFonts w:ascii="Times New Roman" w:hAnsi="Times New Roman" w:cs="Times New Roman"/>
          <w:i/>
          <w:iCs/>
          <w:sz w:val="24"/>
          <w:szCs w:val="24"/>
        </w:rPr>
        <w:t>war :</w:t>
      </w:r>
      <w:proofErr w:type="gramEnd"/>
      <w:r w:rsidRPr="008648D1">
        <w:rPr>
          <w:rFonts w:ascii="Times New Roman" w:hAnsi="Times New Roman" w:cs="Times New Roman"/>
          <w:i/>
          <w:iCs/>
          <w:sz w:val="24"/>
          <w:szCs w:val="24"/>
        </w:rPr>
        <w:t xml:space="preserve"> June 1967 and the making of the modern Middle East</w:t>
      </w:r>
      <w:r w:rsidRPr="008648D1">
        <w:rPr>
          <w:rFonts w:ascii="Times New Roman" w:hAnsi="Times New Roman" w:cs="Times New Roman"/>
          <w:sz w:val="24"/>
          <w:szCs w:val="24"/>
        </w:rPr>
        <w:t>. New York: Oxford University Press, pp.402, 403.</w:t>
      </w:r>
    </w:p>
    <w:p w14:paraId="25BE61AB"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Quandt, W.B. (2005a). </w:t>
      </w:r>
      <w:r w:rsidRPr="008648D1">
        <w:rPr>
          <w:rFonts w:ascii="Times New Roman" w:hAnsi="Times New Roman" w:cs="Times New Roman"/>
          <w:i/>
          <w:iCs/>
          <w:sz w:val="24"/>
          <w:szCs w:val="24"/>
        </w:rPr>
        <w:t xml:space="preserve">Peace Process: American diplomacy and the </w:t>
      </w:r>
      <w:proofErr w:type="gramStart"/>
      <w:r w:rsidRPr="008648D1">
        <w:rPr>
          <w:rFonts w:ascii="Times New Roman" w:hAnsi="Times New Roman" w:cs="Times New Roman"/>
          <w:i/>
          <w:iCs/>
          <w:sz w:val="24"/>
          <w:szCs w:val="24"/>
        </w:rPr>
        <w:t>Arab-Israeli</w:t>
      </w:r>
      <w:proofErr w:type="gramEnd"/>
      <w:r w:rsidRPr="008648D1">
        <w:rPr>
          <w:rFonts w:ascii="Times New Roman" w:hAnsi="Times New Roman" w:cs="Times New Roman"/>
          <w:i/>
          <w:iCs/>
          <w:sz w:val="24"/>
          <w:szCs w:val="24"/>
        </w:rPr>
        <w:t xml:space="preserve"> conflict since 1967</w:t>
      </w:r>
      <w:r w:rsidRPr="008648D1">
        <w:rPr>
          <w:rFonts w:ascii="Times New Roman" w:hAnsi="Times New Roman" w:cs="Times New Roman"/>
          <w:sz w:val="24"/>
          <w:szCs w:val="24"/>
        </w:rPr>
        <w:t>. Brookings Institution Press, pp.122, 125.</w:t>
      </w:r>
    </w:p>
    <w:p w14:paraId="13B594F2"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Quandt, W.B. (2005b). </w:t>
      </w:r>
      <w:r w:rsidRPr="008648D1">
        <w:rPr>
          <w:rFonts w:ascii="Times New Roman" w:hAnsi="Times New Roman" w:cs="Times New Roman"/>
          <w:i/>
          <w:iCs/>
          <w:sz w:val="24"/>
          <w:szCs w:val="24"/>
        </w:rPr>
        <w:t xml:space="preserve">Peace Process: Peace process: American diplomacy and the Arab-Israeli conflict since </w:t>
      </w:r>
      <w:proofErr w:type="gramStart"/>
      <w:r w:rsidRPr="008648D1">
        <w:rPr>
          <w:rFonts w:ascii="Times New Roman" w:hAnsi="Times New Roman" w:cs="Times New Roman"/>
          <w:i/>
          <w:iCs/>
          <w:sz w:val="24"/>
          <w:szCs w:val="24"/>
        </w:rPr>
        <w:t xml:space="preserve">1967 </w:t>
      </w:r>
      <w:r w:rsidRPr="008648D1">
        <w:rPr>
          <w:rFonts w:ascii="Times New Roman" w:hAnsi="Times New Roman" w:cs="Times New Roman"/>
          <w:sz w:val="24"/>
          <w:szCs w:val="24"/>
        </w:rPr>
        <w:t>.</w:t>
      </w:r>
      <w:proofErr w:type="gramEnd"/>
      <w:r w:rsidRPr="008648D1">
        <w:rPr>
          <w:rFonts w:ascii="Times New Roman" w:hAnsi="Times New Roman" w:cs="Times New Roman"/>
          <w:sz w:val="24"/>
          <w:szCs w:val="24"/>
        </w:rPr>
        <w:t xml:space="preserve"> Brookings Institution Press, pp.76, 122.</w:t>
      </w:r>
    </w:p>
    <w:p w14:paraId="381FC7C1"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Ruan, G. (2021). Great Powers in the Middle East: A Comparative Study of </w:t>
      </w:r>
      <w:proofErr w:type="gramStart"/>
      <w:r w:rsidRPr="008648D1">
        <w:rPr>
          <w:rFonts w:ascii="Times New Roman" w:hAnsi="Times New Roman" w:cs="Times New Roman"/>
          <w:sz w:val="24"/>
          <w:szCs w:val="24"/>
        </w:rPr>
        <w:t>Arab-Israeli</w:t>
      </w:r>
      <w:proofErr w:type="gramEnd"/>
      <w:r w:rsidRPr="008648D1">
        <w:rPr>
          <w:rFonts w:ascii="Times New Roman" w:hAnsi="Times New Roman" w:cs="Times New Roman"/>
          <w:sz w:val="24"/>
          <w:szCs w:val="24"/>
        </w:rPr>
        <w:t xml:space="preserve"> Conflicts in 1967 and 2021. </w:t>
      </w:r>
      <w:r w:rsidRPr="008648D1">
        <w:rPr>
          <w:rFonts w:ascii="Times New Roman" w:hAnsi="Times New Roman" w:cs="Times New Roman"/>
          <w:i/>
          <w:iCs/>
          <w:sz w:val="24"/>
          <w:szCs w:val="24"/>
        </w:rPr>
        <w:t xml:space="preserve">Advances in social science, </w:t>
      </w:r>
      <w:proofErr w:type="gramStart"/>
      <w:r w:rsidRPr="008648D1">
        <w:rPr>
          <w:rFonts w:ascii="Times New Roman" w:hAnsi="Times New Roman" w:cs="Times New Roman"/>
          <w:i/>
          <w:iCs/>
          <w:sz w:val="24"/>
          <w:szCs w:val="24"/>
        </w:rPr>
        <w:t>education</w:t>
      </w:r>
      <w:proofErr w:type="gramEnd"/>
      <w:r w:rsidRPr="008648D1">
        <w:rPr>
          <w:rFonts w:ascii="Times New Roman" w:hAnsi="Times New Roman" w:cs="Times New Roman"/>
          <w:i/>
          <w:iCs/>
          <w:sz w:val="24"/>
          <w:szCs w:val="24"/>
        </w:rPr>
        <w:t xml:space="preserve"> and humanities research</w:t>
      </w:r>
      <w:r w:rsidRPr="008648D1">
        <w:rPr>
          <w:rFonts w:ascii="Times New Roman" w:hAnsi="Times New Roman" w:cs="Times New Roman"/>
          <w:sz w:val="24"/>
          <w:szCs w:val="24"/>
        </w:rPr>
        <w:t xml:space="preserve">, (2352-5398), pp.412–416. </w:t>
      </w:r>
      <w:proofErr w:type="spellStart"/>
      <w:proofErr w:type="gramStart"/>
      <w:r w:rsidRPr="008648D1">
        <w:rPr>
          <w:rFonts w:ascii="Times New Roman" w:hAnsi="Times New Roman" w:cs="Times New Roman"/>
          <w:sz w:val="24"/>
          <w:szCs w:val="24"/>
        </w:rPr>
        <w:t>doi:https</w:t>
      </w:r>
      <w:proofErr w:type="spellEnd"/>
      <w:r w:rsidRPr="008648D1">
        <w:rPr>
          <w:rFonts w:ascii="Times New Roman" w:hAnsi="Times New Roman" w:cs="Times New Roman"/>
          <w:sz w:val="24"/>
          <w:szCs w:val="24"/>
        </w:rPr>
        <w:t>://doi.org/10.2991/assehr.k.211020.191</w:t>
      </w:r>
      <w:proofErr w:type="gramEnd"/>
      <w:r w:rsidRPr="008648D1">
        <w:rPr>
          <w:rFonts w:ascii="Times New Roman" w:hAnsi="Times New Roman" w:cs="Times New Roman"/>
          <w:sz w:val="24"/>
          <w:szCs w:val="24"/>
        </w:rPr>
        <w:t>.</w:t>
      </w:r>
    </w:p>
    <w:p w14:paraId="363F07AA"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Smith, C. (n.d.). </w:t>
      </w:r>
      <w:r w:rsidRPr="008648D1">
        <w:rPr>
          <w:rFonts w:ascii="Times New Roman" w:hAnsi="Times New Roman" w:cs="Times New Roman"/>
          <w:i/>
          <w:iCs/>
          <w:sz w:val="24"/>
          <w:szCs w:val="24"/>
        </w:rPr>
        <w:t xml:space="preserve">PALESTINE AND THE </w:t>
      </w:r>
      <w:proofErr w:type="gramStart"/>
      <w:r w:rsidRPr="008648D1">
        <w:rPr>
          <w:rFonts w:ascii="Times New Roman" w:hAnsi="Times New Roman" w:cs="Times New Roman"/>
          <w:i/>
          <w:iCs/>
          <w:sz w:val="24"/>
          <w:szCs w:val="24"/>
        </w:rPr>
        <w:t>ARAB-ISRAELI</w:t>
      </w:r>
      <w:proofErr w:type="gramEnd"/>
      <w:r w:rsidRPr="008648D1">
        <w:rPr>
          <w:rFonts w:ascii="Times New Roman" w:hAnsi="Times New Roman" w:cs="Times New Roman"/>
          <w:i/>
          <w:iCs/>
          <w:sz w:val="24"/>
          <w:szCs w:val="24"/>
        </w:rPr>
        <w:t xml:space="preserve"> CONFLICT: 1948- 1970</w:t>
      </w:r>
      <w:r w:rsidRPr="008648D1">
        <w:rPr>
          <w:rFonts w:ascii="Times New Roman" w:hAnsi="Times New Roman" w:cs="Times New Roman"/>
          <w:sz w:val="24"/>
          <w:szCs w:val="24"/>
        </w:rPr>
        <w:t>. [online] Available at: https://www.gale.com/binaries/content/assets/au-resources-in-product/arab-israeli-essay_smith_palestine.pdf [Accessed 14 Nov. 2023].</w:t>
      </w:r>
    </w:p>
    <w:p w14:paraId="2B15C25A"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Sorby, K. (1969). </w:t>
      </w:r>
      <w:r w:rsidRPr="008648D1">
        <w:rPr>
          <w:rFonts w:ascii="Times New Roman" w:hAnsi="Times New Roman" w:cs="Times New Roman"/>
          <w:i/>
          <w:iCs/>
          <w:sz w:val="24"/>
          <w:szCs w:val="24"/>
        </w:rPr>
        <w:t>The War of Attrition in the Middle East, 1969 -1970 127 THE WAR OF ATTRITION IN THE MIDDLE EAST</w:t>
      </w:r>
      <w:r w:rsidRPr="008648D1">
        <w:rPr>
          <w:rFonts w:ascii="Times New Roman" w:hAnsi="Times New Roman" w:cs="Times New Roman"/>
          <w:sz w:val="24"/>
          <w:szCs w:val="24"/>
        </w:rPr>
        <w:t>. [online] pp.127–147. Available at: https://www.sav.sk/journals/uploads/0530142407_Sorby_FINAL.pdf.</w:t>
      </w:r>
    </w:p>
    <w:p w14:paraId="7CCDB602"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State.gov. (2019). </w:t>
      </w:r>
      <w:r w:rsidRPr="008648D1">
        <w:rPr>
          <w:rFonts w:ascii="Times New Roman" w:hAnsi="Times New Roman" w:cs="Times New Roman"/>
          <w:i/>
          <w:iCs/>
          <w:sz w:val="24"/>
          <w:szCs w:val="24"/>
        </w:rPr>
        <w:t>Milestones: 1961–1968 - Office of the Historian</w:t>
      </w:r>
      <w:r w:rsidRPr="008648D1">
        <w:rPr>
          <w:rFonts w:ascii="Times New Roman" w:hAnsi="Times New Roman" w:cs="Times New Roman"/>
          <w:sz w:val="24"/>
          <w:szCs w:val="24"/>
        </w:rPr>
        <w:t>. [online] Available at: https://history.state.gov/milestones/1961-1968/arab-israeli-war-1967 [Accessed 15 Nov. 2023].</w:t>
      </w:r>
    </w:p>
    <w:p w14:paraId="7ACC5738"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The Editors Of Encyclopaedia Britannica (2019). </w:t>
      </w:r>
      <w:proofErr w:type="gramStart"/>
      <w:r w:rsidRPr="008648D1">
        <w:rPr>
          <w:rFonts w:ascii="Times New Roman" w:hAnsi="Times New Roman" w:cs="Times New Roman"/>
          <w:sz w:val="24"/>
          <w:szCs w:val="24"/>
        </w:rPr>
        <w:t>Arab-Israeli</w:t>
      </w:r>
      <w:proofErr w:type="gramEnd"/>
      <w:r w:rsidRPr="008648D1">
        <w:rPr>
          <w:rFonts w:ascii="Times New Roman" w:hAnsi="Times New Roman" w:cs="Times New Roman"/>
          <w:sz w:val="24"/>
          <w:szCs w:val="24"/>
        </w:rPr>
        <w:t xml:space="preserve"> wars | History, Conflict, &amp; Facts. In: </w:t>
      </w:r>
      <w:proofErr w:type="spellStart"/>
      <w:r w:rsidRPr="008648D1">
        <w:rPr>
          <w:rFonts w:ascii="Times New Roman" w:hAnsi="Times New Roman" w:cs="Times New Roman"/>
          <w:i/>
          <w:iCs/>
          <w:sz w:val="24"/>
          <w:szCs w:val="24"/>
        </w:rPr>
        <w:t>Encyclopædia</w:t>
      </w:r>
      <w:proofErr w:type="spellEnd"/>
      <w:r w:rsidRPr="008648D1">
        <w:rPr>
          <w:rFonts w:ascii="Times New Roman" w:hAnsi="Times New Roman" w:cs="Times New Roman"/>
          <w:i/>
          <w:iCs/>
          <w:sz w:val="24"/>
          <w:szCs w:val="24"/>
        </w:rPr>
        <w:t xml:space="preserve"> Britannica</w:t>
      </w:r>
      <w:r w:rsidRPr="008648D1">
        <w:rPr>
          <w:rFonts w:ascii="Times New Roman" w:hAnsi="Times New Roman" w:cs="Times New Roman"/>
          <w:sz w:val="24"/>
          <w:szCs w:val="24"/>
        </w:rPr>
        <w:t>. [online] Available at: https://www.britannica.com/event/Arab-Israeli-wars.</w:t>
      </w:r>
    </w:p>
    <w:p w14:paraId="0C3B0026"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Theoharis, A., Coffman, S.E., Keefer, E.C., Schwar, H.D. and </w:t>
      </w:r>
      <w:proofErr w:type="spellStart"/>
      <w:r w:rsidRPr="008648D1">
        <w:rPr>
          <w:rFonts w:ascii="Times New Roman" w:hAnsi="Times New Roman" w:cs="Times New Roman"/>
          <w:sz w:val="24"/>
          <w:szCs w:val="24"/>
        </w:rPr>
        <w:t>LaFantasie</w:t>
      </w:r>
      <w:proofErr w:type="spellEnd"/>
      <w:r w:rsidRPr="008648D1">
        <w:rPr>
          <w:rFonts w:ascii="Times New Roman" w:hAnsi="Times New Roman" w:cs="Times New Roman"/>
          <w:sz w:val="24"/>
          <w:szCs w:val="24"/>
        </w:rPr>
        <w:t xml:space="preserve">, G.W. (1993). Foreign Relations of the United States, 1958-1960. Vol. 4: Foreign Economic Policy. </w:t>
      </w:r>
      <w:r w:rsidRPr="008648D1">
        <w:rPr>
          <w:rFonts w:ascii="Times New Roman" w:hAnsi="Times New Roman" w:cs="Times New Roman"/>
          <w:i/>
          <w:iCs/>
          <w:sz w:val="24"/>
          <w:szCs w:val="24"/>
        </w:rPr>
        <w:t>The Journal of American History</w:t>
      </w:r>
      <w:r w:rsidRPr="008648D1">
        <w:rPr>
          <w:rFonts w:ascii="Times New Roman" w:hAnsi="Times New Roman" w:cs="Times New Roman"/>
          <w:sz w:val="24"/>
          <w:szCs w:val="24"/>
        </w:rPr>
        <w:t xml:space="preserve">, 80(3), p.322. </w:t>
      </w:r>
      <w:proofErr w:type="spellStart"/>
      <w:proofErr w:type="gramStart"/>
      <w:r w:rsidRPr="008648D1">
        <w:rPr>
          <w:rFonts w:ascii="Times New Roman" w:hAnsi="Times New Roman" w:cs="Times New Roman"/>
          <w:sz w:val="24"/>
          <w:szCs w:val="24"/>
        </w:rPr>
        <w:t>doi:https</w:t>
      </w:r>
      <w:proofErr w:type="spellEnd"/>
      <w:r w:rsidRPr="008648D1">
        <w:rPr>
          <w:rFonts w:ascii="Times New Roman" w:hAnsi="Times New Roman" w:cs="Times New Roman"/>
          <w:sz w:val="24"/>
          <w:szCs w:val="24"/>
        </w:rPr>
        <w:t>://doi.org/10.2307/2080558</w:t>
      </w:r>
      <w:proofErr w:type="gramEnd"/>
      <w:r w:rsidRPr="008648D1">
        <w:rPr>
          <w:rFonts w:ascii="Times New Roman" w:hAnsi="Times New Roman" w:cs="Times New Roman"/>
          <w:sz w:val="24"/>
          <w:szCs w:val="24"/>
        </w:rPr>
        <w:t>.</w:t>
      </w:r>
    </w:p>
    <w:p w14:paraId="4E816E92"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Trueman, C.N. (2015). </w:t>
      </w:r>
      <w:r w:rsidRPr="008648D1">
        <w:rPr>
          <w:rFonts w:ascii="Times New Roman" w:hAnsi="Times New Roman" w:cs="Times New Roman"/>
          <w:i/>
          <w:iCs/>
          <w:sz w:val="24"/>
          <w:szCs w:val="24"/>
        </w:rPr>
        <w:t>The Yom Kippur War of 1973</w:t>
      </w:r>
      <w:r w:rsidRPr="008648D1">
        <w:rPr>
          <w:rFonts w:ascii="Times New Roman" w:hAnsi="Times New Roman" w:cs="Times New Roman"/>
          <w:sz w:val="24"/>
          <w:szCs w:val="24"/>
        </w:rPr>
        <w:t>. [online] History Learning Site. Available at: https://www.historylearningsite.co.uk/modern-world-history-1918-to-1980/the-middle-east-1917-to-1973/the-yom-kippur-war-of-1973/ [Accessed 15 Nov. 2023].</w:t>
      </w:r>
    </w:p>
    <w:p w14:paraId="567BBCCA" w14:textId="77777777" w:rsidR="008648D1" w:rsidRPr="008648D1" w:rsidRDefault="008648D1" w:rsidP="008648D1">
      <w:pPr>
        <w:pStyle w:val="ListParagraph"/>
        <w:numPr>
          <w:ilvl w:val="0"/>
          <w:numId w:val="2"/>
        </w:numPr>
        <w:jc w:val="both"/>
        <w:rPr>
          <w:rFonts w:ascii="Times New Roman" w:hAnsi="Times New Roman" w:cs="Times New Roman"/>
          <w:sz w:val="24"/>
          <w:szCs w:val="24"/>
        </w:rPr>
      </w:pPr>
      <w:r w:rsidRPr="008648D1">
        <w:rPr>
          <w:rFonts w:ascii="Times New Roman" w:hAnsi="Times New Roman" w:cs="Times New Roman"/>
          <w:sz w:val="24"/>
          <w:szCs w:val="24"/>
        </w:rPr>
        <w:t xml:space="preserve">Yergin, D. (1991). </w:t>
      </w:r>
      <w:r w:rsidRPr="008648D1">
        <w:rPr>
          <w:rFonts w:ascii="Times New Roman" w:hAnsi="Times New Roman" w:cs="Times New Roman"/>
          <w:i/>
          <w:iCs/>
          <w:sz w:val="24"/>
          <w:szCs w:val="24"/>
        </w:rPr>
        <w:t xml:space="preserve">The </w:t>
      </w:r>
      <w:proofErr w:type="gramStart"/>
      <w:r w:rsidRPr="008648D1">
        <w:rPr>
          <w:rFonts w:ascii="Times New Roman" w:hAnsi="Times New Roman" w:cs="Times New Roman"/>
          <w:i/>
          <w:iCs/>
          <w:sz w:val="24"/>
          <w:szCs w:val="24"/>
        </w:rPr>
        <w:t>prize :</w:t>
      </w:r>
      <w:proofErr w:type="gramEnd"/>
      <w:r w:rsidRPr="008648D1">
        <w:rPr>
          <w:rFonts w:ascii="Times New Roman" w:hAnsi="Times New Roman" w:cs="Times New Roman"/>
          <w:i/>
          <w:iCs/>
          <w:sz w:val="24"/>
          <w:szCs w:val="24"/>
        </w:rPr>
        <w:t xml:space="preserve"> the epic quest for oil, money and power by Daniel Yergin.</w:t>
      </w:r>
      <w:r w:rsidRPr="008648D1">
        <w:rPr>
          <w:rFonts w:ascii="Times New Roman" w:hAnsi="Times New Roman" w:cs="Times New Roman"/>
          <w:sz w:val="24"/>
          <w:szCs w:val="24"/>
        </w:rPr>
        <w:t xml:space="preserve"> Free Press, pp.650–651.</w:t>
      </w:r>
    </w:p>
    <w:p w14:paraId="1E02CE06" w14:textId="3E335678" w:rsidR="00AF2CE3" w:rsidRDefault="00B9684A" w:rsidP="0074329E">
      <w:pPr>
        <w:jc w:val="center"/>
        <w:rPr>
          <w:rFonts w:ascii="Times New Roman" w:hAnsi="Times New Roman" w:cs="Times New Roman"/>
          <w:sz w:val="24"/>
          <w:szCs w:val="24"/>
        </w:rPr>
      </w:pPr>
      <w:r>
        <w:rPr>
          <w:rFonts w:ascii="Times New Roman" w:hAnsi="Times New Roman" w:cs="Times New Roman"/>
          <w:sz w:val="24"/>
          <w:szCs w:val="24"/>
        </w:rPr>
        <w:t xml:space="preserve"> </w:t>
      </w:r>
      <w:r w:rsidR="00145E9F">
        <w:rPr>
          <w:rFonts w:ascii="Times New Roman" w:hAnsi="Times New Roman" w:cs="Times New Roman"/>
          <w:sz w:val="24"/>
          <w:szCs w:val="24"/>
        </w:rPr>
        <w:t xml:space="preserve"> </w:t>
      </w:r>
    </w:p>
    <w:p w14:paraId="279BA4F7" w14:textId="668E440F" w:rsidR="000E5343" w:rsidRPr="00F95A50" w:rsidRDefault="000E5343" w:rsidP="00F95A50">
      <w:pPr>
        <w:jc w:val="both"/>
        <w:rPr>
          <w:rFonts w:ascii="Times New Roman" w:hAnsi="Times New Roman" w:cs="Times New Roman"/>
          <w:sz w:val="24"/>
          <w:szCs w:val="24"/>
        </w:rPr>
      </w:pPr>
    </w:p>
    <w:sectPr w:rsidR="000E5343" w:rsidRPr="00F95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42233"/>
    <w:multiLevelType w:val="multilevel"/>
    <w:tmpl w:val="7024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7E0BA1"/>
    <w:multiLevelType w:val="hybridMultilevel"/>
    <w:tmpl w:val="837A5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9377721">
    <w:abstractNumId w:val="0"/>
  </w:num>
  <w:num w:numId="2" w16cid:durableId="514269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E5343"/>
    <w:rsid w:val="00006BE5"/>
    <w:rsid w:val="00011E93"/>
    <w:rsid w:val="0001355D"/>
    <w:rsid w:val="00014CF6"/>
    <w:rsid w:val="000154D9"/>
    <w:rsid w:val="00015864"/>
    <w:rsid w:val="00020124"/>
    <w:rsid w:val="000232F2"/>
    <w:rsid w:val="0002654D"/>
    <w:rsid w:val="000274CE"/>
    <w:rsid w:val="00040C09"/>
    <w:rsid w:val="000457BC"/>
    <w:rsid w:val="00046A29"/>
    <w:rsid w:val="000621A2"/>
    <w:rsid w:val="00076927"/>
    <w:rsid w:val="000779C1"/>
    <w:rsid w:val="00086F8F"/>
    <w:rsid w:val="000A027A"/>
    <w:rsid w:val="000A0A6B"/>
    <w:rsid w:val="000B13CF"/>
    <w:rsid w:val="000C2AFF"/>
    <w:rsid w:val="000C2ED5"/>
    <w:rsid w:val="000D7842"/>
    <w:rsid w:val="000E5343"/>
    <w:rsid w:val="000E5F28"/>
    <w:rsid w:val="000E6336"/>
    <w:rsid w:val="000F3B77"/>
    <w:rsid w:val="000F7644"/>
    <w:rsid w:val="00127171"/>
    <w:rsid w:val="00136D6D"/>
    <w:rsid w:val="00145E9F"/>
    <w:rsid w:val="00161A16"/>
    <w:rsid w:val="0017249C"/>
    <w:rsid w:val="0017782F"/>
    <w:rsid w:val="00181D2F"/>
    <w:rsid w:val="001A0A24"/>
    <w:rsid w:val="001A7ECA"/>
    <w:rsid w:val="001B39AE"/>
    <w:rsid w:val="001B3C13"/>
    <w:rsid w:val="001C1BEA"/>
    <w:rsid w:val="001C6653"/>
    <w:rsid w:val="001D7716"/>
    <w:rsid w:val="001E0BC0"/>
    <w:rsid w:val="001F275F"/>
    <w:rsid w:val="001F5CC4"/>
    <w:rsid w:val="001F61C4"/>
    <w:rsid w:val="00203ECB"/>
    <w:rsid w:val="002157B0"/>
    <w:rsid w:val="00230357"/>
    <w:rsid w:val="00235A44"/>
    <w:rsid w:val="00247D97"/>
    <w:rsid w:val="00247EAF"/>
    <w:rsid w:val="0025148D"/>
    <w:rsid w:val="00254528"/>
    <w:rsid w:val="002571F4"/>
    <w:rsid w:val="00257B6F"/>
    <w:rsid w:val="00263396"/>
    <w:rsid w:val="00266008"/>
    <w:rsid w:val="00276D81"/>
    <w:rsid w:val="002814CD"/>
    <w:rsid w:val="002826DB"/>
    <w:rsid w:val="00287E80"/>
    <w:rsid w:val="00290F91"/>
    <w:rsid w:val="00291889"/>
    <w:rsid w:val="002A3499"/>
    <w:rsid w:val="002B0F40"/>
    <w:rsid w:val="002B37A9"/>
    <w:rsid w:val="002B4B83"/>
    <w:rsid w:val="002C2D28"/>
    <w:rsid w:val="002C3BBA"/>
    <w:rsid w:val="002D32C9"/>
    <w:rsid w:val="002D3CF3"/>
    <w:rsid w:val="002D5C16"/>
    <w:rsid w:val="002F6127"/>
    <w:rsid w:val="00301478"/>
    <w:rsid w:val="0030344E"/>
    <w:rsid w:val="00316635"/>
    <w:rsid w:val="003218B6"/>
    <w:rsid w:val="003403EA"/>
    <w:rsid w:val="00341BE3"/>
    <w:rsid w:val="00343E10"/>
    <w:rsid w:val="00353485"/>
    <w:rsid w:val="00356069"/>
    <w:rsid w:val="00361AEE"/>
    <w:rsid w:val="00372B02"/>
    <w:rsid w:val="00373142"/>
    <w:rsid w:val="003806AE"/>
    <w:rsid w:val="003828C6"/>
    <w:rsid w:val="00387189"/>
    <w:rsid w:val="003931E6"/>
    <w:rsid w:val="00396EB3"/>
    <w:rsid w:val="003C52EC"/>
    <w:rsid w:val="003D03EF"/>
    <w:rsid w:val="003D2E06"/>
    <w:rsid w:val="003F7889"/>
    <w:rsid w:val="00405696"/>
    <w:rsid w:val="0041407A"/>
    <w:rsid w:val="00416B29"/>
    <w:rsid w:val="004534A2"/>
    <w:rsid w:val="004712B6"/>
    <w:rsid w:val="004755ED"/>
    <w:rsid w:val="00477C16"/>
    <w:rsid w:val="004A2BC7"/>
    <w:rsid w:val="004A3620"/>
    <w:rsid w:val="004B5B23"/>
    <w:rsid w:val="004C053E"/>
    <w:rsid w:val="004C3239"/>
    <w:rsid w:val="004C630A"/>
    <w:rsid w:val="004C760C"/>
    <w:rsid w:val="004D1957"/>
    <w:rsid w:val="004F0F1F"/>
    <w:rsid w:val="004F7E2B"/>
    <w:rsid w:val="00504A66"/>
    <w:rsid w:val="00505768"/>
    <w:rsid w:val="00510080"/>
    <w:rsid w:val="005133F5"/>
    <w:rsid w:val="0051703D"/>
    <w:rsid w:val="00537565"/>
    <w:rsid w:val="005413E8"/>
    <w:rsid w:val="00564D09"/>
    <w:rsid w:val="005719E4"/>
    <w:rsid w:val="00576D1A"/>
    <w:rsid w:val="00580154"/>
    <w:rsid w:val="00581B76"/>
    <w:rsid w:val="00583B02"/>
    <w:rsid w:val="00584EA7"/>
    <w:rsid w:val="00597EF1"/>
    <w:rsid w:val="005C0A26"/>
    <w:rsid w:val="005D6A45"/>
    <w:rsid w:val="005E3576"/>
    <w:rsid w:val="005F148E"/>
    <w:rsid w:val="005F74E2"/>
    <w:rsid w:val="00603950"/>
    <w:rsid w:val="00607933"/>
    <w:rsid w:val="006079B9"/>
    <w:rsid w:val="00610E9B"/>
    <w:rsid w:val="00613CB6"/>
    <w:rsid w:val="00632F53"/>
    <w:rsid w:val="0064285F"/>
    <w:rsid w:val="00661F6F"/>
    <w:rsid w:val="00670BF2"/>
    <w:rsid w:val="006751FB"/>
    <w:rsid w:val="00677DFC"/>
    <w:rsid w:val="00684002"/>
    <w:rsid w:val="006A7F10"/>
    <w:rsid w:val="006B6BA2"/>
    <w:rsid w:val="006C559D"/>
    <w:rsid w:val="006F61A5"/>
    <w:rsid w:val="007017CF"/>
    <w:rsid w:val="00706023"/>
    <w:rsid w:val="0070759C"/>
    <w:rsid w:val="00724E32"/>
    <w:rsid w:val="0074329E"/>
    <w:rsid w:val="007560CD"/>
    <w:rsid w:val="00760BA5"/>
    <w:rsid w:val="00761E58"/>
    <w:rsid w:val="007651B3"/>
    <w:rsid w:val="00765B38"/>
    <w:rsid w:val="0077739B"/>
    <w:rsid w:val="007923CF"/>
    <w:rsid w:val="00795516"/>
    <w:rsid w:val="007A416A"/>
    <w:rsid w:val="007B20FC"/>
    <w:rsid w:val="007B7FA6"/>
    <w:rsid w:val="007C79E0"/>
    <w:rsid w:val="007E026B"/>
    <w:rsid w:val="007E399F"/>
    <w:rsid w:val="0080499B"/>
    <w:rsid w:val="00815989"/>
    <w:rsid w:val="008162D5"/>
    <w:rsid w:val="00821E92"/>
    <w:rsid w:val="008220DA"/>
    <w:rsid w:val="00843478"/>
    <w:rsid w:val="00853751"/>
    <w:rsid w:val="00854D8E"/>
    <w:rsid w:val="008648D1"/>
    <w:rsid w:val="00866978"/>
    <w:rsid w:val="00870432"/>
    <w:rsid w:val="00895511"/>
    <w:rsid w:val="008A50B5"/>
    <w:rsid w:val="008B20AE"/>
    <w:rsid w:val="008B3B5A"/>
    <w:rsid w:val="008D2509"/>
    <w:rsid w:val="008D5C9E"/>
    <w:rsid w:val="008E0371"/>
    <w:rsid w:val="00902887"/>
    <w:rsid w:val="0090680D"/>
    <w:rsid w:val="00912E4A"/>
    <w:rsid w:val="00916538"/>
    <w:rsid w:val="00917677"/>
    <w:rsid w:val="00922170"/>
    <w:rsid w:val="0092242E"/>
    <w:rsid w:val="00924FA4"/>
    <w:rsid w:val="00927AFE"/>
    <w:rsid w:val="00946200"/>
    <w:rsid w:val="00964E25"/>
    <w:rsid w:val="0096798F"/>
    <w:rsid w:val="009745E0"/>
    <w:rsid w:val="0097478D"/>
    <w:rsid w:val="0097782A"/>
    <w:rsid w:val="00980DAA"/>
    <w:rsid w:val="00992553"/>
    <w:rsid w:val="0099BB4B"/>
    <w:rsid w:val="009A2221"/>
    <w:rsid w:val="009A3106"/>
    <w:rsid w:val="009C3C35"/>
    <w:rsid w:val="009C717C"/>
    <w:rsid w:val="009C73E3"/>
    <w:rsid w:val="009D5867"/>
    <w:rsid w:val="009D79F2"/>
    <w:rsid w:val="009E5FD6"/>
    <w:rsid w:val="009F472E"/>
    <w:rsid w:val="00A00AAA"/>
    <w:rsid w:val="00A05CE3"/>
    <w:rsid w:val="00A07046"/>
    <w:rsid w:val="00A1550F"/>
    <w:rsid w:val="00A36370"/>
    <w:rsid w:val="00A54D3B"/>
    <w:rsid w:val="00A5644D"/>
    <w:rsid w:val="00A67363"/>
    <w:rsid w:val="00A77B5E"/>
    <w:rsid w:val="00A871AB"/>
    <w:rsid w:val="00AA3374"/>
    <w:rsid w:val="00AB3F67"/>
    <w:rsid w:val="00AC375F"/>
    <w:rsid w:val="00AC4FD8"/>
    <w:rsid w:val="00AD208F"/>
    <w:rsid w:val="00AE3E88"/>
    <w:rsid w:val="00AF2CE3"/>
    <w:rsid w:val="00B01160"/>
    <w:rsid w:val="00B067EE"/>
    <w:rsid w:val="00B071F3"/>
    <w:rsid w:val="00B27669"/>
    <w:rsid w:val="00B320CF"/>
    <w:rsid w:val="00B341E5"/>
    <w:rsid w:val="00B34FC5"/>
    <w:rsid w:val="00B5742D"/>
    <w:rsid w:val="00B70BF4"/>
    <w:rsid w:val="00B71C6D"/>
    <w:rsid w:val="00B76EA9"/>
    <w:rsid w:val="00B800D9"/>
    <w:rsid w:val="00B8196B"/>
    <w:rsid w:val="00B918E6"/>
    <w:rsid w:val="00B9235C"/>
    <w:rsid w:val="00B9684A"/>
    <w:rsid w:val="00BA1E77"/>
    <w:rsid w:val="00BB1F68"/>
    <w:rsid w:val="00BD0CAF"/>
    <w:rsid w:val="00BE18C2"/>
    <w:rsid w:val="00BE20F0"/>
    <w:rsid w:val="00BE4641"/>
    <w:rsid w:val="00BE4D2F"/>
    <w:rsid w:val="00BF2F8C"/>
    <w:rsid w:val="00BF6E44"/>
    <w:rsid w:val="00C06114"/>
    <w:rsid w:val="00C14B94"/>
    <w:rsid w:val="00C15D9E"/>
    <w:rsid w:val="00C21E8B"/>
    <w:rsid w:val="00C2219D"/>
    <w:rsid w:val="00C22429"/>
    <w:rsid w:val="00C40D70"/>
    <w:rsid w:val="00C444AB"/>
    <w:rsid w:val="00C50E10"/>
    <w:rsid w:val="00C57DD1"/>
    <w:rsid w:val="00C83D2D"/>
    <w:rsid w:val="00CA2606"/>
    <w:rsid w:val="00CA61EE"/>
    <w:rsid w:val="00CB486C"/>
    <w:rsid w:val="00CB5D90"/>
    <w:rsid w:val="00CD20B2"/>
    <w:rsid w:val="00CD7B9A"/>
    <w:rsid w:val="00CF002F"/>
    <w:rsid w:val="00CF01D9"/>
    <w:rsid w:val="00CF4FD8"/>
    <w:rsid w:val="00D007C3"/>
    <w:rsid w:val="00D02715"/>
    <w:rsid w:val="00D03741"/>
    <w:rsid w:val="00D165E1"/>
    <w:rsid w:val="00D217E7"/>
    <w:rsid w:val="00D311F1"/>
    <w:rsid w:val="00D33E03"/>
    <w:rsid w:val="00D41F6A"/>
    <w:rsid w:val="00D43202"/>
    <w:rsid w:val="00D47947"/>
    <w:rsid w:val="00D500CA"/>
    <w:rsid w:val="00D520E9"/>
    <w:rsid w:val="00D6337E"/>
    <w:rsid w:val="00D7041D"/>
    <w:rsid w:val="00D72C94"/>
    <w:rsid w:val="00D77807"/>
    <w:rsid w:val="00D8127C"/>
    <w:rsid w:val="00D86DA0"/>
    <w:rsid w:val="00D91621"/>
    <w:rsid w:val="00DA46BB"/>
    <w:rsid w:val="00DB2A82"/>
    <w:rsid w:val="00DE2007"/>
    <w:rsid w:val="00DE3C17"/>
    <w:rsid w:val="00DF0DBA"/>
    <w:rsid w:val="00DF1687"/>
    <w:rsid w:val="00E005EB"/>
    <w:rsid w:val="00E22597"/>
    <w:rsid w:val="00E34DB0"/>
    <w:rsid w:val="00E40285"/>
    <w:rsid w:val="00E44A7F"/>
    <w:rsid w:val="00E51724"/>
    <w:rsid w:val="00E54148"/>
    <w:rsid w:val="00E663C0"/>
    <w:rsid w:val="00E75D2E"/>
    <w:rsid w:val="00E81654"/>
    <w:rsid w:val="00E971FC"/>
    <w:rsid w:val="00EB25AD"/>
    <w:rsid w:val="00EB6798"/>
    <w:rsid w:val="00EC15F5"/>
    <w:rsid w:val="00EC291C"/>
    <w:rsid w:val="00EC76AC"/>
    <w:rsid w:val="00ED28FC"/>
    <w:rsid w:val="00EE33DE"/>
    <w:rsid w:val="00EF4405"/>
    <w:rsid w:val="00EF4521"/>
    <w:rsid w:val="00F00A64"/>
    <w:rsid w:val="00F12786"/>
    <w:rsid w:val="00F16E5A"/>
    <w:rsid w:val="00F27BA6"/>
    <w:rsid w:val="00F41404"/>
    <w:rsid w:val="00F526E5"/>
    <w:rsid w:val="00F536D2"/>
    <w:rsid w:val="00F7700B"/>
    <w:rsid w:val="00F9036E"/>
    <w:rsid w:val="00F94D86"/>
    <w:rsid w:val="00F95A50"/>
    <w:rsid w:val="00FA6CA3"/>
    <w:rsid w:val="00FA74F3"/>
    <w:rsid w:val="00FB0BD4"/>
    <w:rsid w:val="00FB4E5C"/>
    <w:rsid w:val="00FC7922"/>
    <w:rsid w:val="00FF5650"/>
    <w:rsid w:val="071E985C"/>
    <w:rsid w:val="0E628029"/>
    <w:rsid w:val="23EBD152"/>
    <w:rsid w:val="3D6A9F09"/>
    <w:rsid w:val="41C364E7"/>
    <w:rsid w:val="6C2B3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6924"/>
  <w15:chartTrackingRefBased/>
  <w15:docId w15:val="{C331E54B-3299-4FCB-87A7-9D9AA398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457724">
      <w:bodyDiv w:val="1"/>
      <w:marLeft w:val="0"/>
      <w:marRight w:val="0"/>
      <w:marTop w:val="0"/>
      <w:marBottom w:val="0"/>
      <w:divBdr>
        <w:top w:val="none" w:sz="0" w:space="0" w:color="auto"/>
        <w:left w:val="none" w:sz="0" w:space="0" w:color="auto"/>
        <w:bottom w:val="none" w:sz="0" w:space="0" w:color="auto"/>
        <w:right w:val="none" w:sz="0" w:space="0" w:color="auto"/>
      </w:divBdr>
    </w:div>
    <w:div w:id="332683293">
      <w:bodyDiv w:val="1"/>
      <w:marLeft w:val="0"/>
      <w:marRight w:val="0"/>
      <w:marTop w:val="0"/>
      <w:marBottom w:val="0"/>
      <w:divBdr>
        <w:top w:val="none" w:sz="0" w:space="0" w:color="auto"/>
        <w:left w:val="none" w:sz="0" w:space="0" w:color="auto"/>
        <w:bottom w:val="none" w:sz="0" w:space="0" w:color="auto"/>
        <w:right w:val="none" w:sz="0" w:space="0" w:color="auto"/>
      </w:divBdr>
    </w:div>
    <w:div w:id="542911270">
      <w:bodyDiv w:val="1"/>
      <w:marLeft w:val="0"/>
      <w:marRight w:val="0"/>
      <w:marTop w:val="0"/>
      <w:marBottom w:val="0"/>
      <w:divBdr>
        <w:top w:val="none" w:sz="0" w:space="0" w:color="auto"/>
        <w:left w:val="none" w:sz="0" w:space="0" w:color="auto"/>
        <w:bottom w:val="none" w:sz="0" w:space="0" w:color="auto"/>
        <w:right w:val="none" w:sz="0" w:space="0" w:color="auto"/>
      </w:divBdr>
    </w:div>
    <w:div w:id="553081986">
      <w:bodyDiv w:val="1"/>
      <w:marLeft w:val="0"/>
      <w:marRight w:val="0"/>
      <w:marTop w:val="0"/>
      <w:marBottom w:val="0"/>
      <w:divBdr>
        <w:top w:val="none" w:sz="0" w:space="0" w:color="auto"/>
        <w:left w:val="none" w:sz="0" w:space="0" w:color="auto"/>
        <w:bottom w:val="none" w:sz="0" w:space="0" w:color="auto"/>
        <w:right w:val="none" w:sz="0" w:space="0" w:color="auto"/>
      </w:divBdr>
    </w:div>
    <w:div w:id="712651657">
      <w:bodyDiv w:val="1"/>
      <w:marLeft w:val="0"/>
      <w:marRight w:val="0"/>
      <w:marTop w:val="0"/>
      <w:marBottom w:val="0"/>
      <w:divBdr>
        <w:top w:val="none" w:sz="0" w:space="0" w:color="auto"/>
        <w:left w:val="none" w:sz="0" w:space="0" w:color="auto"/>
        <w:bottom w:val="none" w:sz="0" w:space="0" w:color="auto"/>
        <w:right w:val="none" w:sz="0" w:space="0" w:color="auto"/>
      </w:divBdr>
    </w:div>
    <w:div w:id="731192482">
      <w:bodyDiv w:val="1"/>
      <w:marLeft w:val="0"/>
      <w:marRight w:val="0"/>
      <w:marTop w:val="0"/>
      <w:marBottom w:val="0"/>
      <w:divBdr>
        <w:top w:val="none" w:sz="0" w:space="0" w:color="auto"/>
        <w:left w:val="none" w:sz="0" w:space="0" w:color="auto"/>
        <w:bottom w:val="none" w:sz="0" w:space="0" w:color="auto"/>
        <w:right w:val="none" w:sz="0" w:space="0" w:color="auto"/>
      </w:divBdr>
      <w:divsChild>
        <w:div w:id="1897625953">
          <w:marLeft w:val="0"/>
          <w:marRight w:val="0"/>
          <w:marTop w:val="0"/>
          <w:marBottom w:val="0"/>
          <w:divBdr>
            <w:top w:val="none" w:sz="0" w:space="0" w:color="auto"/>
            <w:left w:val="none" w:sz="0" w:space="0" w:color="auto"/>
            <w:bottom w:val="none" w:sz="0" w:space="0" w:color="auto"/>
            <w:right w:val="none" w:sz="0" w:space="0" w:color="auto"/>
          </w:divBdr>
        </w:div>
      </w:divsChild>
    </w:div>
    <w:div w:id="863789667">
      <w:bodyDiv w:val="1"/>
      <w:marLeft w:val="0"/>
      <w:marRight w:val="0"/>
      <w:marTop w:val="0"/>
      <w:marBottom w:val="0"/>
      <w:divBdr>
        <w:top w:val="none" w:sz="0" w:space="0" w:color="auto"/>
        <w:left w:val="none" w:sz="0" w:space="0" w:color="auto"/>
        <w:bottom w:val="none" w:sz="0" w:space="0" w:color="auto"/>
        <w:right w:val="none" w:sz="0" w:space="0" w:color="auto"/>
      </w:divBdr>
      <w:divsChild>
        <w:div w:id="239217902">
          <w:marLeft w:val="0"/>
          <w:marRight w:val="0"/>
          <w:marTop w:val="0"/>
          <w:marBottom w:val="0"/>
          <w:divBdr>
            <w:top w:val="none" w:sz="0" w:space="0" w:color="auto"/>
            <w:left w:val="none" w:sz="0" w:space="0" w:color="auto"/>
            <w:bottom w:val="none" w:sz="0" w:space="0" w:color="auto"/>
            <w:right w:val="none" w:sz="0" w:space="0" w:color="auto"/>
          </w:divBdr>
          <w:divsChild>
            <w:div w:id="1452551178">
              <w:marLeft w:val="0"/>
              <w:marRight w:val="0"/>
              <w:marTop w:val="0"/>
              <w:marBottom w:val="0"/>
              <w:divBdr>
                <w:top w:val="none" w:sz="0" w:space="0" w:color="auto"/>
                <w:left w:val="none" w:sz="0" w:space="0" w:color="auto"/>
                <w:bottom w:val="none" w:sz="0" w:space="0" w:color="auto"/>
                <w:right w:val="none" w:sz="0" w:space="0" w:color="auto"/>
              </w:divBdr>
              <w:divsChild>
                <w:div w:id="54593088">
                  <w:marLeft w:val="0"/>
                  <w:marRight w:val="0"/>
                  <w:marTop w:val="0"/>
                  <w:marBottom w:val="0"/>
                  <w:divBdr>
                    <w:top w:val="none" w:sz="0" w:space="0" w:color="auto"/>
                    <w:left w:val="none" w:sz="0" w:space="0" w:color="auto"/>
                    <w:bottom w:val="none" w:sz="0" w:space="0" w:color="auto"/>
                    <w:right w:val="none" w:sz="0" w:space="0" w:color="auto"/>
                  </w:divBdr>
                  <w:divsChild>
                    <w:div w:id="1340236020">
                      <w:marLeft w:val="0"/>
                      <w:marRight w:val="0"/>
                      <w:marTop w:val="0"/>
                      <w:marBottom w:val="0"/>
                      <w:divBdr>
                        <w:top w:val="none" w:sz="0" w:space="0" w:color="auto"/>
                        <w:left w:val="none" w:sz="0" w:space="0" w:color="auto"/>
                        <w:bottom w:val="none" w:sz="0" w:space="0" w:color="auto"/>
                        <w:right w:val="none" w:sz="0" w:space="0" w:color="auto"/>
                      </w:divBdr>
                      <w:divsChild>
                        <w:div w:id="159008541">
                          <w:marLeft w:val="0"/>
                          <w:marRight w:val="0"/>
                          <w:marTop w:val="240"/>
                          <w:marBottom w:val="120"/>
                          <w:divBdr>
                            <w:top w:val="none" w:sz="0" w:space="0" w:color="auto"/>
                            <w:left w:val="none" w:sz="0" w:space="0" w:color="auto"/>
                            <w:bottom w:val="none" w:sz="0" w:space="0" w:color="auto"/>
                            <w:right w:val="none" w:sz="0" w:space="0" w:color="auto"/>
                          </w:divBdr>
                          <w:divsChild>
                            <w:div w:id="1230843871">
                              <w:marLeft w:val="0"/>
                              <w:marRight w:val="0"/>
                              <w:marTop w:val="0"/>
                              <w:marBottom w:val="0"/>
                              <w:divBdr>
                                <w:top w:val="none" w:sz="0" w:space="0" w:color="auto"/>
                                <w:left w:val="none" w:sz="0" w:space="0" w:color="auto"/>
                                <w:bottom w:val="none" w:sz="0" w:space="0" w:color="auto"/>
                                <w:right w:val="none" w:sz="0" w:space="0" w:color="auto"/>
                              </w:divBdr>
                              <w:divsChild>
                                <w:div w:id="193658963">
                                  <w:marLeft w:val="0"/>
                                  <w:marRight w:val="0"/>
                                  <w:marTop w:val="0"/>
                                  <w:marBottom w:val="0"/>
                                  <w:divBdr>
                                    <w:top w:val="none" w:sz="0" w:space="0" w:color="auto"/>
                                    <w:left w:val="none" w:sz="0" w:space="0" w:color="auto"/>
                                    <w:bottom w:val="none" w:sz="0" w:space="0" w:color="auto"/>
                                    <w:right w:val="none" w:sz="0" w:space="0" w:color="auto"/>
                                  </w:divBdr>
                                </w:div>
                                <w:div w:id="210372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89918">
                      <w:marLeft w:val="0"/>
                      <w:marRight w:val="0"/>
                      <w:marTop w:val="0"/>
                      <w:marBottom w:val="0"/>
                      <w:divBdr>
                        <w:top w:val="none" w:sz="0" w:space="0" w:color="auto"/>
                        <w:left w:val="none" w:sz="0" w:space="0" w:color="auto"/>
                        <w:bottom w:val="none" w:sz="0" w:space="0" w:color="auto"/>
                        <w:right w:val="none" w:sz="0" w:space="0" w:color="auto"/>
                      </w:divBdr>
                      <w:divsChild>
                        <w:div w:id="410322476">
                          <w:marLeft w:val="0"/>
                          <w:marRight w:val="0"/>
                          <w:marTop w:val="0"/>
                          <w:marBottom w:val="0"/>
                          <w:divBdr>
                            <w:top w:val="none" w:sz="0" w:space="0" w:color="auto"/>
                            <w:left w:val="none" w:sz="0" w:space="0" w:color="auto"/>
                            <w:bottom w:val="none" w:sz="0" w:space="0" w:color="auto"/>
                            <w:right w:val="none" w:sz="0" w:space="0" w:color="auto"/>
                          </w:divBdr>
                          <w:divsChild>
                            <w:div w:id="1786148803">
                              <w:marLeft w:val="0"/>
                              <w:marRight w:val="0"/>
                              <w:marTop w:val="0"/>
                              <w:marBottom w:val="0"/>
                              <w:divBdr>
                                <w:top w:val="none" w:sz="0" w:space="0" w:color="auto"/>
                                <w:left w:val="none" w:sz="0" w:space="0" w:color="auto"/>
                                <w:bottom w:val="none" w:sz="0" w:space="0" w:color="auto"/>
                                <w:right w:val="none" w:sz="0" w:space="0" w:color="auto"/>
                              </w:divBdr>
                              <w:divsChild>
                                <w:div w:id="150111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511758">
      <w:bodyDiv w:val="1"/>
      <w:marLeft w:val="0"/>
      <w:marRight w:val="0"/>
      <w:marTop w:val="0"/>
      <w:marBottom w:val="0"/>
      <w:divBdr>
        <w:top w:val="none" w:sz="0" w:space="0" w:color="auto"/>
        <w:left w:val="none" w:sz="0" w:space="0" w:color="auto"/>
        <w:bottom w:val="none" w:sz="0" w:space="0" w:color="auto"/>
        <w:right w:val="none" w:sz="0" w:space="0" w:color="auto"/>
      </w:divBdr>
    </w:div>
    <w:div w:id="1022054650">
      <w:bodyDiv w:val="1"/>
      <w:marLeft w:val="0"/>
      <w:marRight w:val="0"/>
      <w:marTop w:val="0"/>
      <w:marBottom w:val="0"/>
      <w:divBdr>
        <w:top w:val="none" w:sz="0" w:space="0" w:color="auto"/>
        <w:left w:val="none" w:sz="0" w:space="0" w:color="auto"/>
        <w:bottom w:val="none" w:sz="0" w:space="0" w:color="auto"/>
        <w:right w:val="none" w:sz="0" w:space="0" w:color="auto"/>
      </w:divBdr>
      <w:divsChild>
        <w:div w:id="330840473">
          <w:marLeft w:val="0"/>
          <w:marRight w:val="0"/>
          <w:marTop w:val="0"/>
          <w:marBottom w:val="0"/>
          <w:divBdr>
            <w:top w:val="none" w:sz="0" w:space="0" w:color="auto"/>
            <w:left w:val="none" w:sz="0" w:space="0" w:color="auto"/>
            <w:bottom w:val="none" w:sz="0" w:space="0" w:color="auto"/>
            <w:right w:val="none" w:sz="0" w:space="0" w:color="auto"/>
          </w:divBdr>
        </w:div>
      </w:divsChild>
    </w:div>
    <w:div w:id="1082607175">
      <w:bodyDiv w:val="1"/>
      <w:marLeft w:val="0"/>
      <w:marRight w:val="0"/>
      <w:marTop w:val="0"/>
      <w:marBottom w:val="0"/>
      <w:divBdr>
        <w:top w:val="none" w:sz="0" w:space="0" w:color="auto"/>
        <w:left w:val="none" w:sz="0" w:space="0" w:color="auto"/>
        <w:bottom w:val="none" w:sz="0" w:space="0" w:color="auto"/>
        <w:right w:val="none" w:sz="0" w:space="0" w:color="auto"/>
      </w:divBdr>
    </w:div>
    <w:div w:id="1549533676">
      <w:bodyDiv w:val="1"/>
      <w:marLeft w:val="0"/>
      <w:marRight w:val="0"/>
      <w:marTop w:val="0"/>
      <w:marBottom w:val="0"/>
      <w:divBdr>
        <w:top w:val="none" w:sz="0" w:space="0" w:color="auto"/>
        <w:left w:val="none" w:sz="0" w:space="0" w:color="auto"/>
        <w:bottom w:val="none" w:sz="0" w:space="0" w:color="auto"/>
        <w:right w:val="none" w:sz="0" w:space="0" w:color="auto"/>
      </w:divBdr>
    </w:div>
    <w:div w:id="1711878874">
      <w:bodyDiv w:val="1"/>
      <w:marLeft w:val="0"/>
      <w:marRight w:val="0"/>
      <w:marTop w:val="0"/>
      <w:marBottom w:val="0"/>
      <w:divBdr>
        <w:top w:val="none" w:sz="0" w:space="0" w:color="auto"/>
        <w:left w:val="none" w:sz="0" w:space="0" w:color="auto"/>
        <w:bottom w:val="none" w:sz="0" w:space="0" w:color="auto"/>
        <w:right w:val="none" w:sz="0" w:space="0" w:color="auto"/>
      </w:divBdr>
    </w:div>
    <w:div w:id="2002612014">
      <w:bodyDiv w:val="1"/>
      <w:marLeft w:val="0"/>
      <w:marRight w:val="0"/>
      <w:marTop w:val="0"/>
      <w:marBottom w:val="0"/>
      <w:divBdr>
        <w:top w:val="none" w:sz="0" w:space="0" w:color="auto"/>
        <w:left w:val="none" w:sz="0" w:space="0" w:color="auto"/>
        <w:bottom w:val="none" w:sz="0" w:space="0" w:color="auto"/>
        <w:right w:val="none" w:sz="0" w:space="0" w:color="auto"/>
      </w:divBdr>
    </w:div>
    <w:div w:id="211478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3753</Words>
  <Characters>21396</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35</cp:revision>
  <dcterms:created xsi:type="dcterms:W3CDTF">2023-11-20T04:38:00Z</dcterms:created>
  <dcterms:modified xsi:type="dcterms:W3CDTF">2023-11-20T05:46:00Z</dcterms:modified>
</cp:coreProperties>
</file>