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6EFEE" w14:textId="77777777" w:rsidR="00196693" w:rsidRDefault="00196693" w:rsidP="00196693">
      <w:pPr>
        <w:pStyle w:val="NormalWeb"/>
        <w:spacing w:after="0"/>
        <w:ind w:left="-180" w:right="-334"/>
      </w:pPr>
      <w:r>
        <w:rPr>
          <w:noProof/>
          <w:lang w:eastAsia="en-GB"/>
        </w:rPr>
        <w:drawing>
          <wp:inline distT="0" distB="0" distL="0" distR="0" wp14:anchorId="0C5128BD" wp14:editId="20948AB1">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5A7F44A4" w14:textId="77777777" w:rsidR="00196693" w:rsidRDefault="00196693" w:rsidP="00196693">
      <w:pPr>
        <w:pStyle w:val="NormalWeb"/>
        <w:spacing w:after="0"/>
        <w:ind w:left="-180" w:right="-334"/>
      </w:pPr>
    </w:p>
    <w:p w14:paraId="5F7936D8" w14:textId="77777777" w:rsidR="00196693" w:rsidRDefault="00196693" w:rsidP="00196693">
      <w:pPr>
        <w:pStyle w:val="NormalWeb"/>
        <w:spacing w:after="0"/>
        <w:ind w:left="-180" w:right="-334"/>
      </w:pPr>
    </w:p>
    <w:p w14:paraId="4839F28E" w14:textId="77777777" w:rsidR="00196693" w:rsidRDefault="00196693" w:rsidP="00196693">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21B159D" w14:textId="77777777" w:rsidR="00196693" w:rsidRPr="00AC63A9" w:rsidRDefault="00196693" w:rsidP="00196693">
      <w:pPr>
        <w:pStyle w:val="NormalWeb"/>
        <w:spacing w:after="0"/>
        <w:ind w:left="-180" w:right="-334"/>
        <w:jc w:val="center"/>
        <w:rPr>
          <w:rFonts w:ascii="Arial" w:hAnsi="Arial" w:cs="Arial"/>
          <w:b/>
          <w:sz w:val="28"/>
          <w:szCs w:val="28"/>
          <w:lang w:val="en-US"/>
        </w:rPr>
      </w:pPr>
      <w:r>
        <w:rPr>
          <w:rFonts w:ascii="Arial" w:hAnsi="Arial" w:cs="Arial"/>
          <w:b/>
          <w:sz w:val="28"/>
          <w:szCs w:val="28"/>
          <w:lang w:val="cy-GB"/>
        </w:rPr>
        <w:t>A</w:t>
      </w:r>
      <w:r w:rsidRPr="00230F35">
        <w:rPr>
          <w:rFonts w:ascii="Arial" w:hAnsi="Arial" w:cs="Arial"/>
          <w:b/>
          <w:sz w:val="28"/>
          <w:szCs w:val="28"/>
          <w:lang w:val="cy-GB"/>
        </w:rPr>
        <w:t>ssignment coversheet &amp; feedback form</w:t>
      </w:r>
      <w:r>
        <w:rPr>
          <w:rFonts w:ascii="Arial" w:hAnsi="Arial" w:cs="Arial"/>
          <w:b/>
          <w:sz w:val="28"/>
          <w:szCs w:val="28"/>
          <w:lang w:val="cy-GB"/>
        </w:rPr>
        <w:br/>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96693" w:rsidRPr="00FC1005" w14:paraId="213B3FBD" w14:textId="77777777" w:rsidTr="004333C3">
        <w:trPr>
          <w:trHeight w:val="614"/>
        </w:trPr>
        <w:tc>
          <w:tcPr>
            <w:tcW w:w="8856" w:type="dxa"/>
            <w:gridSpan w:val="5"/>
          </w:tcPr>
          <w:p w14:paraId="141914AF" w14:textId="77777777" w:rsidR="00196693" w:rsidRPr="00AC63A9" w:rsidRDefault="00196693" w:rsidP="004333C3">
            <w:pPr>
              <w:pStyle w:val="NormalWeb"/>
              <w:spacing w:after="0"/>
              <w:ind w:right="34"/>
              <w:rPr>
                <w:rFonts w:ascii="Arial" w:hAnsi="Arial" w:cs="Arial"/>
                <w:sz w:val="22"/>
                <w:szCs w:val="22"/>
                <w:lang w:val="en-US"/>
              </w:rPr>
            </w:pPr>
            <w:r w:rsidRPr="00AC63A9">
              <w:rPr>
                <w:rFonts w:ascii="Arial" w:hAnsi="Arial" w:cs="Arial"/>
                <w:b/>
                <w:sz w:val="22"/>
                <w:szCs w:val="22"/>
                <w:lang w:val="en-US"/>
              </w:rPr>
              <w:t>For completion by the student</w:t>
            </w:r>
            <w:r w:rsidRPr="00AC63A9">
              <w:rPr>
                <w:rFonts w:ascii="Arial" w:hAnsi="Arial" w:cs="Arial"/>
                <w:sz w:val="22"/>
                <w:szCs w:val="22"/>
                <w:lang w:val="en-US"/>
              </w:rPr>
              <w:t>:</w:t>
            </w:r>
          </w:p>
        </w:tc>
      </w:tr>
      <w:tr w:rsidR="00196693" w:rsidRPr="00FC1005" w14:paraId="05AB5982" w14:textId="77777777" w:rsidTr="004333C3">
        <w:trPr>
          <w:trHeight w:val="718"/>
        </w:trPr>
        <w:tc>
          <w:tcPr>
            <w:tcW w:w="8856" w:type="dxa"/>
            <w:gridSpan w:val="5"/>
          </w:tcPr>
          <w:p w14:paraId="7908F80B" w14:textId="77777777" w:rsidR="00196693" w:rsidRPr="009D77E4" w:rsidRDefault="00196693" w:rsidP="004333C3">
            <w:pPr>
              <w:pStyle w:val="NormalWeb"/>
              <w:spacing w:after="0"/>
              <w:ind w:right="34"/>
              <w:rPr>
                <w:rFonts w:ascii="Arial" w:hAnsi="Arial" w:cs="Arial"/>
                <w:sz w:val="22"/>
                <w:szCs w:val="22"/>
                <w:lang w:val="en-US"/>
              </w:rPr>
            </w:pPr>
            <w:r w:rsidRPr="009D77E4">
              <w:rPr>
                <w:rFonts w:ascii="Arial" w:hAnsi="Arial" w:cs="Arial"/>
                <w:sz w:val="22"/>
                <w:szCs w:val="22"/>
                <w:lang w:val="en-US"/>
              </w:rPr>
              <w:t>Student Name: Ch</w:t>
            </w:r>
            <w:r>
              <w:rPr>
                <w:rFonts w:ascii="Arial" w:hAnsi="Arial" w:cs="Arial"/>
                <w:sz w:val="22"/>
                <w:szCs w:val="22"/>
                <w:lang w:val="en-US"/>
              </w:rPr>
              <w:t>eryl Abraham</w:t>
            </w:r>
          </w:p>
          <w:p w14:paraId="6820BBA6" w14:textId="77777777" w:rsidR="00196693" w:rsidRPr="009D77E4" w:rsidRDefault="00196693" w:rsidP="004333C3">
            <w:pPr>
              <w:pStyle w:val="NormalWeb"/>
              <w:spacing w:after="0"/>
              <w:ind w:right="34"/>
              <w:rPr>
                <w:rFonts w:ascii="Arial" w:hAnsi="Arial" w:cs="Arial"/>
                <w:sz w:val="22"/>
                <w:szCs w:val="22"/>
                <w:lang w:val="en-US"/>
              </w:rPr>
            </w:pPr>
          </w:p>
          <w:p w14:paraId="4ACBC0AC" w14:textId="77777777" w:rsidR="00196693" w:rsidRPr="009D77E4" w:rsidRDefault="00196693" w:rsidP="004333C3">
            <w:pPr>
              <w:pStyle w:val="NormalWeb"/>
              <w:spacing w:after="0"/>
              <w:ind w:right="34"/>
              <w:rPr>
                <w:rFonts w:ascii="Arial" w:hAnsi="Arial" w:cs="Arial"/>
                <w:sz w:val="22"/>
                <w:szCs w:val="22"/>
                <w:lang w:val="en-US"/>
              </w:rPr>
            </w:pPr>
            <w:r w:rsidRPr="009D77E4">
              <w:rPr>
                <w:rFonts w:ascii="Arial" w:hAnsi="Arial" w:cs="Arial"/>
                <w:sz w:val="22"/>
                <w:szCs w:val="22"/>
                <w:lang w:val="en-US"/>
              </w:rPr>
              <w:t xml:space="preserve">Student </w:t>
            </w:r>
            <w:r w:rsidRPr="009D77E4">
              <w:rPr>
                <w:rFonts w:ascii="Arial" w:hAnsi="Arial" w:cs="Arial"/>
                <w:b/>
                <w:bCs/>
                <w:sz w:val="22"/>
                <w:szCs w:val="22"/>
                <w:u w:val="single"/>
                <w:lang w:val="en-US"/>
              </w:rPr>
              <w:t>University</w:t>
            </w:r>
            <w:r w:rsidRPr="009D77E4">
              <w:rPr>
                <w:rFonts w:ascii="Arial" w:hAnsi="Arial" w:cs="Arial"/>
                <w:sz w:val="22"/>
                <w:szCs w:val="22"/>
                <w:u w:val="single"/>
                <w:lang w:val="en-US"/>
              </w:rPr>
              <w:t xml:space="preserve"> </w:t>
            </w:r>
            <w:r w:rsidRPr="009D77E4">
              <w:rPr>
                <w:rFonts w:ascii="Arial" w:hAnsi="Arial" w:cs="Arial"/>
                <w:sz w:val="22"/>
                <w:szCs w:val="22"/>
                <w:lang w:val="en-US"/>
              </w:rPr>
              <w:t xml:space="preserve">Email: </w:t>
            </w:r>
            <w:hyperlink r:id="rId9" w:history="1">
              <w:r w:rsidRPr="00350AC9">
                <w:rPr>
                  <w:rStyle w:val="Hyperlink"/>
                  <w:rFonts w:ascii="Arial" w:hAnsi="Arial" w:cs="Arial"/>
                  <w:sz w:val="22"/>
                  <w:szCs w:val="22"/>
                  <w:lang w:val="en-US"/>
                </w:rPr>
                <w:t>2510780@student.uwtsd.ac.uk</w:t>
              </w:r>
            </w:hyperlink>
          </w:p>
        </w:tc>
      </w:tr>
      <w:tr w:rsidR="00196693" w:rsidRPr="00230F35" w14:paraId="51ACF5F1" w14:textId="77777777" w:rsidTr="004333C3">
        <w:trPr>
          <w:trHeight w:val="849"/>
        </w:trPr>
        <w:tc>
          <w:tcPr>
            <w:tcW w:w="4788" w:type="dxa"/>
          </w:tcPr>
          <w:p w14:paraId="19958D98" w14:textId="51ABE02D" w:rsidR="00196693" w:rsidRPr="00E71C5E" w:rsidRDefault="00196693" w:rsidP="004333C3">
            <w:pPr>
              <w:pStyle w:val="NormalWeb"/>
              <w:spacing w:after="0"/>
              <w:ind w:right="34"/>
              <w:rPr>
                <w:rFonts w:ascii="Arial" w:hAnsi="Arial" w:cs="Arial"/>
                <w:sz w:val="22"/>
                <w:szCs w:val="22"/>
                <w:lang w:val="en-US"/>
              </w:rPr>
            </w:pPr>
            <w:r w:rsidRPr="00E71C5E">
              <w:rPr>
                <w:rFonts w:ascii="Arial" w:hAnsi="Arial" w:cs="Arial"/>
                <w:sz w:val="22"/>
                <w:szCs w:val="22"/>
                <w:lang w:val="en-US"/>
              </w:rPr>
              <w:t xml:space="preserve">Module code: </w:t>
            </w:r>
            <w:r w:rsidRPr="00D77AC6">
              <w:rPr>
                <w:b/>
                <w:bCs/>
                <w:sz w:val="22"/>
                <w:szCs w:val="22"/>
                <w:lang w:val="en-US"/>
              </w:rPr>
              <w:t>HPCA701</w:t>
            </w:r>
            <w:r>
              <w:rPr>
                <w:b/>
                <w:bCs/>
                <w:sz w:val="22"/>
                <w:szCs w:val="22"/>
                <w:lang w:val="en-US"/>
              </w:rPr>
              <w:t>6</w:t>
            </w:r>
          </w:p>
          <w:p w14:paraId="1965D0FE" w14:textId="77777777" w:rsidR="00196693" w:rsidRPr="00E71C5E" w:rsidRDefault="00196693" w:rsidP="004333C3">
            <w:pPr>
              <w:pStyle w:val="NormalWeb"/>
              <w:spacing w:after="0"/>
              <w:ind w:right="34"/>
              <w:rPr>
                <w:rFonts w:ascii="Arial" w:hAnsi="Arial" w:cs="Arial"/>
                <w:sz w:val="22"/>
                <w:szCs w:val="22"/>
                <w:lang w:val="en-US"/>
              </w:rPr>
            </w:pPr>
          </w:p>
          <w:p w14:paraId="720F72C4" w14:textId="437F3E39" w:rsidR="00196693" w:rsidRPr="00E71C5E" w:rsidRDefault="00196693" w:rsidP="004333C3">
            <w:pPr>
              <w:pStyle w:val="NormalWeb"/>
              <w:spacing w:after="0"/>
              <w:ind w:right="34"/>
              <w:rPr>
                <w:rFonts w:ascii="Arial" w:hAnsi="Arial" w:cs="Arial"/>
                <w:sz w:val="22"/>
                <w:szCs w:val="22"/>
                <w:lang w:val="en-US"/>
              </w:rPr>
            </w:pPr>
            <w:r w:rsidRPr="00E71C5E">
              <w:rPr>
                <w:rFonts w:ascii="Arial" w:hAnsi="Arial" w:cs="Arial"/>
                <w:sz w:val="22"/>
                <w:szCs w:val="22"/>
                <w:lang w:val="en-US"/>
              </w:rPr>
              <w:t xml:space="preserve">Module title: </w:t>
            </w:r>
            <w:r>
              <w:rPr>
                <w:b/>
                <w:bCs/>
                <w:sz w:val="22"/>
                <w:szCs w:val="22"/>
                <w:lang w:val="en-US"/>
              </w:rPr>
              <w:t>Research in Contemporary Cosmologies</w:t>
            </w:r>
          </w:p>
          <w:p w14:paraId="55B2C8E1" w14:textId="77777777" w:rsidR="00196693" w:rsidRPr="00E71C5E" w:rsidRDefault="00196693" w:rsidP="004333C3">
            <w:pPr>
              <w:pStyle w:val="NormalWeb"/>
              <w:spacing w:after="0"/>
              <w:ind w:right="34"/>
              <w:rPr>
                <w:rFonts w:ascii="Arial" w:hAnsi="Arial" w:cs="Arial"/>
                <w:sz w:val="22"/>
                <w:szCs w:val="22"/>
                <w:lang w:val="en-US"/>
              </w:rPr>
            </w:pPr>
          </w:p>
        </w:tc>
        <w:tc>
          <w:tcPr>
            <w:tcW w:w="2266" w:type="dxa"/>
            <w:gridSpan w:val="3"/>
          </w:tcPr>
          <w:p w14:paraId="46D14D5C" w14:textId="77777777" w:rsidR="00196693" w:rsidRDefault="00196693" w:rsidP="004333C3">
            <w:pPr>
              <w:pStyle w:val="NormalWeb"/>
              <w:spacing w:after="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6691924B" w14:textId="77777777" w:rsidR="00196693" w:rsidRPr="00230F35" w:rsidRDefault="00196693" w:rsidP="004333C3">
            <w:pPr>
              <w:pStyle w:val="NormalWeb"/>
              <w:spacing w:after="0"/>
              <w:ind w:right="34"/>
              <w:rPr>
                <w:rFonts w:ascii="Arial" w:hAnsi="Arial" w:cs="Arial"/>
                <w:sz w:val="22"/>
                <w:szCs w:val="22"/>
              </w:rPr>
            </w:pPr>
            <w:r>
              <w:rPr>
                <w:rFonts w:ascii="Arial" w:hAnsi="Arial" w:cs="Arial"/>
                <w:sz w:val="22"/>
                <w:szCs w:val="22"/>
              </w:rPr>
              <w:t>2510780</w:t>
            </w:r>
          </w:p>
        </w:tc>
        <w:tc>
          <w:tcPr>
            <w:tcW w:w="1802" w:type="dxa"/>
          </w:tcPr>
          <w:p w14:paraId="79A63935" w14:textId="77777777" w:rsidR="00196693" w:rsidRPr="00230F35" w:rsidRDefault="00196693" w:rsidP="004333C3">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78EDB105" w14:textId="77777777" w:rsidR="00196693" w:rsidRPr="00230F35" w:rsidRDefault="00196693" w:rsidP="004333C3">
            <w:pPr>
              <w:pStyle w:val="NormalWeb"/>
              <w:spacing w:after="0"/>
              <w:ind w:right="34"/>
              <w:rPr>
                <w:rFonts w:ascii="Arial" w:hAnsi="Arial" w:cs="Arial"/>
                <w:sz w:val="22"/>
                <w:szCs w:val="22"/>
              </w:rPr>
            </w:pPr>
          </w:p>
        </w:tc>
      </w:tr>
      <w:tr w:rsidR="00196693" w:rsidRPr="00AC63A9" w14:paraId="13C7E514" w14:textId="77777777" w:rsidTr="004333C3">
        <w:trPr>
          <w:trHeight w:val="1139"/>
        </w:trPr>
        <w:tc>
          <w:tcPr>
            <w:tcW w:w="8856" w:type="dxa"/>
            <w:gridSpan w:val="5"/>
          </w:tcPr>
          <w:p w14:paraId="7363F265" w14:textId="62E1528B" w:rsidR="00196693" w:rsidRPr="00196693" w:rsidRDefault="00196693" w:rsidP="00196693">
            <w:pPr>
              <w:jc w:val="both"/>
              <w:rPr>
                <w:rFonts w:ascii="Arial" w:hAnsi="Arial" w:cs="Arial"/>
                <w:b/>
                <w:lang w:val="en-US"/>
              </w:rPr>
            </w:pPr>
            <w:r w:rsidRPr="00AC63A9">
              <w:rPr>
                <w:rFonts w:ascii="Arial" w:hAnsi="Arial" w:cs="Arial"/>
                <w:lang w:val="en-US"/>
              </w:rPr>
              <w:t xml:space="preserve">Assignment title: </w:t>
            </w:r>
            <w:r w:rsidRPr="00631568">
              <w:rPr>
                <w:rFonts w:ascii="Arial" w:hAnsi="Arial" w:cs="Arial"/>
                <w:b/>
                <w:lang w:val="en-US"/>
              </w:rPr>
              <w:t>A Critical Comparison of two Secondary Sources</w:t>
            </w:r>
          </w:p>
          <w:p w14:paraId="5C56F058" w14:textId="77777777" w:rsidR="00196693" w:rsidRPr="00AC63A9" w:rsidRDefault="00196693" w:rsidP="004333C3">
            <w:pPr>
              <w:pStyle w:val="NormalWeb"/>
              <w:spacing w:after="0"/>
              <w:ind w:right="34"/>
              <w:rPr>
                <w:rFonts w:ascii="Arial" w:hAnsi="Arial" w:cs="Arial"/>
                <w:sz w:val="22"/>
                <w:szCs w:val="22"/>
                <w:lang w:val="en-US"/>
              </w:rPr>
            </w:pPr>
          </w:p>
          <w:p w14:paraId="0E4F504A" w14:textId="501307CA" w:rsidR="00196693" w:rsidRPr="00AC63A9" w:rsidRDefault="00196693" w:rsidP="004333C3">
            <w:pPr>
              <w:pStyle w:val="NormalWeb"/>
              <w:spacing w:after="0"/>
              <w:ind w:right="34"/>
              <w:rPr>
                <w:rFonts w:ascii="Arial" w:hAnsi="Arial" w:cs="Arial"/>
                <w:sz w:val="22"/>
                <w:szCs w:val="22"/>
                <w:lang w:val="en-US"/>
              </w:rPr>
            </w:pPr>
            <w:r w:rsidRPr="00AC63A9">
              <w:rPr>
                <w:rFonts w:ascii="Arial" w:hAnsi="Arial" w:cs="Arial"/>
                <w:sz w:val="22"/>
                <w:szCs w:val="22"/>
                <w:lang w:val="en-US"/>
              </w:rPr>
              <w:t xml:space="preserve">Assignment due date: </w:t>
            </w:r>
            <w:r>
              <w:rPr>
                <w:rFonts w:ascii="Arial" w:hAnsi="Arial" w:cs="Arial"/>
                <w:sz w:val="22"/>
                <w:szCs w:val="22"/>
                <w:lang w:val="en-US"/>
              </w:rPr>
              <w:t>17</w:t>
            </w:r>
            <w:r w:rsidRPr="00AC63A9">
              <w:rPr>
                <w:rFonts w:ascii="Arial" w:hAnsi="Arial" w:cs="Arial"/>
                <w:sz w:val="22"/>
                <w:szCs w:val="22"/>
                <w:lang w:val="en-US"/>
              </w:rPr>
              <w:t>/0</w:t>
            </w:r>
            <w:r>
              <w:rPr>
                <w:rFonts w:ascii="Arial" w:hAnsi="Arial" w:cs="Arial"/>
                <w:sz w:val="22"/>
                <w:szCs w:val="22"/>
                <w:lang w:val="en-US"/>
              </w:rPr>
              <w:t>3</w:t>
            </w:r>
            <w:r w:rsidRPr="00AC63A9">
              <w:rPr>
                <w:rFonts w:ascii="Arial" w:hAnsi="Arial" w:cs="Arial"/>
                <w:sz w:val="22"/>
                <w:szCs w:val="22"/>
                <w:lang w:val="en-US"/>
              </w:rPr>
              <w:t>/202</w:t>
            </w:r>
            <w:r>
              <w:rPr>
                <w:rFonts w:ascii="Arial" w:hAnsi="Arial" w:cs="Arial"/>
                <w:sz w:val="22"/>
                <w:szCs w:val="22"/>
                <w:lang w:val="en-US"/>
              </w:rPr>
              <w:t>6</w:t>
            </w:r>
          </w:p>
        </w:tc>
      </w:tr>
      <w:tr w:rsidR="00196693" w:rsidRPr="00FC1005" w14:paraId="39EE1179" w14:textId="77777777" w:rsidTr="004333C3">
        <w:trPr>
          <w:trHeight w:val="978"/>
        </w:trPr>
        <w:tc>
          <w:tcPr>
            <w:tcW w:w="8856" w:type="dxa"/>
            <w:gridSpan w:val="5"/>
            <w:tcBorders>
              <w:bottom w:val="single" w:sz="4" w:space="0" w:color="000000"/>
            </w:tcBorders>
          </w:tcPr>
          <w:p w14:paraId="76ABDA99" w14:textId="77777777" w:rsidR="00196693" w:rsidRPr="00AC63A9" w:rsidRDefault="00196693" w:rsidP="004333C3">
            <w:pPr>
              <w:rPr>
                <w:rFonts w:ascii="Arial" w:hAnsi="Arial" w:cs="Arial"/>
                <w:lang w:val="en-US"/>
              </w:rPr>
            </w:pPr>
            <w:r w:rsidRPr="00AC63A9">
              <w:rPr>
                <w:rFonts w:ascii="Arial" w:hAnsi="Arial" w:cs="Arial"/>
                <w:lang w:val="en-US"/>
              </w:rPr>
              <w:t>This assignment is for the       1</w:t>
            </w:r>
            <w:r w:rsidRPr="00AC63A9">
              <w:rPr>
                <w:rFonts w:ascii="Arial" w:hAnsi="Arial" w:cs="Arial"/>
                <w:vertAlign w:val="superscript"/>
                <w:lang w:val="en-US"/>
              </w:rPr>
              <w:t xml:space="preserve">st  </w:t>
            </w:r>
            <w:r w:rsidRPr="00230F35">
              <w:rPr>
                <w:rFonts w:ascii="Arial" w:hAnsi="Arial" w:cs="Arial"/>
              </w:rPr>
              <w:fldChar w:fldCharType="begin">
                <w:ffData>
                  <w:name w:val="Check14"/>
                  <w:enabled/>
                  <w:calcOnExit w:val="0"/>
                  <w:checkBox>
                    <w:sizeAuto/>
                    <w:default w:val="0"/>
                  </w:checkBox>
                </w:ffData>
              </w:fldChar>
            </w:r>
            <w:r w:rsidRPr="00AC63A9">
              <w:rPr>
                <w:rFonts w:ascii="Arial" w:hAnsi="Arial" w:cs="Arial"/>
                <w:lang w:val="en-US"/>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AC63A9">
              <w:rPr>
                <w:rFonts w:ascii="Arial" w:hAnsi="Arial" w:cs="Arial"/>
                <w:lang w:val="en-US"/>
              </w:rPr>
              <w:t xml:space="preserve"> 2</w:t>
            </w:r>
            <w:r w:rsidRPr="00AC63A9">
              <w:rPr>
                <w:rFonts w:ascii="Arial" w:hAnsi="Arial" w:cs="Arial"/>
                <w:vertAlign w:val="superscript"/>
                <w:lang w:val="en-US"/>
              </w:rPr>
              <w:t>nd</w:t>
            </w:r>
            <w:r w:rsidRPr="00AC63A9">
              <w:rPr>
                <w:rFonts w:ascii="Arial" w:hAnsi="Arial" w:cs="Arial"/>
                <w:lang w:val="en-US"/>
              </w:rPr>
              <w:t xml:space="preserve">   </w:t>
            </w:r>
            <w:r w:rsidRPr="00230F35">
              <w:rPr>
                <w:rFonts w:ascii="Arial" w:hAnsi="Arial" w:cs="Arial"/>
              </w:rPr>
              <w:fldChar w:fldCharType="begin">
                <w:ffData>
                  <w:name w:val="Check15"/>
                  <w:enabled/>
                  <w:calcOnExit w:val="0"/>
                  <w:checkBox>
                    <w:sizeAuto/>
                    <w:default w:val="0"/>
                  </w:checkBox>
                </w:ffData>
              </w:fldChar>
            </w:r>
            <w:r w:rsidRPr="00AC63A9">
              <w:rPr>
                <w:rFonts w:ascii="Arial" w:hAnsi="Arial" w:cs="Arial"/>
                <w:lang w:val="en-US"/>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AC63A9">
              <w:rPr>
                <w:rFonts w:ascii="Arial" w:hAnsi="Arial" w:cs="Arial"/>
                <w:lang w:val="en-US"/>
              </w:rPr>
              <w:t xml:space="preserve">    3</w:t>
            </w:r>
            <w:r w:rsidRPr="00AC63A9">
              <w:rPr>
                <w:rFonts w:ascii="Arial" w:hAnsi="Arial" w:cs="Arial"/>
                <w:vertAlign w:val="superscript"/>
                <w:lang w:val="en-US"/>
              </w:rPr>
              <w:t>rd</w:t>
            </w:r>
            <w:r w:rsidRPr="00AC63A9">
              <w:rPr>
                <w:rFonts w:ascii="Arial" w:hAnsi="Arial" w:cs="Arial"/>
                <w:lang w:val="en-US"/>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AC63A9">
              <w:rPr>
                <w:rFonts w:ascii="Arial" w:hAnsi="Arial" w:cs="Arial"/>
                <w:lang w:val="en-US"/>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AC63A9">
              <w:rPr>
                <w:rFonts w:ascii="Arial" w:hAnsi="Arial" w:cs="Arial"/>
                <w:lang w:val="en-US"/>
              </w:rPr>
              <w:t xml:space="preserve">      4</w:t>
            </w:r>
            <w:r w:rsidRPr="00AC63A9">
              <w:rPr>
                <w:rFonts w:ascii="Arial" w:hAnsi="Arial" w:cs="Arial"/>
                <w:vertAlign w:val="superscript"/>
                <w:lang w:val="en-US"/>
              </w:rPr>
              <w:t>th</w:t>
            </w:r>
            <w:r w:rsidRPr="00AC63A9">
              <w:rPr>
                <w:rFonts w:ascii="Arial" w:hAnsi="Arial" w:cs="Arial"/>
                <w:lang w:val="en-US"/>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AC63A9">
              <w:rPr>
                <w:rFonts w:ascii="Arial" w:hAnsi="Arial" w:cs="Arial"/>
                <w:lang w:val="en-US"/>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AC63A9">
              <w:rPr>
                <w:rFonts w:ascii="Arial" w:hAnsi="Arial" w:cs="Arial"/>
                <w:lang w:val="en-US"/>
              </w:rPr>
              <w:t xml:space="preserve">      5</w:t>
            </w:r>
            <w:r w:rsidRPr="00AC63A9">
              <w:rPr>
                <w:rFonts w:ascii="Arial" w:hAnsi="Arial" w:cs="Arial"/>
                <w:vertAlign w:val="superscript"/>
                <w:lang w:val="en-US"/>
              </w:rPr>
              <w:t>th</w:t>
            </w:r>
            <w:r w:rsidRPr="00AC63A9">
              <w:rPr>
                <w:rFonts w:ascii="Arial" w:hAnsi="Arial" w:cs="Arial"/>
                <w:lang w:val="en-US"/>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AC63A9">
              <w:rPr>
                <w:rFonts w:ascii="Arial" w:hAnsi="Arial" w:cs="Arial"/>
                <w:lang w:val="en-US"/>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AC63A9">
              <w:rPr>
                <w:rFonts w:ascii="Arial" w:hAnsi="Arial" w:cs="Arial"/>
                <w:lang w:val="en-US"/>
              </w:rPr>
              <w:t xml:space="preserve">      6</w:t>
            </w:r>
            <w:r w:rsidRPr="00AC63A9">
              <w:rPr>
                <w:rFonts w:ascii="Arial" w:hAnsi="Arial" w:cs="Arial"/>
                <w:vertAlign w:val="superscript"/>
                <w:lang w:val="en-US"/>
              </w:rPr>
              <w:t>th</w:t>
            </w:r>
            <w:r w:rsidRPr="00AC63A9">
              <w:rPr>
                <w:rFonts w:ascii="Arial" w:hAnsi="Arial" w:cs="Arial"/>
                <w:lang w:val="en-US"/>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AC63A9">
              <w:rPr>
                <w:rFonts w:ascii="Arial" w:hAnsi="Arial" w:cs="Arial"/>
                <w:lang w:val="en-US"/>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AC63A9">
              <w:rPr>
                <w:rFonts w:ascii="Arial" w:hAnsi="Arial" w:cs="Arial"/>
                <w:b/>
                <w:lang w:val="en-US"/>
              </w:rPr>
              <w:t xml:space="preserve">   </w:t>
            </w:r>
            <w:r w:rsidRPr="00AC63A9">
              <w:rPr>
                <w:rFonts w:ascii="Arial" w:hAnsi="Arial" w:cs="Arial"/>
                <w:lang w:val="en-US"/>
              </w:rPr>
              <w:t>module of the degree</w:t>
            </w:r>
          </w:p>
        </w:tc>
      </w:tr>
      <w:tr w:rsidR="00196693" w:rsidRPr="00230F35" w14:paraId="57F19212" w14:textId="77777777" w:rsidTr="004333C3">
        <w:trPr>
          <w:trHeight w:val="978"/>
        </w:trPr>
        <w:tc>
          <w:tcPr>
            <w:tcW w:w="8856" w:type="dxa"/>
            <w:gridSpan w:val="5"/>
            <w:shd w:val="clear" w:color="auto" w:fill="D9D9D9"/>
          </w:tcPr>
          <w:p w14:paraId="7D212C64" w14:textId="77777777" w:rsidR="00196693" w:rsidRPr="00AC63A9" w:rsidRDefault="00196693" w:rsidP="004333C3">
            <w:pPr>
              <w:pStyle w:val="NormalWeb"/>
              <w:spacing w:after="0"/>
              <w:ind w:right="34"/>
              <w:rPr>
                <w:rFonts w:ascii="Arial" w:hAnsi="Arial" w:cs="Arial"/>
                <w:sz w:val="22"/>
                <w:szCs w:val="22"/>
                <w:lang w:val="en-US"/>
              </w:rPr>
            </w:pPr>
            <w:r w:rsidRPr="00AC63A9">
              <w:rPr>
                <w:rFonts w:ascii="Arial" w:hAnsi="Arial" w:cs="Arial"/>
                <w:sz w:val="22"/>
                <w:szCs w:val="22"/>
                <w:lang w:val="en-US"/>
              </w:rPr>
              <w:t>Plagiarism declaration</w:t>
            </w:r>
          </w:p>
          <w:p w14:paraId="7CB0E592" w14:textId="77777777" w:rsidR="00196693" w:rsidRPr="00AC63A9" w:rsidRDefault="00196693" w:rsidP="004333C3">
            <w:pPr>
              <w:pStyle w:val="NormalWeb"/>
              <w:spacing w:after="0"/>
              <w:ind w:right="34"/>
              <w:rPr>
                <w:rFonts w:ascii="Arial" w:hAnsi="Arial" w:cs="Arial"/>
                <w:sz w:val="22"/>
                <w:szCs w:val="22"/>
                <w:lang w:val="en-US"/>
              </w:rPr>
            </w:pPr>
            <w:r w:rsidRPr="00AC63A9">
              <w:rPr>
                <w:rFonts w:ascii="Arial" w:hAnsi="Arial" w:cs="Arial"/>
                <w:sz w:val="22"/>
                <w:szCs w:val="22"/>
                <w:lang w:val="en-US"/>
              </w:rPr>
              <w:t>I confirm that this is my original work and that I have adhered to the University policy on plagiarism.</w:t>
            </w:r>
          </w:p>
          <w:p w14:paraId="29640BF3" w14:textId="77777777" w:rsidR="00196693" w:rsidRPr="00AC63A9" w:rsidRDefault="00196693" w:rsidP="004333C3">
            <w:pPr>
              <w:pStyle w:val="NormalWeb"/>
              <w:spacing w:after="0"/>
              <w:ind w:right="34"/>
              <w:rPr>
                <w:rFonts w:ascii="Arial" w:hAnsi="Arial" w:cs="Arial"/>
                <w:sz w:val="22"/>
                <w:szCs w:val="22"/>
                <w:lang w:val="en-US"/>
              </w:rPr>
            </w:pPr>
          </w:p>
          <w:p w14:paraId="7E2B3121" w14:textId="77777777" w:rsidR="00196693" w:rsidRPr="00AC63A9" w:rsidRDefault="00196693" w:rsidP="004333C3">
            <w:pPr>
              <w:pStyle w:val="NormalWeb"/>
              <w:spacing w:after="0"/>
              <w:ind w:right="34"/>
              <w:rPr>
                <w:rFonts w:ascii="Arial" w:hAnsi="Arial" w:cs="Arial"/>
                <w:sz w:val="22"/>
                <w:szCs w:val="22"/>
                <w:lang w:val="en-US"/>
              </w:rPr>
            </w:pPr>
            <w:r w:rsidRPr="00AC63A9">
              <w:rPr>
                <w:rFonts w:ascii="Arial" w:hAnsi="Arial" w:cs="Arial"/>
                <w:sz w:val="22"/>
                <w:szCs w:val="22"/>
                <w:lang w:val="en-US"/>
              </w:rPr>
              <w:t>Artificial Intelligence (AI) declaration</w:t>
            </w:r>
          </w:p>
          <w:p w14:paraId="5A08C69B" w14:textId="77777777" w:rsidR="00196693" w:rsidRPr="00AC63A9" w:rsidRDefault="00196693" w:rsidP="004333C3">
            <w:pPr>
              <w:pStyle w:val="NormalWeb"/>
              <w:spacing w:after="0"/>
              <w:ind w:right="34"/>
              <w:rPr>
                <w:rFonts w:ascii="Arial" w:hAnsi="Arial" w:cs="Arial"/>
                <w:color w:val="000000" w:themeColor="text1"/>
                <w:sz w:val="22"/>
                <w:szCs w:val="22"/>
                <w:lang w:val="en-US"/>
              </w:rPr>
            </w:pPr>
            <w:r w:rsidRPr="00AC63A9">
              <w:rPr>
                <w:rFonts w:ascii="Arial" w:hAnsi="Arial" w:cs="Arial"/>
                <w:sz w:val="22"/>
                <w:szCs w:val="22"/>
                <w:lang w:val="en-US"/>
              </w:rPr>
              <w:t xml:space="preserve">For this assessment, you can use Generative AI to check your own text/creation for grammatical and syntactical mistakes, </w:t>
            </w:r>
            <w:r w:rsidRPr="00AC63A9">
              <w:rPr>
                <w:rFonts w:ascii="Arial" w:hAnsi="Arial" w:cs="Arial"/>
                <w:color w:val="000000" w:themeColor="text1"/>
                <w:sz w:val="22"/>
                <w:szCs w:val="22"/>
                <w:lang w:val="en-US"/>
              </w:rPr>
              <w:t>including rephrasing of your own work within specific standards.*</w:t>
            </w:r>
          </w:p>
          <w:p w14:paraId="1DB81FD2" w14:textId="77777777" w:rsidR="00196693" w:rsidRPr="00AC63A9" w:rsidRDefault="00196693" w:rsidP="004333C3">
            <w:pPr>
              <w:pStyle w:val="NormalWeb"/>
              <w:spacing w:after="0"/>
              <w:ind w:right="34"/>
              <w:rPr>
                <w:rFonts w:ascii="Arial" w:hAnsi="Arial" w:cs="Arial"/>
                <w:color w:val="000000" w:themeColor="text1"/>
                <w:sz w:val="22"/>
                <w:szCs w:val="22"/>
                <w:lang w:val="en-US"/>
              </w:rPr>
            </w:pPr>
          </w:p>
          <w:p w14:paraId="3BA98A44" w14:textId="77777777" w:rsidR="00196693" w:rsidRPr="00AC63A9" w:rsidRDefault="00196693" w:rsidP="004333C3">
            <w:pPr>
              <w:pStyle w:val="NormalWeb"/>
              <w:spacing w:after="0"/>
              <w:ind w:right="34"/>
              <w:rPr>
                <w:rFonts w:ascii="Cambria" w:hAnsi="Cambria"/>
                <w:color w:val="000000" w:themeColor="text1"/>
                <w:sz w:val="22"/>
                <w:szCs w:val="22"/>
                <w:lang w:val="en-US"/>
              </w:rPr>
            </w:pPr>
            <w:r w:rsidRPr="00AC63A9">
              <w:rPr>
                <w:color w:val="000000" w:themeColor="text1"/>
                <w:sz w:val="22"/>
                <w:szCs w:val="22"/>
                <w:lang w:val="en-US"/>
              </w:rPr>
              <w:t>*</w:t>
            </w:r>
            <w:r w:rsidRPr="00AC63A9">
              <w:rPr>
                <w:rFonts w:ascii="Cambria" w:hAnsi="Cambria"/>
                <w:color w:val="000000" w:themeColor="text1"/>
                <w:sz w:val="22"/>
                <w:szCs w:val="22"/>
                <w:lang w:val="en-US"/>
              </w:rPr>
              <w:t xml:space="preserve">You should only rephrase sentences in which you have corrected </w:t>
            </w:r>
            <w:r w:rsidRPr="00AC63A9">
              <w:rPr>
                <w:rFonts w:ascii="Cambria" w:hAnsi="Cambria" w:cs="Arial"/>
                <w:sz w:val="22"/>
                <w:szCs w:val="22"/>
                <w:lang w:val="en-US"/>
              </w:rPr>
              <w:t>grammatical and syntactical mistakes.</w:t>
            </w:r>
          </w:p>
          <w:p w14:paraId="722A1769" w14:textId="77777777" w:rsidR="00196693" w:rsidRPr="00AC63A9" w:rsidRDefault="00196693" w:rsidP="004333C3">
            <w:pPr>
              <w:pStyle w:val="NormalWeb"/>
              <w:spacing w:after="0"/>
              <w:ind w:right="34"/>
              <w:rPr>
                <w:rFonts w:ascii="Arial" w:hAnsi="Arial" w:cs="Arial"/>
                <w:sz w:val="22"/>
                <w:szCs w:val="22"/>
                <w:lang w:val="en-US"/>
              </w:rPr>
            </w:pPr>
          </w:p>
          <w:p w14:paraId="53D106A3" w14:textId="77777777" w:rsidR="00196693" w:rsidRPr="00AC63A9" w:rsidRDefault="00196693" w:rsidP="004333C3">
            <w:pPr>
              <w:pStyle w:val="NormalWeb"/>
              <w:spacing w:after="0"/>
              <w:ind w:right="34"/>
              <w:rPr>
                <w:rFonts w:ascii="Arial" w:hAnsi="Arial" w:cs="Arial"/>
                <w:sz w:val="22"/>
                <w:szCs w:val="22"/>
                <w:lang w:val="en-US"/>
              </w:rPr>
            </w:pPr>
            <w:r w:rsidRPr="00AC63A9">
              <w:rPr>
                <w:rFonts w:ascii="Arial" w:hAnsi="Arial" w:cs="Arial"/>
                <w:sz w:val="22"/>
                <w:szCs w:val="22"/>
                <w:lang w:val="en-US"/>
              </w:rPr>
              <w:t xml:space="preserve">I confirm that I have not used any AI tools in the research and creation of this assignment, </w:t>
            </w:r>
            <w:r w:rsidRPr="00AC63A9">
              <w:rPr>
                <w:rFonts w:ascii="Arial" w:hAnsi="Arial" w:cs="Arial"/>
                <w:color w:val="000000" w:themeColor="text1"/>
                <w:sz w:val="22"/>
                <w:szCs w:val="22"/>
                <w:lang w:val="en-US"/>
              </w:rPr>
              <w:t>except as permitted above.</w:t>
            </w:r>
            <w:r w:rsidRPr="00AC63A9">
              <w:rPr>
                <w:rFonts w:ascii="Arial" w:hAnsi="Arial" w:cs="Arial"/>
                <w:color w:val="EE0000"/>
                <w:sz w:val="22"/>
                <w:szCs w:val="22"/>
                <w:lang w:val="en-US"/>
              </w:rPr>
              <w:t xml:space="preserve"> </w:t>
            </w:r>
            <w:r w:rsidRPr="00AC63A9">
              <w:rPr>
                <w:rFonts w:ascii="Arial" w:hAnsi="Arial" w:cs="Arial"/>
                <w:sz w:val="22"/>
                <w:szCs w:val="22"/>
                <w:lang w:val="en-US"/>
              </w:rPr>
              <w:t>I confirm that I have not presented any AI generated materials as my own work. I confirm I have copies of my drafts, notes, and other resources I used, which I may be asked to provide in evidence.</w:t>
            </w:r>
          </w:p>
          <w:p w14:paraId="14F87FD9" w14:textId="77777777" w:rsidR="00196693" w:rsidRPr="00AC63A9" w:rsidRDefault="00196693" w:rsidP="004333C3">
            <w:pPr>
              <w:pStyle w:val="NormalWeb"/>
              <w:spacing w:after="0"/>
              <w:ind w:right="34"/>
              <w:rPr>
                <w:rFonts w:ascii="Arial" w:hAnsi="Arial" w:cs="Arial"/>
                <w:sz w:val="22"/>
                <w:szCs w:val="22"/>
                <w:lang w:val="en-US"/>
              </w:rPr>
            </w:pPr>
          </w:p>
          <w:p w14:paraId="1C4D5923" w14:textId="77777777" w:rsidR="00196693" w:rsidRDefault="00196693" w:rsidP="004333C3">
            <w:pPr>
              <w:pStyle w:val="NormalWeb"/>
              <w:spacing w:after="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w:t>
            </w:r>
            <w:r w:rsidRPr="00531DA3">
              <w:rPr>
                <w:rFonts w:ascii="Arial" w:hAnsi="Arial" w:cs="Arial"/>
                <w:i/>
                <w:iCs/>
                <w:sz w:val="22"/>
                <w:szCs w:val="22"/>
              </w:rPr>
              <w:t>Cheryl Abraham.</w:t>
            </w:r>
          </w:p>
          <w:p w14:paraId="5E615B1F" w14:textId="77777777" w:rsidR="00196693" w:rsidRPr="00230F35" w:rsidRDefault="00196693" w:rsidP="004333C3">
            <w:pPr>
              <w:pStyle w:val="NormalWeb"/>
              <w:spacing w:after="0"/>
              <w:ind w:right="34"/>
              <w:rPr>
                <w:rFonts w:ascii="Arial" w:hAnsi="Arial" w:cs="Arial"/>
                <w:sz w:val="22"/>
                <w:szCs w:val="22"/>
              </w:rPr>
            </w:pPr>
          </w:p>
        </w:tc>
      </w:tr>
      <w:tr w:rsidR="00196693" w:rsidRPr="00FC1005" w14:paraId="70B6AABC" w14:textId="77777777" w:rsidTr="004333C3">
        <w:trPr>
          <w:trHeight w:val="3972"/>
        </w:trPr>
        <w:tc>
          <w:tcPr>
            <w:tcW w:w="8856" w:type="dxa"/>
            <w:gridSpan w:val="5"/>
          </w:tcPr>
          <w:p w14:paraId="697DA643" w14:textId="77777777" w:rsidR="00196693" w:rsidRPr="00AC63A9" w:rsidRDefault="00196693" w:rsidP="004333C3">
            <w:pPr>
              <w:rPr>
                <w:rFonts w:ascii="Arial" w:hAnsi="Arial"/>
                <w:lang w:val="en-US"/>
              </w:rPr>
            </w:pPr>
            <w:r w:rsidRPr="00AC63A9">
              <w:rPr>
                <w:rFonts w:ascii="Arial" w:hAnsi="Arial"/>
                <w:b/>
                <w:lang w:val="en-US"/>
              </w:rPr>
              <w:lastRenderedPageBreak/>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96693" w:rsidRPr="00AC63A9" w14:paraId="592F751D" w14:textId="77777777" w:rsidTr="004333C3">
              <w:tc>
                <w:tcPr>
                  <w:tcW w:w="6970" w:type="dxa"/>
                </w:tcPr>
                <w:p w14:paraId="14603D7F" w14:textId="77777777" w:rsidR="00196693" w:rsidRPr="00AC63A9" w:rsidRDefault="00196693" w:rsidP="004333C3">
                  <w:pPr>
                    <w:rPr>
                      <w:rFonts w:ascii="Arial" w:hAnsi="Arial"/>
                      <w:sz w:val="20"/>
                      <w:szCs w:val="20"/>
                      <w:lang w:val="en-US"/>
                    </w:rPr>
                  </w:pPr>
                </w:p>
                <w:p w14:paraId="4B23ECDB" w14:textId="77777777" w:rsidR="00196693" w:rsidRPr="00AC63A9" w:rsidRDefault="00196693" w:rsidP="004333C3">
                  <w:pPr>
                    <w:rPr>
                      <w:rFonts w:ascii="Arial" w:hAnsi="Arial"/>
                      <w:sz w:val="20"/>
                      <w:szCs w:val="20"/>
                      <w:lang w:val="en-US"/>
                    </w:rPr>
                  </w:pPr>
                  <w:r w:rsidRPr="00AC63A9">
                    <w:rPr>
                      <w:rFonts w:ascii="Arial" w:hAnsi="Arial"/>
                      <w:sz w:val="20"/>
                      <w:szCs w:val="20"/>
                      <w:lang w:val="en-US"/>
                    </w:rPr>
                    <w:t>1</w:t>
                  </w:r>
                  <w:r w:rsidRPr="00AC63A9">
                    <w:rPr>
                      <w:rFonts w:ascii="Arial" w:hAnsi="Arial"/>
                      <w:sz w:val="20"/>
                      <w:szCs w:val="20"/>
                      <w:vertAlign w:val="superscript"/>
                      <w:lang w:val="en-US"/>
                    </w:rPr>
                    <w:t>st</w:t>
                  </w:r>
                  <w:r w:rsidRPr="00AC63A9">
                    <w:rPr>
                      <w:rFonts w:ascii="Arial" w:hAnsi="Arial"/>
                      <w:sz w:val="20"/>
                      <w:szCs w:val="20"/>
                      <w:lang w:val="en-US"/>
                    </w:rPr>
                    <w:t xml:space="preserve"> Marker’s Provisional mark</w:t>
                  </w:r>
                </w:p>
              </w:tc>
              <w:tc>
                <w:tcPr>
                  <w:tcW w:w="1660" w:type="dxa"/>
                </w:tcPr>
                <w:p w14:paraId="3C425E7B" w14:textId="77777777" w:rsidR="00196693" w:rsidRPr="00AC63A9" w:rsidRDefault="00196693" w:rsidP="004333C3">
                  <w:pPr>
                    <w:rPr>
                      <w:rFonts w:ascii="Arial" w:hAnsi="Arial"/>
                      <w:sz w:val="20"/>
                      <w:szCs w:val="20"/>
                      <w:lang w:val="en-US"/>
                    </w:rPr>
                  </w:pPr>
                </w:p>
              </w:tc>
            </w:tr>
            <w:tr w:rsidR="00196693" w:rsidRPr="00FC1005" w14:paraId="708F7C91" w14:textId="77777777" w:rsidTr="004333C3">
              <w:tc>
                <w:tcPr>
                  <w:tcW w:w="6970" w:type="dxa"/>
                </w:tcPr>
                <w:p w14:paraId="0CACD0F9" w14:textId="77777777" w:rsidR="00196693" w:rsidRPr="00AC63A9" w:rsidRDefault="00196693" w:rsidP="004333C3">
                  <w:pPr>
                    <w:rPr>
                      <w:rFonts w:ascii="Arial" w:hAnsi="Arial"/>
                      <w:sz w:val="20"/>
                      <w:szCs w:val="20"/>
                      <w:lang w:val="en-US"/>
                    </w:rPr>
                  </w:pPr>
                </w:p>
                <w:p w14:paraId="5CD9A876" w14:textId="77777777" w:rsidR="00196693" w:rsidRPr="00AC63A9" w:rsidRDefault="00196693" w:rsidP="004333C3">
                  <w:pPr>
                    <w:rPr>
                      <w:rFonts w:ascii="Arial" w:hAnsi="Arial"/>
                      <w:sz w:val="20"/>
                      <w:szCs w:val="20"/>
                      <w:lang w:val="en-US"/>
                    </w:rPr>
                  </w:pPr>
                  <w:r w:rsidRPr="00AC63A9">
                    <w:rPr>
                      <w:rFonts w:ascii="Arial" w:hAnsi="Arial"/>
                      <w:sz w:val="20"/>
                      <w:szCs w:val="20"/>
                      <w:lang w:val="en-US"/>
                    </w:rPr>
                    <w:t>2</w:t>
                  </w:r>
                  <w:r w:rsidRPr="00AC63A9">
                    <w:rPr>
                      <w:rFonts w:ascii="Arial" w:hAnsi="Arial"/>
                      <w:sz w:val="20"/>
                      <w:szCs w:val="20"/>
                      <w:vertAlign w:val="superscript"/>
                      <w:lang w:val="en-US"/>
                    </w:rPr>
                    <w:t>nd</w:t>
                  </w:r>
                  <w:r w:rsidRPr="00AC63A9">
                    <w:rPr>
                      <w:rFonts w:ascii="Arial" w:hAnsi="Arial"/>
                      <w:sz w:val="20"/>
                      <w:szCs w:val="20"/>
                      <w:lang w:val="en-US"/>
                    </w:rPr>
                    <w:t xml:space="preserve"> Marker’s/Moderator’s provisional mark</w:t>
                  </w:r>
                </w:p>
              </w:tc>
              <w:tc>
                <w:tcPr>
                  <w:tcW w:w="1660" w:type="dxa"/>
                </w:tcPr>
                <w:p w14:paraId="2520A610" w14:textId="77777777" w:rsidR="00196693" w:rsidRPr="00AC63A9" w:rsidRDefault="00196693" w:rsidP="004333C3">
                  <w:pPr>
                    <w:rPr>
                      <w:rFonts w:ascii="Arial" w:hAnsi="Arial"/>
                      <w:sz w:val="20"/>
                      <w:szCs w:val="20"/>
                      <w:lang w:val="en-US"/>
                    </w:rPr>
                  </w:pPr>
                </w:p>
              </w:tc>
            </w:tr>
            <w:tr w:rsidR="00196693" w:rsidRPr="00FC1005" w14:paraId="6D3228D6" w14:textId="77777777" w:rsidTr="004333C3">
              <w:tc>
                <w:tcPr>
                  <w:tcW w:w="6970" w:type="dxa"/>
                </w:tcPr>
                <w:p w14:paraId="4BAAAED3" w14:textId="77777777" w:rsidR="00196693" w:rsidRPr="00AC63A9" w:rsidRDefault="00196693" w:rsidP="004333C3">
                  <w:pPr>
                    <w:rPr>
                      <w:rFonts w:ascii="Arial" w:hAnsi="Arial"/>
                      <w:sz w:val="20"/>
                      <w:szCs w:val="20"/>
                      <w:lang w:val="en-US"/>
                    </w:rPr>
                  </w:pPr>
                </w:p>
                <w:p w14:paraId="6E01C112" w14:textId="77777777" w:rsidR="00196693" w:rsidRPr="00AC63A9" w:rsidRDefault="00196693" w:rsidP="004333C3">
                  <w:pPr>
                    <w:rPr>
                      <w:rFonts w:ascii="Arial" w:hAnsi="Arial"/>
                      <w:sz w:val="20"/>
                      <w:szCs w:val="20"/>
                      <w:lang w:val="en-US"/>
                    </w:rPr>
                  </w:pPr>
                  <w:r w:rsidRPr="00AC63A9">
                    <w:rPr>
                      <w:rFonts w:ascii="Arial" w:hAnsi="Arial"/>
                      <w:sz w:val="20"/>
                      <w:szCs w:val="20"/>
                      <w:lang w:val="en-US"/>
                    </w:rPr>
                    <w:t>External Examiner’s mark (if relevant)</w:t>
                  </w:r>
                </w:p>
              </w:tc>
              <w:tc>
                <w:tcPr>
                  <w:tcW w:w="1660" w:type="dxa"/>
                </w:tcPr>
                <w:p w14:paraId="5458C95F" w14:textId="77777777" w:rsidR="00196693" w:rsidRPr="00AC63A9" w:rsidRDefault="00196693" w:rsidP="004333C3">
                  <w:pPr>
                    <w:rPr>
                      <w:rFonts w:ascii="Arial" w:hAnsi="Arial"/>
                      <w:sz w:val="20"/>
                      <w:szCs w:val="20"/>
                      <w:lang w:val="en-US"/>
                    </w:rPr>
                  </w:pPr>
                </w:p>
              </w:tc>
            </w:tr>
            <w:tr w:rsidR="00196693" w:rsidRPr="00FC1005" w14:paraId="20810AE4" w14:textId="77777777" w:rsidTr="004333C3">
              <w:tc>
                <w:tcPr>
                  <w:tcW w:w="6970" w:type="dxa"/>
                </w:tcPr>
                <w:p w14:paraId="38558617" w14:textId="77777777" w:rsidR="00196693" w:rsidRPr="00AC63A9" w:rsidRDefault="00196693" w:rsidP="004333C3">
                  <w:pPr>
                    <w:rPr>
                      <w:rFonts w:ascii="Arial" w:hAnsi="Arial"/>
                      <w:sz w:val="20"/>
                      <w:szCs w:val="20"/>
                      <w:lang w:val="en-US"/>
                    </w:rPr>
                  </w:pPr>
                </w:p>
                <w:p w14:paraId="4405ED02" w14:textId="77777777" w:rsidR="00196693" w:rsidRPr="00AC63A9" w:rsidRDefault="00196693" w:rsidP="004333C3">
                  <w:pPr>
                    <w:rPr>
                      <w:rFonts w:ascii="Arial" w:hAnsi="Arial"/>
                      <w:b/>
                      <w:sz w:val="20"/>
                      <w:szCs w:val="20"/>
                      <w:lang w:val="en-US"/>
                    </w:rPr>
                  </w:pPr>
                  <w:r w:rsidRPr="00AC63A9">
                    <w:rPr>
                      <w:rFonts w:ascii="Arial" w:hAnsi="Arial"/>
                      <w:b/>
                      <w:sz w:val="20"/>
                      <w:szCs w:val="20"/>
                      <w:lang w:val="en-US"/>
                    </w:rPr>
                    <w:t>Final Mark</w:t>
                  </w:r>
                </w:p>
                <w:p w14:paraId="32623899" w14:textId="77777777" w:rsidR="00196693" w:rsidRPr="00AC63A9" w:rsidRDefault="00196693" w:rsidP="004333C3">
                  <w:pPr>
                    <w:rPr>
                      <w:rFonts w:ascii="Arial" w:hAnsi="Arial"/>
                      <w:sz w:val="20"/>
                      <w:szCs w:val="20"/>
                      <w:lang w:val="en-US"/>
                    </w:rPr>
                  </w:pPr>
                </w:p>
              </w:tc>
              <w:tc>
                <w:tcPr>
                  <w:tcW w:w="1660" w:type="dxa"/>
                </w:tcPr>
                <w:p w14:paraId="7D221B5F" w14:textId="77777777" w:rsidR="00196693" w:rsidRPr="00AC63A9" w:rsidRDefault="00196693" w:rsidP="004333C3">
                  <w:pPr>
                    <w:rPr>
                      <w:rFonts w:ascii="Arial" w:hAnsi="Arial"/>
                      <w:sz w:val="20"/>
                      <w:szCs w:val="20"/>
                      <w:lang w:val="en-US"/>
                    </w:rPr>
                  </w:pPr>
                </w:p>
              </w:tc>
            </w:tr>
          </w:tbl>
          <w:p w14:paraId="118B9E94" w14:textId="77777777" w:rsidR="00196693" w:rsidRPr="00AC63A9" w:rsidRDefault="00196693" w:rsidP="004333C3">
            <w:pPr>
              <w:pStyle w:val="NormalWeb"/>
              <w:spacing w:after="0"/>
              <w:ind w:left="142" w:right="34"/>
              <w:rPr>
                <w:rFonts w:ascii="Arial" w:hAnsi="Arial" w:cs="Arial"/>
                <w:b/>
                <w:sz w:val="22"/>
                <w:szCs w:val="22"/>
                <w:lang w:val="en-US"/>
              </w:rPr>
            </w:pPr>
          </w:p>
          <w:p w14:paraId="344F4DC3" w14:textId="77777777" w:rsidR="00196693" w:rsidRPr="00AC63A9" w:rsidRDefault="00196693" w:rsidP="004333C3">
            <w:pPr>
              <w:pStyle w:val="NormalWeb"/>
              <w:spacing w:after="0"/>
              <w:ind w:left="142" w:right="34"/>
              <w:rPr>
                <w:rFonts w:ascii="Arial" w:hAnsi="Arial" w:cs="Arial"/>
                <w:sz w:val="22"/>
                <w:szCs w:val="22"/>
                <w:lang w:val="en-US"/>
              </w:rPr>
            </w:pPr>
            <w:r w:rsidRPr="00AC63A9">
              <w:rPr>
                <w:rFonts w:ascii="Arial" w:hAnsi="Arial" w:cs="Arial"/>
                <w:b/>
                <w:sz w:val="22"/>
                <w:szCs w:val="22"/>
                <w:lang w:val="en-US"/>
              </w:rPr>
              <w:t>NB.</w:t>
            </w:r>
            <w:r w:rsidRPr="00AC63A9">
              <w:rPr>
                <w:rFonts w:ascii="Arial" w:hAnsi="Arial" w:cs="Arial"/>
                <w:sz w:val="22"/>
                <w:szCs w:val="22"/>
                <w:lang w:val="en-US"/>
              </w:rPr>
              <w:t xml:space="preserve">  All marks are provisional until confirmed by the Final Examination Board.</w:t>
            </w:r>
          </w:p>
          <w:p w14:paraId="6166FBF1" w14:textId="77777777" w:rsidR="00196693" w:rsidRPr="00AC63A9" w:rsidRDefault="00196693" w:rsidP="004333C3">
            <w:pPr>
              <w:pStyle w:val="NormalWeb"/>
              <w:spacing w:after="0"/>
              <w:rPr>
                <w:rFonts w:ascii="Arial" w:hAnsi="Arial" w:cs="Arial"/>
                <w:b/>
                <w:sz w:val="22"/>
                <w:szCs w:val="22"/>
                <w:lang w:val="en-US"/>
              </w:rPr>
            </w:pPr>
          </w:p>
          <w:p w14:paraId="46DC3F0B" w14:textId="77777777" w:rsidR="00196693" w:rsidRPr="00AC63A9" w:rsidRDefault="00196693" w:rsidP="004333C3">
            <w:pPr>
              <w:pStyle w:val="NormalWeb"/>
              <w:spacing w:after="0"/>
              <w:rPr>
                <w:rFonts w:ascii="Arial" w:hAnsi="Arial" w:cs="Arial"/>
                <w:b/>
                <w:sz w:val="22"/>
                <w:szCs w:val="22"/>
                <w:lang w:val="en-US"/>
              </w:rPr>
            </w:pPr>
          </w:p>
          <w:p w14:paraId="0A6B5175" w14:textId="77777777" w:rsidR="00196693" w:rsidRPr="00AC63A9" w:rsidRDefault="00196693" w:rsidP="004333C3">
            <w:pPr>
              <w:pStyle w:val="NormalWeb"/>
              <w:spacing w:after="0"/>
              <w:rPr>
                <w:rFonts w:ascii="Arial" w:hAnsi="Arial" w:cs="Arial"/>
                <w:b/>
                <w:sz w:val="22"/>
                <w:szCs w:val="22"/>
                <w:lang w:val="en-US"/>
              </w:rPr>
            </w:pPr>
            <w:r w:rsidRPr="00AC63A9">
              <w:rPr>
                <w:rFonts w:ascii="Arial" w:hAnsi="Arial" w:cs="Arial"/>
                <w:b/>
                <w:sz w:val="22"/>
                <w:szCs w:val="22"/>
                <w:lang w:val="en-US"/>
              </w:rPr>
              <w:t>For completion by Marker 1 :</w:t>
            </w:r>
          </w:p>
          <w:p w14:paraId="52209B6B" w14:textId="77777777" w:rsidR="00196693" w:rsidRPr="00AC63A9" w:rsidRDefault="00196693" w:rsidP="004333C3">
            <w:pPr>
              <w:pStyle w:val="NormalWeb"/>
              <w:rPr>
                <w:rFonts w:ascii="Arial" w:hAnsi="Arial" w:cs="Arial"/>
                <w:sz w:val="22"/>
                <w:szCs w:val="22"/>
                <w:lang w:val="en-US"/>
              </w:rPr>
            </w:pPr>
            <w:r w:rsidRPr="00AC63A9">
              <w:rPr>
                <w:rFonts w:ascii="Arial" w:hAnsi="Arial" w:cs="Arial"/>
                <w:sz w:val="22"/>
                <w:szCs w:val="22"/>
                <w:lang w:val="en-US"/>
              </w:rPr>
              <w:t>Comments:</w:t>
            </w:r>
          </w:p>
          <w:p w14:paraId="47F72E43" w14:textId="77777777" w:rsidR="00196693" w:rsidRPr="00AC63A9" w:rsidRDefault="00196693" w:rsidP="004333C3">
            <w:pPr>
              <w:pStyle w:val="NormalWeb"/>
              <w:rPr>
                <w:rFonts w:ascii="Arial" w:hAnsi="Arial" w:cs="Arial"/>
                <w:sz w:val="22"/>
                <w:szCs w:val="22"/>
                <w:lang w:val="en-US"/>
              </w:rPr>
            </w:pPr>
          </w:p>
        </w:tc>
      </w:tr>
      <w:tr w:rsidR="00196693" w:rsidRPr="00230F35" w14:paraId="47004B2E" w14:textId="77777777" w:rsidTr="004333C3">
        <w:trPr>
          <w:trHeight w:val="492"/>
        </w:trPr>
        <w:tc>
          <w:tcPr>
            <w:tcW w:w="6768" w:type="dxa"/>
            <w:gridSpan w:val="3"/>
          </w:tcPr>
          <w:p w14:paraId="2AC0EBCE" w14:textId="77777777" w:rsidR="00196693" w:rsidRPr="00230F35" w:rsidRDefault="00196693" w:rsidP="004333C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622FAE7" w14:textId="77777777" w:rsidR="00196693" w:rsidRPr="00230F35" w:rsidRDefault="00196693" w:rsidP="004333C3">
            <w:pPr>
              <w:pStyle w:val="NormalWeb"/>
              <w:spacing w:after="0"/>
              <w:ind w:left="142" w:right="34"/>
              <w:rPr>
                <w:rFonts w:ascii="Arial" w:hAnsi="Arial" w:cs="Arial"/>
                <w:sz w:val="22"/>
                <w:szCs w:val="22"/>
              </w:rPr>
            </w:pPr>
            <w:r w:rsidRPr="00230F35">
              <w:rPr>
                <w:rFonts w:ascii="Arial" w:hAnsi="Arial" w:cs="Arial"/>
                <w:sz w:val="22"/>
                <w:szCs w:val="22"/>
              </w:rPr>
              <w:t>Date:</w:t>
            </w:r>
          </w:p>
        </w:tc>
      </w:tr>
      <w:tr w:rsidR="00196693" w:rsidRPr="002F467C" w14:paraId="299523EA" w14:textId="77777777" w:rsidTr="004333C3">
        <w:tc>
          <w:tcPr>
            <w:tcW w:w="8856" w:type="dxa"/>
            <w:gridSpan w:val="5"/>
          </w:tcPr>
          <w:p w14:paraId="715106B0" w14:textId="77777777" w:rsidR="00196693" w:rsidRPr="00AC63A9" w:rsidRDefault="00196693" w:rsidP="004333C3">
            <w:pPr>
              <w:pStyle w:val="NormalWeb"/>
              <w:spacing w:after="0"/>
              <w:ind w:right="-334"/>
              <w:rPr>
                <w:rFonts w:ascii="Arial" w:hAnsi="Arial" w:cs="Arial"/>
                <w:bCs/>
                <w:i/>
                <w:sz w:val="22"/>
                <w:szCs w:val="22"/>
                <w:lang w:val="en-US"/>
              </w:rPr>
            </w:pPr>
          </w:p>
          <w:p w14:paraId="4C7A8C1E" w14:textId="77777777" w:rsidR="00196693" w:rsidRPr="00AC63A9" w:rsidRDefault="00196693" w:rsidP="004333C3">
            <w:pPr>
              <w:pStyle w:val="NormalWeb"/>
              <w:spacing w:after="0"/>
              <w:ind w:right="-334"/>
              <w:rPr>
                <w:rFonts w:ascii="Arial" w:hAnsi="Arial" w:cs="Arial"/>
                <w:b/>
                <w:bCs/>
                <w:sz w:val="22"/>
                <w:szCs w:val="22"/>
                <w:lang w:val="en-US"/>
              </w:rPr>
            </w:pPr>
            <w:r w:rsidRPr="00AC63A9">
              <w:rPr>
                <w:rFonts w:ascii="Arial" w:hAnsi="Arial" w:cs="Arial"/>
                <w:b/>
                <w:bCs/>
                <w:sz w:val="22"/>
                <w:szCs w:val="22"/>
                <w:lang w:val="en-US"/>
              </w:rPr>
              <w:lastRenderedPageBreak/>
              <w:t>For completion by Marker 2/Moderator:</w:t>
            </w:r>
          </w:p>
          <w:p w14:paraId="145E303F" w14:textId="77777777" w:rsidR="00196693" w:rsidRPr="00AC63A9" w:rsidRDefault="00196693" w:rsidP="004333C3">
            <w:pPr>
              <w:pStyle w:val="NormalWeb"/>
              <w:spacing w:after="0"/>
              <w:ind w:right="-334"/>
              <w:rPr>
                <w:rFonts w:ascii="Arial" w:hAnsi="Arial" w:cs="Arial"/>
                <w:b/>
                <w:bCs/>
                <w:sz w:val="22"/>
                <w:szCs w:val="22"/>
                <w:lang w:val="en-US"/>
              </w:rPr>
            </w:pPr>
          </w:p>
          <w:p w14:paraId="7C6D9017" w14:textId="77777777" w:rsidR="00196693" w:rsidRPr="00230F35" w:rsidRDefault="00196693" w:rsidP="004333C3">
            <w:pPr>
              <w:pStyle w:val="NormalWeb"/>
              <w:spacing w:after="0"/>
              <w:ind w:right="-334"/>
              <w:rPr>
                <w:rFonts w:ascii="Arial" w:hAnsi="Arial" w:cs="Arial"/>
                <w:bCs/>
                <w:sz w:val="22"/>
                <w:szCs w:val="22"/>
              </w:rPr>
            </w:pPr>
            <w:r w:rsidRPr="00230F35">
              <w:rPr>
                <w:rFonts w:ascii="Arial" w:hAnsi="Arial" w:cs="Arial"/>
                <w:bCs/>
                <w:sz w:val="22"/>
                <w:szCs w:val="22"/>
              </w:rPr>
              <w:t>Comments:</w:t>
            </w:r>
          </w:p>
          <w:p w14:paraId="123DACD5" w14:textId="77777777" w:rsidR="00196693" w:rsidRPr="00230F35" w:rsidRDefault="00196693" w:rsidP="004333C3">
            <w:pPr>
              <w:pStyle w:val="NormalWeb"/>
              <w:spacing w:after="0"/>
              <w:ind w:right="-334"/>
              <w:rPr>
                <w:rFonts w:ascii="Arial" w:hAnsi="Arial" w:cs="Arial"/>
                <w:bCs/>
                <w:sz w:val="22"/>
                <w:szCs w:val="22"/>
              </w:rPr>
            </w:pPr>
          </w:p>
          <w:p w14:paraId="631C1F33" w14:textId="77777777" w:rsidR="00196693" w:rsidRPr="00230F35" w:rsidRDefault="00196693" w:rsidP="004333C3">
            <w:pPr>
              <w:pStyle w:val="NormalWeb"/>
              <w:spacing w:after="0"/>
              <w:ind w:right="-334"/>
              <w:rPr>
                <w:rFonts w:ascii="Arial" w:hAnsi="Arial" w:cs="Arial"/>
                <w:bCs/>
                <w:sz w:val="22"/>
                <w:szCs w:val="22"/>
              </w:rPr>
            </w:pPr>
          </w:p>
          <w:p w14:paraId="48E5CDBB" w14:textId="77777777" w:rsidR="00196693" w:rsidRPr="00230F35" w:rsidRDefault="00196693" w:rsidP="004333C3">
            <w:pPr>
              <w:pStyle w:val="NormalWeb"/>
              <w:spacing w:after="0"/>
              <w:ind w:right="-334"/>
              <w:rPr>
                <w:rFonts w:ascii="Arial" w:hAnsi="Arial" w:cs="Arial"/>
                <w:bCs/>
                <w:sz w:val="22"/>
                <w:szCs w:val="22"/>
              </w:rPr>
            </w:pPr>
          </w:p>
          <w:p w14:paraId="33124F7C" w14:textId="77777777" w:rsidR="00196693" w:rsidRPr="00230F35" w:rsidRDefault="00196693" w:rsidP="004333C3">
            <w:pPr>
              <w:pStyle w:val="NormalWeb"/>
              <w:spacing w:after="0"/>
              <w:ind w:right="-334"/>
              <w:rPr>
                <w:rFonts w:ascii="Arial" w:hAnsi="Arial" w:cs="Arial"/>
                <w:bCs/>
                <w:sz w:val="22"/>
                <w:szCs w:val="22"/>
              </w:rPr>
            </w:pPr>
          </w:p>
          <w:p w14:paraId="608005A3" w14:textId="77777777" w:rsidR="00196693" w:rsidRPr="00230F35" w:rsidRDefault="00196693" w:rsidP="004333C3">
            <w:pPr>
              <w:pStyle w:val="NormalWeb"/>
              <w:spacing w:after="0"/>
              <w:ind w:right="-334"/>
              <w:rPr>
                <w:rFonts w:ascii="Arial" w:hAnsi="Arial" w:cs="Arial"/>
                <w:bCs/>
                <w:sz w:val="22"/>
                <w:szCs w:val="22"/>
              </w:rPr>
            </w:pPr>
          </w:p>
          <w:p w14:paraId="2A6523E5" w14:textId="77777777" w:rsidR="00196693" w:rsidRPr="00230F35" w:rsidRDefault="00196693" w:rsidP="004333C3">
            <w:pPr>
              <w:pStyle w:val="NormalWeb"/>
              <w:spacing w:after="0"/>
              <w:ind w:right="-334"/>
              <w:rPr>
                <w:rFonts w:ascii="Arial" w:hAnsi="Arial" w:cs="Arial"/>
                <w:bCs/>
                <w:sz w:val="22"/>
                <w:szCs w:val="22"/>
              </w:rPr>
            </w:pPr>
          </w:p>
          <w:p w14:paraId="051ECE54" w14:textId="77777777" w:rsidR="00196693" w:rsidRPr="00230F35" w:rsidRDefault="00196693" w:rsidP="004333C3">
            <w:pPr>
              <w:pStyle w:val="NormalWeb"/>
              <w:spacing w:after="0"/>
              <w:ind w:right="-334"/>
              <w:rPr>
                <w:rFonts w:ascii="Arial" w:hAnsi="Arial" w:cs="Arial"/>
                <w:bCs/>
                <w:sz w:val="22"/>
                <w:szCs w:val="22"/>
              </w:rPr>
            </w:pPr>
          </w:p>
          <w:p w14:paraId="09DE2098" w14:textId="77777777" w:rsidR="00196693" w:rsidRPr="00230F35" w:rsidRDefault="00196693" w:rsidP="004333C3">
            <w:pPr>
              <w:pStyle w:val="NormalWeb"/>
              <w:spacing w:after="0"/>
              <w:ind w:right="-334"/>
              <w:rPr>
                <w:rFonts w:ascii="Arial" w:hAnsi="Arial" w:cs="Arial"/>
                <w:bCs/>
                <w:sz w:val="22"/>
                <w:szCs w:val="22"/>
              </w:rPr>
            </w:pPr>
          </w:p>
        </w:tc>
      </w:tr>
      <w:tr w:rsidR="00196693" w:rsidRPr="002F467C" w14:paraId="11525A05" w14:textId="77777777" w:rsidTr="004333C3">
        <w:trPr>
          <w:trHeight w:val="720"/>
        </w:trPr>
        <w:tc>
          <w:tcPr>
            <w:tcW w:w="5211" w:type="dxa"/>
            <w:gridSpan w:val="2"/>
          </w:tcPr>
          <w:p w14:paraId="598F806D" w14:textId="77777777" w:rsidR="00196693" w:rsidRPr="00230F35" w:rsidRDefault="00196693" w:rsidP="004333C3">
            <w:pPr>
              <w:pStyle w:val="NormalWeb"/>
              <w:spacing w:after="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713ECD2E" w14:textId="77777777" w:rsidR="00196693" w:rsidRPr="00230F35" w:rsidRDefault="00196693" w:rsidP="004333C3">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196693" w:rsidRPr="00FC1005" w14:paraId="2D43FB44" w14:textId="77777777" w:rsidTr="004333C3">
        <w:trPr>
          <w:trHeight w:val="720"/>
        </w:trPr>
        <w:tc>
          <w:tcPr>
            <w:tcW w:w="8856" w:type="dxa"/>
            <w:gridSpan w:val="5"/>
          </w:tcPr>
          <w:p w14:paraId="1F54327B" w14:textId="77777777" w:rsidR="00196693" w:rsidRPr="00AC63A9" w:rsidRDefault="00196693" w:rsidP="004333C3">
            <w:pPr>
              <w:rPr>
                <w:rFonts w:ascii="Arial" w:hAnsi="Arial" w:cs="Arial"/>
                <w:b/>
                <w:lang w:val="en-US"/>
              </w:rPr>
            </w:pPr>
            <w:r w:rsidRPr="00AC63A9">
              <w:rPr>
                <w:rFonts w:ascii="Arial" w:hAnsi="Arial" w:cs="Arial"/>
                <w:b/>
                <w:lang w:val="en-US"/>
              </w:rPr>
              <w:t>External Examiner’s comments (if relevant)</w:t>
            </w:r>
          </w:p>
          <w:p w14:paraId="7C216927" w14:textId="77777777" w:rsidR="00196693" w:rsidRPr="00AC63A9" w:rsidRDefault="00196693" w:rsidP="004333C3">
            <w:pPr>
              <w:pStyle w:val="NormalWeb"/>
              <w:spacing w:after="0"/>
              <w:ind w:right="-334"/>
              <w:rPr>
                <w:rFonts w:ascii="Arial" w:hAnsi="Arial" w:cs="Arial"/>
                <w:bCs/>
                <w:sz w:val="22"/>
                <w:szCs w:val="22"/>
                <w:lang w:val="en-US"/>
              </w:rPr>
            </w:pPr>
          </w:p>
          <w:p w14:paraId="28CC0085" w14:textId="77777777" w:rsidR="00196693" w:rsidRPr="00AC63A9" w:rsidRDefault="00196693" w:rsidP="004333C3">
            <w:pPr>
              <w:pStyle w:val="NormalWeb"/>
              <w:spacing w:after="0"/>
              <w:ind w:right="-334"/>
              <w:rPr>
                <w:rFonts w:ascii="Arial" w:hAnsi="Arial" w:cs="Arial"/>
                <w:bCs/>
                <w:sz w:val="22"/>
                <w:szCs w:val="22"/>
                <w:lang w:val="en-US"/>
              </w:rPr>
            </w:pPr>
          </w:p>
          <w:p w14:paraId="353CB1D4" w14:textId="77777777" w:rsidR="00196693" w:rsidRPr="00AC63A9" w:rsidRDefault="00196693" w:rsidP="004333C3">
            <w:pPr>
              <w:pStyle w:val="NormalWeb"/>
              <w:spacing w:after="0"/>
              <w:ind w:right="-334"/>
              <w:rPr>
                <w:rFonts w:ascii="Arial" w:hAnsi="Arial" w:cs="Arial"/>
                <w:bCs/>
                <w:sz w:val="22"/>
                <w:szCs w:val="22"/>
                <w:lang w:val="en-US"/>
              </w:rPr>
            </w:pPr>
          </w:p>
          <w:p w14:paraId="747EDEBD" w14:textId="77777777" w:rsidR="00196693" w:rsidRPr="00AC63A9" w:rsidRDefault="00196693" w:rsidP="004333C3">
            <w:pPr>
              <w:pStyle w:val="NormalWeb"/>
              <w:spacing w:after="0"/>
              <w:ind w:right="-334"/>
              <w:rPr>
                <w:rFonts w:ascii="Arial" w:hAnsi="Arial" w:cs="Arial"/>
                <w:bCs/>
                <w:sz w:val="22"/>
                <w:szCs w:val="22"/>
                <w:lang w:val="en-US"/>
              </w:rPr>
            </w:pPr>
          </w:p>
          <w:p w14:paraId="4233F8DD" w14:textId="77777777" w:rsidR="00196693" w:rsidRPr="00AC63A9" w:rsidRDefault="00196693" w:rsidP="004333C3">
            <w:pPr>
              <w:pStyle w:val="NormalWeb"/>
              <w:spacing w:after="0"/>
              <w:ind w:right="-334"/>
              <w:rPr>
                <w:rFonts w:ascii="Arial" w:hAnsi="Arial" w:cs="Arial"/>
                <w:bCs/>
                <w:sz w:val="22"/>
                <w:szCs w:val="22"/>
                <w:lang w:val="en-US"/>
              </w:rPr>
            </w:pPr>
          </w:p>
          <w:p w14:paraId="5EDF0808" w14:textId="77777777" w:rsidR="00196693" w:rsidRPr="00AC63A9" w:rsidRDefault="00196693" w:rsidP="004333C3">
            <w:pPr>
              <w:pStyle w:val="NormalWeb"/>
              <w:spacing w:after="0"/>
              <w:ind w:right="-334"/>
              <w:rPr>
                <w:rFonts w:ascii="Arial" w:hAnsi="Arial" w:cs="Arial"/>
                <w:bCs/>
                <w:sz w:val="22"/>
                <w:szCs w:val="22"/>
                <w:lang w:val="en-US"/>
              </w:rPr>
            </w:pPr>
          </w:p>
        </w:tc>
      </w:tr>
      <w:tr w:rsidR="00196693" w:rsidRPr="002F467C" w14:paraId="1C127CF9" w14:textId="77777777" w:rsidTr="004333C3">
        <w:trPr>
          <w:trHeight w:val="720"/>
        </w:trPr>
        <w:tc>
          <w:tcPr>
            <w:tcW w:w="5211" w:type="dxa"/>
            <w:gridSpan w:val="2"/>
          </w:tcPr>
          <w:p w14:paraId="240B29CF" w14:textId="77777777" w:rsidR="00196693" w:rsidRPr="00230F35" w:rsidRDefault="00196693" w:rsidP="004333C3">
            <w:pPr>
              <w:rPr>
                <w:rFonts w:ascii="Arial" w:hAnsi="Arial" w:cs="Arial"/>
              </w:rPr>
            </w:pPr>
            <w:r w:rsidRPr="00230F35">
              <w:rPr>
                <w:rFonts w:ascii="Arial" w:hAnsi="Arial" w:cs="Arial"/>
              </w:rPr>
              <w:t>External Examiner’s Signature:</w:t>
            </w:r>
          </w:p>
        </w:tc>
        <w:tc>
          <w:tcPr>
            <w:tcW w:w="3645" w:type="dxa"/>
            <w:gridSpan w:val="3"/>
          </w:tcPr>
          <w:p w14:paraId="5B4FB653" w14:textId="77777777" w:rsidR="00196693" w:rsidRPr="00230F35" w:rsidRDefault="00196693" w:rsidP="004333C3">
            <w:pPr>
              <w:rPr>
                <w:rFonts w:ascii="Arial" w:hAnsi="Arial" w:cs="Arial"/>
              </w:rPr>
            </w:pPr>
            <w:r w:rsidRPr="00230F35">
              <w:rPr>
                <w:rFonts w:ascii="Arial" w:hAnsi="Arial" w:cs="Arial"/>
              </w:rPr>
              <w:t>Date:</w:t>
            </w:r>
          </w:p>
        </w:tc>
      </w:tr>
    </w:tbl>
    <w:p w14:paraId="79BC4776" w14:textId="77777777" w:rsidR="00196693" w:rsidRDefault="00196693" w:rsidP="00EC135C">
      <w:pPr>
        <w:jc w:val="both"/>
        <w:rPr>
          <w:rFonts w:ascii="Arial" w:hAnsi="Arial" w:cs="Arial"/>
          <w:b/>
        </w:rPr>
      </w:pPr>
    </w:p>
    <w:p w14:paraId="0EB63596" w14:textId="77777777" w:rsidR="00196693" w:rsidRDefault="00196693" w:rsidP="00EC135C">
      <w:pPr>
        <w:jc w:val="both"/>
        <w:rPr>
          <w:rFonts w:ascii="Arial" w:hAnsi="Arial" w:cs="Arial"/>
          <w:b/>
        </w:rPr>
      </w:pPr>
    </w:p>
    <w:p w14:paraId="4DCC46C6" w14:textId="77777777" w:rsidR="00196693" w:rsidRDefault="00196693" w:rsidP="00EC135C">
      <w:pPr>
        <w:jc w:val="both"/>
        <w:rPr>
          <w:rFonts w:ascii="Arial" w:hAnsi="Arial" w:cs="Arial"/>
          <w:b/>
        </w:rPr>
      </w:pPr>
    </w:p>
    <w:p w14:paraId="679CA78C" w14:textId="77777777" w:rsidR="00196693" w:rsidRDefault="00196693" w:rsidP="00EC135C">
      <w:pPr>
        <w:jc w:val="both"/>
        <w:rPr>
          <w:rFonts w:ascii="Arial" w:hAnsi="Arial" w:cs="Arial"/>
          <w:b/>
        </w:rPr>
      </w:pPr>
    </w:p>
    <w:p w14:paraId="1A5B57DA" w14:textId="77777777" w:rsidR="00196693" w:rsidRDefault="00196693" w:rsidP="00EC135C">
      <w:pPr>
        <w:jc w:val="both"/>
        <w:rPr>
          <w:rFonts w:ascii="Arial" w:hAnsi="Arial" w:cs="Arial"/>
          <w:b/>
        </w:rPr>
      </w:pPr>
    </w:p>
    <w:p w14:paraId="41EC7D1F" w14:textId="77777777" w:rsidR="00196693" w:rsidRDefault="00196693" w:rsidP="00EC135C">
      <w:pPr>
        <w:jc w:val="both"/>
        <w:rPr>
          <w:rFonts w:ascii="Arial" w:hAnsi="Arial" w:cs="Arial"/>
          <w:b/>
        </w:rPr>
      </w:pPr>
    </w:p>
    <w:p w14:paraId="2554551B" w14:textId="77777777" w:rsidR="00196693" w:rsidRDefault="00196693" w:rsidP="00EC135C">
      <w:pPr>
        <w:jc w:val="both"/>
        <w:rPr>
          <w:rFonts w:ascii="Arial" w:hAnsi="Arial" w:cs="Arial"/>
          <w:b/>
        </w:rPr>
      </w:pPr>
    </w:p>
    <w:p w14:paraId="6AEED1A3" w14:textId="77777777" w:rsidR="00196693" w:rsidRDefault="00196693" w:rsidP="00EC135C">
      <w:pPr>
        <w:jc w:val="both"/>
        <w:rPr>
          <w:rFonts w:ascii="Arial" w:hAnsi="Arial" w:cs="Arial"/>
          <w:b/>
        </w:rPr>
      </w:pPr>
    </w:p>
    <w:p w14:paraId="76781CC4" w14:textId="2F51A9E0" w:rsidR="00631568" w:rsidRPr="00EC135C" w:rsidRDefault="00631568" w:rsidP="00EC135C">
      <w:pPr>
        <w:jc w:val="both"/>
        <w:rPr>
          <w:rFonts w:ascii="Arial" w:hAnsi="Arial" w:cs="Arial"/>
          <w:b/>
          <w:lang w:val="en-US"/>
        </w:rPr>
      </w:pPr>
      <w:r w:rsidRPr="00631568">
        <w:rPr>
          <w:rFonts w:ascii="Arial" w:hAnsi="Arial" w:cs="Arial"/>
          <w:b/>
          <w:lang w:val="en-US"/>
        </w:rPr>
        <w:lastRenderedPageBreak/>
        <w:t>A Critical Comparison of two Secondary Sources</w:t>
      </w:r>
    </w:p>
    <w:p w14:paraId="48C6B630" w14:textId="5F879A76" w:rsidR="00D002F5" w:rsidRDefault="00D002F5">
      <w:pPr>
        <w:rPr>
          <w:lang w:val="en-US"/>
        </w:rPr>
      </w:pPr>
      <w:r>
        <w:rPr>
          <w:lang w:val="en-US"/>
        </w:rPr>
        <w:t>Cheryl Abraham</w:t>
      </w:r>
      <w:r w:rsidR="00EC135C">
        <w:rPr>
          <w:lang w:val="en-US"/>
        </w:rPr>
        <w:t>,</w:t>
      </w:r>
      <w:r>
        <w:rPr>
          <w:lang w:val="en-US"/>
        </w:rPr>
        <w:t xml:space="preserve"> 2</w:t>
      </w:r>
      <w:r w:rsidR="004E60EB">
        <w:rPr>
          <w:lang w:val="en-US"/>
        </w:rPr>
        <w:t>51</w:t>
      </w:r>
      <w:r>
        <w:rPr>
          <w:lang w:val="en-US"/>
        </w:rPr>
        <w:t>0780</w:t>
      </w:r>
      <w:r w:rsidR="00EC135C">
        <w:rPr>
          <w:lang w:val="en-US"/>
        </w:rPr>
        <w:t>.</w:t>
      </w:r>
    </w:p>
    <w:p w14:paraId="1A131AF8" w14:textId="1DAE6660" w:rsidR="00D51BB0" w:rsidRPr="005B4EB2" w:rsidRDefault="00D002F5">
      <w:pPr>
        <w:rPr>
          <w:lang w:val="en-US"/>
        </w:rPr>
      </w:pPr>
      <w:r>
        <w:rPr>
          <w:lang w:val="en-US"/>
        </w:rPr>
        <w:t xml:space="preserve">Word count: </w:t>
      </w:r>
      <w:r w:rsidR="00442FD2">
        <w:rPr>
          <w:lang w:val="en-US"/>
        </w:rPr>
        <w:t>24</w:t>
      </w:r>
      <w:r w:rsidR="00EC6BCD">
        <w:rPr>
          <w:lang w:val="en-US"/>
        </w:rPr>
        <w:t>5</w:t>
      </w:r>
      <w:r w:rsidR="00766721">
        <w:rPr>
          <w:lang w:val="en-US"/>
        </w:rPr>
        <w:t>4.</w:t>
      </w:r>
    </w:p>
    <w:p w14:paraId="67A995C4" w14:textId="69A92C3D" w:rsidR="00F5095F" w:rsidRPr="00F5095F" w:rsidRDefault="00F5095F">
      <w:pPr>
        <w:rPr>
          <w:b/>
          <w:bCs/>
          <w:lang w:val="en-US"/>
        </w:rPr>
      </w:pPr>
      <w:r w:rsidRPr="00F5095F">
        <w:rPr>
          <w:b/>
          <w:bCs/>
          <w:lang w:val="en-US"/>
        </w:rPr>
        <w:t>Introduction</w:t>
      </w:r>
    </w:p>
    <w:p w14:paraId="44D19CA9" w14:textId="162F9835" w:rsidR="001B145D" w:rsidRPr="00024328" w:rsidRDefault="00F0359C" w:rsidP="00F0359C">
      <w:pPr>
        <w:rPr>
          <w:lang w:val="en-US"/>
        </w:rPr>
      </w:pPr>
      <w:r>
        <w:rPr>
          <w:lang w:val="en-US"/>
        </w:rPr>
        <w:t xml:space="preserve">This essay compares </w:t>
      </w:r>
      <w:r w:rsidR="00D5526A">
        <w:rPr>
          <w:lang w:val="en-US"/>
        </w:rPr>
        <w:t xml:space="preserve">and contrasts </w:t>
      </w:r>
      <w:r w:rsidR="00B15E33">
        <w:rPr>
          <w:lang w:val="en-US"/>
        </w:rPr>
        <w:t xml:space="preserve">Tony </w:t>
      </w:r>
      <w:r w:rsidR="00A23707">
        <w:rPr>
          <w:lang w:val="en-US"/>
        </w:rPr>
        <w:t>Walter and</w:t>
      </w:r>
      <w:r w:rsidR="00B15E33">
        <w:rPr>
          <w:lang w:val="en-US"/>
        </w:rPr>
        <w:t xml:space="preserve"> Helen</w:t>
      </w:r>
      <w:r w:rsidR="00A23707">
        <w:rPr>
          <w:lang w:val="en-US"/>
        </w:rPr>
        <w:t xml:space="preserve"> Waterhouse</w:t>
      </w:r>
      <w:r w:rsidR="00263C86">
        <w:rPr>
          <w:lang w:val="en-US"/>
        </w:rPr>
        <w:t>’s article</w:t>
      </w:r>
      <w:r w:rsidR="00D2242C">
        <w:rPr>
          <w:lang w:val="en-US"/>
        </w:rPr>
        <w:t xml:space="preserve"> </w:t>
      </w:r>
      <w:r w:rsidR="00A51A47">
        <w:rPr>
          <w:lang w:val="en-US"/>
        </w:rPr>
        <w:t>‘</w:t>
      </w:r>
      <w:r w:rsidR="00D865DF">
        <w:rPr>
          <w:lang w:val="en-US"/>
        </w:rPr>
        <w:t>A Very Private Belief: Reincarnation in Contemporary England</w:t>
      </w:r>
      <w:r w:rsidR="00A51A47">
        <w:rPr>
          <w:lang w:val="en-US"/>
        </w:rPr>
        <w:t>’</w:t>
      </w:r>
      <w:r w:rsidR="002B27ED">
        <w:rPr>
          <w:lang w:val="en-US"/>
        </w:rPr>
        <w:t xml:space="preserve"> (1999)</w:t>
      </w:r>
      <w:r w:rsidR="00FF726B">
        <w:rPr>
          <w:lang w:val="en-US"/>
        </w:rPr>
        <w:t xml:space="preserve"> </w:t>
      </w:r>
      <w:r w:rsidR="00C753DD">
        <w:rPr>
          <w:lang w:val="en-US"/>
        </w:rPr>
        <w:t>with</w:t>
      </w:r>
      <w:r w:rsidR="00C46B77">
        <w:rPr>
          <w:lang w:val="en-US"/>
        </w:rPr>
        <w:t xml:space="preserve"> </w:t>
      </w:r>
      <w:r w:rsidR="00BB79AC">
        <w:rPr>
          <w:lang w:val="en-US"/>
        </w:rPr>
        <w:t>Gillian Bennet</w:t>
      </w:r>
      <w:r w:rsidR="00BB6DD2">
        <w:rPr>
          <w:lang w:val="en-US"/>
        </w:rPr>
        <w:t>t</w:t>
      </w:r>
      <w:r w:rsidR="00BB79AC">
        <w:rPr>
          <w:lang w:val="en-US"/>
        </w:rPr>
        <w:t xml:space="preserve">’s </w:t>
      </w:r>
      <w:r w:rsidR="00614095">
        <w:rPr>
          <w:lang w:val="en-US"/>
        </w:rPr>
        <w:t>(</w:t>
      </w:r>
      <w:r w:rsidR="00313376" w:rsidRPr="00313376">
        <w:rPr>
          <w:lang w:val="en-US"/>
        </w:rPr>
        <w:t>1939</w:t>
      </w:r>
      <w:r w:rsidR="00313376">
        <w:rPr>
          <w:lang w:val="en-US"/>
        </w:rPr>
        <w:t>–2</w:t>
      </w:r>
      <w:r w:rsidR="00313376" w:rsidRPr="00313376">
        <w:rPr>
          <w:lang w:val="en-US"/>
        </w:rPr>
        <w:t>023</w:t>
      </w:r>
      <w:r w:rsidR="00614095">
        <w:rPr>
          <w:lang w:val="en-US"/>
        </w:rPr>
        <w:t>)</w:t>
      </w:r>
      <w:r w:rsidR="00C46B77">
        <w:rPr>
          <w:lang w:val="en-US"/>
        </w:rPr>
        <w:t xml:space="preserve"> chapter</w:t>
      </w:r>
      <w:r w:rsidR="002D300C">
        <w:rPr>
          <w:lang w:val="en-US"/>
        </w:rPr>
        <w:t xml:space="preserve"> </w:t>
      </w:r>
      <w:r w:rsidR="000A0D2B">
        <w:rPr>
          <w:lang w:val="en-US"/>
        </w:rPr>
        <w:t>‘“</w:t>
      </w:r>
      <w:r w:rsidR="002B27ED" w:rsidRPr="000A0D2B">
        <w:rPr>
          <w:lang w:val="en-US"/>
        </w:rPr>
        <w:t xml:space="preserve">If I </w:t>
      </w:r>
      <w:r w:rsidR="00ED6E34">
        <w:rPr>
          <w:lang w:val="en-US"/>
        </w:rPr>
        <w:t>K</w:t>
      </w:r>
      <w:r w:rsidR="002B27ED" w:rsidRPr="000A0D2B">
        <w:rPr>
          <w:lang w:val="en-US"/>
        </w:rPr>
        <w:t xml:space="preserve">new You </w:t>
      </w:r>
      <w:r w:rsidR="00ED6E34">
        <w:rPr>
          <w:lang w:val="en-US"/>
        </w:rPr>
        <w:t>W</w:t>
      </w:r>
      <w:r w:rsidR="002B27ED" w:rsidRPr="000A0D2B">
        <w:rPr>
          <w:lang w:val="en-US"/>
        </w:rPr>
        <w:t xml:space="preserve">ere Coming, I’d </w:t>
      </w:r>
      <w:r w:rsidR="003B7EB2">
        <w:rPr>
          <w:lang w:val="en-US"/>
        </w:rPr>
        <w:t>H</w:t>
      </w:r>
      <w:r w:rsidR="002B27ED" w:rsidRPr="000A0D2B">
        <w:rPr>
          <w:lang w:val="en-US"/>
        </w:rPr>
        <w:t>ave Baked a Cake</w:t>
      </w:r>
      <w:r w:rsidR="001B145D" w:rsidRPr="000A0D2B">
        <w:rPr>
          <w:lang w:val="en-US"/>
        </w:rPr>
        <w:t>”</w:t>
      </w:r>
      <w:r w:rsidR="002B27ED" w:rsidRPr="000A0D2B">
        <w:rPr>
          <w:lang w:val="en-US"/>
        </w:rPr>
        <w:t>: The Folklore of Foreknowledge in a Neighbo</w:t>
      </w:r>
      <w:r w:rsidR="00D14B6F">
        <w:rPr>
          <w:lang w:val="en-US"/>
        </w:rPr>
        <w:t>u</w:t>
      </w:r>
      <w:r w:rsidR="002B27ED" w:rsidRPr="000A0D2B">
        <w:rPr>
          <w:lang w:val="en-US"/>
        </w:rPr>
        <w:t>rhood Group</w:t>
      </w:r>
      <w:r w:rsidR="00781ED4">
        <w:rPr>
          <w:lang w:val="en-US"/>
        </w:rPr>
        <w:t>’</w:t>
      </w:r>
      <w:r w:rsidR="002D300C" w:rsidRPr="000A0D2B">
        <w:rPr>
          <w:lang w:val="en-US"/>
        </w:rPr>
        <w:t xml:space="preserve"> </w:t>
      </w:r>
      <w:r w:rsidR="00EE043D" w:rsidRPr="000A0D2B">
        <w:rPr>
          <w:lang w:val="en-US"/>
        </w:rPr>
        <w:t>(</w:t>
      </w:r>
      <w:r w:rsidR="002D300C" w:rsidRPr="000A0D2B">
        <w:rPr>
          <w:lang w:val="en-US"/>
        </w:rPr>
        <w:t>199</w:t>
      </w:r>
      <w:r w:rsidR="00634578">
        <w:rPr>
          <w:lang w:val="en-US"/>
        </w:rPr>
        <w:t>5</w:t>
      </w:r>
      <w:r w:rsidR="00EE043D" w:rsidRPr="000A0D2B">
        <w:rPr>
          <w:lang w:val="en-US"/>
        </w:rPr>
        <w:t>)</w:t>
      </w:r>
      <w:r w:rsidR="002D300C" w:rsidRPr="000A0D2B">
        <w:rPr>
          <w:lang w:val="en-US"/>
        </w:rPr>
        <w:t>.</w:t>
      </w:r>
      <w:r w:rsidR="009B2EC5" w:rsidRPr="000A0D2B">
        <w:rPr>
          <w:rStyle w:val="FootnoteReference"/>
          <w:lang w:val="en-US"/>
        </w:rPr>
        <w:footnoteReference w:id="1"/>
      </w:r>
      <w:r w:rsidR="00D2242C">
        <w:rPr>
          <w:lang w:val="en-US"/>
        </w:rPr>
        <w:t xml:space="preserve"> </w:t>
      </w:r>
      <w:r w:rsidR="00024328" w:rsidRPr="00024328">
        <w:rPr>
          <w:lang w:val="en-US"/>
        </w:rPr>
        <w:t>The comparison focuses on their methodological approaches, their position on the insider</w:t>
      </w:r>
      <w:r w:rsidR="000D3063">
        <w:rPr>
          <w:lang w:val="en-US"/>
        </w:rPr>
        <w:t xml:space="preserve"> </w:t>
      </w:r>
      <w:r w:rsidR="00024328" w:rsidRPr="00024328">
        <w:rPr>
          <w:lang w:val="en-US"/>
        </w:rPr>
        <w:t>outsider continuum, and the way in which they relate their findings to existing academic literature, as well as the ethical implications of their research.</w:t>
      </w:r>
    </w:p>
    <w:p w14:paraId="4FB500B8" w14:textId="16AE21B7" w:rsidR="001B145D" w:rsidRPr="00A219BB" w:rsidRDefault="00F5368A" w:rsidP="00F0359C">
      <w:pPr>
        <w:rPr>
          <w:lang w:val="en-US"/>
        </w:rPr>
      </w:pPr>
      <w:r w:rsidRPr="00F5368A">
        <w:rPr>
          <w:lang w:val="en-US"/>
        </w:rPr>
        <w:t>Walter and Waterhouse explore the variety of meanings that the idea of reincarnation holds for people in England in the late twentieth century</w:t>
      </w:r>
      <w:r w:rsidR="00643D4F" w:rsidRPr="00643D4F">
        <w:rPr>
          <w:lang w:val="en-US"/>
        </w:rPr>
        <w:t>.</w:t>
      </w:r>
      <w:r w:rsidR="003D1109">
        <w:rPr>
          <w:rStyle w:val="FootnoteReference"/>
          <w:lang w:val="en-US"/>
        </w:rPr>
        <w:footnoteReference w:id="2"/>
      </w:r>
      <w:r w:rsidR="00406A79">
        <w:rPr>
          <w:lang w:val="en-US"/>
        </w:rPr>
        <w:t xml:space="preserve"> </w:t>
      </w:r>
      <w:r w:rsidR="000F71C6" w:rsidRPr="00671F53">
        <w:rPr>
          <w:lang w:val="en-US"/>
        </w:rPr>
        <w:t xml:space="preserve">They </w:t>
      </w:r>
      <w:r w:rsidR="000F71C6">
        <w:rPr>
          <w:lang w:val="en-US"/>
        </w:rPr>
        <w:t>place</w:t>
      </w:r>
      <w:r w:rsidR="000F71C6" w:rsidRPr="00671F53">
        <w:rPr>
          <w:lang w:val="en-US"/>
        </w:rPr>
        <w:t xml:space="preserve"> their analysis within debates on the privatization of religion</w:t>
      </w:r>
      <w:r w:rsidR="000F71C6">
        <w:rPr>
          <w:lang w:val="en-US"/>
        </w:rPr>
        <w:t>.</w:t>
      </w:r>
      <w:r w:rsidR="000F71C6">
        <w:rPr>
          <w:rStyle w:val="FootnoteReference"/>
          <w:lang w:val="en-US"/>
        </w:rPr>
        <w:footnoteReference w:id="3"/>
      </w:r>
      <w:r w:rsidR="000F71C6">
        <w:rPr>
          <w:lang w:val="en-US"/>
        </w:rPr>
        <w:t xml:space="preserve"> </w:t>
      </w:r>
      <w:r w:rsidR="00F36A65" w:rsidRPr="00F36A65">
        <w:rPr>
          <w:lang w:val="en-US"/>
        </w:rPr>
        <w:t xml:space="preserve">Walter, Professor of Death Studies at the University of Bath, has published extensively on topics relating to death, belief, and the afterlife, </w:t>
      </w:r>
      <w:r w:rsidR="006837F3">
        <w:rPr>
          <w:lang w:val="en-US"/>
        </w:rPr>
        <w:t>providing</w:t>
      </w:r>
      <w:r w:rsidR="00F36A65" w:rsidRPr="00F36A65">
        <w:rPr>
          <w:lang w:val="en-US"/>
        </w:rPr>
        <w:t xml:space="preserve"> a clear context for his interest in reincarnation</w:t>
      </w:r>
      <w:r w:rsidR="00BD0F5D">
        <w:rPr>
          <w:lang w:val="en-US"/>
        </w:rPr>
        <w:t>.</w:t>
      </w:r>
      <w:r w:rsidR="00F36A65">
        <w:rPr>
          <w:rStyle w:val="FootnoteReference"/>
          <w:lang w:val="en-US"/>
        </w:rPr>
        <w:footnoteReference w:id="4"/>
      </w:r>
      <w:r w:rsidR="003F286C">
        <w:rPr>
          <w:lang w:val="en-US"/>
        </w:rPr>
        <w:t xml:space="preserve"> </w:t>
      </w:r>
      <w:r w:rsidR="000923BE" w:rsidRPr="000923BE">
        <w:rPr>
          <w:lang w:val="en-US"/>
        </w:rPr>
        <w:t xml:space="preserve">Waterhouse, an independent researcher who completed doctoral research on Buddhism at the University of the West of England, Bristol, contributes expertise on religious belief and practice through her </w:t>
      </w:r>
      <w:r w:rsidR="00C715B3">
        <w:rPr>
          <w:lang w:val="en-US"/>
        </w:rPr>
        <w:t xml:space="preserve">religious studies background and </w:t>
      </w:r>
      <w:r w:rsidR="000923BE" w:rsidRPr="000923BE">
        <w:rPr>
          <w:lang w:val="en-US"/>
        </w:rPr>
        <w:t>research on Buddhist communities in Britain</w:t>
      </w:r>
      <w:r w:rsidR="002E4191">
        <w:rPr>
          <w:lang w:val="en-US"/>
        </w:rPr>
        <w:t>.</w:t>
      </w:r>
      <w:r w:rsidR="0078198A">
        <w:rPr>
          <w:rStyle w:val="FootnoteReference"/>
          <w:lang w:val="en-US"/>
        </w:rPr>
        <w:footnoteReference w:id="5"/>
      </w:r>
      <w:r w:rsidR="0078198A">
        <w:rPr>
          <w:lang w:val="en-US"/>
        </w:rPr>
        <w:t xml:space="preserve"> </w:t>
      </w:r>
      <w:r w:rsidR="002478DD">
        <w:rPr>
          <w:lang w:val="en-US"/>
        </w:rPr>
        <w:t>The article is published</w:t>
      </w:r>
      <w:r w:rsidR="00A219BB" w:rsidRPr="00A219BB">
        <w:rPr>
          <w:lang w:val="en-US"/>
        </w:rPr>
        <w:t xml:space="preserve"> in the academic journal </w:t>
      </w:r>
      <w:r w:rsidR="00A219BB" w:rsidRPr="00A219BB">
        <w:rPr>
          <w:i/>
          <w:iCs/>
          <w:lang w:val="en-US"/>
        </w:rPr>
        <w:t>Sociology of Religion</w:t>
      </w:r>
      <w:r w:rsidR="00A219BB" w:rsidRPr="00A219BB">
        <w:rPr>
          <w:lang w:val="en-US"/>
        </w:rPr>
        <w:t xml:space="preserve">, </w:t>
      </w:r>
      <w:r w:rsidR="002478DD">
        <w:rPr>
          <w:lang w:val="en-US"/>
        </w:rPr>
        <w:t>and is situated</w:t>
      </w:r>
      <w:r w:rsidR="00A219BB" w:rsidRPr="00A219BB">
        <w:rPr>
          <w:lang w:val="en-US"/>
        </w:rPr>
        <w:t xml:space="preserve"> within sociological research on religious belief.</w:t>
      </w:r>
    </w:p>
    <w:p w14:paraId="057B1B8B" w14:textId="7AC49CBB" w:rsidR="007A7208" w:rsidRDefault="00D36FDE" w:rsidP="007A7208">
      <w:pPr>
        <w:rPr>
          <w:bCs/>
          <w:lang w:val="en-US"/>
        </w:rPr>
      </w:pPr>
      <w:r w:rsidRPr="00D36FDE">
        <w:rPr>
          <w:bCs/>
          <w:lang w:val="en-US"/>
        </w:rPr>
        <w:t xml:space="preserve">Bennett’s chapter examines how </w:t>
      </w:r>
      <w:r w:rsidR="000A13A8" w:rsidRPr="000A13A8">
        <w:rPr>
          <w:lang w:val="en-US"/>
        </w:rPr>
        <w:t>foreknowledge</w:t>
      </w:r>
      <w:r w:rsidR="000A13A8" w:rsidRPr="000A13A8">
        <w:rPr>
          <w:bCs/>
          <w:lang w:val="en-US"/>
        </w:rPr>
        <w:t xml:space="preserve"> is understood and </w:t>
      </w:r>
      <w:r w:rsidR="000A13A8">
        <w:rPr>
          <w:bCs/>
          <w:lang w:val="en-US"/>
        </w:rPr>
        <w:t xml:space="preserve">shared </w:t>
      </w:r>
      <w:r w:rsidRPr="00D36FDE">
        <w:rPr>
          <w:bCs/>
          <w:lang w:val="en-US"/>
        </w:rPr>
        <w:t>among a group of elderly women and explores how their social circumstances and moral values shape the folklore they exchange</w:t>
      </w:r>
      <w:r w:rsidR="00B86F4C" w:rsidRPr="00971E1E">
        <w:rPr>
          <w:bCs/>
          <w:lang w:val="en-US"/>
        </w:rPr>
        <w:t>.</w:t>
      </w:r>
      <w:r w:rsidR="00971E1E">
        <w:rPr>
          <w:rStyle w:val="FootnoteReference"/>
          <w:bCs/>
          <w:lang w:val="en-US"/>
        </w:rPr>
        <w:footnoteReference w:id="6"/>
      </w:r>
      <w:r w:rsidR="00B86F4C" w:rsidRPr="00971E1E">
        <w:rPr>
          <w:bCs/>
          <w:lang w:val="en-GB"/>
        </w:rPr>
        <w:t xml:space="preserve"> </w:t>
      </w:r>
      <w:r w:rsidR="002342A7" w:rsidRPr="002342A7">
        <w:rPr>
          <w:bCs/>
          <w:lang w:val="en-US"/>
        </w:rPr>
        <w:t>Bennett was a folklorist whose research focused on contemporary legend and vernacular belief, and she was associated with the National Centre for English Cultural Tradition at the University of Sheffield</w:t>
      </w:r>
      <w:r w:rsidR="00874FD0">
        <w:rPr>
          <w:bCs/>
          <w:lang w:val="en-US"/>
        </w:rPr>
        <w:t>.</w:t>
      </w:r>
      <w:r w:rsidR="00874FD0">
        <w:rPr>
          <w:rStyle w:val="FootnoteReference"/>
          <w:bCs/>
          <w:lang w:val="en-US"/>
        </w:rPr>
        <w:footnoteReference w:id="7"/>
      </w:r>
      <w:r w:rsidR="002342A7" w:rsidRPr="002342A7">
        <w:rPr>
          <w:bCs/>
          <w:lang w:val="en-US"/>
        </w:rPr>
        <w:t xml:space="preserve"> </w:t>
      </w:r>
      <w:r w:rsidR="002342A7" w:rsidRPr="00874FD0">
        <w:rPr>
          <w:bCs/>
          <w:lang w:val="en-US"/>
        </w:rPr>
        <w:t xml:space="preserve">The chapter was published in the edited volume </w:t>
      </w:r>
      <w:r w:rsidR="002342A7" w:rsidRPr="00874FD0">
        <w:rPr>
          <w:bCs/>
          <w:i/>
          <w:iCs/>
          <w:lang w:val="en-US"/>
        </w:rPr>
        <w:t>Out of the Ordinary: Folklore and the Supernatural</w:t>
      </w:r>
      <w:r w:rsidR="00874FD0">
        <w:rPr>
          <w:bCs/>
          <w:i/>
          <w:iCs/>
          <w:lang w:val="en-US"/>
        </w:rPr>
        <w:t xml:space="preserve"> </w:t>
      </w:r>
      <w:r w:rsidR="00874FD0" w:rsidRPr="00874FD0">
        <w:rPr>
          <w:bCs/>
          <w:lang w:val="en-US"/>
        </w:rPr>
        <w:t>(199</w:t>
      </w:r>
      <w:r w:rsidR="0097753E">
        <w:rPr>
          <w:bCs/>
          <w:lang w:val="en-US"/>
        </w:rPr>
        <w:t>5</w:t>
      </w:r>
      <w:r w:rsidR="00874FD0" w:rsidRPr="00874FD0">
        <w:rPr>
          <w:bCs/>
          <w:lang w:val="en-US"/>
        </w:rPr>
        <w:t>)</w:t>
      </w:r>
      <w:r w:rsidR="002342A7" w:rsidRPr="00874FD0">
        <w:rPr>
          <w:bCs/>
          <w:lang w:val="en-US"/>
        </w:rPr>
        <w:t>, which situates the work within academic research on supernatural belief traditions.</w:t>
      </w:r>
      <w:r w:rsidR="00F011E8" w:rsidRPr="00971E1E">
        <w:rPr>
          <w:bCs/>
          <w:lang w:val="en-US"/>
        </w:rPr>
        <w:t xml:space="preserve"> </w:t>
      </w:r>
    </w:p>
    <w:p w14:paraId="34CDB964" w14:textId="2346A2BE" w:rsidR="00D51BB0" w:rsidRDefault="00D34C00" w:rsidP="00F5095F">
      <w:pPr>
        <w:rPr>
          <w:bCs/>
          <w:lang w:val="en-US"/>
        </w:rPr>
      </w:pPr>
      <w:r w:rsidRPr="00D34C00">
        <w:rPr>
          <w:bCs/>
          <w:lang w:val="en-US"/>
        </w:rPr>
        <w:t xml:space="preserve">While both texts are directed primarily at an academic readership, Walter and Waterhouse </w:t>
      </w:r>
      <w:r w:rsidR="00892F48" w:rsidRPr="00D34C00">
        <w:rPr>
          <w:bCs/>
          <w:lang w:val="en-US"/>
        </w:rPr>
        <w:t>analy</w:t>
      </w:r>
      <w:r w:rsidR="00400674">
        <w:rPr>
          <w:bCs/>
          <w:lang w:val="en-US"/>
        </w:rPr>
        <w:t>s</w:t>
      </w:r>
      <w:r w:rsidR="00892F48" w:rsidRPr="00D34C00">
        <w:rPr>
          <w:bCs/>
          <w:lang w:val="en-US"/>
        </w:rPr>
        <w:t>e</w:t>
      </w:r>
      <w:r w:rsidRPr="00D34C00">
        <w:rPr>
          <w:bCs/>
          <w:lang w:val="en-US"/>
        </w:rPr>
        <w:t xml:space="preserve"> belief in reincarnation within the sociology of religion, </w:t>
      </w:r>
      <w:r w:rsidR="00A42F78">
        <w:rPr>
          <w:bCs/>
          <w:lang w:val="en-US"/>
        </w:rPr>
        <w:t>while</w:t>
      </w:r>
      <w:r w:rsidRPr="00D34C00">
        <w:rPr>
          <w:bCs/>
          <w:lang w:val="en-US"/>
        </w:rPr>
        <w:t xml:space="preserve"> Bennett examines vernacular understandings of foreknowledge from a folkloristic perspective.</w:t>
      </w:r>
    </w:p>
    <w:p w14:paraId="6CE62CF8" w14:textId="77777777" w:rsidR="00CB0D2E" w:rsidRDefault="00CB0D2E" w:rsidP="00F5095F">
      <w:pPr>
        <w:rPr>
          <w:bCs/>
          <w:lang w:val="en-US"/>
        </w:rPr>
      </w:pPr>
    </w:p>
    <w:p w14:paraId="4819CC5F" w14:textId="1824CB7F" w:rsidR="00E565A7" w:rsidRPr="00E565A7" w:rsidRDefault="00E565A7" w:rsidP="00E565A7">
      <w:pPr>
        <w:pStyle w:val="ListParagraph"/>
        <w:numPr>
          <w:ilvl w:val="0"/>
          <w:numId w:val="10"/>
        </w:numPr>
        <w:rPr>
          <w:b/>
          <w:bCs/>
          <w:lang w:val="en-GB"/>
        </w:rPr>
      </w:pPr>
      <w:r w:rsidRPr="00E565A7">
        <w:rPr>
          <w:b/>
          <w:bCs/>
        </w:rPr>
        <w:lastRenderedPageBreak/>
        <w:t>Methodolog</w:t>
      </w:r>
      <w:r w:rsidR="005B4EB2">
        <w:rPr>
          <w:b/>
          <w:bCs/>
        </w:rPr>
        <w:t>y</w:t>
      </w:r>
    </w:p>
    <w:p w14:paraId="13E045AF" w14:textId="75DA870B" w:rsidR="003619D5" w:rsidRPr="00A30DD2" w:rsidRDefault="00FD5A6D" w:rsidP="0049284F">
      <w:pPr>
        <w:rPr>
          <w:bCs/>
          <w:lang w:val="en-US"/>
        </w:rPr>
      </w:pPr>
      <w:r w:rsidRPr="00FD5A6D">
        <w:rPr>
          <w:lang w:val="en-US"/>
        </w:rPr>
        <w:t>While Walter and Waterhouse employ a mixed</w:t>
      </w:r>
      <w:r w:rsidR="00F50CA0">
        <w:rPr>
          <w:lang w:val="en-US"/>
        </w:rPr>
        <w:t xml:space="preserve"> </w:t>
      </w:r>
      <w:r w:rsidRPr="00FD5A6D">
        <w:rPr>
          <w:lang w:val="en-US"/>
        </w:rPr>
        <w:t xml:space="preserve">method approach </w:t>
      </w:r>
      <w:r w:rsidR="00683657">
        <w:rPr>
          <w:lang w:val="en-US"/>
        </w:rPr>
        <w:t xml:space="preserve">and combine </w:t>
      </w:r>
      <w:r w:rsidRPr="00FD5A6D">
        <w:rPr>
          <w:lang w:val="en-US"/>
        </w:rPr>
        <w:t>survey data</w:t>
      </w:r>
      <w:r w:rsidR="00F50CA0">
        <w:rPr>
          <w:lang w:val="en-US"/>
        </w:rPr>
        <w:t xml:space="preserve">, </w:t>
      </w:r>
      <w:r w:rsidRPr="00FD5A6D">
        <w:rPr>
          <w:lang w:val="en-US"/>
        </w:rPr>
        <w:t>interviews</w:t>
      </w:r>
      <w:r w:rsidR="00F50CA0">
        <w:rPr>
          <w:lang w:val="en-US"/>
        </w:rPr>
        <w:t xml:space="preserve"> and theoretical discussion</w:t>
      </w:r>
      <w:r w:rsidRPr="00FD5A6D">
        <w:rPr>
          <w:lang w:val="en-US"/>
        </w:rPr>
        <w:t>, Bennett relies primarily on qualitative interview material and</w:t>
      </w:r>
      <w:r w:rsidR="006273B4">
        <w:rPr>
          <w:lang w:val="en-US"/>
        </w:rPr>
        <w:t xml:space="preserve"> engages to a lesser degree with existing surveys and theoretical discussion</w:t>
      </w:r>
      <w:r w:rsidRPr="00FD5A6D">
        <w:rPr>
          <w:lang w:val="en-US"/>
        </w:rPr>
        <w:t xml:space="preserve">. Walter and Waterhouse begin by analyzing survey data to establish the statistical prevalence of belief, before using interviews </w:t>
      </w:r>
      <w:r w:rsidR="00F50CA0">
        <w:rPr>
          <w:lang w:val="en-US"/>
        </w:rPr>
        <w:t>to add depth and</w:t>
      </w:r>
      <w:r w:rsidRPr="00FD5A6D">
        <w:rPr>
          <w:lang w:val="en-US"/>
        </w:rPr>
        <w:t xml:space="preserve"> explore how individuals </w:t>
      </w:r>
      <w:r w:rsidR="00F50CA0">
        <w:rPr>
          <w:lang w:val="en-US"/>
        </w:rPr>
        <w:t>give meaning to the concept of</w:t>
      </w:r>
      <w:r w:rsidRPr="00FD5A6D">
        <w:rPr>
          <w:lang w:val="en-US"/>
        </w:rPr>
        <w:t xml:space="preserve"> reincarnation. </w:t>
      </w:r>
      <w:r w:rsidR="00F50CA0">
        <w:rPr>
          <w:lang w:val="en-US"/>
        </w:rPr>
        <w:t>B</w:t>
      </w:r>
      <w:r w:rsidRPr="00FD5A6D">
        <w:rPr>
          <w:lang w:val="en-US"/>
        </w:rPr>
        <w:t xml:space="preserve">oth studies critique the limitations of survey data, </w:t>
      </w:r>
      <w:r w:rsidR="00FC1005">
        <w:rPr>
          <w:lang w:val="en-US"/>
        </w:rPr>
        <w:t>but</w:t>
      </w:r>
      <w:r w:rsidR="00F50CA0">
        <w:rPr>
          <w:lang w:val="en-US"/>
        </w:rPr>
        <w:t xml:space="preserve"> </w:t>
      </w:r>
      <w:r w:rsidRPr="00FD5A6D">
        <w:rPr>
          <w:lang w:val="en-US"/>
        </w:rPr>
        <w:t>only Walter and Waterhouse incorporate it as a central component of their methodology</w:t>
      </w:r>
      <w:r w:rsidR="0049284F">
        <w:rPr>
          <w:bCs/>
          <w:lang w:val="en-US"/>
        </w:rPr>
        <w:t>.</w:t>
      </w:r>
      <w:r w:rsidR="009F5A9E">
        <w:rPr>
          <w:rStyle w:val="FootnoteReference"/>
          <w:lang w:val="en-US"/>
        </w:rPr>
        <w:footnoteReference w:id="8"/>
      </w:r>
      <w:r w:rsidR="00C0670B">
        <w:rPr>
          <w:bCs/>
          <w:lang w:val="en-US"/>
        </w:rPr>
        <w:t xml:space="preserve"> </w:t>
      </w:r>
      <w:r w:rsidR="00C0670B" w:rsidRPr="002C091C">
        <w:rPr>
          <w:bCs/>
          <w:lang w:val="en-US"/>
        </w:rPr>
        <w:t xml:space="preserve">The studies also differ in analytical scale, Bennett </w:t>
      </w:r>
      <w:r w:rsidR="00F50CA0">
        <w:rPr>
          <w:bCs/>
          <w:lang w:val="en-US"/>
        </w:rPr>
        <w:t>focuses</w:t>
      </w:r>
      <w:r w:rsidR="00C0670B" w:rsidRPr="002C091C">
        <w:rPr>
          <w:bCs/>
          <w:lang w:val="en-US"/>
        </w:rPr>
        <w:t xml:space="preserve"> on micro</w:t>
      </w:r>
      <w:r w:rsidR="00F50CA0">
        <w:rPr>
          <w:bCs/>
          <w:lang w:val="en-US"/>
        </w:rPr>
        <w:t xml:space="preserve"> </w:t>
      </w:r>
      <w:r w:rsidR="00C0670B" w:rsidRPr="002C091C">
        <w:rPr>
          <w:bCs/>
          <w:lang w:val="en-US"/>
        </w:rPr>
        <w:t>level social interactions, while Walter and Waterhouse operate at a more abstract, generalizing level.</w:t>
      </w:r>
      <w:r w:rsidR="00C0670B">
        <w:rPr>
          <w:bCs/>
          <w:lang w:val="en-US"/>
        </w:rPr>
        <w:t xml:space="preserve"> </w:t>
      </w:r>
    </w:p>
    <w:p w14:paraId="4B697CB2" w14:textId="2D4D5D08" w:rsidR="006273B4" w:rsidRPr="006273B4" w:rsidRDefault="006273B4" w:rsidP="00261422">
      <w:pPr>
        <w:rPr>
          <w:lang w:val="en-US"/>
        </w:rPr>
      </w:pPr>
      <w:r w:rsidRPr="00E52A54">
        <w:rPr>
          <w:bCs/>
          <w:lang w:val="en-US"/>
        </w:rPr>
        <w:t>The participant selection reflects different research aims and leads to different limitations. Walter and Waterhouse rely on volunteers who are willing to talk about reincarnation, which likely attracts people already interested in the topic and therefore limits how representative the sample is.</w:t>
      </w:r>
      <w:r w:rsidRPr="006273B4">
        <w:rPr>
          <w:bCs/>
          <w:lang w:val="en-US"/>
        </w:rPr>
        <w:t xml:space="preserve"> </w:t>
      </w:r>
      <w:r w:rsidRPr="00E52A54">
        <w:rPr>
          <w:bCs/>
          <w:lang w:val="en-US"/>
        </w:rPr>
        <w:t xml:space="preserve">Bennett, on the other hand, draws her participants from her father’s podiatry clinic, </w:t>
      </w:r>
      <w:r>
        <w:rPr>
          <w:bCs/>
          <w:lang w:val="en-US"/>
        </w:rPr>
        <w:t>which results</w:t>
      </w:r>
      <w:r w:rsidRPr="00E52A54">
        <w:rPr>
          <w:bCs/>
          <w:lang w:val="en-US"/>
        </w:rPr>
        <w:t xml:space="preserve"> in a group of elderly women. </w:t>
      </w:r>
      <w:r w:rsidR="008E3AA8">
        <w:rPr>
          <w:bCs/>
          <w:lang w:val="en-US"/>
        </w:rPr>
        <w:t xml:space="preserve">However, </w:t>
      </w:r>
      <w:r w:rsidRPr="00860C02">
        <w:rPr>
          <w:lang w:val="en-US"/>
        </w:rPr>
        <w:t xml:space="preserve">this is made explicit and aligns with </w:t>
      </w:r>
      <w:r>
        <w:rPr>
          <w:lang w:val="en-US"/>
        </w:rPr>
        <w:t>Bennett’s</w:t>
      </w:r>
      <w:r w:rsidRPr="00860C02">
        <w:rPr>
          <w:lang w:val="en-US"/>
        </w:rPr>
        <w:t xml:space="preserve"> aim of analyzing a specific group.</w:t>
      </w:r>
      <w:r>
        <w:rPr>
          <w:lang w:val="en-US"/>
        </w:rPr>
        <w:t xml:space="preserve"> </w:t>
      </w:r>
      <w:r w:rsidRPr="00E52A54">
        <w:rPr>
          <w:bCs/>
          <w:lang w:val="en-US"/>
        </w:rPr>
        <w:t xml:space="preserve">While this limits diversity, it does allow her to look more closely at how beliefs circulate within a specific </w:t>
      </w:r>
      <w:r>
        <w:rPr>
          <w:bCs/>
          <w:lang w:val="en-US"/>
        </w:rPr>
        <w:t>‘neighborhood’</w:t>
      </w:r>
      <w:r w:rsidRPr="00E52A54">
        <w:rPr>
          <w:bCs/>
          <w:lang w:val="en-US"/>
        </w:rPr>
        <w:t xml:space="preserve"> setting.</w:t>
      </w:r>
      <w:r w:rsidRPr="00BE0AFB">
        <w:rPr>
          <w:lang w:val="en-US"/>
        </w:rPr>
        <w:t xml:space="preserve"> </w:t>
      </w:r>
    </w:p>
    <w:p w14:paraId="280E3675" w14:textId="46658F1D" w:rsidR="00261422" w:rsidRPr="00860C02" w:rsidRDefault="00912ECA" w:rsidP="00261422">
      <w:pPr>
        <w:rPr>
          <w:lang w:val="en-US"/>
        </w:rPr>
      </w:pPr>
      <w:r w:rsidRPr="00912ECA">
        <w:rPr>
          <w:bCs/>
          <w:lang w:val="en-US"/>
        </w:rPr>
        <w:t>Bennett draws on a large number of interviews</w:t>
      </w:r>
      <w:r>
        <w:rPr>
          <w:bCs/>
          <w:lang w:val="en-US"/>
        </w:rPr>
        <w:t>;</w:t>
      </w:r>
      <w:r w:rsidRPr="00912ECA">
        <w:rPr>
          <w:bCs/>
          <w:lang w:val="en-US"/>
        </w:rPr>
        <w:t xml:space="preserve"> over a period of five months she spoke with 120 patients aged between sixteen and ninety-five</w:t>
      </w:r>
      <w:r w:rsidR="009A03F4" w:rsidRPr="009D72BE">
        <w:rPr>
          <w:lang w:val="en-US"/>
        </w:rPr>
        <w:t>.</w:t>
      </w:r>
      <w:r w:rsidR="009A03F4">
        <w:rPr>
          <w:rStyle w:val="FootnoteReference"/>
          <w:lang w:val="en-US"/>
        </w:rPr>
        <w:footnoteReference w:id="9"/>
      </w:r>
      <w:r w:rsidR="00261422" w:rsidRPr="00EB7B23">
        <w:rPr>
          <w:lang w:val="en-US"/>
        </w:rPr>
        <w:t xml:space="preserve"> </w:t>
      </w:r>
      <w:r w:rsidR="004A2E6F" w:rsidRPr="004A2E6F">
        <w:rPr>
          <w:lang w:val="en-US"/>
        </w:rPr>
        <w:t>By contrast, Walter and Waterhouse conducted thirty taped interviews with adults and three group interviews with twenty-one schoolchildren. Their sample is smaller and based on volunteers, meaning it cannot be considered representative of “contemporary England,” as suggested by the article’s title.</w:t>
      </w:r>
      <w:r w:rsidR="00261422">
        <w:rPr>
          <w:rStyle w:val="FootnoteReference"/>
          <w:lang w:val="en-US"/>
        </w:rPr>
        <w:footnoteReference w:id="10"/>
      </w:r>
      <w:r w:rsidR="00FD5220">
        <w:rPr>
          <w:lang w:val="en-US"/>
        </w:rPr>
        <w:t xml:space="preserve"> </w:t>
      </w:r>
      <w:r w:rsidR="00FA67B4">
        <w:rPr>
          <w:lang w:val="en-US"/>
        </w:rPr>
        <w:t>Both texts report well on demographics.</w:t>
      </w:r>
      <w:r w:rsidR="00FA67B4">
        <w:rPr>
          <w:rStyle w:val="FootnoteReference"/>
          <w:lang w:val="en-US"/>
        </w:rPr>
        <w:footnoteReference w:id="11"/>
      </w:r>
    </w:p>
    <w:p w14:paraId="001ED7F6" w14:textId="0BEE1BB0" w:rsidR="00C363AE" w:rsidRPr="00C363AE" w:rsidRDefault="00C363AE" w:rsidP="0049284F">
      <w:pPr>
        <w:rPr>
          <w:bCs/>
          <w:lang w:val="en-US"/>
        </w:rPr>
      </w:pPr>
      <w:r w:rsidRPr="00C363AE">
        <w:rPr>
          <w:bCs/>
          <w:lang w:val="en-US"/>
        </w:rPr>
        <w:t xml:space="preserve">Additionally, Walter and Waterhouse’s collaboration allows for </w:t>
      </w:r>
      <w:r w:rsidR="00C605E6">
        <w:rPr>
          <w:bCs/>
          <w:lang w:val="en-US"/>
        </w:rPr>
        <w:t xml:space="preserve">a certain </w:t>
      </w:r>
      <w:r w:rsidRPr="00C363AE">
        <w:rPr>
          <w:bCs/>
          <w:lang w:val="en-US"/>
        </w:rPr>
        <w:t>reflexivity in the interpretation of data, as the</w:t>
      </w:r>
      <w:r w:rsidR="00C605E6">
        <w:rPr>
          <w:bCs/>
          <w:lang w:val="en-US"/>
        </w:rPr>
        <w:t>y both analyzed the data</w:t>
      </w:r>
      <w:r w:rsidR="00AE6930">
        <w:rPr>
          <w:bCs/>
          <w:lang w:val="en-US"/>
        </w:rPr>
        <w:t>.</w:t>
      </w:r>
      <w:r w:rsidR="00C605E6">
        <w:rPr>
          <w:rStyle w:val="FootnoteReference"/>
          <w:bCs/>
          <w:lang w:val="en-US"/>
        </w:rPr>
        <w:footnoteReference w:id="12"/>
      </w:r>
      <w:r w:rsidR="00AE6930">
        <w:rPr>
          <w:bCs/>
          <w:lang w:val="en-US"/>
        </w:rPr>
        <w:t xml:space="preserve"> </w:t>
      </w:r>
      <w:r w:rsidR="00A42F78">
        <w:rPr>
          <w:bCs/>
          <w:lang w:val="en-US"/>
        </w:rPr>
        <w:t>While</w:t>
      </w:r>
      <w:r w:rsidRPr="00C363AE">
        <w:rPr>
          <w:bCs/>
          <w:lang w:val="en-US"/>
        </w:rPr>
        <w:t xml:space="preserve"> Bennett’s analysis depends more heavily on a single interpretive voic</w:t>
      </w:r>
      <w:r w:rsidR="00520E14">
        <w:rPr>
          <w:bCs/>
          <w:lang w:val="en-US"/>
        </w:rPr>
        <w:t xml:space="preserve">e, </w:t>
      </w:r>
      <w:r w:rsidR="00520E14" w:rsidRPr="00E50526">
        <w:rPr>
          <w:lang w:val="en-US"/>
        </w:rPr>
        <w:t>and she provides limited detail about how the interviews were structured or analysed.</w:t>
      </w:r>
    </w:p>
    <w:p w14:paraId="2719A5AD" w14:textId="68E4050A" w:rsidR="006905E1" w:rsidRDefault="00E25692" w:rsidP="00A813E5">
      <w:pPr>
        <w:rPr>
          <w:bCs/>
          <w:lang w:val="en-US"/>
        </w:rPr>
      </w:pPr>
      <w:r w:rsidRPr="00E25692">
        <w:rPr>
          <w:bCs/>
          <w:lang w:val="en-US"/>
        </w:rPr>
        <w:t xml:space="preserve">While Walter and Waterhouse conclude that belief in reincarnation functions as a largely </w:t>
      </w:r>
      <w:r w:rsidR="00CB0BF4">
        <w:rPr>
          <w:bCs/>
          <w:lang w:val="en-US"/>
        </w:rPr>
        <w:t>“</w:t>
      </w:r>
      <w:r w:rsidRPr="00E25692">
        <w:rPr>
          <w:bCs/>
          <w:lang w:val="en-US"/>
        </w:rPr>
        <w:t>private</w:t>
      </w:r>
      <w:r w:rsidR="00CB0BF4">
        <w:rPr>
          <w:bCs/>
          <w:lang w:val="en-US"/>
        </w:rPr>
        <w:t>”</w:t>
      </w:r>
      <w:r w:rsidRPr="00E25692">
        <w:rPr>
          <w:bCs/>
          <w:lang w:val="en-US"/>
        </w:rPr>
        <w:t xml:space="preserve"> and </w:t>
      </w:r>
      <w:r w:rsidR="00CB0BF4">
        <w:rPr>
          <w:bCs/>
          <w:lang w:val="en-US"/>
        </w:rPr>
        <w:t>“</w:t>
      </w:r>
      <w:r w:rsidR="0033022C">
        <w:rPr>
          <w:bCs/>
          <w:lang w:val="en-US"/>
        </w:rPr>
        <w:t>detached</w:t>
      </w:r>
      <w:r w:rsidR="00CB0BF4">
        <w:rPr>
          <w:bCs/>
          <w:lang w:val="en-US"/>
        </w:rPr>
        <w:t>”</w:t>
      </w:r>
      <w:r w:rsidR="0033022C">
        <w:rPr>
          <w:bCs/>
          <w:lang w:val="en-US"/>
        </w:rPr>
        <w:t xml:space="preserve"> </w:t>
      </w:r>
      <w:r w:rsidRPr="00E25692">
        <w:rPr>
          <w:bCs/>
          <w:lang w:val="en-US"/>
        </w:rPr>
        <w:t>belief</w:t>
      </w:r>
      <w:r w:rsidR="00CB0BF4">
        <w:rPr>
          <w:bCs/>
          <w:lang w:val="en-US"/>
        </w:rPr>
        <w:t>.</w:t>
      </w:r>
      <w:r w:rsidR="00CB0BF4">
        <w:rPr>
          <w:rStyle w:val="FootnoteReference"/>
          <w:lang w:val="en-US"/>
        </w:rPr>
        <w:footnoteReference w:id="13"/>
      </w:r>
      <w:r w:rsidR="00CB0BF4">
        <w:rPr>
          <w:lang w:val="en-US"/>
        </w:rPr>
        <w:t xml:space="preserve"> </w:t>
      </w:r>
      <w:r w:rsidR="00CB0BF4">
        <w:rPr>
          <w:bCs/>
          <w:lang w:val="en-US"/>
        </w:rPr>
        <w:t xml:space="preserve">Though </w:t>
      </w:r>
      <w:r w:rsidRPr="00E25692">
        <w:rPr>
          <w:bCs/>
          <w:lang w:val="en-US"/>
        </w:rPr>
        <w:t>the small nature of their sample limits the extent to which these findings can be generalised to England as a whole.</w:t>
      </w:r>
      <w:r>
        <w:rPr>
          <w:bCs/>
          <w:lang w:val="en-US"/>
        </w:rPr>
        <w:t xml:space="preserve"> </w:t>
      </w:r>
      <w:r w:rsidR="00706310" w:rsidRPr="00706310">
        <w:rPr>
          <w:bCs/>
          <w:lang w:val="en-US"/>
        </w:rPr>
        <w:t xml:space="preserve">Bennett focuses on a small, specific group, </w:t>
      </w:r>
      <w:r w:rsidR="00180DBA">
        <w:rPr>
          <w:bCs/>
          <w:lang w:val="en-US"/>
        </w:rPr>
        <w:t>and writes in a</w:t>
      </w:r>
      <w:r w:rsidR="00706310" w:rsidRPr="00706310">
        <w:rPr>
          <w:bCs/>
          <w:lang w:val="en-US"/>
        </w:rPr>
        <w:t xml:space="preserve"> more detaile</w:t>
      </w:r>
      <w:r w:rsidR="00180DBA">
        <w:rPr>
          <w:bCs/>
          <w:lang w:val="en-US"/>
        </w:rPr>
        <w:t>d</w:t>
      </w:r>
      <w:r w:rsidR="00706310" w:rsidRPr="00706310">
        <w:rPr>
          <w:bCs/>
          <w:lang w:val="en-US"/>
        </w:rPr>
        <w:t xml:space="preserve"> understanding </w:t>
      </w:r>
      <w:r w:rsidR="00AE6930">
        <w:rPr>
          <w:bCs/>
          <w:lang w:val="en-US"/>
        </w:rPr>
        <w:t>that reflects the lived experience of her participants</w:t>
      </w:r>
      <w:r w:rsidR="00706310" w:rsidRPr="00706310">
        <w:rPr>
          <w:bCs/>
          <w:lang w:val="en-US"/>
        </w:rPr>
        <w:t>.</w:t>
      </w:r>
      <w:r w:rsidR="00A813E5" w:rsidRPr="00A813E5">
        <w:rPr>
          <w:rFonts w:ascii="Times New Roman" w:eastAsia="Times New Roman" w:hAnsi="Times New Roman" w:cs="Times New Roman"/>
          <w:kern w:val="0"/>
          <w:sz w:val="24"/>
          <w:szCs w:val="24"/>
          <w:lang w:val="en-US" w:eastAsia="nl-NL"/>
          <w14:ligatures w14:val="none"/>
        </w:rPr>
        <w:t xml:space="preserve"> </w:t>
      </w:r>
      <w:r w:rsidR="00A813E5" w:rsidRPr="00A813E5">
        <w:rPr>
          <w:bCs/>
          <w:lang w:val="en-US"/>
        </w:rPr>
        <w:t>This highlights a key difference in methodological validity: Walter and Waterhouse prioritise broader applicability, while Bennett prioritises depth and contextual understanding.</w:t>
      </w:r>
    </w:p>
    <w:p w14:paraId="3E739972" w14:textId="77777777" w:rsidR="00520E14" w:rsidRDefault="00520E14" w:rsidP="00A813E5">
      <w:pPr>
        <w:rPr>
          <w:bCs/>
          <w:lang w:val="en-US"/>
        </w:rPr>
      </w:pPr>
    </w:p>
    <w:p w14:paraId="75C8DACB" w14:textId="77777777" w:rsidR="00520E14" w:rsidRDefault="00520E14" w:rsidP="00A813E5">
      <w:pPr>
        <w:rPr>
          <w:bCs/>
          <w:lang w:val="en-US"/>
        </w:rPr>
      </w:pPr>
    </w:p>
    <w:p w14:paraId="04576845" w14:textId="644F9978" w:rsidR="00E50526" w:rsidRPr="00620D16" w:rsidRDefault="00C355E2" w:rsidP="00153396">
      <w:pPr>
        <w:pStyle w:val="ListParagraph"/>
        <w:numPr>
          <w:ilvl w:val="0"/>
          <w:numId w:val="10"/>
        </w:numPr>
        <w:rPr>
          <w:b/>
          <w:bCs/>
          <w:lang w:val="en-US"/>
        </w:rPr>
      </w:pPr>
      <w:r w:rsidRPr="00620D16">
        <w:rPr>
          <w:b/>
          <w:bCs/>
          <w:lang w:val="en-US"/>
        </w:rPr>
        <w:lastRenderedPageBreak/>
        <w:t>Researcher Position: Insider</w:t>
      </w:r>
      <w:r w:rsidR="00B451BF" w:rsidRPr="00620D16">
        <w:rPr>
          <w:b/>
          <w:bCs/>
          <w:lang w:val="en-US"/>
        </w:rPr>
        <w:t xml:space="preserve"> </w:t>
      </w:r>
      <w:r w:rsidRPr="00620D16">
        <w:rPr>
          <w:b/>
          <w:bCs/>
          <w:lang w:val="en-US"/>
        </w:rPr>
        <w:t>Outsider Dynamics</w:t>
      </w:r>
    </w:p>
    <w:p w14:paraId="5CD50BE4" w14:textId="1BB59B48" w:rsidR="00E50526" w:rsidRPr="004057CD" w:rsidRDefault="00695298" w:rsidP="00E50526">
      <w:pPr>
        <w:rPr>
          <w:lang w:val="en-US"/>
        </w:rPr>
      </w:pPr>
      <w:r w:rsidRPr="00695298">
        <w:rPr>
          <w:lang w:val="en-US"/>
        </w:rPr>
        <w:t>Bennett is not a</w:t>
      </w:r>
      <w:r w:rsidR="005852E9">
        <w:rPr>
          <w:lang w:val="en-US"/>
        </w:rPr>
        <w:t xml:space="preserve">n </w:t>
      </w:r>
      <w:r w:rsidRPr="00695298">
        <w:rPr>
          <w:lang w:val="en-US"/>
        </w:rPr>
        <w:t>insider, as she is not clearly part of the social or belief group she studies. At the same time, her access through her father’s community creates a level of familiarity and trust that makes her different from a more typical outsider researcher. She is also</w:t>
      </w:r>
      <w:r w:rsidR="00520E14">
        <w:rPr>
          <w:lang w:val="en-US"/>
        </w:rPr>
        <w:t xml:space="preserve"> </w:t>
      </w:r>
      <w:r w:rsidR="004A2F92">
        <w:rPr>
          <w:lang w:val="en-US"/>
        </w:rPr>
        <w:t xml:space="preserve">close to her research group, as </w:t>
      </w:r>
      <w:r w:rsidR="00520E14">
        <w:rPr>
          <w:lang w:val="en-US"/>
        </w:rPr>
        <w:t xml:space="preserve">a woman </w:t>
      </w:r>
      <w:r w:rsidRPr="00695298">
        <w:rPr>
          <w:lang w:val="en-US"/>
        </w:rPr>
        <w:t>close in age to her participants</w:t>
      </w:r>
      <w:r w:rsidR="004A2F92">
        <w:rPr>
          <w:lang w:val="en-US"/>
        </w:rPr>
        <w:t xml:space="preserve"> which might add to the familiarity</w:t>
      </w:r>
      <w:r w:rsidRPr="00695298">
        <w:rPr>
          <w:lang w:val="en-US"/>
        </w:rPr>
        <w:t xml:space="preserve">. </w:t>
      </w:r>
      <w:r w:rsidR="008E3AA8">
        <w:rPr>
          <w:lang w:val="en-US"/>
        </w:rPr>
        <w:t>However,</w:t>
      </w:r>
      <w:r w:rsidR="004A2F92">
        <w:rPr>
          <w:lang w:val="en-US"/>
        </w:rPr>
        <w:t xml:space="preserve"> we do not know anything about her, since there is no reflexivity section. </w:t>
      </w:r>
      <w:r w:rsidRPr="00695298">
        <w:rPr>
          <w:lang w:val="en-US"/>
        </w:rPr>
        <w:t>Her position can therefore be understood as somewhere in between the insider and outsider ends of the continuum</w:t>
      </w:r>
      <w:r w:rsidR="00E50526" w:rsidRPr="00E50526">
        <w:rPr>
          <w:lang w:val="en-US"/>
        </w:rPr>
        <w:t xml:space="preserve">. By contrast, Walter and Waterhouse adopt a more outsider position, </w:t>
      </w:r>
      <w:r w:rsidR="00C12DB3">
        <w:rPr>
          <w:lang w:val="en-US"/>
        </w:rPr>
        <w:t>though they included some personal contacts</w:t>
      </w:r>
      <w:r w:rsidR="00FF68C7">
        <w:rPr>
          <w:lang w:val="en-US"/>
        </w:rPr>
        <w:t xml:space="preserve"> which would create</w:t>
      </w:r>
      <w:r w:rsidR="00770B5B">
        <w:rPr>
          <w:lang w:val="en-US"/>
        </w:rPr>
        <w:t xml:space="preserve"> </w:t>
      </w:r>
      <w:r w:rsidR="00843167">
        <w:rPr>
          <w:lang w:val="en-US"/>
        </w:rPr>
        <w:t>strong familiarity</w:t>
      </w:r>
      <w:r w:rsidR="00C12DB3">
        <w:rPr>
          <w:lang w:val="en-US"/>
        </w:rPr>
        <w:t xml:space="preserve">, </w:t>
      </w:r>
      <w:r w:rsidR="00D94901">
        <w:rPr>
          <w:lang w:val="en-US"/>
        </w:rPr>
        <w:t xml:space="preserve">they </w:t>
      </w:r>
      <w:r w:rsidR="00FF68C7">
        <w:rPr>
          <w:lang w:val="en-US"/>
        </w:rPr>
        <w:t xml:space="preserve">also </w:t>
      </w:r>
      <w:r w:rsidR="00D94901">
        <w:rPr>
          <w:lang w:val="en-US"/>
        </w:rPr>
        <w:t>approached</w:t>
      </w:r>
      <w:r w:rsidR="00E50526" w:rsidRPr="00E50526">
        <w:rPr>
          <w:lang w:val="en-US"/>
        </w:rPr>
        <w:t xml:space="preserve"> participants </w:t>
      </w:r>
      <w:r w:rsidR="00843167" w:rsidRPr="00843167">
        <w:rPr>
          <w:lang w:val="en-US"/>
        </w:rPr>
        <w:t xml:space="preserve">through </w:t>
      </w:r>
      <w:r w:rsidR="00796C7D" w:rsidRPr="00843167">
        <w:rPr>
          <w:lang w:val="en-US"/>
        </w:rPr>
        <w:t>a call for volunteers on the local radio</w:t>
      </w:r>
      <w:r w:rsidR="00D94901" w:rsidRPr="00843167">
        <w:rPr>
          <w:lang w:val="en-US"/>
        </w:rPr>
        <w:t>,</w:t>
      </w:r>
      <w:r w:rsidR="00B14BF1" w:rsidRPr="00843167">
        <w:rPr>
          <w:lang w:val="en-US"/>
        </w:rPr>
        <w:t xml:space="preserve"> </w:t>
      </w:r>
      <w:r w:rsidR="00796C7D" w:rsidRPr="00843167">
        <w:rPr>
          <w:lang w:val="en-US"/>
        </w:rPr>
        <w:t>and a certain amount of snowballing by participants recommendations</w:t>
      </w:r>
      <w:r w:rsidR="00B14BF1" w:rsidRPr="00843167">
        <w:rPr>
          <w:lang w:val="en-US"/>
        </w:rPr>
        <w:t>.</w:t>
      </w:r>
      <w:r w:rsidR="00B14BF1" w:rsidRPr="00843167">
        <w:rPr>
          <w:rStyle w:val="FootnoteReference"/>
          <w:lang w:val="en-US"/>
        </w:rPr>
        <w:footnoteReference w:id="14"/>
      </w:r>
      <w:r w:rsidR="00B14BF1" w:rsidRPr="00843167">
        <w:rPr>
          <w:lang w:val="en-US"/>
        </w:rPr>
        <w:t xml:space="preserve"> </w:t>
      </w:r>
      <w:r w:rsidR="004057CD">
        <w:rPr>
          <w:lang w:val="en-US"/>
        </w:rPr>
        <w:t>A</w:t>
      </w:r>
      <w:r w:rsidR="004057CD" w:rsidRPr="004057CD">
        <w:rPr>
          <w:lang w:val="en-US"/>
        </w:rPr>
        <w:t xml:space="preserve"> limitation of </w:t>
      </w:r>
      <w:r w:rsidR="004057CD">
        <w:rPr>
          <w:lang w:val="en-US"/>
        </w:rPr>
        <w:t>snowballing</w:t>
      </w:r>
      <w:r w:rsidR="004057CD" w:rsidRPr="004057CD">
        <w:rPr>
          <w:lang w:val="en-US"/>
        </w:rPr>
        <w:t xml:space="preserve"> is that participants are likely to be from the same social network.</w:t>
      </w:r>
      <w:r w:rsidR="004057CD">
        <w:rPr>
          <w:rStyle w:val="FootnoteReference"/>
          <w:lang w:val="en-US"/>
        </w:rPr>
        <w:footnoteReference w:id="15"/>
      </w:r>
    </w:p>
    <w:p w14:paraId="19C7EA6C" w14:textId="16741B35" w:rsidR="00387250" w:rsidRDefault="00843167" w:rsidP="00E50526">
      <w:pPr>
        <w:rPr>
          <w:color w:val="FF0000"/>
          <w:lang w:val="en-US"/>
        </w:rPr>
      </w:pPr>
      <w:r>
        <w:rPr>
          <w:lang w:val="en-US"/>
        </w:rPr>
        <w:t xml:space="preserve">As for the data produced. </w:t>
      </w:r>
      <w:r w:rsidR="00E50526" w:rsidRPr="00E50526">
        <w:rPr>
          <w:lang w:val="en-US"/>
        </w:rPr>
        <w:t>Bennett relies on more naturally occurring narrative forms of data</w:t>
      </w:r>
      <w:r w:rsidR="00EA6943">
        <w:rPr>
          <w:lang w:val="en-US"/>
        </w:rPr>
        <w:t xml:space="preserve"> </w:t>
      </w:r>
      <w:r w:rsidR="00E50526" w:rsidRPr="00E50526">
        <w:rPr>
          <w:lang w:val="en-US"/>
        </w:rPr>
        <w:t xml:space="preserve">and </w:t>
      </w:r>
      <w:r>
        <w:rPr>
          <w:lang w:val="en-US"/>
        </w:rPr>
        <w:t>is</w:t>
      </w:r>
      <w:r w:rsidR="00E50526" w:rsidRPr="00E50526">
        <w:rPr>
          <w:lang w:val="en-US"/>
        </w:rPr>
        <w:t xml:space="preserve"> closer to everyday conversation</w:t>
      </w:r>
      <w:r w:rsidR="00B14BF1">
        <w:rPr>
          <w:lang w:val="en-US"/>
        </w:rPr>
        <w:t xml:space="preserve"> </w:t>
      </w:r>
      <w:r w:rsidR="00E50526" w:rsidRPr="00E50526">
        <w:rPr>
          <w:lang w:val="en-US"/>
        </w:rPr>
        <w:t>than</w:t>
      </w:r>
      <w:r>
        <w:rPr>
          <w:lang w:val="en-US"/>
        </w:rPr>
        <w:t xml:space="preserve"> the</w:t>
      </w:r>
      <w:r w:rsidR="00E50526" w:rsidRPr="00E50526">
        <w:rPr>
          <w:lang w:val="en-US"/>
        </w:rPr>
        <w:t xml:space="preserve"> </w:t>
      </w:r>
      <w:r w:rsidR="00EA6943">
        <w:rPr>
          <w:lang w:val="en-US"/>
        </w:rPr>
        <w:t>semi-structured</w:t>
      </w:r>
      <w:r>
        <w:rPr>
          <w:lang w:val="en-US"/>
        </w:rPr>
        <w:t xml:space="preserve"> </w:t>
      </w:r>
      <w:r w:rsidR="00E50526" w:rsidRPr="00E50526">
        <w:rPr>
          <w:lang w:val="en-US"/>
        </w:rPr>
        <w:t>interviews</w:t>
      </w:r>
      <w:r w:rsidR="00EA6943">
        <w:rPr>
          <w:lang w:val="en-US"/>
        </w:rPr>
        <w:t xml:space="preserve"> used by Walter and Waterhouse</w:t>
      </w:r>
      <w:r w:rsidR="00E50526" w:rsidRPr="00E50526">
        <w:rPr>
          <w:lang w:val="en-US"/>
        </w:rPr>
        <w:t xml:space="preserve">. </w:t>
      </w:r>
      <w:r w:rsidR="00EA6943">
        <w:rPr>
          <w:lang w:val="en-US"/>
        </w:rPr>
        <w:t>They</w:t>
      </w:r>
      <w:r w:rsidR="00B14BF1">
        <w:rPr>
          <w:lang w:val="en-US"/>
        </w:rPr>
        <w:t xml:space="preserve"> </w:t>
      </w:r>
      <w:r w:rsidR="00E50526" w:rsidRPr="00E50526">
        <w:rPr>
          <w:lang w:val="en-US"/>
        </w:rPr>
        <w:t>analyse responses that are more directly shaped by interview questions, which may influence how beliefs are articulated. Although Walter and Waterhouse use open-ended questions and aim to capture participants’ own words, their data remains shaped by the structure of the interview setting.</w:t>
      </w:r>
      <w:r w:rsidR="0018720A" w:rsidRPr="0018720A">
        <w:rPr>
          <w:lang w:val="en-US"/>
        </w:rPr>
        <w:t xml:space="preserve"> </w:t>
      </w:r>
      <w:r w:rsidR="0018720A">
        <w:rPr>
          <w:lang w:val="en-US"/>
        </w:rPr>
        <w:t>The 30 taped interviews</w:t>
      </w:r>
      <w:r w:rsidR="00B61212">
        <w:rPr>
          <w:lang w:val="en-US"/>
        </w:rPr>
        <w:t xml:space="preserve"> and group discussions</w:t>
      </w:r>
      <w:r w:rsidR="0018720A">
        <w:rPr>
          <w:lang w:val="en-US"/>
        </w:rPr>
        <w:t xml:space="preserve"> of Walter and Waterhouse are </w:t>
      </w:r>
      <w:r w:rsidR="0018720A" w:rsidRPr="00E50526">
        <w:rPr>
          <w:lang w:val="en-US"/>
        </w:rPr>
        <w:t xml:space="preserve">more likely to be limited to single, structured encounters, </w:t>
      </w:r>
      <w:r w:rsidR="0018720A">
        <w:rPr>
          <w:lang w:val="en-US"/>
        </w:rPr>
        <w:t xml:space="preserve">which </w:t>
      </w:r>
      <w:r w:rsidR="0018720A" w:rsidRPr="00E50526">
        <w:rPr>
          <w:lang w:val="en-US"/>
        </w:rPr>
        <w:t xml:space="preserve">potentially </w:t>
      </w:r>
      <w:r w:rsidR="0018720A">
        <w:rPr>
          <w:lang w:val="en-US"/>
        </w:rPr>
        <w:t>restricts</w:t>
      </w:r>
      <w:r w:rsidR="0018720A" w:rsidRPr="00E50526">
        <w:rPr>
          <w:lang w:val="en-US"/>
        </w:rPr>
        <w:t xml:space="preserve"> more nuanced or reflective responses.</w:t>
      </w:r>
      <w:r w:rsidR="00B61212">
        <w:rPr>
          <w:lang w:val="en-US"/>
        </w:rPr>
        <w:t xml:space="preserve"> </w:t>
      </w:r>
      <w:r w:rsidR="008E3AA8">
        <w:rPr>
          <w:lang w:val="en-US"/>
        </w:rPr>
        <w:t>However,</w:t>
      </w:r>
      <w:r w:rsidR="00B61212">
        <w:rPr>
          <w:lang w:val="en-US"/>
        </w:rPr>
        <w:t xml:space="preserve"> this is unclear in the article.</w:t>
      </w:r>
      <w:r w:rsidR="0018720A">
        <w:rPr>
          <w:lang w:val="en-US"/>
        </w:rPr>
        <w:t xml:space="preserve"> </w:t>
      </w:r>
      <w:r w:rsidR="00AC0A1C" w:rsidRPr="00AC0A1C">
        <w:rPr>
          <w:color w:val="000000" w:themeColor="text1"/>
          <w:lang w:val="en-US"/>
        </w:rPr>
        <w:t>Bennett’s research setting suggests the possibility of repeated and more informal interactions with participants, as interviews took place within an ongoing social environment rather than as isolated encounters.</w:t>
      </w:r>
    </w:p>
    <w:p w14:paraId="674DC5B1" w14:textId="5AA9084B" w:rsidR="00E50526" w:rsidRDefault="00544B6F" w:rsidP="00153396">
      <w:pPr>
        <w:rPr>
          <w:lang w:val="en-US"/>
        </w:rPr>
      </w:pPr>
      <w:r w:rsidRPr="00544B6F">
        <w:rPr>
          <w:lang w:val="en-US"/>
        </w:rPr>
        <w:t>Bennett’s position is closer to the middle, or insider end, of the continuum compared to Walter and Waterhouse. This allows for richer and more nuanced data, but also raises some concerns about subjectivity, while Walter and Waterhouse’s position provides greater analytical distance but limits the depth of insight into participants’ lived experiences.</w:t>
      </w:r>
    </w:p>
    <w:p w14:paraId="3EE11833" w14:textId="77777777" w:rsidR="00544B6F" w:rsidRPr="00544B6F" w:rsidRDefault="00544B6F" w:rsidP="00153396">
      <w:pPr>
        <w:rPr>
          <w:lang w:val="en-US"/>
        </w:rPr>
      </w:pPr>
    </w:p>
    <w:p w14:paraId="76936FC6" w14:textId="50C52F52" w:rsidR="00FA28E9" w:rsidRPr="00EC6BCD" w:rsidRDefault="0028301F" w:rsidP="0028301F">
      <w:pPr>
        <w:pStyle w:val="ListParagraph"/>
        <w:numPr>
          <w:ilvl w:val="0"/>
          <w:numId w:val="10"/>
        </w:numPr>
        <w:rPr>
          <w:b/>
          <w:bCs/>
          <w:lang w:val="en-US"/>
        </w:rPr>
      </w:pPr>
      <w:r w:rsidRPr="00EC6BCD">
        <w:rPr>
          <w:b/>
          <w:bCs/>
          <w:lang w:val="en-US"/>
        </w:rPr>
        <w:t xml:space="preserve">Use of Literature </w:t>
      </w:r>
    </w:p>
    <w:p w14:paraId="66E15F08" w14:textId="1BB8AFBA" w:rsidR="00940652" w:rsidRPr="00940652" w:rsidRDefault="004E09FD" w:rsidP="004D0188">
      <w:pPr>
        <w:rPr>
          <w:lang w:val="en-US"/>
        </w:rPr>
      </w:pPr>
      <w:r w:rsidRPr="004E09FD">
        <w:rPr>
          <w:lang w:val="en-US"/>
        </w:rPr>
        <w:t xml:space="preserve">Walter and Waterhouse engage extensively with existing scholarship and clearly position their study within </w:t>
      </w:r>
      <w:r w:rsidR="00403D58">
        <w:rPr>
          <w:lang w:val="en-US"/>
        </w:rPr>
        <w:t>scholarly</w:t>
      </w:r>
      <w:r w:rsidRPr="004E09FD">
        <w:rPr>
          <w:lang w:val="en-US"/>
        </w:rPr>
        <w:t xml:space="preserve"> debates</w:t>
      </w:r>
      <w:r w:rsidR="00403D58">
        <w:rPr>
          <w:lang w:val="en-US"/>
        </w:rPr>
        <w:t xml:space="preserve">. They </w:t>
      </w:r>
      <w:r w:rsidR="00187B14" w:rsidRPr="00365F59">
        <w:rPr>
          <w:lang w:val="en-US"/>
        </w:rPr>
        <w:t>draw on discussions o</w:t>
      </w:r>
      <w:r w:rsidR="00403D58">
        <w:rPr>
          <w:lang w:val="en-US"/>
        </w:rPr>
        <w:t>n</w:t>
      </w:r>
      <w:r w:rsidR="00187B14" w:rsidRPr="00365F59">
        <w:rPr>
          <w:lang w:val="en-US"/>
        </w:rPr>
        <w:t xml:space="preserve"> the privatization of religion by Davie</w:t>
      </w:r>
      <w:r w:rsidR="00187B14">
        <w:rPr>
          <w:lang w:val="en-US"/>
        </w:rPr>
        <w:t>.</w:t>
      </w:r>
      <w:r w:rsidR="00187B14">
        <w:rPr>
          <w:rStyle w:val="FootnoteReference"/>
          <w:lang w:val="en-US"/>
        </w:rPr>
        <w:footnoteReference w:id="16"/>
      </w:r>
      <w:r w:rsidR="00187B14">
        <w:rPr>
          <w:lang w:val="en-US"/>
        </w:rPr>
        <w:t xml:space="preserve"> Sc</w:t>
      </w:r>
      <w:r w:rsidR="00187B14" w:rsidRPr="00365F59">
        <w:rPr>
          <w:lang w:val="en-US"/>
        </w:rPr>
        <w:t>holarship on New Age by Bruce and Heelas</w:t>
      </w:r>
      <w:r w:rsidR="00187B14">
        <w:rPr>
          <w:lang w:val="en-US"/>
        </w:rPr>
        <w:t>.</w:t>
      </w:r>
      <w:r w:rsidR="00187B14">
        <w:rPr>
          <w:rStyle w:val="FootnoteReference"/>
          <w:lang w:val="en-US"/>
        </w:rPr>
        <w:footnoteReference w:id="17"/>
      </w:r>
      <w:r w:rsidR="00187B14">
        <w:rPr>
          <w:lang w:val="en-US"/>
        </w:rPr>
        <w:t xml:space="preserve"> </w:t>
      </w:r>
      <w:r w:rsidR="00187B14" w:rsidRPr="001F66F3">
        <w:rPr>
          <w:lang w:val="en-US"/>
        </w:rPr>
        <w:t xml:space="preserve">Popular literature on past-life experiences (e.g. Carpenter; Sutphen and Taylor; McClain) is also referenced, mainly to contrast dramatic accounts with the more </w:t>
      </w:r>
      <w:r w:rsidR="00187B14">
        <w:rPr>
          <w:lang w:val="en-US"/>
        </w:rPr>
        <w:t>tentative</w:t>
      </w:r>
      <w:r w:rsidR="00187B14" w:rsidRPr="001F66F3">
        <w:rPr>
          <w:lang w:val="en-US"/>
        </w:rPr>
        <w:t xml:space="preserve"> beliefs expressed by interviewees.</w:t>
      </w:r>
      <w:r w:rsidR="00187B14">
        <w:rPr>
          <w:rStyle w:val="FootnoteReference"/>
          <w:lang w:val="en-US"/>
        </w:rPr>
        <w:footnoteReference w:id="18"/>
      </w:r>
      <w:r w:rsidR="00187B14">
        <w:rPr>
          <w:lang w:val="en-US"/>
        </w:rPr>
        <w:t xml:space="preserve"> </w:t>
      </w:r>
      <w:r w:rsidR="00187B14" w:rsidRPr="00DA1D62">
        <w:rPr>
          <w:lang w:val="en-US"/>
        </w:rPr>
        <w:t>Th</w:t>
      </w:r>
      <w:r w:rsidR="00724ED6">
        <w:rPr>
          <w:lang w:val="en-US"/>
        </w:rPr>
        <w:t>ough the latter</w:t>
      </w:r>
      <w:r w:rsidR="00187B14" w:rsidRPr="00DA1D62">
        <w:rPr>
          <w:lang w:val="en-US"/>
        </w:rPr>
        <w:t xml:space="preserve"> contrast is somewhat problematic, </w:t>
      </w:r>
      <w:r w:rsidR="00187B14" w:rsidRPr="00BB08CD">
        <w:rPr>
          <w:lang w:val="en-US"/>
        </w:rPr>
        <w:t xml:space="preserve">because such literature forms part of the same cultural context in which beliefs about reincarnation circulate, it is difficult to assume that these </w:t>
      </w:r>
      <w:r w:rsidR="00187B14">
        <w:rPr>
          <w:lang w:val="en-US"/>
        </w:rPr>
        <w:t>‘</w:t>
      </w:r>
      <w:r w:rsidR="00187B14" w:rsidRPr="00BB08CD">
        <w:rPr>
          <w:lang w:val="en-US"/>
        </w:rPr>
        <w:t>dramatic</w:t>
      </w:r>
      <w:r w:rsidR="00187B14">
        <w:rPr>
          <w:lang w:val="en-US"/>
        </w:rPr>
        <w:t>’</w:t>
      </w:r>
      <w:r w:rsidR="00187B14" w:rsidRPr="00BB08CD">
        <w:rPr>
          <w:lang w:val="en-US"/>
        </w:rPr>
        <w:t xml:space="preserve"> narratives are less representative than the more tentative accounts </w:t>
      </w:r>
      <w:r w:rsidR="00187B14">
        <w:rPr>
          <w:lang w:val="en-US"/>
        </w:rPr>
        <w:t>from</w:t>
      </w:r>
      <w:r w:rsidR="00187B14" w:rsidRPr="00BB08CD">
        <w:rPr>
          <w:lang w:val="en-US"/>
        </w:rPr>
        <w:t xml:space="preserve"> the interviews.</w:t>
      </w:r>
      <w:r w:rsidR="00187B14">
        <w:rPr>
          <w:lang w:val="en-US"/>
        </w:rPr>
        <w:t xml:space="preserve"> </w:t>
      </w:r>
      <w:r w:rsidR="00F43D65" w:rsidRPr="00F43D65">
        <w:rPr>
          <w:lang w:val="en-US"/>
        </w:rPr>
        <w:t>While their engagement with academic literature is broad,</w:t>
      </w:r>
      <w:r w:rsidR="00F43D65">
        <w:rPr>
          <w:lang w:val="en-US"/>
        </w:rPr>
        <w:t xml:space="preserve"> </w:t>
      </w:r>
      <w:r w:rsidR="00F43D65" w:rsidRPr="00F43D65">
        <w:rPr>
          <w:lang w:val="en-US"/>
        </w:rPr>
        <w:t xml:space="preserve">heir use of unpublished </w:t>
      </w:r>
      <w:r w:rsidR="00F43D65" w:rsidRPr="00F43D65">
        <w:rPr>
          <w:lang w:val="en-US"/>
        </w:rPr>
        <w:lastRenderedPageBreak/>
        <w:t>papers (Walter 1996; 1998a–c) limits the accessibility of their theoretical framework and makes it more difficult to assess the basis of their arguments</w:t>
      </w:r>
      <w:r w:rsidR="00187B14">
        <w:rPr>
          <w:lang w:val="en-US"/>
        </w:rPr>
        <w:t>.</w:t>
      </w:r>
      <w:r w:rsidR="00187B14">
        <w:rPr>
          <w:rStyle w:val="FootnoteReference"/>
          <w:lang w:val="en-US"/>
        </w:rPr>
        <w:footnoteReference w:id="19"/>
      </w:r>
      <w:r w:rsidR="00187B14">
        <w:rPr>
          <w:lang w:val="en-US"/>
        </w:rPr>
        <w:t xml:space="preserve"> </w:t>
      </w:r>
      <w:r w:rsidR="00187B14" w:rsidRPr="00AA7185">
        <w:rPr>
          <w:lang w:val="en-US"/>
        </w:rPr>
        <w:t>This limitation could be reduced if these materials were made publicly available in academic repositories.</w:t>
      </w:r>
      <w:r w:rsidR="001B2123">
        <w:rPr>
          <w:lang w:val="en-US"/>
        </w:rPr>
        <w:t xml:space="preserve"> </w:t>
      </w:r>
    </w:p>
    <w:p w14:paraId="2DB5B30A" w14:textId="13CC8B5E" w:rsidR="00940652" w:rsidRDefault="004D0188" w:rsidP="00EF09BF">
      <w:pPr>
        <w:rPr>
          <w:lang w:val="en-US"/>
        </w:rPr>
      </w:pPr>
      <w:r w:rsidRPr="005A58B8">
        <w:rPr>
          <w:lang w:val="en-US"/>
        </w:rPr>
        <w:t>Bennett</w:t>
      </w:r>
      <w:r w:rsidR="005A58B8">
        <w:rPr>
          <w:lang w:val="en-US"/>
        </w:rPr>
        <w:t xml:space="preserve">, by contrast, </w:t>
      </w:r>
      <w:r w:rsidRPr="005A58B8">
        <w:rPr>
          <w:lang w:val="en-US"/>
        </w:rPr>
        <w:t>focuses more closely on the stories her participants tell.</w:t>
      </w:r>
      <w:r w:rsidR="005A58B8" w:rsidRPr="005A58B8">
        <w:rPr>
          <w:lang w:val="en-US"/>
        </w:rPr>
        <w:t xml:space="preserve"> While she does refer to some existing scholarship, many of her references are to her own work or to the interview material itself</w:t>
      </w:r>
      <w:r w:rsidR="00E14E9A" w:rsidRPr="00724F3F">
        <w:rPr>
          <w:lang w:val="en-US"/>
        </w:rPr>
        <w:t>.</w:t>
      </w:r>
      <w:r w:rsidR="00E14E9A">
        <w:rPr>
          <w:rStyle w:val="FootnoteReference"/>
          <w:lang w:val="en-US"/>
        </w:rPr>
        <w:footnoteReference w:id="20"/>
      </w:r>
      <w:r w:rsidR="00E14E9A">
        <w:rPr>
          <w:lang w:val="en-US"/>
        </w:rPr>
        <w:t xml:space="preserve"> </w:t>
      </w:r>
      <w:r w:rsidR="00EF09BF" w:rsidRPr="00EF09BF">
        <w:rPr>
          <w:lang w:val="en-US"/>
        </w:rPr>
        <w:t xml:space="preserve">Her use of historical sources, such as John Aubrey’s </w:t>
      </w:r>
      <w:r w:rsidR="00EF09BF" w:rsidRPr="00EF09BF">
        <w:rPr>
          <w:i/>
          <w:iCs/>
          <w:lang w:val="en-US"/>
        </w:rPr>
        <w:t>Miscellanies</w:t>
      </w:r>
      <w:r w:rsidR="00EF09BF" w:rsidRPr="00EF09BF">
        <w:rPr>
          <w:lang w:val="en-US"/>
        </w:rPr>
        <w:t xml:space="preserve"> (1696), provides </w:t>
      </w:r>
      <w:r w:rsidR="000F603E">
        <w:rPr>
          <w:lang w:val="en-US"/>
        </w:rPr>
        <w:t>historical</w:t>
      </w:r>
      <w:r w:rsidR="00EF09BF" w:rsidRPr="00EF09BF">
        <w:rPr>
          <w:lang w:val="en-US"/>
        </w:rPr>
        <w:t xml:space="preserve"> depth, but her analysis would benefit from a stronger engagement with contemporary theoretical frameworks.</w:t>
      </w:r>
      <w:r w:rsidR="00EF09BF">
        <w:rPr>
          <w:rStyle w:val="FootnoteReference"/>
          <w:lang w:val="en-US"/>
        </w:rPr>
        <w:footnoteReference w:id="21"/>
      </w:r>
      <w:r w:rsidR="00EF09BF" w:rsidRPr="009D72BE">
        <w:rPr>
          <w:lang w:val="en-US"/>
        </w:rPr>
        <w:t xml:space="preserve"> </w:t>
      </w:r>
      <w:r w:rsidR="00EF09BF">
        <w:rPr>
          <w:lang w:val="en-US"/>
        </w:rPr>
        <w:t xml:space="preserve"> </w:t>
      </w:r>
      <w:r w:rsidR="002719D8" w:rsidRPr="002719D8">
        <w:rPr>
          <w:lang w:val="en-US"/>
        </w:rPr>
        <w:t>This is particularly evident in her discussion of gender</w:t>
      </w:r>
      <w:r w:rsidR="00967C83">
        <w:rPr>
          <w:lang w:val="en-US"/>
        </w:rPr>
        <w:t xml:space="preserve"> roles. She explains </w:t>
      </w:r>
      <w:r w:rsidR="002719D8">
        <w:rPr>
          <w:lang w:val="en-US"/>
        </w:rPr>
        <w:t>that the participants tell in detail about visionary experiences and in vague lines about the divinatory.</w:t>
      </w:r>
      <w:r w:rsidR="002719D8">
        <w:rPr>
          <w:rStyle w:val="FootnoteReference"/>
          <w:lang w:val="en-US"/>
        </w:rPr>
        <w:footnoteReference w:id="22"/>
      </w:r>
      <w:r w:rsidR="002719D8">
        <w:rPr>
          <w:lang w:val="en-US"/>
        </w:rPr>
        <w:t xml:space="preserve"> </w:t>
      </w:r>
      <w:r w:rsidR="00CE1710">
        <w:rPr>
          <w:lang w:val="en-US"/>
        </w:rPr>
        <w:t xml:space="preserve">She </w:t>
      </w:r>
      <w:r w:rsidR="000F603E">
        <w:rPr>
          <w:lang w:val="en-US"/>
        </w:rPr>
        <w:t>later continues to</w:t>
      </w:r>
      <w:r w:rsidR="00CE1710">
        <w:rPr>
          <w:lang w:val="en-US"/>
        </w:rPr>
        <w:t xml:space="preserve"> argue</w:t>
      </w:r>
      <w:r w:rsidR="00872599" w:rsidRPr="006868B6">
        <w:rPr>
          <w:lang w:val="en-US"/>
        </w:rPr>
        <w:t xml:space="preserve"> that belief in ESP </w:t>
      </w:r>
      <w:r w:rsidR="00872599">
        <w:rPr>
          <w:lang w:val="en-US"/>
        </w:rPr>
        <w:t>“may claim status and yet not challenge the conventional perception of her prop</w:t>
      </w:r>
      <w:r w:rsidR="00CE1710">
        <w:rPr>
          <w:lang w:val="en-US"/>
        </w:rPr>
        <w:t>er</w:t>
      </w:r>
      <w:r w:rsidR="00872599">
        <w:rPr>
          <w:lang w:val="en-US"/>
        </w:rPr>
        <w:t xml:space="preserve"> role,” as a traditional housewife.</w:t>
      </w:r>
      <w:r w:rsidR="00872599">
        <w:rPr>
          <w:rStyle w:val="FootnoteReference"/>
          <w:lang w:val="en-US"/>
        </w:rPr>
        <w:footnoteReference w:id="23"/>
      </w:r>
      <w:r w:rsidR="00872599">
        <w:rPr>
          <w:lang w:val="en-US"/>
        </w:rPr>
        <w:t xml:space="preserve"> </w:t>
      </w:r>
      <w:r w:rsidR="008E3AA8">
        <w:rPr>
          <w:lang w:val="en-US"/>
        </w:rPr>
        <w:t>However,</w:t>
      </w:r>
      <w:r w:rsidR="001C49FD">
        <w:rPr>
          <w:lang w:val="en-US"/>
        </w:rPr>
        <w:t xml:space="preserve"> she</w:t>
      </w:r>
      <w:r w:rsidR="002719D8" w:rsidRPr="002719D8">
        <w:rPr>
          <w:lang w:val="en-US"/>
        </w:rPr>
        <w:t xml:space="preserve"> does not develop this insight through engagement with gender theory. As a result, her interpretation remains suggestive but under-theorised. </w:t>
      </w:r>
      <w:r w:rsidR="00967C83" w:rsidRPr="00967C83">
        <w:rPr>
          <w:lang w:val="en-US"/>
        </w:rPr>
        <w:t xml:space="preserve">This limits the extent to which her findings can be connected to broader academic debates, and makes it more difficult to assess how her conclusions relate to existing discussions of </w:t>
      </w:r>
      <w:r w:rsidR="001C49FD">
        <w:rPr>
          <w:lang w:val="en-US"/>
        </w:rPr>
        <w:t xml:space="preserve">traditional </w:t>
      </w:r>
      <w:r w:rsidR="00967C83" w:rsidRPr="00967C83">
        <w:rPr>
          <w:lang w:val="en-US"/>
        </w:rPr>
        <w:t>gender</w:t>
      </w:r>
      <w:r w:rsidR="001C49FD">
        <w:rPr>
          <w:lang w:val="en-US"/>
        </w:rPr>
        <w:t xml:space="preserve"> roles</w:t>
      </w:r>
      <w:r w:rsidR="00967C83" w:rsidRPr="00967C83">
        <w:rPr>
          <w:lang w:val="en-US"/>
        </w:rPr>
        <w:t xml:space="preserve"> and belief.</w:t>
      </w:r>
      <w:r w:rsidR="00D16946">
        <w:rPr>
          <w:lang w:val="en-US"/>
        </w:rPr>
        <w:t xml:space="preserve"> </w:t>
      </w:r>
    </w:p>
    <w:p w14:paraId="73D54A72" w14:textId="04353981" w:rsidR="002B03FE" w:rsidRPr="00E3717E" w:rsidRDefault="00E3717E" w:rsidP="00EF09BF">
      <w:pPr>
        <w:rPr>
          <w:lang w:val="en-US"/>
        </w:rPr>
      </w:pPr>
      <w:r w:rsidRPr="00E3717E">
        <w:rPr>
          <w:lang w:val="en-US"/>
        </w:rPr>
        <w:t xml:space="preserve">In terms of writing style and structure, both texts are generally organised, but they differ in how clearly their arguments come across. Walter and Waterhouse follow a more conventional academic structure, moving from survey data to interview findings and then to theoretical interpretation, which makes their argument relatively easy to follow. Bennett’s chapter, by contrast, is more narrative in style, moving between historical discussion, participant accounts, and interpretation. While this allows for a richer presentation of the </w:t>
      </w:r>
      <w:r w:rsidR="00E161D2">
        <w:rPr>
          <w:lang w:val="en-US"/>
        </w:rPr>
        <w:t>lived experience of the participants</w:t>
      </w:r>
      <w:r w:rsidRPr="00E3717E">
        <w:rPr>
          <w:lang w:val="en-US"/>
        </w:rPr>
        <w:t>, the structure is less clearly signposted, which at times makes the overall argument harder to follow.</w:t>
      </w:r>
    </w:p>
    <w:p w14:paraId="75EE07B7" w14:textId="77777777" w:rsidR="00E52A54" w:rsidRPr="00E52A54" w:rsidRDefault="00E52A54" w:rsidP="00D54BFC">
      <w:pPr>
        <w:rPr>
          <w:bCs/>
          <w:lang w:val="en-US"/>
        </w:rPr>
      </w:pPr>
    </w:p>
    <w:p w14:paraId="62F506AC" w14:textId="6DAC3D77" w:rsidR="0063149B" w:rsidRPr="00676EFB" w:rsidRDefault="0063149B" w:rsidP="00676EFB">
      <w:pPr>
        <w:pStyle w:val="ListParagraph"/>
        <w:numPr>
          <w:ilvl w:val="0"/>
          <w:numId w:val="10"/>
        </w:numPr>
        <w:rPr>
          <w:b/>
          <w:lang w:val="en-US"/>
        </w:rPr>
      </w:pPr>
      <w:r w:rsidRPr="00676EFB">
        <w:rPr>
          <w:b/>
          <w:lang w:val="en-US"/>
        </w:rPr>
        <w:t>Ethics</w:t>
      </w:r>
    </w:p>
    <w:p w14:paraId="43F9284A" w14:textId="44542429" w:rsidR="001516C7" w:rsidRPr="001516C7" w:rsidRDefault="00FC6BF0" w:rsidP="001516C7">
      <w:pPr>
        <w:rPr>
          <w:bCs/>
          <w:lang w:val="en-US"/>
        </w:rPr>
      </w:pPr>
      <w:r w:rsidRPr="00FC6BF0">
        <w:rPr>
          <w:bCs/>
          <w:lang w:val="en-US"/>
        </w:rPr>
        <w:t xml:space="preserve">Both studies provide limited discussion of ethical procedures, which reflects research practices of the 1990s, when formal ethical protocols were less consistently reported. </w:t>
      </w:r>
      <w:r w:rsidR="002B2E2C">
        <w:rPr>
          <w:bCs/>
          <w:lang w:val="en-US"/>
        </w:rPr>
        <w:t xml:space="preserve">Hammersley and Traianou discuss the </w:t>
      </w:r>
      <w:r w:rsidR="001516C7">
        <w:rPr>
          <w:bCs/>
          <w:lang w:val="en-US"/>
        </w:rPr>
        <w:t xml:space="preserve">history of </w:t>
      </w:r>
      <w:r w:rsidR="005253C8">
        <w:rPr>
          <w:bCs/>
          <w:lang w:val="en-US"/>
        </w:rPr>
        <w:t>the development of e</w:t>
      </w:r>
      <w:r w:rsidR="001516C7">
        <w:rPr>
          <w:bCs/>
          <w:lang w:val="en-US"/>
        </w:rPr>
        <w:t xml:space="preserve">thics in the social sciences in their book </w:t>
      </w:r>
      <w:r w:rsidR="001516C7" w:rsidRPr="001516C7">
        <w:rPr>
          <w:bCs/>
          <w:i/>
          <w:iCs/>
          <w:lang w:val="en-US"/>
        </w:rPr>
        <w:t>Ethics in Qualitative Research</w:t>
      </w:r>
      <w:r w:rsidR="001516C7">
        <w:rPr>
          <w:bCs/>
          <w:lang w:val="en-US"/>
        </w:rPr>
        <w:t xml:space="preserve"> (20</w:t>
      </w:r>
      <w:r w:rsidR="001036D7">
        <w:rPr>
          <w:bCs/>
          <w:lang w:val="en-US"/>
        </w:rPr>
        <w:t>12</w:t>
      </w:r>
      <w:r w:rsidR="001516C7">
        <w:rPr>
          <w:bCs/>
          <w:lang w:val="en-US"/>
        </w:rPr>
        <w:t>). They note that only i</w:t>
      </w:r>
      <w:r w:rsidR="001516C7" w:rsidRPr="001516C7">
        <w:rPr>
          <w:bCs/>
          <w:lang w:val="en-US"/>
        </w:rPr>
        <w:t>n recent decades there has been a major shift towards the ethical regulation</w:t>
      </w:r>
      <w:r w:rsidR="001516C7">
        <w:rPr>
          <w:bCs/>
          <w:lang w:val="en-US"/>
        </w:rPr>
        <w:t>.</w:t>
      </w:r>
      <w:r w:rsidR="001516C7">
        <w:rPr>
          <w:rStyle w:val="FootnoteReference"/>
          <w:bCs/>
          <w:lang w:val="en-US"/>
        </w:rPr>
        <w:footnoteReference w:id="24"/>
      </w:r>
      <w:r w:rsidR="00F925ED">
        <w:rPr>
          <w:bCs/>
          <w:lang w:val="en-US"/>
        </w:rPr>
        <w:t xml:space="preserve"> </w:t>
      </w:r>
    </w:p>
    <w:p w14:paraId="3ED4BFA4" w14:textId="77777777" w:rsidR="005C0B3B" w:rsidRDefault="005C0B3B" w:rsidP="005C0B3B">
      <w:pPr>
        <w:rPr>
          <w:lang w:val="en-US"/>
        </w:rPr>
      </w:pPr>
      <w:r>
        <w:rPr>
          <w:lang w:val="en-US"/>
        </w:rPr>
        <w:t xml:space="preserve">Bennett’s position </w:t>
      </w:r>
      <w:r w:rsidRPr="009D72BE">
        <w:rPr>
          <w:lang w:val="en-US"/>
        </w:rPr>
        <w:t xml:space="preserve">raises several concerns. </w:t>
      </w:r>
      <w:r>
        <w:rPr>
          <w:lang w:val="en-US"/>
        </w:rPr>
        <w:t xml:space="preserve"> As she mentions: </w:t>
      </w:r>
    </w:p>
    <w:p w14:paraId="02C8CDCC" w14:textId="77777777" w:rsidR="005C0B3B" w:rsidRDefault="005C0B3B" w:rsidP="005C0B3B">
      <w:pPr>
        <w:ind w:left="708"/>
        <w:rPr>
          <w:lang w:val="en-US"/>
        </w:rPr>
      </w:pPr>
      <w:r>
        <w:rPr>
          <w:lang w:val="en-US"/>
        </w:rPr>
        <w:t>“Since the subject of my research might be thought “delicate” or controversial, I had to find a venue conducive to personal conversation, and an intermediary to introduce me to potential informants and put them at their ease.”</w:t>
      </w:r>
      <w:r>
        <w:rPr>
          <w:rStyle w:val="FootnoteReference"/>
          <w:lang w:val="en-US"/>
        </w:rPr>
        <w:footnoteReference w:id="25"/>
      </w:r>
      <w:r>
        <w:rPr>
          <w:lang w:val="en-US"/>
        </w:rPr>
        <w:t xml:space="preserve"> </w:t>
      </w:r>
    </w:p>
    <w:p w14:paraId="6C8BCF11" w14:textId="34098359" w:rsidR="005C0B3B" w:rsidRPr="00AA7185" w:rsidRDefault="00137328" w:rsidP="005C0B3B">
      <w:pPr>
        <w:rPr>
          <w:lang w:val="en-US"/>
        </w:rPr>
      </w:pPr>
      <w:r>
        <w:rPr>
          <w:lang w:val="en-US"/>
        </w:rPr>
        <w:lastRenderedPageBreak/>
        <w:t>Since Bennett</w:t>
      </w:r>
      <w:r w:rsidR="005C0B3B" w:rsidRPr="009D72BE">
        <w:rPr>
          <w:lang w:val="en-US"/>
        </w:rPr>
        <w:t xml:space="preserve"> </w:t>
      </w:r>
      <w:r w:rsidR="005C0B3B">
        <w:rPr>
          <w:lang w:val="en-US"/>
        </w:rPr>
        <w:t>conduct</w:t>
      </w:r>
      <w:r>
        <w:rPr>
          <w:lang w:val="en-US"/>
        </w:rPr>
        <w:t>ed the</w:t>
      </w:r>
      <w:r w:rsidR="005C0B3B" w:rsidRPr="009D72BE">
        <w:rPr>
          <w:lang w:val="en-US"/>
        </w:rPr>
        <w:t xml:space="preserve"> interviews within her father’s medical practice</w:t>
      </w:r>
      <w:r>
        <w:rPr>
          <w:lang w:val="en-US"/>
        </w:rPr>
        <w:t>,</w:t>
      </w:r>
      <w:r w:rsidR="005C0B3B" w:rsidRPr="009D72BE">
        <w:rPr>
          <w:lang w:val="en-US"/>
        </w:rPr>
        <w:t xml:space="preserve"> and relied on him as an intermediary</w:t>
      </w:r>
      <w:r>
        <w:rPr>
          <w:lang w:val="en-US"/>
        </w:rPr>
        <w:t xml:space="preserve">, </w:t>
      </w:r>
      <w:r w:rsidR="005C0B3B" w:rsidRPr="000B5926">
        <w:rPr>
          <w:lang w:val="en-US"/>
        </w:rPr>
        <w:t>this arrangement potentially created a power imbalance that may have influenced participation and responses</w:t>
      </w:r>
      <w:r w:rsidR="005C0B3B" w:rsidRPr="009D72BE">
        <w:rPr>
          <w:lang w:val="en-US"/>
        </w:rPr>
        <w:t>.</w:t>
      </w:r>
      <w:r w:rsidR="005C0B3B">
        <w:rPr>
          <w:lang w:val="en-US"/>
        </w:rPr>
        <w:t xml:space="preserve"> </w:t>
      </w:r>
      <w:r w:rsidR="005C0B3B" w:rsidRPr="00F332CB">
        <w:rPr>
          <w:lang w:val="en-US"/>
        </w:rPr>
        <w:t>Bennett also obtained demographic and religious information through her father</w:t>
      </w:r>
      <w:r w:rsidR="005C0B3B" w:rsidRPr="009D72BE">
        <w:rPr>
          <w:lang w:val="en-US"/>
        </w:rPr>
        <w:t>.</w:t>
      </w:r>
      <w:r w:rsidR="005C0B3B">
        <w:rPr>
          <w:rStyle w:val="FootnoteReference"/>
          <w:lang w:val="en-US"/>
        </w:rPr>
        <w:footnoteReference w:id="26"/>
      </w:r>
      <w:r w:rsidR="005C0B3B" w:rsidRPr="009D72BE">
        <w:rPr>
          <w:lang w:val="en-US"/>
        </w:rPr>
        <w:t xml:space="preserve"> This would now raise </w:t>
      </w:r>
      <w:r w:rsidR="005C0B3B">
        <w:rPr>
          <w:lang w:val="en-US"/>
        </w:rPr>
        <w:t xml:space="preserve">ethical </w:t>
      </w:r>
      <w:r w:rsidR="005C0B3B" w:rsidRPr="009D72BE">
        <w:rPr>
          <w:lang w:val="en-US"/>
        </w:rPr>
        <w:t>concerns regarding confidentiality.</w:t>
      </w:r>
      <w:r w:rsidR="0024265B">
        <w:rPr>
          <w:lang w:val="en-US"/>
        </w:rPr>
        <w:t xml:space="preserve"> </w:t>
      </w:r>
      <w:r w:rsidR="0044230F">
        <w:rPr>
          <w:lang w:val="en-US"/>
        </w:rPr>
        <w:t xml:space="preserve">As </w:t>
      </w:r>
      <w:r w:rsidR="007B585B">
        <w:rPr>
          <w:lang w:val="en-US"/>
        </w:rPr>
        <w:t>Hennink</w:t>
      </w:r>
      <w:r w:rsidR="0044230F">
        <w:rPr>
          <w:lang w:val="en-US"/>
        </w:rPr>
        <w:t xml:space="preserve"> state</w:t>
      </w:r>
      <w:r w:rsidR="007B585B">
        <w:rPr>
          <w:lang w:val="en-US"/>
        </w:rPr>
        <w:t>s:</w:t>
      </w:r>
      <w:r w:rsidR="0044230F">
        <w:rPr>
          <w:lang w:val="en-US"/>
        </w:rPr>
        <w:t xml:space="preserve"> “</w:t>
      </w:r>
      <w:r w:rsidR="00056BCB" w:rsidRPr="00056BCB">
        <w:rPr>
          <w:lang w:val="en-US"/>
        </w:rPr>
        <w:t>Confidentiality refers to not disclosing information that is discussed between the researcher and the participant.</w:t>
      </w:r>
      <w:r w:rsidR="00056BCB">
        <w:rPr>
          <w:lang w:val="en-US"/>
        </w:rPr>
        <w:t>”</w:t>
      </w:r>
      <w:r>
        <w:rPr>
          <w:rStyle w:val="FootnoteReference"/>
          <w:lang w:val="en-US"/>
        </w:rPr>
        <w:footnoteReference w:id="27"/>
      </w:r>
      <w:r w:rsidR="005C0B3B" w:rsidRPr="009D72BE">
        <w:rPr>
          <w:lang w:val="en-US"/>
        </w:rPr>
        <w:t xml:space="preserve"> </w:t>
      </w:r>
      <w:r w:rsidR="00056BCB">
        <w:rPr>
          <w:lang w:val="en-US"/>
        </w:rPr>
        <w:t xml:space="preserve">Now Bennett’s father would have been present during those conversations. </w:t>
      </w:r>
      <w:r w:rsidR="005C0B3B" w:rsidRPr="009D72BE">
        <w:rPr>
          <w:lang w:val="en-US"/>
        </w:rPr>
        <w:t xml:space="preserve">Although Bennett indicates that she explained her research and obtained permission to record conversations, the chapter contains little explicit discussion </w:t>
      </w:r>
      <w:r w:rsidR="00C53B87">
        <w:rPr>
          <w:lang w:val="en-US"/>
        </w:rPr>
        <w:t xml:space="preserve">of ethical considerations or </w:t>
      </w:r>
      <w:r w:rsidR="00936E82">
        <w:rPr>
          <w:lang w:val="en-US"/>
        </w:rPr>
        <w:t>the impact of the setting</w:t>
      </w:r>
      <w:r w:rsidR="005C0B3B" w:rsidRPr="009D72BE">
        <w:rPr>
          <w:lang w:val="en-US"/>
        </w:rPr>
        <w:t>.</w:t>
      </w:r>
      <w:r w:rsidR="005C0B3B">
        <w:rPr>
          <w:lang w:val="en-US"/>
        </w:rPr>
        <w:t xml:space="preserve"> </w:t>
      </w:r>
      <w:r w:rsidR="005C0B3B" w:rsidRPr="002B5112">
        <w:rPr>
          <w:lang w:val="en-US"/>
        </w:rPr>
        <w:t>Many participants also attended the same Methodist church as Bennett’s father, which may have influenced how openly</w:t>
      </w:r>
      <w:r w:rsidR="00936E82">
        <w:rPr>
          <w:lang w:val="en-US"/>
        </w:rPr>
        <w:t xml:space="preserve"> and honestly</w:t>
      </w:r>
      <w:r w:rsidR="005C0B3B" w:rsidRPr="002B5112">
        <w:rPr>
          <w:lang w:val="en-US"/>
        </w:rPr>
        <w:t xml:space="preserve"> they </w:t>
      </w:r>
      <w:r w:rsidR="00936E82">
        <w:rPr>
          <w:lang w:val="en-US"/>
        </w:rPr>
        <w:t>discussed</w:t>
      </w:r>
      <w:r w:rsidR="005C0B3B" w:rsidRPr="002B5112">
        <w:rPr>
          <w:lang w:val="en-US"/>
        </w:rPr>
        <w:t xml:space="preserve"> a potentially </w:t>
      </w:r>
      <w:r w:rsidR="005C0B3B">
        <w:rPr>
          <w:lang w:val="en-US"/>
        </w:rPr>
        <w:t>“delicate” or “</w:t>
      </w:r>
      <w:r w:rsidR="005C0B3B" w:rsidRPr="002B5112">
        <w:rPr>
          <w:lang w:val="en-US"/>
        </w:rPr>
        <w:t>controversial</w:t>
      </w:r>
      <w:r w:rsidR="005C0B3B">
        <w:rPr>
          <w:lang w:val="en-US"/>
        </w:rPr>
        <w:t>”</w:t>
      </w:r>
      <w:r w:rsidR="005C0B3B" w:rsidRPr="002B5112">
        <w:rPr>
          <w:lang w:val="en-US"/>
        </w:rPr>
        <w:t xml:space="preserve"> topic.</w:t>
      </w:r>
      <w:r w:rsidR="00936E82">
        <w:rPr>
          <w:lang w:val="en-US"/>
        </w:rPr>
        <w:t xml:space="preserve"> </w:t>
      </w:r>
    </w:p>
    <w:p w14:paraId="4CECCF0C" w14:textId="1A69D11A" w:rsidR="00A20107" w:rsidRDefault="00A20107" w:rsidP="00A20107">
      <w:pPr>
        <w:rPr>
          <w:lang w:val="en-US"/>
        </w:rPr>
      </w:pPr>
      <w:r w:rsidRPr="00A20107">
        <w:rPr>
          <w:lang w:val="en-US"/>
        </w:rPr>
        <w:t>Similarly, Walter and Waterhouse provide little information about participant anonymity, informed consent, or ethical procedures.</w:t>
      </w:r>
      <w:r w:rsidR="00936E82">
        <w:rPr>
          <w:lang w:val="en-US"/>
        </w:rPr>
        <w:t xml:space="preserve"> T</w:t>
      </w:r>
      <w:r w:rsidRPr="00A20107">
        <w:rPr>
          <w:lang w:val="en-US"/>
        </w:rPr>
        <w:t>his lack of transparency makes it difficult to assess how ethical considerations were addressed. This is particularly relevant given that part of their data is drawn from group interviews with schoolchildren, who constitute a more vulnerable group and would require careful ethical consideration regarding consent and participation.</w:t>
      </w:r>
    </w:p>
    <w:p w14:paraId="2B388149" w14:textId="77777777" w:rsidR="00676EFB" w:rsidRPr="00A20107" w:rsidRDefault="00676EFB" w:rsidP="00A20107">
      <w:pPr>
        <w:rPr>
          <w:lang w:val="en-US"/>
        </w:rPr>
      </w:pPr>
    </w:p>
    <w:p w14:paraId="37ED8E98" w14:textId="197AE1B7" w:rsidR="00F0359C" w:rsidRDefault="00F0359C">
      <w:pPr>
        <w:rPr>
          <w:lang w:val="en-GB"/>
        </w:rPr>
      </w:pPr>
      <w:r w:rsidRPr="00267FDF">
        <w:rPr>
          <w:b/>
          <w:bCs/>
          <w:lang w:val="en-GB"/>
        </w:rPr>
        <w:t>Conclusion</w:t>
      </w:r>
      <w:r w:rsidR="009D78C7">
        <w:rPr>
          <w:lang w:val="en-GB"/>
        </w:rPr>
        <w:t xml:space="preserve"> </w:t>
      </w:r>
    </w:p>
    <w:p w14:paraId="3DE88B88" w14:textId="72DB4071" w:rsidR="0032700B" w:rsidRPr="0032700B" w:rsidRDefault="0032700B" w:rsidP="0032700B">
      <w:pPr>
        <w:rPr>
          <w:bCs/>
          <w:lang w:val="en-US"/>
        </w:rPr>
      </w:pPr>
      <w:r w:rsidRPr="0032700B">
        <w:rPr>
          <w:bCs/>
          <w:lang w:val="en-US"/>
        </w:rPr>
        <w:t xml:space="preserve">In conclusion, the comparison between </w:t>
      </w:r>
      <w:r w:rsidR="005F36F2">
        <w:rPr>
          <w:bCs/>
          <w:lang w:val="en-US"/>
        </w:rPr>
        <w:t>the two texts</w:t>
      </w:r>
      <w:r w:rsidRPr="0032700B">
        <w:rPr>
          <w:bCs/>
          <w:lang w:val="en-US"/>
        </w:rPr>
        <w:t xml:space="preserve"> show </w:t>
      </w:r>
      <w:r w:rsidR="00936E82">
        <w:rPr>
          <w:bCs/>
          <w:lang w:val="en-US"/>
        </w:rPr>
        <w:t>both similarities and</w:t>
      </w:r>
      <w:r w:rsidRPr="0032700B">
        <w:rPr>
          <w:bCs/>
          <w:lang w:val="en-US"/>
        </w:rPr>
        <w:t xml:space="preserve"> differences in how they approach the study of belief. Walter and Waterhouse use a mixed</w:t>
      </w:r>
      <w:r w:rsidR="00606C05">
        <w:rPr>
          <w:bCs/>
          <w:lang w:val="en-US"/>
        </w:rPr>
        <w:t xml:space="preserve"> </w:t>
      </w:r>
      <w:r w:rsidRPr="0032700B">
        <w:rPr>
          <w:bCs/>
          <w:lang w:val="en-US"/>
        </w:rPr>
        <w:t xml:space="preserve">method approach and </w:t>
      </w:r>
      <w:r w:rsidR="00936E82">
        <w:rPr>
          <w:bCs/>
          <w:lang w:val="en-US"/>
        </w:rPr>
        <w:t>focus on</w:t>
      </w:r>
      <w:r w:rsidRPr="0032700B">
        <w:rPr>
          <w:bCs/>
          <w:lang w:val="en-US"/>
        </w:rPr>
        <w:t xml:space="preserve"> broader patterns in belief, but their small and selective sample limits how representative their findings can be</w:t>
      </w:r>
      <w:r w:rsidR="00606C05">
        <w:rPr>
          <w:bCs/>
          <w:lang w:val="en-US"/>
        </w:rPr>
        <w:t xml:space="preserve"> for the English population</w:t>
      </w:r>
      <w:r w:rsidRPr="0032700B">
        <w:rPr>
          <w:bCs/>
          <w:lang w:val="en-US"/>
        </w:rPr>
        <w:t>. Bennett, by contrast, focuses on a specific social group</w:t>
      </w:r>
      <w:r w:rsidR="005C70DC">
        <w:rPr>
          <w:bCs/>
          <w:lang w:val="en-US"/>
        </w:rPr>
        <w:t xml:space="preserve">. She provides rich detail but </w:t>
      </w:r>
      <w:r w:rsidRPr="0032700B">
        <w:rPr>
          <w:bCs/>
          <w:lang w:val="en-US"/>
        </w:rPr>
        <w:t>her findings</w:t>
      </w:r>
      <w:r w:rsidR="005C70DC">
        <w:rPr>
          <w:bCs/>
          <w:lang w:val="en-US"/>
        </w:rPr>
        <w:t xml:space="preserve"> are</w:t>
      </w:r>
      <w:r w:rsidRPr="0032700B">
        <w:rPr>
          <w:bCs/>
          <w:lang w:val="en-US"/>
        </w:rPr>
        <w:t xml:space="preserve"> less easy to</w:t>
      </w:r>
      <w:r w:rsidR="00606C05">
        <w:rPr>
          <w:bCs/>
          <w:lang w:val="en-US"/>
        </w:rPr>
        <w:t xml:space="preserve"> generalise</w:t>
      </w:r>
      <w:r w:rsidR="005C70DC">
        <w:rPr>
          <w:bCs/>
          <w:lang w:val="en-US"/>
        </w:rPr>
        <w:t xml:space="preserve"> to other contexts</w:t>
      </w:r>
      <w:r w:rsidR="00606C05">
        <w:rPr>
          <w:bCs/>
          <w:lang w:val="en-US"/>
        </w:rPr>
        <w:t xml:space="preserve">. </w:t>
      </w:r>
    </w:p>
    <w:p w14:paraId="1D3DAABD" w14:textId="38F64ABC" w:rsidR="0032700B" w:rsidRPr="0032700B" w:rsidRDefault="0032700B" w:rsidP="0032700B">
      <w:pPr>
        <w:rPr>
          <w:bCs/>
          <w:lang w:val="en-US"/>
        </w:rPr>
      </w:pPr>
      <w:r w:rsidRPr="0032700B">
        <w:rPr>
          <w:bCs/>
          <w:lang w:val="en-US"/>
        </w:rPr>
        <w:t>Bennett’s closer connection to her research raises the possibility of interpretive bias</w:t>
      </w:r>
      <w:r w:rsidR="000E1C9C">
        <w:rPr>
          <w:bCs/>
          <w:lang w:val="en-US"/>
        </w:rPr>
        <w:t xml:space="preserve"> and ethical issues</w:t>
      </w:r>
      <w:r w:rsidRPr="0032700B">
        <w:rPr>
          <w:bCs/>
          <w:lang w:val="en-US"/>
        </w:rPr>
        <w:t>. Walter and Waterhouse’s more distanced position leads to a more structured and detached analysis, but limits the depth of insight into participants’ lived experiences.</w:t>
      </w:r>
    </w:p>
    <w:p w14:paraId="61CBCF54" w14:textId="5A3BA08F" w:rsidR="0032700B" w:rsidRPr="0032700B" w:rsidRDefault="0032700B" w:rsidP="0032700B">
      <w:pPr>
        <w:rPr>
          <w:bCs/>
          <w:lang w:val="en-US"/>
        </w:rPr>
      </w:pPr>
      <w:r w:rsidRPr="0032700B">
        <w:rPr>
          <w:bCs/>
          <w:lang w:val="en-US"/>
        </w:rPr>
        <w:t xml:space="preserve">The two studies also differ in how they use academic literature. Walter and Waterhouse engage more extensively with existing scholarship and clearly place their work within wider academic debates, although some of their sources raise questions about accessibility and interpretation. Bennett, on the other hand, focuses more on </w:t>
      </w:r>
      <w:r w:rsidR="00936E82">
        <w:rPr>
          <w:bCs/>
          <w:lang w:val="en-US"/>
        </w:rPr>
        <w:t>interview data</w:t>
      </w:r>
      <w:r w:rsidRPr="0032700B">
        <w:rPr>
          <w:bCs/>
          <w:lang w:val="en-US"/>
        </w:rPr>
        <w:t xml:space="preserve"> and engages less with broader theoretical frameworks, which makes her analysis more self-contained and at times under-theorised.</w:t>
      </w:r>
    </w:p>
    <w:p w14:paraId="2D832769" w14:textId="4D93C642" w:rsidR="00F0359C" w:rsidRDefault="0032700B" w:rsidP="00346390">
      <w:pPr>
        <w:rPr>
          <w:bCs/>
          <w:lang w:val="en-US"/>
        </w:rPr>
      </w:pPr>
      <w:r w:rsidRPr="0032700B">
        <w:rPr>
          <w:bCs/>
          <w:lang w:val="en-US"/>
        </w:rPr>
        <w:t xml:space="preserve">Finally, both studies provide limited discussion of ethical procedures, </w:t>
      </w:r>
      <w:r w:rsidR="00936E82">
        <w:rPr>
          <w:bCs/>
          <w:lang w:val="en-US"/>
        </w:rPr>
        <w:t>which reflects the</w:t>
      </w:r>
      <w:r w:rsidRPr="0032700B">
        <w:rPr>
          <w:bCs/>
          <w:lang w:val="en-US"/>
        </w:rPr>
        <w:t xml:space="preserve"> research practices of the</w:t>
      </w:r>
      <w:r w:rsidR="00936E82">
        <w:rPr>
          <w:bCs/>
          <w:lang w:val="en-US"/>
        </w:rPr>
        <w:t>ir</w:t>
      </w:r>
      <w:r w:rsidRPr="0032700B">
        <w:rPr>
          <w:bCs/>
          <w:lang w:val="en-US"/>
        </w:rPr>
        <w:t xml:space="preserve"> time, although Bennett’s research setting and Walter and Waterhouse’s use of schoolchildren raise particular ethical concerns. Overall, the comparison shows how differences in methodology, researcher position, and use of literature shape both the strengths and limitations of each study.</w:t>
      </w:r>
    </w:p>
    <w:p w14:paraId="0D5E11DD" w14:textId="77777777" w:rsidR="00760DE1" w:rsidRDefault="00760DE1" w:rsidP="00346390">
      <w:pPr>
        <w:rPr>
          <w:bCs/>
          <w:lang w:val="en-US"/>
        </w:rPr>
      </w:pPr>
    </w:p>
    <w:p w14:paraId="664EE6C1" w14:textId="77777777" w:rsidR="00760DE1" w:rsidRDefault="00760DE1" w:rsidP="00346390">
      <w:pPr>
        <w:rPr>
          <w:bCs/>
          <w:lang w:val="en-US"/>
        </w:rPr>
      </w:pPr>
    </w:p>
    <w:p w14:paraId="43DDC13E" w14:textId="77777777" w:rsidR="00760DE1" w:rsidRDefault="00760DE1" w:rsidP="00760DE1">
      <w:pPr>
        <w:rPr>
          <w:b/>
          <w:bCs/>
          <w:lang w:val="en-GB"/>
        </w:rPr>
      </w:pPr>
      <w:r w:rsidRPr="00267FDF">
        <w:rPr>
          <w:b/>
          <w:bCs/>
          <w:lang w:val="en-GB"/>
        </w:rPr>
        <w:lastRenderedPageBreak/>
        <w:t>Bibliography</w:t>
      </w:r>
    </w:p>
    <w:p w14:paraId="2D4B37D9" w14:textId="77777777" w:rsidR="00760DE1" w:rsidRDefault="00760DE1" w:rsidP="00760DE1">
      <w:pPr>
        <w:pStyle w:val="FootnoteText"/>
        <w:rPr>
          <w:sz w:val="22"/>
          <w:szCs w:val="22"/>
          <w:lang w:val="en-US"/>
        </w:rPr>
      </w:pPr>
      <w:r w:rsidRPr="00991102">
        <w:rPr>
          <w:sz w:val="22"/>
          <w:szCs w:val="22"/>
          <w:lang w:val="en-US"/>
        </w:rPr>
        <w:t xml:space="preserve">Bennett, Gillian, ‘“If I Knew You Were Coming, I’d Have Baked a Cake”: The Folklore of Foreknowledge in a Neighborhood Group’, in </w:t>
      </w:r>
      <w:r w:rsidRPr="00991102">
        <w:rPr>
          <w:i/>
          <w:iCs/>
          <w:sz w:val="22"/>
          <w:szCs w:val="22"/>
          <w:lang w:val="en-US"/>
        </w:rPr>
        <w:t>Out of the Ordinary: Folklore and the Supernatural</w:t>
      </w:r>
      <w:r w:rsidRPr="00991102">
        <w:rPr>
          <w:sz w:val="22"/>
          <w:szCs w:val="22"/>
          <w:lang w:val="en-US"/>
        </w:rPr>
        <w:t xml:space="preserve">, </w:t>
      </w:r>
      <w:r>
        <w:rPr>
          <w:sz w:val="22"/>
          <w:szCs w:val="22"/>
          <w:lang w:val="en-US"/>
        </w:rPr>
        <w:t>ed.</w:t>
      </w:r>
      <w:r w:rsidRPr="00991102">
        <w:rPr>
          <w:sz w:val="22"/>
          <w:szCs w:val="22"/>
          <w:lang w:val="en-US"/>
        </w:rPr>
        <w:t xml:space="preserve"> by Barbara Walker</w:t>
      </w:r>
      <w:r>
        <w:rPr>
          <w:sz w:val="22"/>
          <w:szCs w:val="22"/>
          <w:lang w:val="en-US"/>
        </w:rPr>
        <w:t>, (</w:t>
      </w:r>
      <w:r w:rsidRPr="00991102">
        <w:rPr>
          <w:sz w:val="22"/>
          <w:szCs w:val="22"/>
          <w:lang w:val="en-US"/>
        </w:rPr>
        <w:t>Logan: Utah State University Press, 1995</w:t>
      </w:r>
      <w:r>
        <w:rPr>
          <w:sz w:val="22"/>
          <w:szCs w:val="22"/>
          <w:lang w:val="en-US"/>
        </w:rPr>
        <w:t>),</w:t>
      </w:r>
      <w:r w:rsidRPr="00991102">
        <w:rPr>
          <w:sz w:val="22"/>
          <w:szCs w:val="22"/>
          <w:lang w:val="en-US"/>
        </w:rPr>
        <w:t xml:space="preserve"> pp. 122–142</w:t>
      </w:r>
      <w:r>
        <w:rPr>
          <w:sz w:val="22"/>
          <w:szCs w:val="22"/>
          <w:lang w:val="en-US"/>
        </w:rPr>
        <w:t>.</w:t>
      </w:r>
    </w:p>
    <w:p w14:paraId="39AA4EE2" w14:textId="77777777" w:rsidR="00760DE1" w:rsidRDefault="00760DE1" w:rsidP="00760DE1">
      <w:pPr>
        <w:pStyle w:val="FootnoteText"/>
        <w:rPr>
          <w:sz w:val="22"/>
          <w:szCs w:val="22"/>
          <w:lang w:val="en-US"/>
        </w:rPr>
      </w:pPr>
    </w:p>
    <w:p w14:paraId="55A0FFC7" w14:textId="77777777" w:rsidR="00760DE1" w:rsidRPr="00760DE1" w:rsidRDefault="00760DE1" w:rsidP="00760DE1">
      <w:pPr>
        <w:pStyle w:val="FootnoteText"/>
        <w:rPr>
          <w:sz w:val="22"/>
          <w:szCs w:val="22"/>
          <w:lang w:val="en-US"/>
        </w:rPr>
      </w:pPr>
      <w:r w:rsidRPr="00E10E32">
        <w:rPr>
          <w:sz w:val="22"/>
          <w:szCs w:val="22"/>
          <w:lang w:val="en-US"/>
        </w:rPr>
        <w:t xml:space="preserve">Hammersley, Martyn, and Anna Traianou. </w:t>
      </w:r>
      <w:r w:rsidRPr="00E10E32">
        <w:rPr>
          <w:i/>
          <w:iCs/>
          <w:sz w:val="22"/>
          <w:szCs w:val="22"/>
          <w:lang w:val="en-US"/>
        </w:rPr>
        <w:t>Ethics in Qualitative Research: Controversies and Contexts</w:t>
      </w:r>
      <w:r w:rsidRPr="00E10E32">
        <w:rPr>
          <w:sz w:val="22"/>
          <w:szCs w:val="22"/>
          <w:lang w:val="en-US"/>
        </w:rPr>
        <w:t xml:space="preserve">. </w:t>
      </w:r>
      <w:r>
        <w:rPr>
          <w:sz w:val="22"/>
          <w:szCs w:val="22"/>
          <w:lang w:val="en-US"/>
        </w:rPr>
        <w:t>(</w:t>
      </w:r>
      <w:r w:rsidRPr="00760DE1">
        <w:rPr>
          <w:sz w:val="22"/>
          <w:szCs w:val="22"/>
          <w:lang w:val="en-US"/>
        </w:rPr>
        <w:t>London: Sage), 2012.</w:t>
      </w:r>
    </w:p>
    <w:p w14:paraId="1C8160AB" w14:textId="77777777" w:rsidR="00760DE1" w:rsidRDefault="00760DE1" w:rsidP="00760DE1">
      <w:pPr>
        <w:pStyle w:val="FootnoteText"/>
        <w:rPr>
          <w:sz w:val="22"/>
          <w:szCs w:val="22"/>
          <w:lang w:val="en-US"/>
        </w:rPr>
      </w:pPr>
    </w:p>
    <w:p w14:paraId="2A663EC3" w14:textId="77777777" w:rsidR="00760DE1" w:rsidRPr="00F75E1D" w:rsidRDefault="00760DE1" w:rsidP="00760DE1">
      <w:pPr>
        <w:pStyle w:val="FootnoteText"/>
        <w:rPr>
          <w:sz w:val="22"/>
          <w:szCs w:val="22"/>
          <w:lang w:val="en-US"/>
        </w:rPr>
      </w:pPr>
      <w:r w:rsidRPr="00585AE2">
        <w:rPr>
          <w:sz w:val="22"/>
          <w:szCs w:val="22"/>
          <w:lang w:val="en-US"/>
        </w:rPr>
        <w:t xml:space="preserve">Hennink, Monique, Inge Hutter and Ajay Bailey. </w:t>
      </w:r>
      <w:r w:rsidRPr="00585AE2">
        <w:rPr>
          <w:i/>
          <w:iCs/>
          <w:sz w:val="22"/>
          <w:szCs w:val="22"/>
          <w:lang w:val="en-US"/>
        </w:rPr>
        <w:t>Qualitative Research Methods</w:t>
      </w:r>
      <w:r w:rsidRPr="00585AE2">
        <w:rPr>
          <w:sz w:val="22"/>
          <w:szCs w:val="22"/>
          <w:lang w:val="en-US"/>
        </w:rPr>
        <w:t xml:space="preserve">. 2nd edn. </w:t>
      </w:r>
      <w:r>
        <w:rPr>
          <w:sz w:val="22"/>
          <w:szCs w:val="22"/>
          <w:lang w:val="en-US"/>
        </w:rPr>
        <w:t>(</w:t>
      </w:r>
      <w:r w:rsidRPr="00760DE1">
        <w:rPr>
          <w:sz w:val="22"/>
          <w:szCs w:val="22"/>
          <w:lang w:val="en-US"/>
        </w:rPr>
        <w:t>Los Angeles and London: Sage), 2020.</w:t>
      </w:r>
    </w:p>
    <w:p w14:paraId="2F8292FC" w14:textId="77777777" w:rsidR="00760DE1" w:rsidRPr="00991102" w:rsidRDefault="00760DE1" w:rsidP="00760DE1">
      <w:pPr>
        <w:pStyle w:val="FootnoteText"/>
        <w:rPr>
          <w:sz w:val="22"/>
          <w:szCs w:val="22"/>
          <w:lang w:val="en-US"/>
        </w:rPr>
      </w:pPr>
    </w:p>
    <w:p w14:paraId="3F4DA6B6" w14:textId="77777777" w:rsidR="00760DE1" w:rsidRPr="00991102" w:rsidRDefault="00760DE1" w:rsidP="00760DE1">
      <w:pPr>
        <w:rPr>
          <w:lang w:val="en-US"/>
        </w:rPr>
      </w:pPr>
      <w:r w:rsidRPr="00991102">
        <w:rPr>
          <w:lang w:val="en-US"/>
        </w:rPr>
        <w:t xml:space="preserve">Walter, Tony, and Helen Waterhouse, ‘A Very Private Belief: Reincarnation in Contemporary England’, </w:t>
      </w:r>
      <w:r w:rsidRPr="00991102">
        <w:rPr>
          <w:i/>
          <w:iCs/>
          <w:lang w:val="en-US"/>
        </w:rPr>
        <w:t>Sociology of Religion</w:t>
      </w:r>
      <w:r w:rsidRPr="00991102">
        <w:rPr>
          <w:lang w:val="en-US"/>
        </w:rPr>
        <w:t>, 60.2 (1999), pp. 187–197</w:t>
      </w:r>
    </w:p>
    <w:p w14:paraId="210173CE" w14:textId="77777777" w:rsidR="00760DE1" w:rsidRPr="00991102" w:rsidRDefault="00760DE1" w:rsidP="00760DE1">
      <w:pPr>
        <w:rPr>
          <w:lang w:val="en-US"/>
        </w:rPr>
      </w:pPr>
      <w:r w:rsidRPr="00991102">
        <w:rPr>
          <w:lang w:val="en-US"/>
        </w:rPr>
        <w:t xml:space="preserve">Waterhouse, Helen Jean, ‘Authority and Adaptation: A Case Study in British Buddhism’ (unpublished doctoral thesis, University of the West of England, Bristol, 1997) </w:t>
      </w:r>
      <w:hyperlink r:id="rId10" w:history="1">
        <w:r w:rsidRPr="00991102">
          <w:rPr>
            <w:rStyle w:val="Hyperlink"/>
            <w:lang w:val="en-US"/>
          </w:rPr>
          <w:t>https://researchspace.bathspa.ac.uk/1437/</w:t>
        </w:r>
      </w:hyperlink>
    </w:p>
    <w:p w14:paraId="4FC45796" w14:textId="77777777" w:rsidR="00760DE1" w:rsidRPr="00991102" w:rsidRDefault="00760DE1" w:rsidP="00760DE1">
      <w:pPr>
        <w:rPr>
          <w:lang w:val="en-GB"/>
        </w:rPr>
      </w:pPr>
      <w:r w:rsidRPr="00991102">
        <w:rPr>
          <w:lang w:val="en-GB"/>
        </w:rPr>
        <w:t xml:space="preserve">Walter, Tony, ‘Tony Walter’, University of Bath Research Portal </w:t>
      </w:r>
      <w:hyperlink r:id="rId11" w:history="1">
        <w:r w:rsidRPr="00991102">
          <w:rPr>
            <w:rStyle w:val="Hyperlink"/>
            <w:lang w:val="en-GB"/>
          </w:rPr>
          <w:t>https://researchportal.bath.ac.uk/en/persons/tony-walter</w:t>
        </w:r>
      </w:hyperlink>
      <w:r w:rsidRPr="00991102">
        <w:rPr>
          <w:lang w:val="en-GB"/>
        </w:rPr>
        <w:t xml:space="preserve">  </w:t>
      </w:r>
    </w:p>
    <w:p w14:paraId="35456FC6" w14:textId="77777777" w:rsidR="00760DE1" w:rsidRPr="00760DE1" w:rsidRDefault="00760DE1" w:rsidP="00346390">
      <w:pPr>
        <w:rPr>
          <w:bCs/>
          <w:lang w:val="en-GB"/>
        </w:rPr>
      </w:pPr>
    </w:p>
    <w:sectPr w:rsidR="00760DE1" w:rsidRPr="00760DE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F7781" w14:textId="77777777" w:rsidR="00DF0633" w:rsidRDefault="00DF0633" w:rsidP="00F0359C">
      <w:pPr>
        <w:spacing w:after="0" w:line="240" w:lineRule="auto"/>
      </w:pPr>
      <w:r>
        <w:separator/>
      </w:r>
    </w:p>
  </w:endnote>
  <w:endnote w:type="continuationSeparator" w:id="0">
    <w:p w14:paraId="29B51688" w14:textId="77777777" w:rsidR="00DF0633" w:rsidRDefault="00DF0633" w:rsidP="00F03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553E0" w14:textId="77777777" w:rsidR="00DF0633" w:rsidRDefault="00DF0633" w:rsidP="00F0359C">
      <w:pPr>
        <w:spacing w:after="0" w:line="240" w:lineRule="auto"/>
      </w:pPr>
      <w:r>
        <w:separator/>
      </w:r>
    </w:p>
  </w:footnote>
  <w:footnote w:type="continuationSeparator" w:id="0">
    <w:p w14:paraId="64956222" w14:textId="77777777" w:rsidR="00DF0633" w:rsidRDefault="00DF0633" w:rsidP="00F0359C">
      <w:pPr>
        <w:spacing w:after="0" w:line="240" w:lineRule="auto"/>
      </w:pPr>
      <w:r>
        <w:continuationSeparator/>
      </w:r>
    </w:p>
  </w:footnote>
  <w:footnote w:id="1">
    <w:p w14:paraId="74055BF2" w14:textId="4CE93E81" w:rsidR="009B2EC5" w:rsidRPr="00A16705" w:rsidRDefault="009B2EC5">
      <w:pPr>
        <w:pStyle w:val="FootnoteText"/>
        <w:rPr>
          <w:lang w:val="en-US"/>
        </w:rPr>
      </w:pPr>
      <w:r>
        <w:rPr>
          <w:rStyle w:val="FootnoteReference"/>
        </w:rPr>
        <w:footnoteRef/>
      </w:r>
      <w:r w:rsidRPr="009B2EC5">
        <w:rPr>
          <w:lang w:val="en-US"/>
        </w:rPr>
        <w:t xml:space="preserve"> </w:t>
      </w:r>
      <w:r>
        <w:rPr>
          <w:lang w:val="en-US"/>
        </w:rPr>
        <w:t xml:space="preserve">Tony Walter and Helen Waterhouse, </w:t>
      </w:r>
      <w:r w:rsidR="001F2004">
        <w:rPr>
          <w:lang w:val="en-US"/>
        </w:rPr>
        <w:t>‘</w:t>
      </w:r>
      <w:r>
        <w:rPr>
          <w:lang w:val="en-US"/>
        </w:rPr>
        <w:t>A Very Private Belief: Reincarnation in Contemporary England,</w:t>
      </w:r>
      <w:r w:rsidR="001F2004">
        <w:rPr>
          <w:lang w:val="en-US"/>
        </w:rPr>
        <w:t>’</w:t>
      </w:r>
      <w:r>
        <w:rPr>
          <w:lang w:val="en-US"/>
        </w:rPr>
        <w:t xml:space="preserve"> Sociology of Religion</w:t>
      </w:r>
      <w:r w:rsidR="00634FDA">
        <w:rPr>
          <w:lang w:val="en-US"/>
        </w:rPr>
        <w:t>,</w:t>
      </w:r>
      <w:r>
        <w:rPr>
          <w:lang w:val="en-US"/>
        </w:rPr>
        <w:t xml:space="preserve"> 60</w:t>
      </w:r>
      <w:r w:rsidR="0025324D">
        <w:rPr>
          <w:lang w:val="en-US"/>
        </w:rPr>
        <w:t>.</w:t>
      </w:r>
      <w:r>
        <w:rPr>
          <w:lang w:val="en-US"/>
        </w:rPr>
        <w:t>2</w:t>
      </w:r>
      <w:r w:rsidR="0025324D">
        <w:rPr>
          <w:lang w:val="en-US"/>
        </w:rPr>
        <w:t xml:space="preserve"> (1999)</w:t>
      </w:r>
      <w:r w:rsidR="00002A90">
        <w:rPr>
          <w:lang w:val="en-US"/>
        </w:rPr>
        <w:t>, pp. 187-197</w:t>
      </w:r>
      <w:r w:rsidR="00987DA6">
        <w:rPr>
          <w:lang w:val="en-US"/>
        </w:rPr>
        <w:t>;</w:t>
      </w:r>
      <w:r w:rsidR="00EE043D">
        <w:rPr>
          <w:lang w:val="en-US"/>
        </w:rPr>
        <w:t xml:space="preserve"> Gillian Bennet, </w:t>
      </w:r>
      <w:r w:rsidR="001F2004">
        <w:rPr>
          <w:lang w:val="en-US"/>
        </w:rPr>
        <w:t>‘“</w:t>
      </w:r>
      <w:r w:rsidR="001F2004" w:rsidRPr="000A0D2B">
        <w:rPr>
          <w:lang w:val="en-US"/>
        </w:rPr>
        <w:t xml:space="preserve">If I </w:t>
      </w:r>
      <w:r w:rsidR="00EF2E62">
        <w:rPr>
          <w:lang w:val="en-US"/>
        </w:rPr>
        <w:t>K</w:t>
      </w:r>
      <w:r w:rsidR="001F2004" w:rsidRPr="000A0D2B">
        <w:rPr>
          <w:lang w:val="en-US"/>
        </w:rPr>
        <w:t xml:space="preserve">new You </w:t>
      </w:r>
      <w:r w:rsidR="00EF2E62">
        <w:rPr>
          <w:lang w:val="en-US"/>
        </w:rPr>
        <w:t>W</w:t>
      </w:r>
      <w:r w:rsidR="001F2004" w:rsidRPr="000A0D2B">
        <w:rPr>
          <w:lang w:val="en-US"/>
        </w:rPr>
        <w:t xml:space="preserve">ere Coming, I’d </w:t>
      </w:r>
      <w:r w:rsidR="00EF2E62">
        <w:rPr>
          <w:lang w:val="en-US"/>
        </w:rPr>
        <w:t>H</w:t>
      </w:r>
      <w:r w:rsidR="001F2004" w:rsidRPr="000A0D2B">
        <w:rPr>
          <w:lang w:val="en-US"/>
        </w:rPr>
        <w:t>ave Baked a Cake”: The Folklore of Foreknowledge in a Neighbo</w:t>
      </w:r>
      <w:r w:rsidR="00D14B6F">
        <w:rPr>
          <w:lang w:val="en-US"/>
        </w:rPr>
        <w:t>u</w:t>
      </w:r>
      <w:r w:rsidR="001F2004" w:rsidRPr="000A0D2B">
        <w:rPr>
          <w:lang w:val="en-US"/>
        </w:rPr>
        <w:t>rhood Group</w:t>
      </w:r>
      <w:r w:rsidR="001F2004">
        <w:rPr>
          <w:lang w:val="en-US"/>
        </w:rPr>
        <w:t>’ i</w:t>
      </w:r>
      <w:r w:rsidR="00097CC8">
        <w:rPr>
          <w:lang w:val="en-US"/>
        </w:rPr>
        <w:t>n</w:t>
      </w:r>
      <w:r w:rsidR="00A16705" w:rsidRPr="00A16705">
        <w:rPr>
          <w:lang w:val="en-US"/>
        </w:rPr>
        <w:t xml:space="preserve"> </w:t>
      </w:r>
      <w:r w:rsidR="00A16705" w:rsidRPr="00A16705">
        <w:rPr>
          <w:i/>
          <w:iCs/>
          <w:lang w:val="en-US"/>
        </w:rPr>
        <w:t>Out of the Ordinary: Folklore and the Supernatural</w:t>
      </w:r>
      <w:r w:rsidR="00A16705" w:rsidRPr="00A16705">
        <w:rPr>
          <w:lang w:val="en-US"/>
        </w:rPr>
        <w:t>, ed. by Barbara Walker (Logan, UT: Utah State University Press, 1995), pp. 122–142.</w:t>
      </w:r>
    </w:p>
  </w:footnote>
  <w:footnote w:id="2">
    <w:p w14:paraId="0F3D975B" w14:textId="20B4099A" w:rsidR="003D1109" w:rsidRPr="003D1109" w:rsidRDefault="003D1109">
      <w:pPr>
        <w:pStyle w:val="FootnoteText"/>
        <w:rPr>
          <w:lang w:val="en-US"/>
        </w:rPr>
      </w:pPr>
      <w:r>
        <w:rPr>
          <w:rStyle w:val="FootnoteReference"/>
        </w:rPr>
        <w:footnoteRef/>
      </w:r>
      <w:r w:rsidRPr="003D1109">
        <w:rPr>
          <w:lang w:val="en-US"/>
        </w:rPr>
        <w:t xml:space="preserve"> </w:t>
      </w:r>
      <w:r w:rsidR="00031C76">
        <w:rPr>
          <w:lang w:val="en-US"/>
        </w:rPr>
        <w:t>Walter, ‘A Very Private Belief,’ p.189.</w:t>
      </w:r>
    </w:p>
  </w:footnote>
  <w:footnote w:id="3">
    <w:p w14:paraId="7B389407" w14:textId="77777777" w:rsidR="000F71C6" w:rsidRPr="000C6B75" w:rsidRDefault="000F71C6" w:rsidP="000F71C6">
      <w:pPr>
        <w:pStyle w:val="FootnoteText"/>
        <w:rPr>
          <w:lang w:val="en-US"/>
        </w:rPr>
      </w:pPr>
      <w:r>
        <w:rPr>
          <w:rStyle w:val="FootnoteReference"/>
        </w:rPr>
        <w:footnoteRef/>
      </w:r>
      <w:r w:rsidRPr="000C6B75">
        <w:rPr>
          <w:lang w:val="en-US"/>
        </w:rPr>
        <w:t xml:space="preserve"> </w:t>
      </w:r>
      <w:r>
        <w:rPr>
          <w:lang w:val="en-US"/>
        </w:rPr>
        <w:t>Walter, ‘A Very Private Belief,’ p.187.</w:t>
      </w:r>
    </w:p>
  </w:footnote>
  <w:footnote w:id="4">
    <w:p w14:paraId="36E5BC4B" w14:textId="1D5864DF" w:rsidR="00F36A65" w:rsidRPr="00F36A65" w:rsidRDefault="00F36A65" w:rsidP="005810DF">
      <w:pPr>
        <w:pStyle w:val="FootnoteText"/>
        <w:rPr>
          <w:lang w:val="en-US"/>
        </w:rPr>
      </w:pPr>
      <w:r>
        <w:rPr>
          <w:rStyle w:val="FootnoteReference"/>
        </w:rPr>
        <w:footnoteRef/>
      </w:r>
      <w:r w:rsidRPr="00F36A65">
        <w:rPr>
          <w:lang w:val="en-US"/>
        </w:rPr>
        <w:t xml:space="preserve"> </w:t>
      </w:r>
      <w:r w:rsidR="005810DF" w:rsidRPr="005810DF">
        <w:rPr>
          <w:lang w:val="en-US"/>
        </w:rPr>
        <w:t xml:space="preserve">Tony Walter, </w:t>
      </w:r>
      <w:r w:rsidR="0059647C">
        <w:rPr>
          <w:lang w:val="en-US"/>
        </w:rPr>
        <w:t>A</w:t>
      </w:r>
      <w:r w:rsidR="00704A34">
        <w:rPr>
          <w:lang w:val="en-US"/>
        </w:rPr>
        <w:t xml:space="preserve">uthor </w:t>
      </w:r>
      <w:r w:rsidR="0059647C">
        <w:rPr>
          <w:lang w:val="en-US"/>
        </w:rPr>
        <w:t>P</w:t>
      </w:r>
      <w:r w:rsidR="00704A34">
        <w:rPr>
          <w:lang w:val="en-US"/>
        </w:rPr>
        <w:t>rofile</w:t>
      </w:r>
      <w:r w:rsidR="005810DF" w:rsidRPr="005810DF">
        <w:rPr>
          <w:lang w:val="en-US"/>
        </w:rPr>
        <w:t>, University of Bath Research Portal,</w:t>
      </w:r>
      <w:r w:rsidR="005810DF">
        <w:rPr>
          <w:lang w:val="en-US"/>
        </w:rPr>
        <w:t xml:space="preserve"> </w:t>
      </w:r>
      <w:hyperlink r:id="rId1" w:history="1">
        <w:r w:rsidR="005810DF" w:rsidRPr="002F7AAE">
          <w:rPr>
            <w:rStyle w:val="Hyperlink"/>
            <w:lang w:val="en-US"/>
          </w:rPr>
          <w:t>https://researchportal.bath.ac.uk/en/persons/tony-walter</w:t>
        </w:r>
      </w:hyperlink>
      <w:r w:rsidR="005810DF">
        <w:rPr>
          <w:lang w:val="en-US"/>
        </w:rPr>
        <w:t xml:space="preserve"> </w:t>
      </w:r>
      <w:r w:rsidR="005810DF" w:rsidRPr="005810DF">
        <w:rPr>
          <w:lang w:val="en-US"/>
        </w:rPr>
        <w:t>(accessed 14 March 2026).</w:t>
      </w:r>
    </w:p>
  </w:footnote>
  <w:footnote w:id="5">
    <w:p w14:paraId="51A06F26" w14:textId="3B69445C" w:rsidR="0078198A" w:rsidRPr="0078198A" w:rsidRDefault="0078198A">
      <w:pPr>
        <w:pStyle w:val="FootnoteText"/>
        <w:rPr>
          <w:lang w:val="en-US"/>
        </w:rPr>
      </w:pPr>
      <w:r>
        <w:rPr>
          <w:rStyle w:val="FootnoteReference"/>
        </w:rPr>
        <w:footnoteRef/>
      </w:r>
      <w:r w:rsidRPr="0078198A">
        <w:rPr>
          <w:lang w:val="en-US"/>
        </w:rPr>
        <w:t xml:space="preserve"> </w:t>
      </w:r>
      <w:r w:rsidR="005928A1" w:rsidRPr="005928A1">
        <w:rPr>
          <w:lang w:val="en-US"/>
        </w:rPr>
        <w:t xml:space="preserve">Helen Jean Waterhouse, ‘Authority and Adaptation: A Case Study in British Buddhism’ (unpublished doctoral thesis, University of the West of England, Bristol, 1997), </w:t>
      </w:r>
      <w:hyperlink r:id="rId2" w:history="1">
        <w:r w:rsidR="005928A1" w:rsidRPr="002F7AAE">
          <w:rPr>
            <w:rStyle w:val="Hyperlink"/>
            <w:lang w:val="en-US"/>
          </w:rPr>
          <w:t>https://researchspace.bathspa.ac.uk/1437/</w:t>
        </w:r>
      </w:hyperlink>
      <w:r w:rsidR="005928A1">
        <w:rPr>
          <w:lang w:val="en-US"/>
        </w:rPr>
        <w:t xml:space="preserve"> </w:t>
      </w:r>
      <w:r w:rsidR="005928A1" w:rsidRPr="005928A1">
        <w:rPr>
          <w:lang w:val="en-US"/>
        </w:rPr>
        <w:t>(accessed 14 March 2026).</w:t>
      </w:r>
    </w:p>
  </w:footnote>
  <w:footnote w:id="6">
    <w:p w14:paraId="23319C5B" w14:textId="460DC24C" w:rsidR="00971E1E" w:rsidRPr="00971E1E" w:rsidRDefault="00971E1E">
      <w:pPr>
        <w:pStyle w:val="FootnoteText"/>
        <w:rPr>
          <w:lang w:val="en-US"/>
        </w:rPr>
      </w:pPr>
      <w:r>
        <w:rPr>
          <w:rStyle w:val="FootnoteReference"/>
        </w:rPr>
        <w:footnoteRef/>
      </w:r>
      <w:r w:rsidRPr="0063175D">
        <w:rPr>
          <w:lang w:val="en-US"/>
        </w:rPr>
        <w:t xml:space="preserve"> </w:t>
      </w:r>
      <w:r w:rsidR="00872F12" w:rsidRPr="00872F12">
        <w:rPr>
          <w:lang w:val="en-US"/>
        </w:rPr>
        <w:t>Bennett, ‘“If I Knew You Were Coming, I’d Have Baked a Cake”’, p. 122.</w:t>
      </w:r>
    </w:p>
  </w:footnote>
  <w:footnote w:id="7">
    <w:p w14:paraId="23EEFE47" w14:textId="77777777" w:rsidR="00874FD0" w:rsidRPr="00704A34" w:rsidRDefault="00874FD0" w:rsidP="00874FD0">
      <w:pPr>
        <w:pStyle w:val="FootnoteText"/>
        <w:rPr>
          <w:lang w:val="en-US"/>
        </w:rPr>
      </w:pPr>
      <w:r>
        <w:rPr>
          <w:rStyle w:val="FootnoteReference"/>
        </w:rPr>
        <w:footnoteRef/>
      </w:r>
      <w:r w:rsidRPr="00704A34">
        <w:rPr>
          <w:lang w:val="en-US"/>
        </w:rPr>
        <w:t xml:space="preserve"> </w:t>
      </w:r>
      <w:r w:rsidRPr="00213E21">
        <w:rPr>
          <w:lang w:val="en-US"/>
        </w:rPr>
        <w:t xml:space="preserve">International Society for Contemporary Legend Research, ‘Gillian Bennett’, </w:t>
      </w:r>
      <w:hyperlink r:id="rId3" w:history="1">
        <w:r w:rsidRPr="002F7AAE">
          <w:rPr>
            <w:rStyle w:val="Hyperlink"/>
            <w:lang w:val="en-US"/>
          </w:rPr>
          <w:t>https://contemporarylegend.org/prizes/degh/dr-gillian-bennett/</w:t>
        </w:r>
      </w:hyperlink>
      <w:r>
        <w:rPr>
          <w:lang w:val="en-US"/>
        </w:rPr>
        <w:t xml:space="preserve"> </w:t>
      </w:r>
      <w:r w:rsidRPr="00213E21">
        <w:rPr>
          <w:lang w:val="en-US"/>
        </w:rPr>
        <w:t>(accessed 14 March 2026).</w:t>
      </w:r>
      <w:r>
        <w:rPr>
          <w:lang w:val="en-US"/>
        </w:rPr>
        <w:t xml:space="preserve"> </w:t>
      </w:r>
    </w:p>
  </w:footnote>
  <w:footnote w:id="8">
    <w:p w14:paraId="166C4E7A" w14:textId="7E39EDC7" w:rsidR="009F5A9E" w:rsidRPr="00090D54" w:rsidRDefault="009F5A9E" w:rsidP="009F5A9E">
      <w:pPr>
        <w:pStyle w:val="FootnoteText"/>
        <w:rPr>
          <w:lang w:val="en-US"/>
        </w:rPr>
      </w:pPr>
      <w:r>
        <w:rPr>
          <w:rStyle w:val="FootnoteReference"/>
        </w:rPr>
        <w:footnoteRef/>
      </w:r>
      <w:r w:rsidRPr="00FE4674">
        <w:rPr>
          <w:lang w:val="en-US"/>
        </w:rPr>
        <w:t xml:space="preserve"> </w:t>
      </w:r>
      <w:r>
        <w:rPr>
          <w:lang w:val="en-US"/>
        </w:rPr>
        <w:t>Walter, ‘A Very Private Belief,’ p.188; 192</w:t>
      </w:r>
      <w:r w:rsidR="00090D54">
        <w:rPr>
          <w:lang w:val="en-US"/>
        </w:rPr>
        <w:t xml:space="preserve">; Bennett, </w:t>
      </w:r>
      <w:r w:rsidR="00090D54" w:rsidRPr="00872F12">
        <w:rPr>
          <w:lang w:val="en-US"/>
        </w:rPr>
        <w:t>‘“If I Knew You Were Coming, I’d Have Baked a Cake”’, p</w:t>
      </w:r>
      <w:r w:rsidR="00090D54">
        <w:rPr>
          <w:lang w:val="en-US"/>
        </w:rPr>
        <w:t>.124-125.</w:t>
      </w:r>
    </w:p>
  </w:footnote>
  <w:footnote w:id="9">
    <w:p w14:paraId="276769E2" w14:textId="77777777" w:rsidR="009A03F4" w:rsidRPr="00BE7874" w:rsidRDefault="009A03F4" w:rsidP="009A03F4">
      <w:pPr>
        <w:pStyle w:val="FootnoteText"/>
        <w:rPr>
          <w:lang w:val="en-US"/>
        </w:rPr>
      </w:pPr>
      <w:r>
        <w:rPr>
          <w:rStyle w:val="FootnoteReference"/>
        </w:rPr>
        <w:footnoteRef/>
      </w:r>
      <w:r w:rsidRPr="00BE7874">
        <w:rPr>
          <w:lang w:val="en-US"/>
        </w:rPr>
        <w:t xml:space="preserve"> </w:t>
      </w:r>
      <w:r>
        <w:rPr>
          <w:lang w:val="en-US"/>
        </w:rPr>
        <w:t xml:space="preserve">Bennett, </w:t>
      </w:r>
      <w:r w:rsidRPr="00872F12">
        <w:rPr>
          <w:lang w:val="en-US"/>
        </w:rPr>
        <w:t>‘“If I Knew You Were Coming, I’d Have Baked a Cake”’, p</w:t>
      </w:r>
      <w:r>
        <w:rPr>
          <w:lang w:val="en-US"/>
        </w:rPr>
        <w:t xml:space="preserve">. </w:t>
      </w:r>
      <w:r w:rsidRPr="009D72BE">
        <w:rPr>
          <w:lang w:val="en-US"/>
        </w:rPr>
        <w:t>127</w:t>
      </w:r>
      <w:r>
        <w:rPr>
          <w:lang w:val="en-US"/>
        </w:rPr>
        <w:t>.</w:t>
      </w:r>
    </w:p>
  </w:footnote>
  <w:footnote w:id="10">
    <w:p w14:paraId="3126739E" w14:textId="77777777" w:rsidR="00261422" w:rsidRPr="00A208DE" w:rsidRDefault="00261422" w:rsidP="00261422">
      <w:pPr>
        <w:pStyle w:val="FootnoteText"/>
        <w:rPr>
          <w:lang w:val="en-US"/>
        </w:rPr>
      </w:pPr>
      <w:r>
        <w:rPr>
          <w:rStyle w:val="FootnoteReference"/>
        </w:rPr>
        <w:footnoteRef/>
      </w:r>
      <w:r w:rsidRPr="00A208DE">
        <w:rPr>
          <w:lang w:val="en-US"/>
        </w:rPr>
        <w:t xml:space="preserve"> </w:t>
      </w:r>
      <w:r>
        <w:rPr>
          <w:lang w:val="en-US"/>
        </w:rPr>
        <w:t>Walter, ‘A Very Private Belief,’ p.188-189.</w:t>
      </w:r>
    </w:p>
  </w:footnote>
  <w:footnote w:id="11">
    <w:p w14:paraId="4F8AECD7" w14:textId="30F61067" w:rsidR="00FA67B4" w:rsidRPr="00FA67B4" w:rsidRDefault="00FA67B4">
      <w:pPr>
        <w:pStyle w:val="FootnoteText"/>
        <w:rPr>
          <w:lang w:val="en-US"/>
        </w:rPr>
      </w:pPr>
      <w:r>
        <w:rPr>
          <w:rStyle w:val="FootnoteReference"/>
        </w:rPr>
        <w:footnoteRef/>
      </w:r>
      <w:r w:rsidRPr="00FA67B4">
        <w:rPr>
          <w:lang w:val="en-US"/>
        </w:rPr>
        <w:t xml:space="preserve"> </w:t>
      </w:r>
      <w:r>
        <w:rPr>
          <w:lang w:val="en-US"/>
        </w:rPr>
        <w:t xml:space="preserve">Walter, ‘A Very Private Belief,’ p.189; Bennett, </w:t>
      </w:r>
      <w:r w:rsidRPr="00872F12">
        <w:rPr>
          <w:lang w:val="en-US"/>
        </w:rPr>
        <w:t>‘“If I Knew You Were Coming, I’d Have Baked a Cake”’, p</w:t>
      </w:r>
      <w:r>
        <w:rPr>
          <w:lang w:val="en-US"/>
        </w:rPr>
        <w:t xml:space="preserve">. </w:t>
      </w:r>
      <w:r w:rsidR="001B1E30">
        <w:rPr>
          <w:lang w:val="en-US"/>
        </w:rPr>
        <w:t>128.</w:t>
      </w:r>
    </w:p>
  </w:footnote>
  <w:footnote w:id="12">
    <w:p w14:paraId="637B543B" w14:textId="4C1FB706" w:rsidR="00C605E6" w:rsidRPr="00C605E6" w:rsidRDefault="00C605E6">
      <w:pPr>
        <w:pStyle w:val="FootnoteText"/>
        <w:rPr>
          <w:lang w:val="en-US"/>
        </w:rPr>
      </w:pPr>
      <w:r>
        <w:rPr>
          <w:rStyle w:val="FootnoteReference"/>
        </w:rPr>
        <w:footnoteRef/>
      </w:r>
      <w:r w:rsidRPr="00C605E6">
        <w:rPr>
          <w:lang w:val="en-US"/>
        </w:rPr>
        <w:t xml:space="preserve"> </w:t>
      </w:r>
      <w:r>
        <w:rPr>
          <w:lang w:val="en-US"/>
        </w:rPr>
        <w:t>Walter, ‘A Very Private Belief,’ p.189.</w:t>
      </w:r>
    </w:p>
  </w:footnote>
  <w:footnote w:id="13">
    <w:p w14:paraId="27E622D3" w14:textId="77777777" w:rsidR="00CB0BF4" w:rsidRPr="00CB4E47" w:rsidRDefault="00CB0BF4" w:rsidP="00CB0BF4">
      <w:pPr>
        <w:pStyle w:val="FootnoteText"/>
        <w:rPr>
          <w:lang w:val="en-US"/>
        </w:rPr>
      </w:pPr>
      <w:r>
        <w:rPr>
          <w:rStyle w:val="FootnoteReference"/>
        </w:rPr>
        <w:footnoteRef/>
      </w:r>
      <w:r w:rsidRPr="00CB4E47">
        <w:rPr>
          <w:lang w:val="en-US"/>
        </w:rPr>
        <w:t xml:space="preserve"> </w:t>
      </w:r>
      <w:r>
        <w:rPr>
          <w:lang w:val="en-US"/>
        </w:rPr>
        <w:t>Walter, ‘A Very Private Belief,’ p.196.</w:t>
      </w:r>
    </w:p>
  </w:footnote>
  <w:footnote w:id="14">
    <w:p w14:paraId="2AD77B89" w14:textId="65A2C7FB" w:rsidR="00B14BF1" w:rsidRPr="00B14BF1" w:rsidRDefault="00B14BF1">
      <w:pPr>
        <w:pStyle w:val="FootnoteText"/>
        <w:rPr>
          <w:lang w:val="en-US"/>
        </w:rPr>
      </w:pPr>
      <w:r>
        <w:rPr>
          <w:rStyle w:val="FootnoteReference"/>
        </w:rPr>
        <w:footnoteRef/>
      </w:r>
      <w:r w:rsidR="00796C7D">
        <w:rPr>
          <w:lang w:val="en-US"/>
        </w:rPr>
        <w:t xml:space="preserve"> Walter, ‘A Very Private Belief,’ p.189.</w:t>
      </w:r>
    </w:p>
  </w:footnote>
  <w:footnote w:id="15">
    <w:p w14:paraId="2112CDC2" w14:textId="61FCB618" w:rsidR="004057CD" w:rsidRPr="004057CD" w:rsidRDefault="004057CD">
      <w:pPr>
        <w:pStyle w:val="FootnoteText"/>
        <w:rPr>
          <w:color w:val="FF0000"/>
          <w:lang w:val="en-US"/>
        </w:rPr>
      </w:pPr>
      <w:r>
        <w:rPr>
          <w:rStyle w:val="FootnoteReference"/>
        </w:rPr>
        <w:footnoteRef/>
      </w:r>
      <w:r w:rsidRPr="004057CD">
        <w:rPr>
          <w:lang w:val="en-US"/>
        </w:rPr>
        <w:t xml:space="preserve"> </w:t>
      </w:r>
      <w:r w:rsidRPr="002B16F7">
        <w:rPr>
          <w:lang w:val="en-US"/>
        </w:rPr>
        <w:t xml:space="preserve">Monique Hennink, Inge Hutter and Ajay Bailey, </w:t>
      </w:r>
      <w:r w:rsidRPr="002B16F7">
        <w:rPr>
          <w:i/>
          <w:iCs/>
          <w:lang w:val="en-US"/>
        </w:rPr>
        <w:t>Qualitative Research Methods</w:t>
      </w:r>
      <w:r w:rsidRPr="002B16F7">
        <w:rPr>
          <w:lang w:val="en-US"/>
        </w:rPr>
        <w:t xml:space="preserve">, 2nd edn (Los Angeles and London: Sage, 2020), p. </w:t>
      </w:r>
      <w:r>
        <w:rPr>
          <w:lang w:val="en-US"/>
        </w:rPr>
        <w:t>101.</w:t>
      </w:r>
    </w:p>
  </w:footnote>
  <w:footnote w:id="16">
    <w:p w14:paraId="08B1B72C" w14:textId="77777777" w:rsidR="00187B14" w:rsidRPr="00545C23" w:rsidRDefault="00187B14" w:rsidP="00187B14">
      <w:pPr>
        <w:pStyle w:val="FootnoteText"/>
        <w:rPr>
          <w:lang w:val="en-US"/>
        </w:rPr>
      </w:pPr>
      <w:r>
        <w:rPr>
          <w:rStyle w:val="FootnoteReference"/>
        </w:rPr>
        <w:footnoteRef/>
      </w:r>
      <w:r w:rsidRPr="00545C23">
        <w:rPr>
          <w:lang w:val="en-US"/>
        </w:rPr>
        <w:t xml:space="preserve"> </w:t>
      </w:r>
      <w:r>
        <w:rPr>
          <w:lang w:val="en-US"/>
        </w:rPr>
        <w:t>Walter, ‘A Very Private Belief,’ p.189-190.</w:t>
      </w:r>
    </w:p>
  </w:footnote>
  <w:footnote w:id="17">
    <w:p w14:paraId="24CCD4B3" w14:textId="77777777" w:rsidR="00187B14" w:rsidRPr="00C05565" w:rsidRDefault="00187B14" w:rsidP="00187B14">
      <w:pPr>
        <w:pStyle w:val="FootnoteText"/>
        <w:rPr>
          <w:lang w:val="en-US"/>
        </w:rPr>
      </w:pPr>
      <w:r>
        <w:rPr>
          <w:rStyle w:val="FootnoteReference"/>
        </w:rPr>
        <w:footnoteRef/>
      </w:r>
      <w:r w:rsidRPr="00C05565">
        <w:rPr>
          <w:lang w:val="en-US"/>
        </w:rPr>
        <w:t xml:space="preserve"> </w:t>
      </w:r>
      <w:r>
        <w:rPr>
          <w:lang w:val="en-US"/>
        </w:rPr>
        <w:t>Walter, ‘A Very Private Belief,’ p.191.</w:t>
      </w:r>
    </w:p>
  </w:footnote>
  <w:footnote w:id="18">
    <w:p w14:paraId="610895F7" w14:textId="77777777" w:rsidR="00187B14" w:rsidRPr="00F928F1" w:rsidRDefault="00187B14" w:rsidP="00187B14">
      <w:pPr>
        <w:pStyle w:val="FootnoteText"/>
        <w:rPr>
          <w:lang w:val="en-US"/>
        </w:rPr>
      </w:pPr>
      <w:r>
        <w:rPr>
          <w:rStyle w:val="FootnoteReference"/>
        </w:rPr>
        <w:footnoteRef/>
      </w:r>
      <w:r w:rsidRPr="00F928F1">
        <w:rPr>
          <w:lang w:val="en-US"/>
        </w:rPr>
        <w:t xml:space="preserve"> </w:t>
      </w:r>
      <w:r>
        <w:rPr>
          <w:lang w:val="en-US"/>
        </w:rPr>
        <w:t>Walter, ‘A Very Private Belief,’ p.193.</w:t>
      </w:r>
    </w:p>
  </w:footnote>
  <w:footnote w:id="19">
    <w:p w14:paraId="216E14C0" w14:textId="77777777" w:rsidR="00187B14" w:rsidRPr="00CF5F94" w:rsidRDefault="00187B14" w:rsidP="00187B14">
      <w:pPr>
        <w:pStyle w:val="FootnoteText"/>
        <w:rPr>
          <w:lang w:val="en-US"/>
        </w:rPr>
      </w:pPr>
      <w:r>
        <w:rPr>
          <w:rStyle w:val="FootnoteReference"/>
        </w:rPr>
        <w:footnoteRef/>
      </w:r>
      <w:r w:rsidRPr="00CF5F94">
        <w:rPr>
          <w:lang w:val="en-US"/>
        </w:rPr>
        <w:t xml:space="preserve"> </w:t>
      </w:r>
      <w:r>
        <w:rPr>
          <w:lang w:val="en-US"/>
        </w:rPr>
        <w:t>Walter, ‘A Very Private Belief,’ p.189; 197.</w:t>
      </w:r>
    </w:p>
  </w:footnote>
  <w:footnote w:id="20">
    <w:p w14:paraId="3A6D82E9" w14:textId="77777777" w:rsidR="00E14E9A" w:rsidRPr="00F2012E" w:rsidRDefault="00E14E9A" w:rsidP="00E14E9A">
      <w:pPr>
        <w:pStyle w:val="FootnoteText"/>
        <w:rPr>
          <w:lang w:val="en-US"/>
        </w:rPr>
      </w:pPr>
      <w:r>
        <w:rPr>
          <w:rStyle w:val="FootnoteReference"/>
        </w:rPr>
        <w:footnoteRef/>
      </w:r>
      <w:r w:rsidRPr="00F2012E">
        <w:rPr>
          <w:lang w:val="en-US"/>
        </w:rPr>
        <w:t xml:space="preserve"> </w:t>
      </w:r>
      <w:r>
        <w:rPr>
          <w:lang w:val="en-US"/>
        </w:rPr>
        <w:t xml:space="preserve">Bennett, </w:t>
      </w:r>
      <w:r w:rsidRPr="00872F12">
        <w:rPr>
          <w:lang w:val="en-US"/>
        </w:rPr>
        <w:t>‘“If I Knew You Were Coming, I’d Have Baked a Cake”’, p</w:t>
      </w:r>
      <w:r>
        <w:rPr>
          <w:lang w:val="en-US"/>
        </w:rPr>
        <w:t xml:space="preserve">. </w:t>
      </w:r>
      <w:r w:rsidRPr="009D72BE">
        <w:rPr>
          <w:lang w:val="en-US"/>
        </w:rPr>
        <w:t>1</w:t>
      </w:r>
      <w:r>
        <w:rPr>
          <w:lang w:val="en-US"/>
        </w:rPr>
        <w:t>41-142.</w:t>
      </w:r>
    </w:p>
  </w:footnote>
  <w:footnote w:id="21">
    <w:p w14:paraId="061EC47E" w14:textId="77777777" w:rsidR="00EF09BF" w:rsidRPr="004220D1" w:rsidRDefault="00EF09BF" w:rsidP="00EF09BF">
      <w:pPr>
        <w:pStyle w:val="FootnoteText"/>
        <w:rPr>
          <w:lang w:val="en-US"/>
        </w:rPr>
      </w:pPr>
      <w:r>
        <w:rPr>
          <w:rStyle w:val="FootnoteReference"/>
        </w:rPr>
        <w:footnoteRef/>
      </w:r>
      <w:r w:rsidRPr="004220D1">
        <w:rPr>
          <w:lang w:val="en-US"/>
        </w:rPr>
        <w:t xml:space="preserve"> </w:t>
      </w:r>
      <w:r>
        <w:rPr>
          <w:lang w:val="en-US"/>
        </w:rPr>
        <w:t xml:space="preserve">Bennett, </w:t>
      </w:r>
      <w:r w:rsidRPr="00872F12">
        <w:rPr>
          <w:lang w:val="en-US"/>
        </w:rPr>
        <w:t>‘“If I Knew You Were Coming, I’d Have Baked a Cake”’, p. 122</w:t>
      </w:r>
      <w:r>
        <w:rPr>
          <w:lang w:val="en-US"/>
        </w:rPr>
        <w:t>-124.</w:t>
      </w:r>
    </w:p>
  </w:footnote>
  <w:footnote w:id="22">
    <w:p w14:paraId="1CF9BDBD" w14:textId="77777777" w:rsidR="002719D8" w:rsidRPr="00472828" w:rsidRDefault="002719D8" w:rsidP="002719D8">
      <w:pPr>
        <w:pStyle w:val="FootnoteText"/>
        <w:rPr>
          <w:lang w:val="en-US"/>
        </w:rPr>
      </w:pPr>
      <w:r>
        <w:rPr>
          <w:rStyle w:val="FootnoteReference"/>
        </w:rPr>
        <w:footnoteRef/>
      </w:r>
      <w:r w:rsidRPr="00472828">
        <w:rPr>
          <w:lang w:val="en-US"/>
        </w:rPr>
        <w:t xml:space="preserve"> </w:t>
      </w:r>
      <w:r>
        <w:rPr>
          <w:lang w:val="en-US"/>
        </w:rPr>
        <w:t xml:space="preserve">Bennett, </w:t>
      </w:r>
      <w:r w:rsidRPr="00872F12">
        <w:rPr>
          <w:lang w:val="en-US"/>
        </w:rPr>
        <w:t>‘“If I Knew You Were Coming, I’d Have Baked a Cake”’, p</w:t>
      </w:r>
      <w:r>
        <w:rPr>
          <w:lang w:val="en-US"/>
        </w:rPr>
        <w:t>.132.</w:t>
      </w:r>
    </w:p>
  </w:footnote>
  <w:footnote w:id="23">
    <w:p w14:paraId="54AF386F" w14:textId="77777777" w:rsidR="00872599" w:rsidRPr="00546ABE" w:rsidRDefault="00872599" w:rsidP="00872599">
      <w:pPr>
        <w:pStyle w:val="FootnoteText"/>
        <w:rPr>
          <w:lang w:val="en-US"/>
        </w:rPr>
      </w:pPr>
      <w:r>
        <w:rPr>
          <w:rStyle w:val="FootnoteReference"/>
        </w:rPr>
        <w:footnoteRef/>
      </w:r>
      <w:r w:rsidRPr="00546ABE">
        <w:rPr>
          <w:lang w:val="en-US"/>
        </w:rPr>
        <w:t xml:space="preserve"> </w:t>
      </w:r>
      <w:r>
        <w:rPr>
          <w:lang w:val="en-US"/>
        </w:rPr>
        <w:t xml:space="preserve">Bennett, </w:t>
      </w:r>
      <w:r w:rsidRPr="00872F12">
        <w:rPr>
          <w:lang w:val="en-US"/>
        </w:rPr>
        <w:t>‘“If I Knew You Were Coming, I’d Have Baked a Cake”’, p</w:t>
      </w:r>
      <w:r>
        <w:rPr>
          <w:lang w:val="en-US"/>
        </w:rPr>
        <w:t>.134.</w:t>
      </w:r>
    </w:p>
  </w:footnote>
  <w:footnote w:id="24">
    <w:p w14:paraId="135ED923" w14:textId="1BDADFC6" w:rsidR="001516C7" w:rsidRPr="00522D13" w:rsidRDefault="001516C7">
      <w:pPr>
        <w:pStyle w:val="FootnoteText"/>
        <w:rPr>
          <w:lang w:val="en-US"/>
        </w:rPr>
      </w:pPr>
      <w:r>
        <w:rPr>
          <w:rStyle w:val="FootnoteReference"/>
        </w:rPr>
        <w:footnoteRef/>
      </w:r>
      <w:r w:rsidRPr="0057527C">
        <w:rPr>
          <w:lang w:val="en-US"/>
        </w:rPr>
        <w:t xml:space="preserve"> </w:t>
      </w:r>
      <w:r w:rsidR="00522D13" w:rsidRPr="00522D13">
        <w:rPr>
          <w:lang w:val="en-US"/>
        </w:rPr>
        <w:t xml:space="preserve">Martyn Hammersley and Anna Traianou, </w:t>
      </w:r>
      <w:r w:rsidR="00522D13" w:rsidRPr="00522D13">
        <w:rPr>
          <w:i/>
          <w:iCs/>
          <w:lang w:val="en-US"/>
        </w:rPr>
        <w:t>Ethics in Qualitative Research: Controversies and Contexts</w:t>
      </w:r>
      <w:r w:rsidR="00522D13" w:rsidRPr="00522D13">
        <w:rPr>
          <w:lang w:val="en-US"/>
        </w:rPr>
        <w:t xml:space="preserve"> (London: Sage, 2012), p. 5.</w:t>
      </w:r>
    </w:p>
  </w:footnote>
  <w:footnote w:id="25">
    <w:p w14:paraId="1879694F" w14:textId="77777777" w:rsidR="005C0B3B" w:rsidRPr="001317EC" w:rsidRDefault="005C0B3B" w:rsidP="005C0B3B">
      <w:pPr>
        <w:pStyle w:val="FootnoteText"/>
        <w:rPr>
          <w:lang w:val="en-US"/>
        </w:rPr>
      </w:pPr>
      <w:r>
        <w:rPr>
          <w:rStyle w:val="FootnoteReference"/>
        </w:rPr>
        <w:footnoteRef/>
      </w:r>
      <w:r w:rsidRPr="001317EC">
        <w:rPr>
          <w:lang w:val="en-US"/>
        </w:rPr>
        <w:t xml:space="preserve"> </w:t>
      </w:r>
      <w:r>
        <w:rPr>
          <w:lang w:val="en-US"/>
        </w:rPr>
        <w:t xml:space="preserve">Bennett, </w:t>
      </w:r>
      <w:r w:rsidRPr="00872F12">
        <w:rPr>
          <w:lang w:val="en-US"/>
        </w:rPr>
        <w:t>‘“If I Knew You Were Coming, I’d Have Baked a Cake”’, p. 12</w:t>
      </w:r>
      <w:r>
        <w:rPr>
          <w:lang w:val="en-US"/>
        </w:rPr>
        <w:t>6.</w:t>
      </w:r>
    </w:p>
  </w:footnote>
  <w:footnote w:id="26">
    <w:p w14:paraId="04C9BCAA" w14:textId="77777777" w:rsidR="005C0B3B" w:rsidRPr="00312AD4" w:rsidRDefault="005C0B3B" w:rsidP="005C0B3B">
      <w:pPr>
        <w:pStyle w:val="FootnoteText"/>
        <w:rPr>
          <w:lang w:val="en-US"/>
        </w:rPr>
      </w:pPr>
      <w:r>
        <w:rPr>
          <w:rStyle w:val="FootnoteReference"/>
        </w:rPr>
        <w:footnoteRef/>
      </w:r>
      <w:r w:rsidRPr="00312AD4">
        <w:rPr>
          <w:lang w:val="en-US"/>
        </w:rPr>
        <w:t xml:space="preserve"> </w:t>
      </w:r>
      <w:r>
        <w:rPr>
          <w:lang w:val="en-US"/>
        </w:rPr>
        <w:t xml:space="preserve">Bennett, </w:t>
      </w:r>
      <w:r w:rsidRPr="00872F12">
        <w:rPr>
          <w:lang w:val="en-US"/>
        </w:rPr>
        <w:t>‘“If I Knew You Were Coming, I’d Have Baked a Cake”’, p. 12</w:t>
      </w:r>
      <w:r>
        <w:rPr>
          <w:lang w:val="en-US"/>
        </w:rPr>
        <w:t>7.</w:t>
      </w:r>
    </w:p>
  </w:footnote>
  <w:footnote w:id="27">
    <w:p w14:paraId="7F7C98E8" w14:textId="0D062479" w:rsidR="00137328" w:rsidRPr="002B16F7" w:rsidRDefault="00137328">
      <w:pPr>
        <w:pStyle w:val="FootnoteText"/>
        <w:rPr>
          <w:color w:val="FF0000"/>
          <w:lang w:val="en-US"/>
        </w:rPr>
      </w:pPr>
      <w:r>
        <w:rPr>
          <w:rStyle w:val="FootnoteReference"/>
        </w:rPr>
        <w:footnoteRef/>
      </w:r>
      <w:r w:rsidRPr="00137328">
        <w:rPr>
          <w:lang w:val="en-US"/>
        </w:rPr>
        <w:t xml:space="preserve"> </w:t>
      </w:r>
      <w:r w:rsidR="002B16F7" w:rsidRPr="002B16F7">
        <w:rPr>
          <w:lang w:val="en-US"/>
        </w:rPr>
        <w:t>Hennink</w:t>
      </w:r>
      <w:r w:rsidR="004057CD">
        <w:rPr>
          <w:lang w:val="en-US"/>
        </w:rPr>
        <w:t>,</w:t>
      </w:r>
      <w:r w:rsidR="002B16F7" w:rsidRPr="002B16F7">
        <w:rPr>
          <w:lang w:val="en-US"/>
        </w:rPr>
        <w:t xml:space="preserve"> </w:t>
      </w:r>
      <w:r w:rsidR="002B16F7" w:rsidRPr="002B16F7">
        <w:rPr>
          <w:i/>
          <w:iCs/>
          <w:lang w:val="en-US"/>
        </w:rPr>
        <w:t>Qualitative Research Methods</w:t>
      </w:r>
      <w:r w:rsidR="002B16F7" w:rsidRPr="002B16F7">
        <w:rPr>
          <w:lang w:val="en-US"/>
        </w:rPr>
        <w:t>, p. 71.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1479268"/>
      <w:docPartObj>
        <w:docPartGallery w:val="Page Numbers (Top of Page)"/>
        <w:docPartUnique/>
      </w:docPartObj>
    </w:sdtPr>
    <w:sdtEndPr/>
    <w:sdtContent>
      <w:p w14:paraId="3E59ACC0" w14:textId="418CB607" w:rsidR="00D002F5" w:rsidRDefault="00D002F5">
        <w:pPr>
          <w:pStyle w:val="Header"/>
          <w:jc w:val="right"/>
        </w:pPr>
        <w:r>
          <w:fldChar w:fldCharType="begin"/>
        </w:r>
        <w:r>
          <w:instrText>PAGE   \* MERGEFORMAT</w:instrText>
        </w:r>
        <w:r>
          <w:fldChar w:fldCharType="separate"/>
        </w:r>
        <w:r>
          <w:t>2</w:t>
        </w:r>
        <w:r>
          <w:fldChar w:fldCharType="end"/>
        </w:r>
      </w:p>
    </w:sdtContent>
  </w:sdt>
  <w:p w14:paraId="23CCF230" w14:textId="77777777" w:rsidR="00D002F5" w:rsidRDefault="00D002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57E8B"/>
    <w:multiLevelType w:val="hybridMultilevel"/>
    <w:tmpl w:val="C400ADE8"/>
    <w:lvl w:ilvl="0" w:tplc="5B7E816A">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39B723A"/>
    <w:multiLevelType w:val="hybridMultilevel"/>
    <w:tmpl w:val="6B447000"/>
    <w:lvl w:ilvl="0" w:tplc="0413000F">
      <w:start w:val="1"/>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2" w15:restartNumberingAfterBreak="0">
    <w:nsid w:val="0FDC0E90"/>
    <w:multiLevelType w:val="hybridMultilevel"/>
    <w:tmpl w:val="D2DE1ABE"/>
    <w:lvl w:ilvl="0" w:tplc="0413000F">
      <w:start w:val="1"/>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3" w15:restartNumberingAfterBreak="0">
    <w:nsid w:val="1B943FE7"/>
    <w:multiLevelType w:val="hybridMultilevel"/>
    <w:tmpl w:val="D2DE1A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5ED00C0"/>
    <w:multiLevelType w:val="hybridMultilevel"/>
    <w:tmpl w:val="510C9340"/>
    <w:lvl w:ilvl="0" w:tplc="65EC76A0">
      <w:numFmt w:val="bullet"/>
      <w:lvlText w:val="-"/>
      <w:lvlJc w:val="left"/>
      <w:pPr>
        <w:ind w:left="720" w:hanging="360"/>
      </w:pPr>
      <w:rPr>
        <w:rFonts w:ascii="Aptos" w:eastAsiaTheme="minorHAnsi" w:hAnsi="Aptos" w:cstheme="minorBidi" w:hint="default"/>
      </w:rPr>
    </w:lvl>
    <w:lvl w:ilvl="1" w:tplc="04130003">
      <w:start w:val="1"/>
      <w:numFmt w:val="bullet"/>
      <w:lvlText w:val="o"/>
      <w:lvlJc w:val="left"/>
      <w:pPr>
        <w:ind w:left="1440" w:hanging="360"/>
      </w:pPr>
      <w:rPr>
        <w:rFonts w:ascii="Courier New" w:hAnsi="Courier New" w:cs="Courier New" w:hint="default"/>
      </w:rPr>
    </w:lvl>
    <w:lvl w:ilvl="2" w:tplc="04130005" w:tentative="1">
      <w:start w:val="1"/>
      <w:numFmt w:val="bullet"/>
      <w:lvlText w:val=""/>
      <w:lvlJc w:val="left"/>
      <w:pPr>
        <w:ind w:left="2160" w:hanging="360"/>
      </w:pPr>
      <w:rPr>
        <w:rFonts w:ascii="Wingdings" w:hAnsi="Wingdings" w:hint="default"/>
      </w:rPr>
    </w:lvl>
    <w:lvl w:ilvl="3" w:tplc="04130001" w:tentative="1">
      <w:start w:val="1"/>
      <w:numFmt w:val="bullet"/>
      <w:lvlText w:val=""/>
      <w:lvlJc w:val="left"/>
      <w:pPr>
        <w:ind w:left="2880" w:hanging="360"/>
      </w:pPr>
      <w:rPr>
        <w:rFonts w:ascii="Symbol" w:hAnsi="Symbol" w:hint="default"/>
      </w:rPr>
    </w:lvl>
    <w:lvl w:ilvl="4" w:tplc="04130003" w:tentative="1">
      <w:start w:val="1"/>
      <w:numFmt w:val="bullet"/>
      <w:lvlText w:val="o"/>
      <w:lvlJc w:val="left"/>
      <w:pPr>
        <w:ind w:left="3600" w:hanging="360"/>
      </w:pPr>
      <w:rPr>
        <w:rFonts w:ascii="Courier New" w:hAnsi="Courier New" w:cs="Courier New" w:hint="default"/>
      </w:rPr>
    </w:lvl>
    <w:lvl w:ilvl="5" w:tplc="04130005" w:tentative="1">
      <w:start w:val="1"/>
      <w:numFmt w:val="bullet"/>
      <w:lvlText w:val=""/>
      <w:lvlJc w:val="left"/>
      <w:pPr>
        <w:ind w:left="4320" w:hanging="360"/>
      </w:pPr>
      <w:rPr>
        <w:rFonts w:ascii="Wingdings" w:hAnsi="Wingdings" w:hint="default"/>
      </w:rPr>
    </w:lvl>
    <w:lvl w:ilvl="6" w:tplc="04130001" w:tentative="1">
      <w:start w:val="1"/>
      <w:numFmt w:val="bullet"/>
      <w:lvlText w:val=""/>
      <w:lvlJc w:val="left"/>
      <w:pPr>
        <w:ind w:left="5040" w:hanging="360"/>
      </w:pPr>
      <w:rPr>
        <w:rFonts w:ascii="Symbol" w:hAnsi="Symbol" w:hint="default"/>
      </w:rPr>
    </w:lvl>
    <w:lvl w:ilvl="7" w:tplc="04130003" w:tentative="1">
      <w:start w:val="1"/>
      <w:numFmt w:val="bullet"/>
      <w:lvlText w:val="o"/>
      <w:lvlJc w:val="left"/>
      <w:pPr>
        <w:ind w:left="5760" w:hanging="360"/>
      </w:pPr>
      <w:rPr>
        <w:rFonts w:ascii="Courier New" w:hAnsi="Courier New" w:cs="Courier New" w:hint="default"/>
      </w:rPr>
    </w:lvl>
    <w:lvl w:ilvl="8" w:tplc="04130005" w:tentative="1">
      <w:start w:val="1"/>
      <w:numFmt w:val="bullet"/>
      <w:lvlText w:val=""/>
      <w:lvlJc w:val="left"/>
      <w:pPr>
        <w:ind w:left="6480" w:hanging="360"/>
      </w:pPr>
      <w:rPr>
        <w:rFonts w:ascii="Wingdings" w:hAnsi="Wingdings" w:hint="default"/>
      </w:rPr>
    </w:lvl>
  </w:abstractNum>
  <w:abstractNum w:abstractNumId="5" w15:restartNumberingAfterBreak="0">
    <w:nsid w:val="3A0B0800"/>
    <w:multiLevelType w:val="hybridMultilevel"/>
    <w:tmpl w:val="3B3AACD8"/>
    <w:lvl w:ilvl="0" w:tplc="4FAE42AC">
      <w:start w:val="2500"/>
      <w:numFmt w:val="bullet"/>
      <w:lvlText w:val="-"/>
      <w:lvlJc w:val="left"/>
      <w:pPr>
        <w:ind w:left="720" w:hanging="360"/>
      </w:pPr>
      <w:rPr>
        <w:rFonts w:ascii="Aptos" w:eastAsiaTheme="minorHAnsi" w:hAnsi="Aptos" w:cstheme="minorBidi" w:hint="default"/>
      </w:rPr>
    </w:lvl>
    <w:lvl w:ilvl="1" w:tplc="04130003" w:tentative="1">
      <w:start w:val="1"/>
      <w:numFmt w:val="bullet"/>
      <w:lvlText w:val="o"/>
      <w:lvlJc w:val="left"/>
      <w:pPr>
        <w:ind w:left="1440" w:hanging="360"/>
      </w:pPr>
      <w:rPr>
        <w:rFonts w:ascii="Courier New" w:hAnsi="Courier New" w:cs="Courier New" w:hint="default"/>
      </w:rPr>
    </w:lvl>
    <w:lvl w:ilvl="2" w:tplc="04130005" w:tentative="1">
      <w:start w:val="1"/>
      <w:numFmt w:val="bullet"/>
      <w:lvlText w:val=""/>
      <w:lvlJc w:val="left"/>
      <w:pPr>
        <w:ind w:left="2160" w:hanging="360"/>
      </w:pPr>
      <w:rPr>
        <w:rFonts w:ascii="Wingdings" w:hAnsi="Wingdings" w:hint="default"/>
      </w:rPr>
    </w:lvl>
    <w:lvl w:ilvl="3" w:tplc="04130001" w:tentative="1">
      <w:start w:val="1"/>
      <w:numFmt w:val="bullet"/>
      <w:lvlText w:val=""/>
      <w:lvlJc w:val="left"/>
      <w:pPr>
        <w:ind w:left="2880" w:hanging="360"/>
      </w:pPr>
      <w:rPr>
        <w:rFonts w:ascii="Symbol" w:hAnsi="Symbol" w:hint="default"/>
      </w:rPr>
    </w:lvl>
    <w:lvl w:ilvl="4" w:tplc="04130003" w:tentative="1">
      <w:start w:val="1"/>
      <w:numFmt w:val="bullet"/>
      <w:lvlText w:val="o"/>
      <w:lvlJc w:val="left"/>
      <w:pPr>
        <w:ind w:left="3600" w:hanging="360"/>
      </w:pPr>
      <w:rPr>
        <w:rFonts w:ascii="Courier New" w:hAnsi="Courier New" w:cs="Courier New" w:hint="default"/>
      </w:rPr>
    </w:lvl>
    <w:lvl w:ilvl="5" w:tplc="04130005" w:tentative="1">
      <w:start w:val="1"/>
      <w:numFmt w:val="bullet"/>
      <w:lvlText w:val=""/>
      <w:lvlJc w:val="left"/>
      <w:pPr>
        <w:ind w:left="4320" w:hanging="360"/>
      </w:pPr>
      <w:rPr>
        <w:rFonts w:ascii="Wingdings" w:hAnsi="Wingdings" w:hint="default"/>
      </w:rPr>
    </w:lvl>
    <w:lvl w:ilvl="6" w:tplc="04130001" w:tentative="1">
      <w:start w:val="1"/>
      <w:numFmt w:val="bullet"/>
      <w:lvlText w:val=""/>
      <w:lvlJc w:val="left"/>
      <w:pPr>
        <w:ind w:left="5040" w:hanging="360"/>
      </w:pPr>
      <w:rPr>
        <w:rFonts w:ascii="Symbol" w:hAnsi="Symbol" w:hint="default"/>
      </w:rPr>
    </w:lvl>
    <w:lvl w:ilvl="7" w:tplc="04130003" w:tentative="1">
      <w:start w:val="1"/>
      <w:numFmt w:val="bullet"/>
      <w:lvlText w:val="o"/>
      <w:lvlJc w:val="left"/>
      <w:pPr>
        <w:ind w:left="5760" w:hanging="360"/>
      </w:pPr>
      <w:rPr>
        <w:rFonts w:ascii="Courier New" w:hAnsi="Courier New" w:cs="Courier New" w:hint="default"/>
      </w:rPr>
    </w:lvl>
    <w:lvl w:ilvl="8" w:tplc="04130005" w:tentative="1">
      <w:start w:val="1"/>
      <w:numFmt w:val="bullet"/>
      <w:lvlText w:val=""/>
      <w:lvlJc w:val="left"/>
      <w:pPr>
        <w:ind w:left="6480" w:hanging="360"/>
      </w:pPr>
      <w:rPr>
        <w:rFonts w:ascii="Wingdings" w:hAnsi="Wingdings" w:hint="default"/>
      </w:rPr>
    </w:lvl>
  </w:abstractNum>
  <w:abstractNum w:abstractNumId="6" w15:restartNumberingAfterBreak="0">
    <w:nsid w:val="4433252D"/>
    <w:multiLevelType w:val="multilevel"/>
    <w:tmpl w:val="E61A2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B793F"/>
    <w:multiLevelType w:val="hybridMultilevel"/>
    <w:tmpl w:val="516030F2"/>
    <w:lvl w:ilvl="0" w:tplc="04130001">
      <w:start w:val="1"/>
      <w:numFmt w:val="bullet"/>
      <w:lvlText w:val=""/>
      <w:lvlJc w:val="left"/>
      <w:pPr>
        <w:ind w:left="720" w:hanging="360"/>
      </w:pPr>
      <w:rPr>
        <w:rFonts w:ascii="Symbol" w:hAnsi="Symbol" w:hint="default"/>
      </w:rPr>
    </w:lvl>
    <w:lvl w:ilvl="1" w:tplc="04130003" w:tentative="1">
      <w:start w:val="1"/>
      <w:numFmt w:val="bullet"/>
      <w:lvlText w:val="o"/>
      <w:lvlJc w:val="left"/>
      <w:pPr>
        <w:ind w:left="1440" w:hanging="360"/>
      </w:pPr>
      <w:rPr>
        <w:rFonts w:ascii="Courier New" w:hAnsi="Courier New" w:cs="Courier New" w:hint="default"/>
      </w:rPr>
    </w:lvl>
    <w:lvl w:ilvl="2" w:tplc="04130005" w:tentative="1">
      <w:start w:val="1"/>
      <w:numFmt w:val="bullet"/>
      <w:lvlText w:val=""/>
      <w:lvlJc w:val="left"/>
      <w:pPr>
        <w:ind w:left="2160" w:hanging="360"/>
      </w:pPr>
      <w:rPr>
        <w:rFonts w:ascii="Wingdings" w:hAnsi="Wingdings" w:hint="default"/>
      </w:rPr>
    </w:lvl>
    <w:lvl w:ilvl="3" w:tplc="04130001" w:tentative="1">
      <w:start w:val="1"/>
      <w:numFmt w:val="bullet"/>
      <w:lvlText w:val=""/>
      <w:lvlJc w:val="left"/>
      <w:pPr>
        <w:ind w:left="2880" w:hanging="360"/>
      </w:pPr>
      <w:rPr>
        <w:rFonts w:ascii="Symbol" w:hAnsi="Symbol" w:hint="default"/>
      </w:rPr>
    </w:lvl>
    <w:lvl w:ilvl="4" w:tplc="04130003" w:tentative="1">
      <w:start w:val="1"/>
      <w:numFmt w:val="bullet"/>
      <w:lvlText w:val="o"/>
      <w:lvlJc w:val="left"/>
      <w:pPr>
        <w:ind w:left="3600" w:hanging="360"/>
      </w:pPr>
      <w:rPr>
        <w:rFonts w:ascii="Courier New" w:hAnsi="Courier New" w:cs="Courier New" w:hint="default"/>
      </w:rPr>
    </w:lvl>
    <w:lvl w:ilvl="5" w:tplc="04130005" w:tentative="1">
      <w:start w:val="1"/>
      <w:numFmt w:val="bullet"/>
      <w:lvlText w:val=""/>
      <w:lvlJc w:val="left"/>
      <w:pPr>
        <w:ind w:left="4320" w:hanging="360"/>
      </w:pPr>
      <w:rPr>
        <w:rFonts w:ascii="Wingdings" w:hAnsi="Wingdings" w:hint="default"/>
      </w:rPr>
    </w:lvl>
    <w:lvl w:ilvl="6" w:tplc="04130001" w:tentative="1">
      <w:start w:val="1"/>
      <w:numFmt w:val="bullet"/>
      <w:lvlText w:val=""/>
      <w:lvlJc w:val="left"/>
      <w:pPr>
        <w:ind w:left="5040" w:hanging="360"/>
      </w:pPr>
      <w:rPr>
        <w:rFonts w:ascii="Symbol" w:hAnsi="Symbol" w:hint="default"/>
      </w:rPr>
    </w:lvl>
    <w:lvl w:ilvl="7" w:tplc="04130003" w:tentative="1">
      <w:start w:val="1"/>
      <w:numFmt w:val="bullet"/>
      <w:lvlText w:val="o"/>
      <w:lvlJc w:val="left"/>
      <w:pPr>
        <w:ind w:left="5760" w:hanging="360"/>
      </w:pPr>
      <w:rPr>
        <w:rFonts w:ascii="Courier New" w:hAnsi="Courier New" w:cs="Courier New" w:hint="default"/>
      </w:rPr>
    </w:lvl>
    <w:lvl w:ilvl="8" w:tplc="04130005" w:tentative="1">
      <w:start w:val="1"/>
      <w:numFmt w:val="bullet"/>
      <w:lvlText w:val=""/>
      <w:lvlJc w:val="left"/>
      <w:pPr>
        <w:ind w:left="6480" w:hanging="360"/>
      </w:pPr>
      <w:rPr>
        <w:rFonts w:ascii="Wingdings" w:hAnsi="Wingdings" w:hint="default"/>
      </w:rPr>
    </w:lvl>
  </w:abstractNum>
  <w:abstractNum w:abstractNumId="8" w15:restartNumberingAfterBreak="0">
    <w:nsid w:val="7A11345A"/>
    <w:multiLevelType w:val="multilevel"/>
    <w:tmpl w:val="5A5CF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15052C"/>
    <w:multiLevelType w:val="hybridMultilevel"/>
    <w:tmpl w:val="0C88FC16"/>
    <w:lvl w:ilvl="0" w:tplc="8BF23FEE">
      <w:numFmt w:val="bullet"/>
      <w:lvlText w:val="-"/>
      <w:lvlJc w:val="left"/>
      <w:pPr>
        <w:ind w:left="720" w:hanging="360"/>
      </w:pPr>
      <w:rPr>
        <w:rFonts w:ascii="Aptos" w:eastAsiaTheme="minorHAnsi" w:hAnsi="Aptos" w:cstheme="minorBidi" w:hint="default"/>
      </w:rPr>
    </w:lvl>
    <w:lvl w:ilvl="1" w:tplc="04130003" w:tentative="1">
      <w:start w:val="1"/>
      <w:numFmt w:val="bullet"/>
      <w:lvlText w:val="o"/>
      <w:lvlJc w:val="left"/>
      <w:pPr>
        <w:ind w:left="1440" w:hanging="360"/>
      </w:pPr>
      <w:rPr>
        <w:rFonts w:ascii="Courier New" w:hAnsi="Courier New" w:cs="Courier New" w:hint="default"/>
      </w:rPr>
    </w:lvl>
    <w:lvl w:ilvl="2" w:tplc="04130005" w:tentative="1">
      <w:start w:val="1"/>
      <w:numFmt w:val="bullet"/>
      <w:lvlText w:val=""/>
      <w:lvlJc w:val="left"/>
      <w:pPr>
        <w:ind w:left="2160" w:hanging="360"/>
      </w:pPr>
      <w:rPr>
        <w:rFonts w:ascii="Wingdings" w:hAnsi="Wingdings" w:hint="default"/>
      </w:rPr>
    </w:lvl>
    <w:lvl w:ilvl="3" w:tplc="04130001" w:tentative="1">
      <w:start w:val="1"/>
      <w:numFmt w:val="bullet"/>
      <w:lvlText w:val=""/>
      <w:lvlJc w:val="left"/>
      <w:pPr>
        <w:ind w:left="2880" w:hanging="360"/>
      </w:pPr>
      <w:rPr>
        <w:rFonts w:ascii="Symbol" w:hAnsi="Symbol" w:hint="default"/>
      </w:rPr>
    </w:lvl>
    <w:lvl w:ilvl="4" w:tplc="04130003" w:tentative="1">
      <w:start w:val="1"/>
      <w:numFmt w:val="bullet"/>
      <w:lvlText w:val="o"/>
      <w:lvlJc w:val="left"/>
      <w:pPr>
        <w:ind w:left="3600" w:hanging="360"/>
      </w:pPr>
      <w:rPr>
        <w:rFonts w:ascii="Courier New" w:hAnsi="Courier New" w:cs="Courier New" w:hint="default"/>
      </w:rPr>
    </w:lvl>
    <w:lvl w:ilvl="5" w:tplc="04130005" w:tentative="1">
      <w:start w:val="1"/>
      <w:numFmt w:val="bullet"/>
      <w:lvlText w:val=""/>
      <w:lvlJc w:val="left"/>
      <w:pPr>
        <w:ind w:left="4320" w:hanging="360"/>
      </w:pPr>
      <w:rPr>
        <w:rFonts w:ascii="Wingdings" w:hAnsi="Wingdings" w:hint="default"/>
      </w:rPr>
    </w:lvl>
    <w:lvl w:ilvl="6" w:tplc="04130001" w:tentative="1">
      <w:start w:val="1"/>
      <w:numFmt w:val="bullet"/>
      <w:lvlText w:val=""/>
      <w:lvlJc w:val="left"/>
      <w:pPr>
        <w:ind w:left="5040" w:hanging="360"/>
      </w:pPr>
      <w:rPr>
        <w:rFonts w:ascii="Symbol" w:hAnsi="Symbol" w:hint="default"/>
      </w:rPr>
    </w:lvl>
    <w:lvl w:ilvl="7" w:tplc="04130003" w:tentative="1">
      <w:start w:val="1"/>
      <w:numFmt w:val="bullet"/>
      <w:lvlText w:val="o"/>
      <w:lvlJc w:val="left"/>
      <w:pPr>
        <w:ind w:left="5760" w:hanging="360"/>
      </w:pPr>
      <w:rPr>
        <w:rFonts w:ascii="Courier New" w:hAnsi="Courier New" w:cs="Courier New" w:hint="default"/>
      </w:rPr>
    </w:lvl>
    <w:lvl w:ilvl="8" w:tplc="04130005" w:tentative="1">
      <w:start w:val="1"/>
      <w:numFmt w:val="bullet"/>
      <w:lvlText w:val=""/>
      <w:lvlJc w:val="left"/>
      <w:pPr>
        <w:ind w:left="6480" w:hanging="360"/>
      </w:pPr>
      <w:rPr>
        <w:rFonts w:ascii="Wingdings" w:hAnsi="Wingdings" w:hint="default"/>
      </w:rPr>
    </w:lvl>
  </w:abstractNum>
  <w:num w:numId="1" w16cid:durableId="1678656864">
    <w:abstractNumId w:val="0"/>
  </w:num>
  <w:num w:numId="2" w16cid:durableId="313528266">
    <w:abstractNumId w:val="2"/>
  </w:num>
  <w:num w:numId="3" w16cid:durableId="1662198331">
    <w:abstractNumId w:val="7"/>
  </w:num>
  <w:num w:numId="4" w16cid:durableId="811481694">
    <w:abstractNumId w:val="3"/>
  </w:num>
  <w:num w:numId="5" w16cid:durableId="2003312652">
    <w:abstractNumId w:val="4"/>
  </w:num>
  <w:num w:numId="6" w16cid:durableId="1858496216">
    <w:abstractNumId w:val="5"/>
  </w:num>
  <w:num w:numId="7" w16cid:durableId="2111007631">
    <w:abstractNumId w:val="6"/>
  </w:num>
  <w:num w:numId="8" w16cid:durableId="222184641">
    <w:abstractNumId w:val="8"/>
  </w:num>
  <w:num w:numId="9" w16cid:durableId="941837872">
    <w:abstractNumId w:val="9"/>
  </w:num>
  <w:num w:numId="10" w16cid:durableId="546188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59C"/>
    <w:rsid w:val="00002A90"/>
    <w:rsid w:val="00003ED8"/>
    <w:rsid w:val="00015FA1"/>
    <w:rsid w:val="000164E4"/>
    <w:rsid w:val="00016EB0"/>
    <w:rsid w:val="00024328"/>
    <w:rsid w:val="00027D81"/>
    <w:rsid w:val="00031C76"/>
    <w:rsid w:val="00035AAF"/>
    <w:rsid w:val="00041801"/>
    <w:rsid w:val="00050F65"/>
    <w:rsid w:val="00056BCB"/>
    <w:rsid w:val="00073261"/>
    <w:rsid w:val="00087B38"/>
    <w:rsid w:val="000900C8"/>
    <w:rsid w:val="000905CA"/>
    <w:rsid w:val="00090D54"/>
    <w:rsid w:val="000923BE"/>
    <w:rsid w:val="00097CC8"/>
    <w:rsid w:val="000A0D2B"/>
    <w:rsid w:val="000A13A8"/>
    <w:rsid w:val="000A2959"/>
    <w:rsid w:val="000A4775"/>
    <w:rsid w:val="000A67EE"/>
    <w:rsid w:val="000B5926"/>
    <w:rsid w:val="000C62DA"/>
    <w:rsid w:val="000C6B75"/>
    <w:rsid w:val="000D0C99"/>
    <w:rsid w:val="000D3063"/>
    <w:rsid w:val="000E0C94"/>
    <w:rsid w:val="000E1C9C"/>
    <w:rsid w:val="000E3B15"/>
    <w:rsid w:val="000E5A47"/>
    <w:rsid w:val="000F14B3"/>
    <w:rsid w:val="000F2DC4"/>
    <w:rsid w:val="000F603E"/>
    <w:rsid w:val="000F71C6"/>
    <w:rsid w:val="001036D7"/>
    <w:rsid w:val="001120C2"/>
    <w:rsid w:val="001317EC"/>
    <w:rsid w:val="00131806"/>
    <w:rsid w:val="00131BE4"/>
    <w:rsid w:val="00131EA8"/>
    <w:rsid w:val="00134739"/>
    <w:rsid w:val="00137328"/>
    <w:rsid w:val="00150907"/>
    <w:rsid w:val="001516C7"/>
    <w:rsid w:val="00153396"/>
    <w:rsid w:val="0015549D"/>
    <w:rsid w:val="00156C55"/>
    <w:rsid w:val="00174149"/>
    <w:rsid w:val="00176293"/>
    <w:rsid w:val="001805DF"/>
    <w:rsid w:val="00180DBA"/>
    <w:rsid w:val="001833B7"/>
    <w:rsid w:val="001861A3"/>
    <w:rsid w:val="0018720A"/>
    <w:rsid w:val="00187B14"/>
    <w:rsid w:val="00196654"/>
    <w:rsid w:val="00196693"/>
    <w:rsid w:val="001A7039"/>
    <w:rsid w:val="001B0276"/>
    <w:rsid w:val="001B145D"/>
    <w:rsid w:val="001B1CA0"/>
    <w:rsid w:val="001B1E30"/>
    <w:rsid w:val="001B2123"/>
    <w:rsid w:val="001C49FD"/>
    <w:rsid w:val="001C76B8"/>
    <w:rsid w:val="001D7860"/>
    <w:rsid w:val="001E1F18"/>
    <w:rsid w:val="001E5CFB"/>
    <w:rsid w:val="001E643D"/>
    <w:rsid w:val="001E7199"/>
    <w:rsid w:val="001F0D7F"/>
    <w:rsid w:val="001F1258"/>
    <w:rsid w:val="001F2004"/>
    <w:rsid w:val="001F48BB"/>
    <w:rsid w:val="001F66F3"/>
    <w:rsid w:val="002042CE"/>
    <w:rsid w:val="00213E21"/>
    <w:rsid w:val="00220A4D"/>
    <w:rsid w:val="002342A7"/>
    <w:rsid w:val="0024265B"/>
    <w:rsid w:val="00245A7E"/>
    <w:rsid w:val="0024627A"/>
    <w:rsid w:val="002478DD"/>
    <w:rsid w:val="0025324D"/>
    <w:rsid w:val="0025506A"/>
    <w:rsid w:val="00261422"/>
    <w:rsid w:val="00261DA3"/>
    <w:rsid w:val="00263C86"/>
    <w:rsid w:val="00265B1A"/>
    <w:rsid w:val="00267FDF"/>
    <w:rsid w:val="0027133C"/>
    <w:rsid w:val="002719D8"/>
    <w:rsid w:val="0028301F"/>
    <w:rsid w:val="00291D86"/>
    <w:rsid w:val="002924E5"/>
    <w:rsid w:val="00293438"/>
    <w:rsid w:val="002A5FDE"/>
    <w:rsid w:val="002B03FE"/>
    <w:rsid w:val="002B16F7"/>
    <w:rsid w:val="002B27ED"/>
    <w:rsid w:val="002B2E2C"/>
    <w:rsid w:val="002B5112"/>
    <w:rsid w:val="002B62CB"/>
    <w:rsid w:val="002B7382"/>
    <w:rsid w:val="002C091C"/>
    <w:rsid w:val="002C3D12"/>
    <w:rsid w:val="002C4ACE"/>
    <w:rsid w:val="002D300C"/>
    <w:rsid w:val="002D4632"/>
    <w:rsid w:val="002E1D5C"/>
    <w:rsid w:val="002E4191"/>
    <w:rsid w:val="002E4FD2"/>
    <w:rsid w:val="002E7003"/>
    <w:rsid w:val="002F4102"/>
    <w:rsid w:val="002F5A63"/>
    <w:rsid w:val="002F6FD5"/>
    <w:rsid w:val="00312AD4"/>
    <w:rsid w:val="00313376"/>
    <w:rsid w:val="003143C0"/>
    <w:rsid w:val="00317A3C"/>
    <w:rsid w:val="0032700B"/>
    <w:rsid w:val="0033022C"/>
    <w:rsid w:val="00334D53"/>
    <w:rsid w:val="00344566"/>
    <w:rsid w:val="00346390"/>
    <w:rsid w:val="00360F4E"/>
    <w:rsid w:val="003619D5"/>
    <w:rsid w:val="003651EB"/>
    <w:rsid w:val="00365F59"/>
    <w:rsid w:val="00375BB1"/>
    <w:rsid w:val="00375FD5"/>
    <w:rsid w:val="00382EE4"/>
    <w:rsid w:val="0038503A"/>
    <w:rsid w:val="00387250"/>
    <w:rsid w:val="00392EC8"/>
    <w:rsid w:val="003A4211"/>
    <w:rsid w:val="003A4583"/>
    <w:rsid w:val="003A4EC0"/>
    <w:rsid w:val="003B7EB2"/>
    <w:rsid w:val="003C045F"/>
    <w:rsid w:val="003C0634"/>
    <w:rsid w:val="003C0F3D"/>
    <w:rsid w:val="003C1327"/>
    <w:rsid w:val="003C1C7C"/>
    <w:rsid w:val="003C2771"/>
    <w:rsid w:val="003C5A06"/>
    <w:rsid w:val="003C67BE"/>
    <w:rsid w:val="003D1109"/>
    <w:rsid w:val="003D1B48"/>
    <w:rsid w:val="003E1871"/>
    <w:rsid w:val="003F034A"/>
    <w:rsid w:val="003F0662"/>
    <w:rsid w:val="003F286C"/>
    <w:rsid w:val="00400674"/>
    <w:rsid w:val="004031BD"/>
    <w:rsid w:val="00403D58"/>
    <w:rsid w:val="004057CD"/>
    <w:rsid w:val="00406A79"/>
    <w:rsid w:val="00406D10"/>
    <w:rsid w:val="0041128F"/>
    <w:rsid w:val="004220D1"/>
    <w:rsid w:val="00432691"/>
    <w:rsid w:val="0043416F"/>
    <w:rsid w:val="00434A4E"/>
    <w:rsid w:val="0044230F"/>
    <w:rsid w:val="00442FD2"/>
    <w:rsid w:val="004509F4"/>
    <w:rsid w:val="00457D04"/>
    <w:rsid w:val="00462E6B"/>
    <w:rsid w:val="0046757D"/>
    <w:rsid w:val="00467BE7"/>
    <w:rsid w:val="00471A30"/>
    <w:rsid w:val="00472828"/>
    <w:rsid w:val="00476EEE"/>
    <w:rsid w:val="00481958"/>
    <w:rsid w:val="004845F6"/>
    <w:rsid w:val="0048504B"/>
    <w:rsid w:val="00485843"/>
    <w:rsid w:val="004860E7"/>
    <w:rsid w:val="0049284F"/>
    <w:rsid w:val="004A2E6F"/>
    <w:rsid w:val="004A2F92"/>
    <w:rsid w:val="004B1CBA"/>
    <w:rsid w:val="004B4728"/>
    <w:rsid w:val="004C18E0"/>
    <w:rsid w:val="004D0188"/>
    <w:rsid w:val="004D5E56"/>
    <w:rsid w:val="004D68AC"/>
    <w:rsid w:val="004E09FD"/>
    <w:rsid w:val="004E60EB"/>
    <w:rsid w:val="004F0A52"/>
    <w:rsid w:val="00500F3F"/>
    <w:rsid w:val="005027BB"/>
    <w:rsid w:val="00513340"/>
    <w:rsid w:val="00514250"/>
    <w:rsid w:val="00514BCB"/>
    <w:rsid w:val="00520E14"/>
    <w:rsid w:val="00521BFC"/>
    <w:rsid w:val="005228D7"/>
    <w:rsid w:val="00522D13"/>
    <w:rsid w:val="005253C8"/>
    <w:rsid w:val="00531890"/>
    <w:rsid w:val="00534302"/>
    <w:rsid w:val="005350B1"/>
    <w:rsid w:val="0054330F"/>
    <w:rsid w:val="00544B6F"/>
    <w:rsid w:val="00545C23"/>
    <w:rsid w:val="00546ABE"/>
    <w:rsid w:val="005479D6"/>
    <w:rsid w:val="0055469C"/>
    <w:rsid w:val="00562E8A"/>
    <w:rsid w:val="00566D57"/>
    <w:rsid w:val="00570D25"/>
    <w:rsid w:val="0057527C"/>
    <w:rsid w:val="00577E3B"/>
    <w:rsid w:val="00580A89"/>
    <w:rsid w:val="005810DF"/>
    <w:rsid w:val="00583BA1"/>
    <w:rsid w:val="00585212"/>
    <w:rsid w:val="005852E9"/>
    <w:rsid w:val="005911BC"/>
    <w:rsid w:val="005928A1"/>
    <w:rsid w:val="0059647C"/>
    <w:rsid w:val="005A58B8"/>
    <w:rsid w:val="005A6144"/>
    <w:rsid w:val="005B0C87"/>
    <w:rsid w:val="005B4EB2"/>
    <w:rsid w:val="005C0B3B"/>
    <w:rsid w:val="005C70DC"/>
    <w:rsid w:val="005D4619"/>
    <w:rsid w:val="005D7505"/>
    <w:rsid w:val="005E1388"/>
    <w:rsid w:val="005F1042"/>
    <w:rsid w:val="005F36F2"/>
    <w:rsid w:val="005F455E"/>
    <w:rsid w:val="00602CDC"/>
    <w:rsid w:val="00603252"/>
    <w:rsid w:val="0060509A"/>
    <w:rsid w:val="00606197"/>
    <w:rsid w:val="00606C05"/>
    <w:rsid w:val="00606FC5"/>
    <w:rsid w:val="006075FC"/>
    <w:rsid w:val="00614095"/>
    <w:rsid w:val="00620D16"/>
    <w:rsid w:val="006273AC"/>
    <w:rsid w:val="006273B4"/>
    <w:rsid w:val="0063149B"/>
    <w:rsid w:val="00631568"/>
    <w:rsid w:val="0063175D"/>
    <w:rsid w:val="00634578"/>
    <w:rsid w:val="00634994"/>
    <w:rsid w:val="00634FDA"/>
    <w:rsid w:val="00636983"/>
    <w:rsid w:val="00636F9F"/>
    <w:rsid w:val="00643D4F"/>
    <w:rsid w:val="00647047"/>
    <w:rsid w:val="00650E14"/>
    <w:rsid w:val="00654EDF"/>
    <w:rsid w:val="00660D67"/>
    <w:rsid w:val="00663D89"/>
    <w:rsid w:val="00671F53"/>
    <w:rsid w:val="00676EFB"/>
    <w:rsid w:val="006804BC"/>
    <w:rsid w:val="00682B99"/>
    <w:rsid w:val="00683657"/>
    <w:rsid w:val="006837B2"/>
    <w:rsid w:val="006837F3"/>
    <w:rsid w:val="006868B6"/>
    <w:rsid w:val="006905E1"/>
    <w:rsid w:val="00690E0A"/>
    <w:rsid w:val="00691A95"/>
    <w:rsid w:val="00691C90"/>
    <w:rsid w:val="00693B65"/>
    <w:rsid w:val="00695298"/>
    <w:rsid w:val="006A11DE"/>
    <w:rsid w:val="006C5893"/>
    <w:rsid w:val="006C623C"/>
    <w:rsid w:val="006C6446"/>
    <w:rsid w:val="006C6A78"/>
    <w:rsid w:val="006D669F"/>
    <w:rsid w:val="006E72B3"/>
    <w:rsid w:val="006F574D"/>
    <w:rsid w:val="00704A34"/>
    <w:rsid w:val="00706310"/>
    <w:rsid w:val="00710502"/>
    <w:rsid w:val="00711781"/>
    <w:rsid w:val="00712FD9"/>
    <w:rsid w:val="00724AEC"/>
    <w:rsid w:val="00724ED6"/>
    <w:rsid w:val="00724F3F"/>
    <w:rsid w:val="007256EF"/>
    <w:rsid w:val="00731684"/>
    <w:rsid w:val="00733AE5"/>
    <w:rsid w:val="00733F6F"/>
    <w:rsid w:val="00736546"/>
    <w:rsid w:val="0074032F"/>
    <w:rsid w:val="00746263"/>
    <w:rsid w:val="00751E0A"/>
    <w:rsid w:val="00754771"/>
    <w:rsid w:val="00756D31"/>
    <w:rsid w:val="00760DE1"/>
    <w:rsid w:val="00760FE7"/>
    <w:rsid w:val="00766721"/>
    <w:rsid w:val="00770B5B"/>
    <w:rsid w:val="00770EC8"/>
    <w:rsid w:val="0077100F"/>
    <w:rsid w:val="007760BE"/>
    <w:rsid w:val="00777C8D"/>
    <w:rsid w:val="007811DC"/>
    <w:rsid w:val="0078198A"/>
    <w:rsid w:val="00781ED4"/>
    <w:rsid w:val="00784FC5"/>
    <w:rsid w:val="0079023C"/>
    <w:rsid w:val="0079394D"/>
    <w:rsid w:val="007945E3"/>
    <w:rsid w:val="00795389"/>
    <w:rsid w:val="00796C7D"/>
    <w:rsid w:val="00797C59"/>
    <w:rsid w:val="007A7208"/>
    <w:rsid w:val="007B585B"/>
    <w:rsid w:val="007C1305"/>
    <w:rsid w:val="007D7AC3"/>
    <w:rsid w:val="007F3717"/>
    <w:rsid w:val="008027FD"/>
    <w:rsid w:val="0080633C"/>
    <w:rsid w:val="00824214"/>
    <w:rsid w:val="00826B43"/>
    <w:rsid w:val="0083140A"/>
    <w:rsid w:val="00834119"/>
    <w:rsid w:val="0084103E"/>
    <w:rsid w:val="00843167"/>
    <w:rsid w:val="00843E3C"/>
    <w:rsid w:val="00844E28"/>
    <w:rsid w:val="00850548"/>
    <w:rsid w:val="008516E0"/>
    <w:rsid w:val="00851EB5"/>
    <w:rsid w:val="0085228B"/>
    <w:rsid w:val="00852896"/>
    <w:rsid w:val="0085372E"/>
    <w:rsid w:val="00857650"/>
    <w:rsid w:val="00860C02"/>
    <w:rsid w:val="00861052"/>
    <w:rsid w:val="00861BD2"/>
    <w:rsid w:val="00871590"/>
    <w:rsid w:val="00872599"/>
    <w:rsid w:val="008727C6"/>
    <w:rsid w:val="00872F12"/>
    <w:rsid w:val="00874FD0"/>
    <w:rsid w:val="0087612E"/>
    <w:rsid w:val="0088070B"/>
    <w:rsid w:val="0088449D"/>
    <w:rsid w:val="0088684A"/>
    <w:rsid w:val="00887C7C"/>
    <w:rsid w:val="00892F48"/>
    <w:rsid w:val="008A3A8F"/>
    <w:rsid w:val="008A3D8D"/>
    <w:rsid w:val="008A5D82"/>
    <w:rsid w:val="008B59C1"/>
    <w:rsid w:val="008B64FD"/>
    <w:rsid w:val="008C04EF"/>
    <w:rsid w:val="008C1B7F"/>
    <w:rsid w:val="008D7C3C"/>
    <w:rsid w:val="008E08E0"/>
    <w:rsid w:val="008E3AA8"/>
    <w:rsid w:val="008E7F28"/>
    <w:rsid w:val="008F500B"/>
    <w:rsid w:val="008F7D3A"/>
    <w:rsid w:val="0090313C"/>
    <w:rsid w:val="00904A48"/>
    <w:rsid w:val="00910A07"/>
    <w:rsid w:val="00910E99"/>
    <w:rsid w:val="00912ECA"/>
    <w:rsid w:val="00920B62"/>
    <w:rsid w:val="00931B97"/>
    <w:rsid w:val="00936E82"/>
    <w:rsid w:val="009373F7"/>
    <w:rsid w:val="00940652"/>
    <w:rsid w:val="00941B3E"/>
    <w:rsid w:val="009541D5"/>
    <w:rsid w:val="00960513"/>
    <w:rsid w:val="0096100E"/>
    <w:rsid w:val="00967C83"/>
    <w:rsid w:val="00967EAF"/>
    <w:rsid w:val="00971E1E"/>
    <w:rsid w:val="0097753E"/>
    <w:rsid w:val="0098088B"/>
    <w:rsid w:val="009836D8"/>
    <w:rsid w:val="009850B1"/>
    <w:rsid w:val="00987DA6"/>
    <w:rsid w:val="00991102"/>
    <w:rsid w:val="0099245E"/>
    <w:rsid w:val="009A03F4"/>
    <w:rsid w:val="009A0635"/>
    <w:rsid w:val="009B2EC5"/>
    <w:rsid w:val="009D606A"/>
    <w:rsid w:val="009D72BE"/>
    <w:rsid w:val="009D78C7"/>
    <w:rsid w:val="009E3036"/>
    <w:rsid w:val="009E7328"/>
    <w:rsid w:val="009F1747"/>
    <w:rsid w:val="009F5A9E"/>
    <w:rsid w:val="00A132E8"/>
    <w:rsid w:val="00A16705"/>
    <w:rsid w:val="00A17B4D"/>
    <w:rsid w:val="00A20107"/>
    <w:rsid w:val="00A208DE"/>
    <w:rsid w:val="00A219BB"/>
    <w:rsid w:val="00A23707"/>
    <w:rsid w:val="00A25A77"/>
    <w:rsid w:val="00A30DD2"/>
    <w:rsid w:val="00A42124"/>
    <w:rsid w:val="00A4229F"/>
    <w:rsid w:val="00A42F78"/>
    <w:rsid w:val="00A5116E"/>
    <w:rsid w:val="00A51A47"/>
    <w:rsid w:val="00A6087A"/>
    <w:rsid w:val="00A66256"/>
    <w:rsid w:val="00A675A6"/>
    <w:rsid w:val="00A717D3"/>
    <w:rsid w:val="00A813E5"/>
    <w:rsid w:val="00AA11A1"/>
    <w:rsid w:val="00AA188B"/>
    <w:rsid w:val="00AA1CFD"/>
    <w:rsid w:val="00AA662F"/>
    <w:rsid w:val="00AA7185"/>
    <w:rsid w:val="00AB0817"/>
    <w:rsid w:val="00AB326C"/>
    <w:rsid w:val="00AB3D77"/>
    <w:rsid w:val="00AB72D9"/>
    <w:rsid w:val="00AC0A1C"/>
    <w:rsid w:val="00AD141E"/>
    <w:rsid w:val="00AD7A11"/>
    <w:rsid w:val="00AE6930"/>
    <w:rsid w:val="00AE723B"/>
    <w:rsid w:val="00AF1D1D"/>
    <w:rsid w:val="00B0002E"/>
    <w:rsid w:val="00B03DD2"/>
    <w:rsid w:val="00B14BF1"/>
    <w:rsid w:val="00B151DC"/>
    <w:rsid w:val="00B155F7"/>
    <w:rsid w:val="00B15E33"/>
    <w:rsid w:val="00B2155C"/>
    <w:rsid w:val="00B2363E"/>
    <w:rsid w:val="00B27CDA"/>
    <w:rsid w:val="00B30226"/>
    <w:rsid w:val="00B32842"/>
    <w:rsid w:val="00B36FC2"/>
    <w:rsid w:val="00B430AA"/>
    <w:rsid w:val="00B450BB"/>
    <w:rsid w:val="00B451BF"/>
    <w:rsid w:val="00B47741"/>
    <w:rsid w:val="00B50503"/>
    <w:rsid w:val="00B57356"/>
    <w:rsid w:val="00B61212"/>
    <w:rsid w:val="00B72C7A"/>
    <w:rsid w:val="00B83709"/>
    <w:rsid w:val="00B85657"/>
    <w:rsid w:val="00B8659C"/>
    <w:rsid w:val="00B86F4C"/>
    <w:rsid w:val="00B9404E"/>
    <w:rsid w:val="00B97770"/>
    <w:rsid w:val="00BA1054"/>
    <w:rsid w:val="00BA2812"/>
    <w:rsid w:val="00BA7913"/>
    <w:rsid w:val="00BB08CD"/>
    <w:rsid w:val="00BB6DD2"/>
    <w:rsid w:val="00BB79AC"/>
    <w:rsid w:val="00BC46D3"/>
    <w:rsid w:val="00BD0F5D"/>
    <w:rsid w:val="00BD2879"/>
    <w:rsid w:val="00BD77BB"/>
    <w:rsid w:val="00BE0AFB"/>
    <w:rsid w:val="00BE1B29"/>
    <w:rsid w:val="00BE22D5"/>
    <w:rsid w:val="00BE2DCE"/>
    <w:rsid w:val="00BE5114"/>
    <w:rsid w:val="00BE7874"/>
    <w:rsid w:val="00BE7FB6"/>
    <w:rsid w:val="00BF3E4F"/>
    <w:rsid w:val="00C01A92"/>
    <w:rsid w:val="00C05565"/>
    <w:rsid w:val="00C0670B"/>
    <w:rsid w:val="00C124F9"/>
    <w:rsid w:val="00C12CA2"/>
    <w:rsid w:val="00C12DB3"/>
    <w:rsid w:val="00C13317"/>
    <w:rsid w:val="00C13D52"/>
    <w:rsid w:val="00C14DF4"/>
    <w:rsid w:val="00C17188"/>
    <w:rsid w:val="00C25C30"/>
    <w:rsid w:val="00C31805"/>
    <w:rsid w:val="00C355E2"/>
    <w:rsid w:val="00C363AE"/>
    <w:rsid w:val="00C46B77"/>
    <w:rsid w:val="00C47D41"/>
    <w:rsid w:val="00C53B87"/>
    <w:rsid w:val="00C5479C"/>
    <w:rsid w:val="00C564C2"/>
    <w:rsid w:val="00C57FB5"/>
    <w:rsid w:val="00C605E6"/>
    <w:rsid w:val="00C65D1E"/>
    <w:rsid w:val="00C66C86"/>
    <w:rsid w:val="00C66CFC"/>
    <w:rsid w:val="00C715B3"/>
    <w:rsid w:val="00C753DD"/>
    <w:rsid w:val="00C822E7"/>
    <w:rsid w:val="00C861FF"/>
    <w:rsid w:val="00CA0F67"/>
    <w:rsid w:val="00CA54DA"/>
    <w:rsid w:val="00CA71A8"/>
    <w:rsid w:val="00CB0BF4"/>
    <w:rsid w:val="00CB0D2E"/>
    <w:rsid w:val="00CB4E47"/>
    <w:rsid w:val="00CD335F"/>
    <w:rsid w:val="00CD6495"/>
    <w:rsid w:val="00CE1710"/>
    <w:rsid w:val="00CE2738"/>
    <w:rsid w:val="00CF086F"/>
    <w:rsid w:val="00CF597D"/>
    <w:rsid w:val="00CF5F94"/>
    <w:rsid w:val="00D002F5"/>
    <w:rsid w:val="00D1368F"/>
    <w:rsid w:val="00D14B6F"/>
    <w:rsid w:val="00D16946"/>
    <w:rsid w:val="00D17C8F"/>
    <w:rsid w:val="00D205F2"/>
    <w:rsid w:val="00D22313"/>
    <w:rsid w:val="00D2242C"/>
    <w:rsid w:val="00D25900"/>
    <w:rsid w:val="00D34C00"/>
    <w:rsid w:val="00D36FDE"/>
    <w:rsid w:val="00D45276"/>
    <w:rsid w:val="00D45C56"/>
    <w:rsid w:val="00D51BB0"/>
    <w:rsid w:val="00D54BFC"/>
    <w:rsid w:val="00D5526A"/>
    <w:rsid w:val="00D63A35"/>
    <w:rsid w:val="00D63CC9"/>
    <w:rsid w:val="00D66A9E"/>
    <w:rsid w:val="00D814A0"/>
    <w:rsid w:val="00D865DF"/>
    <w:rsid w:val="00D94901"/>
    <w:rsid w:val="00DA1D62"/>
    <w:rsid w:val="00DA35CA"/>
    <w:rsid w:val="00DA66F8"/>
    <w:rsid w:val="00DB4051"/>
    <w:rsid w:val="00DD706C"/>
    <w:rsid w:val="00DE273D"/>
    <w:rsid w:val="00DE6411"/>
    <w:rsid w:val="00DE7532"/>
    <w:rsid w:val="00DE7B3B"/>
    <w:rsid w:val="00DF0633"/>
    <w:rsid w:val="00DF135E"/>
    <w:rsid w:val="00DF1BD7"/>
    <w:rsid w:val="00DF52D7"/>
    <w:rsid w:val="00E14E9A"/>
    <w:rsid w:val="00E15271"/>
    <w:rsid w:val="00E161D2"/>
    <w:rsid w:val="00E25692"/>
    <w:rsid w:val="00E26CE5"/>
    <w:rsid w:val="00E320FE"/>
    <w:rsid w:val="00E33EB6"/>
    <w:rsid w:val="00E341FE"/>
    <w:rsid w:val="00E3717E"/>
    <w:rsid w:val="00E37C2D"/>
    <w:rsid w:val="00E46F17"/>
    <w:rsid w:val="00E50526"/>
    <w:rsid w:val="00E52A54"/>
    <w:rsid w:val="00E54B75"/>
    <w:rsid w:val="00E565A7"/>
    <w:rsid w:val="00E607B7"/>
    <w:rsid w:val="00E74BC1"/>
    <w:rsid w:val="00E770BE"/>
    <w:rsid w:val="00E81A97"/>
    <w:rsid w:val="00E90C7B"/>
    <w:rsid w:val="00E92834"/>
    <w:rsid w:val="00E939B9"/>
    <w:rsid w:val="00EA58AD"/>
    <w:rsid w:val="00EA6943"/>
    <w:rsid w:val="00EA70C1"/>
    <w:rsid w:val="00EB2FC5"/>
    <w:rsid w:val="00EB5D42"/>
    <w:rsid w:val="00EB7B23"/>
    <w:rsid w:val="00EC135C"/>
    <w:rsid w:val="00EC6BCD"/>
    <w:rsid w:val="00ED580E"/>
    <w:rsid w:val="00ED6E34"/>
    <w:rsid w:val="00EE043D"/>
    <w:rsid w:val="00EE2A4E"/>
    <w:rsid w:val="00EE2FC0"/>
    <w:rsid w:val="00EE37B8"/>
    <w:rsid w:val="00EE4032"/>
    <w:rsid w:val="00EF09BF"/>
    <w:rsid w:val="00EF2E62"/>
    <w:rsid w:val="00EF374C"/>
    <w:rsid w:val="00EF469A"/>
    <w:rsid w:val="00EF5F27"/>
    <w:rsid w:val="00F011E8"/>
    <w:rsid w:val="00F0359C"/>
    <w:rsid w:val="00F10178"/>
    <w:rsid w:val="00F17E66"/>
    <w:rsid w:val="00F2012E"/>
    <w:rsid w:val="00F26FE6"/>
    <w:rsid w:val="00F332CB"/>
    <w:rsid w:val="00F340FC"/>
    <w:rsid w:val="00F34F96"/>
    <w:rsid w:val="00F36A65"/>
    <w:rsid w:val="00F43D65"/>
    <w:rsid w:val="00F4467C"/>
    <w:rsid w:val="00F5095F"/>
    <w:rsid w:val="00F50CA0"/>
    <w:rsid w:val="00F5368A"/>
    <w:rsid w:val="00F65DC2"/>
    <w:rsid w:val="00F743C6"/>
    <w:rsid w:val="00F80E60"/>
    <w:rsid w:val="00F925ED"/>
    <w:rsid w:val="00F928F1"/>
    <w:rsid w:val="00FA1243"/>
    <w:rsid w:val="00FA2588"/>
    <w:rsid w:val="00FA28E9"/>
    <w:rsid w:val="00FA67B4"/>
    <w:rsid w:val="00FC02DB"/>
    <w:rsid w:val="00FC1005"/>
    <w:rsid w:val="00FC30D6"/>
    <w:rsid w:val="00FC531A"/>
    <w:rsid w:val="00FC6BF0"/>
    <w:rsid w:val="00FD5220"/>
    <w:rsid w:val="00FD5743"/>
    <w:rsid w:val="00FD5A6D"/>
    <w:rsid w:val="00FE0CE0"/>
    <w:rsid w:val="00FE1401"/>
    <w:rsid w:val="00FE2664"/>
    <w:rsid w:val="00FE4674"/>
    <w:rsid w:val="00FF68C7"/>
    <w:rsid w:val="00FF726B"/>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9DB6B"/>
  <w15:chartTrackingRefBased/>
  <w15:docId w15:val="{3E7F8731-D8AB-47D0-8458-7130B845A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nl-N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5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35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35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5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5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5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5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5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5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5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35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35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5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5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5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5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5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59C"/>
    <w:rPr>
      <w:rFonts w:eastAsiaTheme="majorEastAsia" w:cstheme="majorBidi"/>
      <w:color w:val="272727" w:themeColor="text1" w:themeTint="D8"/>
    </w:rPr>
  </w:style>
  <w:style w:type="paragraph" w:styleId="Title">
    <w:name w:val="Title"/>
    <w:basedOn w:val="Normal"/>
    <w:next w:val="Normal"/>
    <w:link w:val="TitleChar"/>
    <w:uiPriority w:val="10"/>
    <w:qFormat/>
    <w:rsid w:val="00F035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5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5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5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59C"/>
    <w:pPr>
      <w:spacing w:before="160"/>
      <w:jc w:val="center"/>
    </w:pPr>
    <w:rPr>
      <w:i/>
      <w:iCs/>
      <w:color w:val="404040" w:themeColor="text1" w:themeTint="BF"/>
    </w:rPr>
  </w:style>
  <w:style w:type="character" w:customStyle="1" w:styleId="QuoteChar">
    <w:name w:val="Quote Char"/>
    <w:basedOn w:val="DefaultParagraphFont"/>
    <w:link w:val="Quote"/>
    <w:uiPriority w:val="29"/>
    <w:rsid w:val="00F0359C"/>
    <w:rPr>
      <w:i/>
      <w:iCs/>
      <w:color w:val="404040" w:themeColor="text1" w:themeTint="BF"/>
    </w:rPr>
  </w:style>
  <w:style w:type="paragraph" w:styleId="ListParagraph">
    <w:name w:val="List Paragraph"/>
    <w:basedOn w:val="Normal"/>
    <w:uiPriority w:val="34"/>
    <w:qFormat/>
    <w:rsid w:val="00F0359C"/>
    <w:pPr>
      <w:ind w:left="720"/>
      <w:contextualSpacing/>
    </w:pPr>
  </w:style>
  <w:style w:type="character" w:styleId="IntenseEmphasis">
    <w:name w:val="Intense Emphasis"/>
    <w:basedOn w:val="DefaultParagraphFont"/>
    <w:uiPriority w:val="21"/>
    <w:qFormat/>
    <w:rsid w:val="00F0359C"/>
    <w:rPr>
      <w:i/>
      <w:iCs/>
      <w:color w:val="0F4761" w:themeColor="accent1" w:themeShade="BF"/>
    </w:rPr>
  </w:style>
  <w:style w:type="paragraph" w:styleId="IntenseQuote">
    <w:name w:val="Intense Quote"/>
    <w:basedOn w:val="Normal"/>
    <w:next w:val="Normal"/>
    <w:link w:val="IntenseQuoteChar"/>
    <w:uiPriority w:val="30"/>
    <w:qFormat/>
    <w:rsid w:val="00F035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59C"/>
    <w:rPr>
      <w:i/>
      <w:iCs/>
      <w:color w:val="0F4761" w:themeColor="accent1" w:themeShade="BF"/>
    </w:rPr>
  </w:style>
  <w:style w:type="character" w:styleId="IntenseReference">
    <w:name w:val="Intense Reference"/>
    <w:basedOn w:val="DefaultParagraphFont"/>
    <w:uiPriority w:val="32"/>
    <w:qFormat/>
    <w:rsid w:val="00F0359C"/>
    <w:rPr>
      <w:b/>
      <w:bCs/>
      <w:smallCaps/>
      <w:color w:val="0F4761" w:themeColor="accent1" w:themeShade="BF"/>
      <w:spacing w:val="5"/>
    </w:rPr>
  </w:style>
  <w:style w:type="paragraph" w:styleId="FootnoteText">
    <w:name w:val="footnote text"/>
    <w:basedOn w:val="Normal"/>
    <w:link w:val="FootnoteTextChar"/>
    <w:uiPriority w:val="99"/>
    <w:unhideWhenUsed/>
    <w:rsid w:val="00F0359C"/>
    <w:pPr>
      <w:spacing w:after="0" w:line="240" w:lineRule="auto"/>
    </w:pPr>
    <w:rPr>
      <w:sz w:val="20"/>
      <w:szCs w:val="20"/>
    </w:rPr>
  </w:style>
  <w:style w:type="character" w:customStyle="1" w:styleId="FootnoteTextChar">
    <w:name w:val="Footnote Text Char"/>
    <w:basedOn w:val="DefaultParagraphFont"/>
    <w:link w:val="FootnoteText"/>
    <w:uiPriority w:val="99"/>
    <w:rsid w:val="00F0359C"/>
    <w:rPr>
      <w:sz w:val="20"/>
      <w:szCs w:val="20"/>
    </w:rPr>
  </w:style>
  <w:style w:type="character" w:styleId="FootnoteReference">
    <w:name w:val="footnote reference"/>
    <w:basedOn w:val="DefaultParagraphFont"/>
    <w:uiPriority w:val="99"/>
    <w:semiHidden/>
    <w:unhideWhenUsed/>
    <w:rsid w:val="00F0359C"/>
    <w:rPr>
      <w:vertAlign w:val="superscript"/>
    </w:rPr>
  </w:style>
  <w:style w:type="character" w:styleId="Hyperlink">
    <w:name w:val="Hyperlink"/>
    <w:basedOn w:val="DefaultParagraphFont"/>
    <w:uiPriority w:val="99"/>
    <w:unhideWhenUsed/>
    <w:rsid w:val="00002A90"/>
    <w:rPr>
      <w:color w:val="467886" w:themeColor="hyperlink"/>
      <w:u w:val="single"/>
    </w:rPr>
  </w:style>
  <w:style w:type="character" w:styleId="UnresolvedMention">
    <w:name w:val="Unresolved Mention"/>
    <w:basedOn w:val="DefaultParagraphFont"/>
    <w:uiPriority w:val="99"/>
    <w:semiHidden/>
    <w:unhideWhenUsed/>
    <w:rsid w:val="00002A90"/>
    <w:rPr>
      <w:color w:val="605E5C"/>
      <w:shd w:val="clear" w:color="auto" w:fill="E1DFDD"/>
    </w:rPr>
  </w:style>
  <w:style w:type="paragraph" w:styleId="NormalWeb">
    <w:name w:val="Normal (Web)"/>
    <w:basedOn w:val="Normal"/>
    <w:uiPriority w:val="99"/>
    <w:unhideWhenUsed/>
    <w:rsid w:val="00910A07"/>
    <w:pPr>
      <w:spacing w:before="100" w:beforeAutospacing="1" w:after="100" w:afterAutospacing="1" w:line="240" w:lineRule="auto"/>
    </w:pPr>
    <w:rPr>
      <w:rFonts w:ascii="Times New Roman" w:eastAsia="Times New Roman" w:hAnsi="Times New Roman" w:cs="Times New Roman"/>
      <w:kern w:val="0"/>
      <w:sz w:val="24"/>
      <w:szCs w:val="24"/>
      <w:lang w:eastAsia="nl-NL"/>
      <w14:ligatures w14:val="none"/>
    </w:rPr>
  </w:style>
  <w:style w:type="character" w:styleId="CommentReference">
    <w:name w:val="annotation reference"/>
    <w:basedOn w:val="DefaultParagraphFont"/>
    <w:uiPriority w:val="99"/>
    <w:semiHidden/>
    <w:unhideWhenUsed/>
    <w:rsid w:val="00F011E8"/>
    <w:rPr>
      <w:sz w:val="16"/>
      <w:szCs w:val="16"/>
    </w:rPr>
  </w:style>
  <w:style w:type="paragraph" w:styleId="CommentText">
    <w:name w:val="annotation text"/>
    <w:basedOn w:val="Normal"/>
    <w:link w:val="CommentTextChar"/>
    <w:uiPriority w:val="99"/>
    <w:unhideWhenUsed/>
    <w:rsid w:val="00F011E8"/>
    <w:pPr>
      <w:spacing w:line="240" w:lineRule="auto"/>
    </w:pPr>
    <w:rPr>
      <w:sz w:val="20"/>
      <w:szCs w:val="20"/>
    </w:rPr>
  </w:style>
  <w:style w:type="character" w:customStyle="1" w:styleId="CommentTextChar">
    <w:name w:val="Comment Text Char"/>
    <w:basedOn w:val="DefaultParagraphFont"/>
    <w:link w:val="CommentText"/>
    <w:uiPriority w:val="99"/>
    <w:rsid w:val="00F011E8"/>
    <w:rPr>
      <w:sz w:val="20"/>
      <w:szCs w:val="20"/>
    </w:rPr>
  </w:style>
  <w:style w:type="paragraph" w:styleId="CommentSubject">
    <w:name w:val="annotation subject"/>
    <w:basedOn w:val="CommentText"/>
    <w:next w:val="CommentText"/>
    <w:link w:val="CommentSubjectChar"/>
    <w:uiPriority w:val="99"/>
    <w:semiHidden/>
    <w:unhideWhenUsed/>
    <w:rsid w:val="00F011E8"/>
    <w:rPr>
      <w:b/>
      <w:bCs/>
    </w:rPr>
  </w:style>
  <w:style w:type="character" w:customStyle="1" w:styleId="CommentSubjectChar">
    <w:name w:val="Comment Subject Char"/>
    <w:basedOn w:val="CommentTextChar"/>
    <w:link w:val="CommentSubject"/>
    <w:uiPriority w:val="99"/>
    <w:semiHidden/>
    <w:rsid w:val="00F011E8"/>
    <w:rPr>
      <w:b/>
      <w:bCs/>
      <w:sz w:val="20"/>
      <w:szCs w:val="20"/>
    </w:rPr>
  </w:style>
  <w:style w:type="character" w:styleId="FollowedHyperlink">
    <w:name w:val="FollowedHyperlink"/>
    <w:basedOn w:val="DefaultParagraphFont"/>
    <w:uiPriority w:val="99"/>
    <w:semiHidden/>
    <w:unhideWhenUsed/>
    <w:rsid w:val="00BA2812"/>
    <w:rPr>
      <w:color w:val="96607D" w:themeColor="followedHyperlink"/>
      <w:u w:val="single"/>
    </w:rPr>
  </w:style>
  <w:style w:type="paragraph" w:styleId="Header">
    <w:name w:val="header"/>
    <w:basedOn w:val="Normal"/>
    <w:link w:val="HeaderChar"/>
    <w:uiPriority w:val="99"/>
    <w:unhideWhenUsed/>
    <w:rsid w:val="00D002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2F5"/>
  </w:style>
  <w:style w:type="paragraph" w:styleId="Footer">
    <w:name w:val="footer"/>
    <w:basedOn w:val="Normal"/>
    <w:link w:val="FooterChar"/>
    <w:uiPriority w:val="99"/>
    <w:unhideWhenUsed/>
    <w:rsid w:val="00D00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2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portal.bath.ac.uk/en/persons/tony-walter" TargetMode="External"/><Relationship Id="rId5" Type="http://schemas.openxmlformats.org/officeDocument/2006/relationships/webSettings" Target="webSettings.xml"/><Relationship Id="rId10" Type="http://schemas.openxmlformats.org/officeDocument/2006/relationships/hyperlink" Target="https://researchspace.bathspa.ac.uk/1437/" TargetMode="External"/><Relationship Id="rId4" Type="http://schemas.openxmlformats.org/officeDocument/2006/relationships/settings" Target="settings.xml"/><Relationship Id="rId9" Type="http://schemas.openxmlformats.org/officeDocument/2006/relationships/hyperlink" Target="mailto:2%35%31%30%37%38%30@%73%74ude%6e%74%2eu%77%74%73%64%2ea%63%2e%75%6b"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contemporarylegend.org/prizes/degh/dr-gillian-bennett/" TargetMode="External"/><Relationship Id="rId2" Type="http://schemas.openxmlformats.org/officeDocument/2006/relationships/hyperlink" Target="https://researchspace.bathspa.ac.uk/1437/" TargetMode="External"/><Relationship Id="rId1" Type="http://schemas.openxmlformats.org/officeDocument/2006/relationships/hyperlink" Target="https://researchportal.bath.ac.uk/en/persons/tony-wal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3320D-C818-4412-A92C-3627B7A71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2013</TotalTime>
  <Pages>9</Pages>
  <Words>2680</Words>
  <Characters>14744</Characters>
  <Application>Microsoft Office Word</Application>
  <DocSecurity>0</DocSecurity>
  <Lines>122</Lines>
  <Paragraphs>34</Paragraphs>
  <ScaleCrop>false</ScaleCrop>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Abraham</dc:creator>
  <cp:keywords/>
  <dc:description/>
  <cp:lastModifiedBy>Cheryl Abraham</cp:lastModifiedBy>
  <cp:revision>623</cp:revision>
  <dcterms:created xsi:type="dcterms:W3CDTF">2026-02-05T14:25:00Z</dcterms:created>
  <dcterms:modified xsi:type="dcterms:W3CDTF">2026-03-17T20:16:00Z</dcterms:modified>
</cp:coreProperties>
</file>