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66C6110B" w:rsidR="00ED1049" w:rsidRDefault="00091547" w:rsidP="00091547">
      <w:pPr>
        <w:spacing w:line="276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91547">
        <w:rPr>
          <w:rFonts w:ascii="Arial" w:hAnsi="Arial" w:cs="Arial"/>
          <w:b/>
          <w:bCs/>
          <w:sz w:val="32"/>
          <w:szCs w:val="32"/>
        </w:rPr>
        <w:t>Exploring communication strategies for supporting people living with Dementia in the United Kingdom</w:t>
      </w:r>
    </w:p>
    <w:p w14:paraId="7E388FBC" w14:textId="77777777" w:rsidR="00091547" w:rsidRPr="00091547" w:rsidRDefault="00091547" w:rsidP="00091547">
      <w:pPr>
        <w:spacing w:line="276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FC9800F" w14:textId="5788C749" w:rsidR="00ED1049" w:rsidRPr="00091547" w:rsidRDefault="00ED1049" w:rsidP="00091547">
      <w:pPr>
        <w:tabs>
          <w:tab w:val="left" w:pos="6540"/>
        </w:tabs>
        <w:spacing w:line="276" w:lineRule="auto"/>
        <w:ind w:left="426"/>
        <w:jc w:val="both"/>
        <w:rPr>
          <w:rFonts w:ascii="Arial" w:hAnsi="Arial" w:cs="Arial"/>
          <w:b/>
          <w:bCs/>
          <w:sz w:val="28"/>
          <w:szCs w:val="28"/>
          <w:lang w:val="nl-NL"/>
        </w:rPr>
      </w:pPr>
      <w:r w:rsidRPr="00091547">
        <w:rPr>
          <w:rFonts w:ascii="Arial" w:hAnsi="Arial" w:cs="Arial"/>
          <w:b/>
          <w:bCs/>
          <w:sz w:val="28"/>
          <w:szCs w:val="28"/>
          <w:lang w:val="nl-NL"/>
        </w:rPr>
        <w:t>Student name:</w:t>
      </w:r>
      <w:r w:rsidR="00234D04" w:rsidRPr="00091547">
        <w:rPr>
          <w:rFonts w:ascii="Arial" w:hAnsi="Arial" w:cs="Arial"/>
          <w:b/>
          <w:bCs/>
          <w:sz w:val="28"/>
          <w:szCs w:val="28"/>
          <w:lang w:val="nl-NL"/>
        </w:rPr>
        <w:t xml:space="preserve"> JOSEPHINE OSEI AMOAH</w:t>
      </w:r>
    </w:p>
    <w:p w14:paraId="4399517D" w14:textId="77777777" w:rsidR="00091547" w:rsidRPr="00091547" w:rsidRDefault="00ED1049" w:rsidP="00091547">
      <w:pPr>
        <w:tabs>
          <w:tab w:val="left" w:pos="6540"/>
        </w:tabs>
        <w:spacing w:line="276" w:lineRule="auto"/>
        <w:ind w:left="426"/>
        <w:jc w:val="both"/>
        <w:rPr>
          <w:rFonts w:ascii="Arial" w:hAnsi="Arial" w:cs="Arial"/>
          <w:b/>
          <w:bCs/>
          <w:sz w:val="28"/>
          <w:szCs w:val="28"/>
          <w:lang w:val="nl-NL"/>
        </w:rPr>
      </w:pPr>
      <w:r w:rsidRPr="00091547">
        <w:rPr>
          <w:rFonts w:ascii="Arial" w:hAnsi="Arial" w:cs="Arial"/>
          <w:b/>
          <w:bCs/>
          <w:sz w:val="28"/>
          <w:szCs w:val="28"/>
          <w:lang w:val="nl-NL"/>
        </w:rPr>
        <w:t>Student ID:</w:t>
      </w:r>
      <w:r w:rsidR="00234D04" w:rsidRPr="00091547">
        <w:rPr>
          <w:rFonts w:ascii="Arial" w:hAnsi="Arial" w:cs="Arial"/>
          <w:b/>
          <w:bCs/>
          <w:sz w:val="28"/>
          <w:szCs w:val="28"/>
          <w:lang w:val="nl-NL"/>
        </w:rPr>
        <w:t xml:space="preserve"> 2233505</w:t>
      </w:r>
    </w:p>
    <w:p w14:paraId="3E7B146F" w14:textId="58BC1C5F" w:rsidR="00ED1049" w:rsidRPr="00091547" w:rsidRDefault="00ED1049" w:rsidP="00091547">
      <w:pPr>
        <w:tabs>
          <w:tab w:val="left" w:pos="6540"/>
        </w:tabs>
        <w:spacing w:line="276" w:lineRule="auto"/>
        <w:ind w:left="426"/>
        <w:jc w:val="both"/>
        <w:rPr>
          <w:rFonts w:ascii="Arial" w:hAnsi="Arial" w:cs="Arial"/>
          <w:b/>
          <w:bCs/>
          <w:sz w:val="28"/>
          <w:szCs w:val="28"/>
          <w:lang w:val="nl-NL"/>
        </w:rPr>
      </w:pPr>
      <w:r w:rsidRPr="00091547">
        <w:rPr>
          <w:rFonts w:ascii="Arial" w:hAnsi="Arial" w:cs="Arial"/>
          <w:b/>
          <w:bCs/>
          <w:sz w:val="28"/>
          <w:szCs w:val="28"/>
          <w:lang w:val="nl-NL"/>
        </w:rPr>
        <w:t xml:space="preserve">Module name: </w:t>
      </w:r>
      <w:r w:rsidR="00234D04" w:rsidRPr="00091547">
        <w:rPr>
          <w:rFonts w:ascii="Arial" w:hAnsi="Arial" w:cs="Arial"/>
          <w:b/>
          <w:bCs/>
          <w:sz w:val="28"/>
          <w:szCs w:val="28"/>
          <w:lang w:val="nl-NL"/>
        </w:rPr>
        <w:t>INDEPENDENT PROJECT</w:t>
      </w:r>
    </w:p>
    <w:p w14:paraId="6A476118" w14:textId="77777777" w:rsidR="00091547" w:rsidRPr="00091547" w:rsidRDefault="00ED1049" w:rsidP="00091547">
      <w:pPr>
        <w:tabs>
          <w:tab w:val="left" w:pos="6540"/>
        </w:tabs>
        <w:spacing w:line="276" w:lineRule="auto"/>
        <w:ind w:left="426"/>
        <w:jc w:val="both"/>
        <w:rPr>
          <w:rFonts w:ascii="Arial" w:hAnsi="Arial" w:cs="Arial"/>
          <w:b/>
          <w:bCs/>
          <w:sz w:val="28"/>
          <w:szCs w:val="28"/>
          <w:lang w:val="nl-NL"/>
        </w:rPr>
      </w:pPr>
      <w:r w:rsidRPr="00091547">
        <w:rPr>
          <w:rFonts w:ascii="Arial" w:hAnsi="Arial" w:cs="Arial"/>
          <w:b/>
          <w:bCs/>
          <w:sz w:val="28"/>
          <w:szCs w:val="28"/>
        </w:rPr>
        <w:t>Module code:</w:t>
      </w:r>
      <w:r w:rsidR="00234D04" w:rsidRPr="00091547">
        <w:rPr>
          <w:rFonts w:ascii="Arial" w:hAnsi="Arial" w:cs="Arial"/>
          <w:b/>
          <w:bCs/>
          <w:sz w:val="28"/>
          <w:szCs w:val="28"/>
        </w:rPr>
        <w:t xml:space="preserve"> </w:t>
      </w:r>
      <w:r w:rsidR="00234D04" w:rsidRPr="00091547">
        <w:rPr>
          <w:rFonts w:ascii="Arial" w:hAnsi="Arial" w:cs="Arial"/>
          <w:b/>
          <w:bCs/>
          <w:sz w:val="28"/>
          <w:szCs w:val="28"/>
          <w:lang w:val="nl-NL"/>
        </w:rPr>
        <w:t>BMHP6020</w:t>
      </w:r>
    </w:p>
    <w:p w14:paraId="50A694A6" w14:textId="6B096F92" w:rsidR="00AC1299" w:rsidRPr="00091547" w:rsidRDefault="006D2642" w:rsidP="00091547">
      <w:pPr>
        <w:tabs>
          <w:tab w:val="left" w:pos="6540"/>
        </w:tabs>
        <w:spacing w:line="276" w:lineRule="auto"/>
        <w:ind w:left="426"/>
        <w:jc w:val="both"/>
        <w:rPr>
          <w:rFonts w:ascii="Arial" w:hAnsi="Arial" w:cs="Arial"/>
          <w:b/>
          <w:bCs/>
          <w:sz w:val="28"/>
          <w:szCs w:val="28"/>
          <w:lang w:val="nl-NL"/>
        </w:rPr>
      </w:pPr>
      <w:r w:rsidRPr="00091547"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91547">
        <w:rPr>
          <w:rFonts w:ascii="Arial" w:hAnsi="Arial" w:cs="Arial"/>
          <w:b/>
          <w:bCs/>
          <w:sz w:val="28"/>
          <w:szCs w:val="28"/>
        </w:rPr>
        <w:t xml:space="preserve"> name:</w:t>
      </w:r>
      <w:r w:rsidR="00AC1299" w:rsidRPr="00091547">
        <w:rPr>
          <w:rFonts w:ascii="Arial" w:hAnsi="Arial" w:cs="Arial"/>
          <w:b/>
          <w:bCs/>
          <w:sz w:val="28"/>
          <w:szCs w:val="28"/>
        </w:rPr>
        <w:t xml:space="preserve"> </w:t>
      </w:r>
      <w:r w:rsidR="00AC1299" w:rsidRPr="00091547">
        <w:rPr>
          <w:rFonts w:ascii="Arial" w:hAnsi="Arial" w:cs="Arial"/>
          <w:b/>
          <w:bCs/>
          <w:sz w:val="28"/>
          <w:szCs w:val="28"/>
        </w:rPr>
        <w:t>A</w:t>
      </w:r>
      <w:r w:rsidR="00091547" w:rsidRPr="00091547">
        <w:rPr>
          <w:rFonts w:ascii="Arial" w:hAnsi="Arial" w:cs="Arial"/>
          <w:b/>
          <w:bCs/>
          <w:sz w:val="28"/>
          <w:szCs w:val="28"/>
        </w:rPr>
        <w:t>MITAVE BANIK</w:t>
      </w:r>
    </w:p>
    <w:p w14:paraId="2C2175CB" w14:textId="21A1936D" w:rsidR="00ED1049" w:rsidRPr="00091547" w:rsidRDefault="00ED1049" w:rsidP="00091547">
      <w:pPr>
        <w:tabs>
          <w:tab w:val="left" w:pos="6540"/>
        </w:tabs>
        <w:spacing w:line="360" w:lineRule="auto"/>
        <w:ind w:left="426"/>
        <w:jc w:val="both"/>
        <w:rPr>
          <w:rFonts w:ascii="Arial" w:hAnsi="Arial" w:cs="Arial"/>
          <w:b/>
          <w:bCs/>
          <w:sz w:val="28"/>
          <w:szCs w:val="28"/>
        </w:rPr>
      </w:pPr>
    </w:p>
    <w:p w14:paraId="543861DF" w14:textId="77777777" w:rsidR="00ED1049" w:rsidRDefault="00ED1049" w:rsidP="00091547">
      <w:pPr>
        <w:jc w:val="both"/>
        <w:rPr>
          <w:rFonts w:ascii="Arial" w:hAnsi="Arial" w:cs="Arial"/>
        </w:rPr>
      </w:pPr>
    </w:p>
    <w:p w14:paraId="6E12B59B" w14:textId="77777777" w:rsidR="00091547" w:rsidRDefault="00091547">
      <w:pPr>
        <w:rPr>
          <w:rFonts w:ascii="Arial" w:hAnsi="Arial" w:cs="Arial"/>
        </w:rPr>
      </w:pPr>
    </w:p>
    <w:p w14:paraId="1B11F223" w14:textId="77777777" w:rsidR="00091547" w:rsidRDefault="00091547">
      <w:pPr>
        <w:rPr>
          <w:rFonts w:ascii="Arial" w:hAnsi="Arial" w:cs="Arial"/>
        </w:rPr>
      </w:pPr>
    </w:p>
    <w:p w14:paraId="2937B61F" w14:textId="77777777" w:rsidR="00091547" w:rsidRDefault="00091547">
      <w:pPr>
        <w:rPr>
          <w:rFonts w:ascii="Arial" w:hAnsi="Arial" w:cs="Arial"/>
        </w:rPr>
      </w:pPr>
    </w:p>
    <w:p w14:paraId="4EA73F8B" w14:textId="77777777" w:rsidR="00091547" w:rsidRDefault="00091547">
      <w:pPr>
        <w:rPr>
          <w:rFonts w:ascii="Arial" w:hAnsi="Arial" w:cs="Arial"/>
        </w:rPr>
      </w:pPr>
    </w:p>
    <w:p w14:paraId="32847BD6" w14:textId="77777777" w:rsidR="00091547" w:rsidRDefault="00091547">
      <w:pPr>
        <w:rPr>
          <w:rFonts w:ascii="Arial" w:hAnsi="Arial" w:cs="Arial"/>
        </w:rPr>
      </w:pPr>
    </w:p>
    <w:p w14:paraId="62D1074F" w14:textId="77777777" w:rsidR="00091547" w:rsidRDefault="00091547">
      <w:pPr>
        <w:rPr>
          <w:rFonts w:ascii="Arial" w:hAnsi="Arial" w:cs="Arial"/>
        </w:rPr>
      </w:pPr>
    </w:p>
    <w:p w14:paraId="42897067" w14:textId="77777777" w:rsidR="00091547" w:rsidRDefault="00091547">
      <w:pPr>
        <w:rPr>
          <w:rFonts w:ascii="Arial" w:hAnsi="Arial" w:cs="Arial"/>
        </w:rPr>
      </w:pPr>
    </w:p>
    <w:p w14:paraId="6F05510A" w14:textId="77777777" w:rsidR="00091547" w:rsidRDefault="00091547">
      <w:pPr>
        <w:rPr>
          <w:rFonts w:ascii="Arial" w:hAnsi="Arial" w:cs="Arial"/>
        </w:rPr>
      </w:pPr>
    </w:p>
    <w:p w14:paraId="1BA6B21D" w14:textId="77777777" w:rsidR="00091547" w:rsidRDefault="00091547">
      <w:pPr>
        <w:rPr>
          <w:rFonts w:ascii="Arial" w:hAnsi="Arial" w:cs="Arial"/>
        </w:rPr>
      </w:pPr>
    </w:p>
    <w:p w14:paraId="10FE587A" w14:textId="77777777" w:rsidR="00091547" w:rsidRPr="00ED1049" w:rsidRDefault="00091547">
      <w:pPr>
        <w:rPr>
          <w:rFonts w:ascii="Arial" w:hAnsi="Arial" w:cs="Arial"/>
        </w:rPr>
      </w:pPr>
    </w:p>
    <w:p w14:paraId="160FF05C" w14:textId="77777777" w:rsidR="00CC0A8F" w:rsidRPr="00091547" w:rsidRDefault="00CC0A8F" w:rsidP="00091547">
      <w:pPr>
        <w:jc w:val="center"/>
        <w:rPr>
          <w:b/>
          <w:bCs/>
          <w:sz w:val="32"/>
          <w:szCs w:val="32"/>
        </w:rPr>
      </w:pPr>
      <w:r w:rsidRPr="00091547">
        <w:rPr>
          <w:b/>
          <w:bCs/>
          <w:sz w:val="32"/>
          <w:szCs w:val="32"/>
        </w:rPr>
        <w:br w:type="page"/>
      </w:r>
    </w:p>
    <w:tbl>
      <w:tblPr>
        <w:tblW w:w="5445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3539"/>
        <w:gridCol w:w="284"/>
        <w:gridCol w:w="3973"/>
        <w:gridCol w:w="269"/>
        <w:gridCol w:w="3842"/>
      </w:tblGrid>
      <w:tr w:rsidR="00346FFA" w:rsidRPr="00EB6F36" w14:paraId="600B3A42" w14:textId="77777777" w:rsidTr="002F1AED">
        <w:trPr>
          <w:trHeight w:val="3534"/>
          <w:jc w:val="center"/>
        </w:trPr>
        <w:tc>
          <w:tcPr>
            <w:tcW w:w="3539" w:type="dxa"/>
          </w:tcPr>
          <w:p w14:paraId="505098AA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1D84404C" w14:textId="77777777" w:rsidR="00346FFA" w:rsidRPr="00B21CA4" w:rsidRDefault="00AC1299" w:rsidP="00B67824">
            <w:pPr>
              <w:rPr>
                <w:rFonts w:ascii="Arial" w:hAnsi="Arial" w:cs="Arial"/>
                <w:noProof/>
              </w:rPr>
            </w:pPr>
            <w:r w:rsidRPr="00B21CA4">
              <w:rPr>
                <w:rFonts w:ascii="Arial" w:hAnsi="Arial" w:cs="Arial"/>
                <w:noProof/>
              </w:rPr>
              <w:drawing>
                <wp:inline distT="0" distB="0" distL="0" distR="0" wp14:anchorId="61CC6121" wp14:editId="37D828CE">
                  <wp:extent cx="2094969" cy="1790065"/>
                  <wp:effectExtent l="0" t="0" r="635" b="635"/>
                  <wp:docPr id="3" name="Picture 2" descr="Effective communication to support people living with dementia › Forward  With Dementia [uk]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Effective communication to support people living with dementia › Forward  With Dementia [uk]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36944" cy="18259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C84B224" w14:textId="6E638D01" w:rsidR="00AC1299" w:rsidRPr="00B242CD" w:rsidRDefault="00193C95" w:rsidP="00B67824">
            <w:pPr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(</w:t>
            </w:r>
            <w:r w:rsidR="00EB6475"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Forward With Dementia</w:t>
            </w:r>
            <w:r w:rsidR="00EB6475"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,</w:t>
            </w:r>
            <w:r w:rsidR="00EB6475" w:rsidRPr="00B242CD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</w:t>
            </w:r>
            <w:r w:rsidR="00EB6475"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2024</w:t>
            </w:r>
            <w:r w:rsidR="00EB6475"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).</w:t>
            </w:r>
          </w:p>
        </w:tc>
        <w:tc>
          <w:tcPr>
            <w:tcW w:w="284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973" w:type="dxa"/>
            <w:vMerge w:val="restart"/>
          </w:tcPr>
          <w:p w14:paraId="32810FCF" w14:textId="3301EE55" w:rsidR="00B67824" w:rsidRPr="002F1799" w:rsidRDefault="00EB6475" w:rsidP="00E94122">
            <w:pPr>
              <w:pStyle w:val="Heading1"/>
              <w:spacing w:line="276" w:lineRule="auto"/>
              <w:jc w:val="both"/>
              <w:rPr>
                <w:rFonts w:ascii="Arial" w:hAnsi="Arial" w:cs="Arial"/>
                <w:color w:val="auto"/>
                <w:sz w:val="22"/>
              </w:rPr>
            </w:pPr>
            <w:r w:rsidRPr="002F1799">
              <w:rPr>
                <w:rFonts w:ascii="Arial" w:hAnsi="Arial" w:cs="Arial"/>
                <w:color w:val="auto"/>
                <w:sz w:val="22"/>
              </w:rPr>
              <w:t>Exploring</w:t>
            </w:r>
            <w:r w:rsidR="002F1AED">
              <w:rPr>
                <w:rFonts w:ascii="Arial" w:hAnsi="Arial" w:cs="Arial"/>
                <w:color w:val="auto"/>
                <w:sz w:val="22"/>
              </w:rPr>
              <w:t xml:space="preserve"> </w:t>
            </w:r>
            <w:r w:rsidRPr="002F1799">
              <w:rPr>
                <w:rFonts w:ascii="Arial" w:hAnsi="Arial" w:cs="Arial"/>
                <w:color w:val="auto"/>
                <w:sz w:val="22"/>
              </w:rPr>
              <w:t>communication strategies for supporting people living with Dementia in the U</w:t>
            </w:r>
            <w:r w:rsidR="00E94122">
              <w:rPr>
                <w:rFonts w:ascii="Arial" w:hAnsi="Arial" w:cs="Arial"/>
                <w:color w:val="auto"/>
                <w:sz w:val="22"/>
              </w:rPr>
              <w:t>K</w:t>
            </w:r>
          </w:p>
          <w:p w14:paraId="21F299E6" w14:textId="5AF26067" w:rsidR="0026578C" w:rsidRPr="002F1799" w:rsidRDefault="0026578C" w:rsidP="002F1799">
            <w:pPr>
              <w:ind w:left="360"/>
              <w:rPr>
                <w:rFonts w:ascii="Arial" w:hAnsi="Arial" w:cs="Arial"/>
                <w:b/>
              </w:rPr>
            </w:pPr>
            <w:r w:rsidRPr="002F1799">
              <w:rPr>
                <w:rFonts w:ascii="Arial" w:hAnsi="Arial" w:cs="Arial"/>
                <w:b/>
              </w:rPr>
              <w:t>Aim</w:t>
            </w:r>
          </w:p>
          <w:p w14:paraId="202521A9" w14:textId="554C1952" w:rsidR="007372EB" w:rsidRPr="00B242CD" w:rsidRDefault="00E94122" w:rsidP="00681A21">
            <w:pPr>
              <w:pStyle w:val="ListParagraph"/>
              <w:numPr>
                <w:ilvl w:val="0"/>
                <w:numId w:val="11"/>
              </w:numPr>
              <w:spacing w:line="276" w:lineRule="auto"/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  <w:r w:rsidRPr="00B242CD">
              <w:rPr>
                <w:rFonts w:ascii="Arial" w:hAnsi="Arial" w:cs="Arial"/>
                <w:b/>
                <w:sz w:val="18"/>
                <w:szCs w:val="18"/>
              </w:rPr>
              <w:t xml:space="preserve">To explore communication strategies for supporting people living with dementia in the </w:t>
            </w:r>
            <w:r w:rsidR="00767C19" w:rsidRPr="00B242CD">
              <w:rPr>
                <w:rFonts w:ascii="Arial" w:hAnsi="Arial" w:cs="Arial"/>
                <w:b/>
                <w:sz w:val="18"/>
                <w:szCs w:val="18"/>
              </w:rPr>
              <w:t>UK</w:t>
            </w:r>
            <w:r w:rsidR="00681A21">
              <w:rPr>
                <w:rFonts w:ascii="Arial" w:hAnsi="Arial" w:cs="Arial"/>
                <w:b/>
                <w:sz w:val="18"/>
                <w:szCs w:val="18"/>
              </w:rPr>
              <w:t>.</w:t>
            </w:r>
          </w:p>
          <w:p w14:paraId="5F1E0991" w14:textId="052E43F9" w:rsidR="002F1799" w:rsidRPr="002F1799" w:rsidRDefault="0026578C" w:rsidP="002F1799">
            <w:pPr>
              <w:spacing w:line="276" w:lineRule="auto"/>
              <w:ind w:left="360"/>
              <w:rPr>
                <w:rFonts w:ascii="Arial" w:hAnsi="Arial" w:cs="Arial"/>
                <w:b/>
              </w:rPr>
            </w:pPr>
            <w:r w:rsidRPr="002F1799">
              <w:rPr>
                <w:rFonts w:ascii="Arial" w:hAnsi="Arial" w:cs="Arial"/>
                <w:b/>
              </w:rPr>
              <w:t>Objectives</w:t>
            </w:r>
          </w:p>
          <w:p w14:paraId="30D112BD" w14:textId="7FC2F301" w:rsidR="002F1799" w:rsidRPr="00B242CD" w:rsidRDefault="002F1799" w:rsidP="00681A21">
            <w:pPr>
              <w:pStyle w:val="ListParagraph"/>
              <w:numPr>
                <w:ilvl w:val="0"/>
                <w:numId w:val="11"/>
              </w:numPr>
              <w:spacing w:line="276" w:lineRule="auto"/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  <w:r w:rsidRPr="00B242CD">
              <w:rPr>
                <w:rFonts w:ascii="Arial" w:hAnsi="Arial" w:cs="Arial"/>
                <w:b/>
                <w:sz w:val="18"/>
                <w:szCs w:val="18"/>
              </w:rPr>
              <w:t>Review existing communication methods in dementia care.</w:t>
            </w:r>
          </w:p>
          <w:p w14:paraId="2FE07743" w14:textId="372C2E55" w:rsidR="002F1799" w:rsidRPr="00B242CD" w:rsidRDefault="002F1799" w:rsidP="00681A21">
            <w:pPr>
              <w:pStyle w:val="ListParagraph"/>
              <w:numPr>
                <w:ilvl w:val="0"/>
                <w:numId w:val="11"/>
              </w:numPr>
              <w:spacing w:line="276" w:lineRule="auto"/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  <w:r w:rsidRPr="00B242CD">
              <w:rPr>
                <w:rFonts w:ascii="Arial" w:hAnsi="Arial" w:cs="Arial"/>
                <w:b/>
                <w:sz w:val="18"/>
                <w:szCs w:val="18"/>
              </w:rPr>
              <w:t>Evaluate prevalent strategies employed by healthcare professionals and caregivers in the UK.</w:t>
            </w:r>
          </w:p>
          <w:p w14:paraId="6F5804C3" w14:textId="6F07AE58" w:rsidR="002F1799" w:rsidRPr="00B242CD" w:rsidRDefault="002F1799" w:rsidP="00681A21">
            <w:pPr>
              <w:pStyle w:val="ListParagraph"/>
              <w:numPr>
                <w:ilvl w:val="0"/>
                <w:numId w:val="11"/>
              </w:numPr>
              <w:spacing w:line="276" w:lineRule="auto"/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  <w:r w:rsidRPr="00B242CD">
              <w:rPr>
                <w:rFonts w:ascii="Arial" w:hAnsi="Arial" w:cs="Arial"/>
                <w:b/>
                <w:sz w:val="18"/>
                <w:szCs w:val="18"/>
              </w:rPr>
              <w:t>Assess the efficacy of these approaches based on current research.</w:t>
            </w:r>
          </w:p>
          <w:p w14:paraId="1DB435BC" w14:textId="6C2BCA69" w:rsidR="002F1799" w:rsidRPr="00B242CD" w:rsidRDefault="002F1799" w:rsidP="00681A21">
            <w:pPr>
              <w:pStyle w:val="ListParagraph"/>
              <w:numPr>
                <w:ilvl w:val="0"/>
                <w:numId w:val="11"/>
              </w:numPr>
              <w:spacing w:line="276" w:lineRule="auto"/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  <w:r w:rsidRPr="00B242CD">
              <w:rPr>
                <w:rFonts w:ascii="Arial" w:hAnsi="Arial" w:cs="Arial"/>
                <w:b/>
                <w:sz w:val="18"/>
                <w:szCs w:val="18"/>
              </w:rPr>
              <w:t>Utilize theories and data to comprehend the impact of dementia on adults aged 60 to 80.</w:t>
            </w:r>
          </w:p>
          <w:p w14:paraId="039A19D8" w14:textId="3653838D" w:rsidR="002F1799" w:rsidRDefault="002F1799" w:rsidP="00681A21">
            <w:pPr>
              <w:pStyle w:val="ListParagraph"/>
              <w:numPr>
                <w:ilvl w:val="0"/>
                <w:numId w:val="11"/>
              </w:numPr>
              <w:spacing w:line="276" w:lineRule="auto"/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  <w:r w:rsidRPr="00B242CD">
              <w:rPr>
                <w:rFonts w:ascii="Arial" w:hAnsi="Arial" w:cs="Arial"/>
                <w:b/>
                <w:sz w:val="18"/>
                <w:szCs w:val="18"/>
              </w:rPr>
              <w:t>Provide suggestions for improving communication in both clinical and community environments.</w:t>
            </w:r>
          </w:p>
          <w:p w14:paraId="531B8687" w14:textId="77777777" w:rsidR="002F1AED" w:rsidRPr="00B242CD" w:rsidRDefault="002F1AED" w:rsidP="00681A21">
            <w:pPr>
              <w:pStyle w:val="ListParagraph"/>
              <w:spacing w:line="276" w:lineRule="auto"/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60168457" w14:textId="1F692B0F" w:rsidR="00661A4F" w:rsidRPr="00661A4F" w:rsidRDefault="00661A4F" w:rsidP="00681A21">
            <w:pPr>
              <w:jc w:val="both"/>
              <w:rPr>
                <w:rFonts w:ascii="Arial" w:hAnsi="Arial" w:cs="Arial"/>
                <w:b/>
                <w:bCs/>
              </w:rPr>
            </w:pPr>
            <w:r w:rsidRPr="00661A4F">
              <w:rPr>
                <w:rFonts w:ascii="Arial" w:hAnsi="Arial" w:cs="Arial"/>
                <w:b/>
                <w:bCs/>
              </w:rPr>
              <w:t>Data Collection method</w:t>
            </w:r>
          </w:p>
          <w:p w14:paraId="69B63E88" w14:textId="2A3F4CD6" w:rsidR="00661A4F" w:rsidRPr="002F1AED" w:rsidRDefault="00661A4F" w:rsidP="00681A21">
            <w:pPr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2F1AED">
              <w:rPr>
                <w:rFonts w:ascii="Arial" w:hAnsi="Arial" w:cs="Arial"/>
                <w:b/>
                <w:bCs/>
                <w:sz w:val="18"/>
                <w:szCs w:val="18"/>
              </w:rPr>
              <w:t>The research is based on secondary qualitative research.</w:t>
            </w:r>
          </w:p>
          <w:p w14:paraId="44BEB44B" w14:textId="77777777" w:rsidR="002F1AED" w:rsidRPr="002F1AED" w:rsidRDefault="002F1AED" w:rsidP="00681A21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2F1AED">
              <w:rPr>
                <w:rFonts w:ascii="Arial" w:hAnsi="Arial" w:cs="Arial"/>
                <w:b/>
                <w:bCs/>
                <w:sz w:val="18"/>
                <w:szCs w:val="18"/>
              </w:rPr>
              <w:t>Databases utilized include Google Scholar, UWTSD Library, PubMed, and official sources like gov.uk and NICE.</w:t>
            </w:r>
          </w:p>
          <w:p w14:paraId="63176D12" w14:textId="77777777" w:rsidR="002F1AED" w:rsidRPr="002F1AED" w:rsidRDefault="002F1AED" w:rsidP="00681A21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2F1AED">
              <w:rPr>
                <w:rFonts w:ascii="Arial" w:hAnsi="Arial" w:cs="Arial"/>
                <w:b/>
                <w:bCs/>
                <w:sz w:val="18"/>
                <w:szCs w:val="18"/>
              </w:rPr>
              <w:t>Keywords: exploring, communication, strategies, supporting, dementia, UK.</w:t>
            </w:r>
          </w:p>
          <w:p w14:paraId="14C044DA" w14:textId="77777777" w:rsidR="002F1AED" w:rsidRPr="002F1AED" w:rsidRDefault="002F1AED" w:rsidP="00681A21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2F1AED">
              <w:rPr>
                <w:rFonts w:ascii="Arial" w:hAnsi="Arial" w:cs="Arial"/>
                <w:b/>
                <w:bCs/>
                <w:sz w:val="18"/>
                <w:szCs w:val="18"/>
              </w:rPr>
              <w:t>Inclusion criteria: Secondary research published in the last decade, in English, focusing on UK studies.</w:t>
            </w:r>
          </w:p>
          <w:p w14:paraId="2F1E1598" w14:textId="77777777" w:rsidR="002F1AED" w:rsidRPr="002F1AED" w:rsidRDefault="002F1AED" w:rsidP="00681A21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2F1AED">
              <w:rPr>
                <w:rFonts w:ascii="Arial" w:hAnsi="Arial" w:cs="Arial"/>
                <w:b/>
                <w:bCs/>
                <w:sz w:val="18"/>
                <w:szCs w:val="18"/>
              </w:rPr>
              <w:t>Exclusion criteria: Articles older than 10 years, not in English, irrelevant to the topic, outside the UK, or involving primary interviews.</w:t>
            </w:r>
          </w:p>
          <w:p w14:paraId="302F3D1D" w14:textId="77777777" w:rsidR="002F1AED" w:rsidRPr="002F1AED" w:rsidRDefault="002F1AED" w:rsidP="00681A21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2F1AED">
              <w:rPr>
                <w:rFonts w:ascii="Arial" w:hAnsi="Arial" w:cs="Arial"/>
                <w:b/>
                <w:bCs/>
                <w:sz w:val="18"/>
                <w:szCs w:val="18"/>
              </w:rPr>
              <w:t>Research question: In what ways does effective communication enhance the well-being of dementia patients, and which approaches or frameworks facilitate this?</w:t>
            </w:r>
          </w:p>
          <w:p w14:paraId="3428EFA7" w14:textId="77777777" w:rsidR="00661A4F" w:rsidRDefault="00661A4F" w:rsidP="00681A21">
            <w:pPr>
              <w:jc w:val="both"/>
              <w:rPr>
                <w:rFonts w:ascii="Arial" w:hAnsi="Arial" w:cs="Arial"/>
              </w:rPr>
            </w:pPr>
          </w:p>
          <w:p w14:paraId="646D5584" w14:textId="4C0F0208" w:rsidR="00524145" w:rsidRPr="002F1799" w:rsidRDefault="00524145" w:rsidP="00661A4F">
            <w:pPr>
              <w:rPr>
                <w:rFonts w:ascii="Arial" w:hAnsi="Arial" w:cs="Arial"/>
                <w:bCs/>
              </w:rPr>
            </w:pPr>
          </w:p>
        </w:tc>
        <w:tc>
          <w:tcPr>
            <w:tcW w:w="269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842" w:type="dxa"/>
            <w:vAlign w:val="center"/>
          </w:tcPr>
          <w:p w14:paraId="2F9FE7CC" w14:textId="101F562F" w:rsidR="00BA1C78" w:rsidRPr="00BA1C78" w:rsidRDefault="00BA1C78" w:rsidP="00BA1C78">
            <w:pPr>
              <w:spacing w:after="160" w:line="259" w:lineRule="auto"/>
              <w:rPr>
                <w:rFonts w:ascii="Arial" w:eastAsia="Aptos" w:hAnsi="Arial" w:cs="Arial"/>
                <w:b/>
                <w:bCs/>
                <w:kern w:val="2"/>
                <w:sz w:val="20"/>
                <w:szCs w:val="20"/>
                <w:lang w:val="en-GB"/>
                <w14:ligatures w14:val="standardContextual"/>
              </w:rPr>
            </w:pPr>
            <w:r w:rsidRPr="00BA1C78">
              <w:rPr>
                <w:rFonts w:ascii="Arial" w:eastAsia="Aptos" w:hAnsi="Arial" w:cs="Arial"/>
                <w:b/>
                <w:bCs/>
                <w:kern w:val="2"/>
                <w:sz w:val="20"/>
                <w:szCs w:val="20"/>
                <w:lang w:val="en-GB"/>
                <w14:ligatures w14:val="standardContextual"/>
              </w:rPr>
              <w:t>Procedures for Performing Thematic Analysis</w:t>
            </w:r>
          </w:p>
          <w:p w14:paraId="5E125759" w14:textId="25D9CD26" w:rsidR="007563EF" w:rsidRPr="00B21CA4" w:rsidRDefault="00322587" w:rsidP="00BA1C78">
            <w:pPr>
              <w:jc w:val="center"/>
              <w:rPr>
                <w:rFonts w:ascii="Arial" w:hAnsi="Arial" w:cs="Arial"/>
                <w:noProof/>
              </w:rPr>
            </w:pPr>
            <w:r w:rsidRPr="00B21CA4">
              <w:rPr>
                <w:rFonts w:ascii="Arial" w:hAnsi="Arial" w:cs="Arial"/>
                <w:noProof/>
              </w:rPr>
              <w:drawing>
                <wp:inline distT="0" distB="0" distL="0" distR="0" wp14:anchorId="60C07F1C" wp14:editId="3F285908">
                  <wp:extent cx="2029115" cy="879231"/>
                  <wp:effectExtent l="0" t="0" r="0" b="0"/>
                  <wp:docPr id="2" name="Picture 1" descr="How to Analyze Qualitative Data from UX Research: Thematic Analysis - NN/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How to Analyze Qualitative Data from UX Research: Thematic Analysis - NN/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72965" cy="8982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069453B8" w14:textId="77777777" w:rsidR="00BA1C78" w:rsidRDefault="00BA1C78" w:rsidP="00681A21">
            <w:pPr>
              <w:jc w:val="both"/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</w:pPr>
          </w:p>
          <w:p w14:paraId="27F8F5E8" w14:textId="22FCD205" w:rsidR="007563EF" w:rsidRPr="00681A21" w:rsidRDefault="00681A21" w:rsidP="00681A21">
            <w:pPr>
              <w:jc w:val="both"/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</w:pPr>
            <w:r w:rsidRPr="00681A21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 xml:space="preserve">This method of qualitative research is </w:t>
            </w:r>
            <w:r w:rsidR="00091547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 xml:space="preserve">used </w:t>
            </w:r>
            <w:r w:rsidR="006128DE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>to identify, analyze, and report</w:t>
            </w:r>
            <w:r w:rsidR="00091547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 xml:space="preserve"> patterns or themes within the </w:t>
            </w:r>
            <w:r w:rsidRPr="00681A21"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  <w:t>data.</w:t>
            </w:r>
          </w:p>
          <w:p w14:paraId="4EBA66EC" w14:textId="472E123A" w:rsidR="00346FFA" w:rsidRPr="00B21CA4" w:rsidRDefault="00B21CA4" w:rsidP="00EB6F36">
            <w:pPr>
              <w:rPr>
                <w:rFonts w:ascii="Arial" w:hAnsi="Arial" w:cs="Arial"/>
                <w:b/>
                <w:bCs/>
                <w:noProof/>
                <w:sz w:val="18"/>
                <w:szCs w:val="18"/>
              </w:rPr>
            </w:pPr>
            <w:r w:rsidRPr="00B21CA4">
              <w:rPr>
                <w:rFonts w:ascii="Arial" w:hAnsi="Arial" w:cs="Arial"/>
                <w:sz w:val="18"/>
                <w:szCs w:val="18"/>
              </w:rPr>
              <w:t>(Nielsen Norman Group, 2022)</w:t>
            </w:r>
          </w:p>
        </w:tc>
      </w:tr>
      <w:tr w:rsidR="00346FFA" w:rsidRPr="00EB6F36" w14:paraId="6595EC5A" w14:textId="77777777" w:rsidTr="002F1AED">
        <w:trPr>
          <w:trHeight w:val="272"/>
          <w:jc w:val="center"/>
        </w:trPr>
        <w:tc>
          <w:tcPr>
            <w:tcW w:w="3539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84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973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269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842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2F1AED">
        <w:trPr>
          <w:trHeight w:val="9389"/>
          <w:jc w:val="center"/>
        </w:trPr>
        <w:tc>
          <w:tcPr>
            <w:tcW w:w="3539" w:type="dxa"/>
          </w:tcPr>
          <w:p w14:paraId="388333B3" w14:textId="646B587B" w:rsidR="00EB6F36" w:rsidRPr="0026578C" w:rsidRDefault="00EB6F36" w:rsidP="0026578C">
            <w:pPr>
              <w:pStyle w:val="Heading1"/>
              <w:rPr>
                <w:rFonts w:ascii="Arial" w:hAnsi="Arial" w:cs="Arial"/>
                <w:color w:val="auto"/>
                <w:sz w:val="22"/>
              </w:rPr>
            </w:pPr>
            <w:r>
              <w:rPr>
                <w:rFonts w:ascii="Arial" w:hAnsi="Arial" w:cs="Arial"/>
              </w:rPr>
              <w:t xml:space="preserve"> </w:t>
            </w:r>
            <w:r w:rsidRPr="0026578C">
              <w:rPr>
                <w:rFonts w:ascii="Arial" w:hAnsi="Arial" w:cs="Arial"/>
                <w:color w:val="auto"/>
                <w:sz w:val="22"/>
              </w:rPr>
              <w:t>Methodology</w:t>
            </w:r>
            <w:r w:rsidR="0026578C" w:rsidRPr="0026578C">
              <w:rPr>
                <w:rFonts w:ascii="Arial" w:hAnsi="Arial" w:cs="Arial"/>
                <w:color w:val="auto"/>
                <w:sz w:val="22"/>
              </w:rPr>
              <w:t xml:space="preserve"> and Methods</w:t>
            </w:r>
          </w:p>
          <w:p w14:paraId="0AA83967" w14:textId="7D6D337E" w:rsidR="0026578C" w:rsidRPr="00B242CD" w:rsidRDefault="0026578C" w:rsidP="0026578C">
            <w:pPr>
              <w:pStyle w:val="ListParagraph"/>
              <w:numPr>
                <w:ilvl w:val="0"/>
                <w:numId w:val="10"/>
              </w:numPr>
              <w:spacing w:line="276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This research will be conducted on secondary research and </w:t>
            </w:r>
            <w:r w:rsidR="007563EF" w:rsidRPr="00B242CD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a </w:t>
            </w:r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systematic literature review</w:t>
            </w:r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.</w:t>
            </w:r>
          </w:p>
          <w:p w14:paraId="07E06FD9" w14:textId="42115CC8" w:rsidR="0026578C" w:rsidRDefault="0026578C" w:rsidP="0026578C">
            <w:pPr>
              <w:pStyle w:val="ListParagraph"/>
              <w:numPr>
                <w:ilvl w:val="0"/>
                <w:numId w:val="10"/>
              </w:numPr>
              <w:spacing w:line="276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T</w:t>
            </w:r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hematic analysis will also </w:t>
            </w:r>
            <w:proofErr w:type="gramStart"/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be </w:t>
            </w:r>
            <w:r w:rsidR="00822E17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</w:t>
            </w:r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used</w:t>
            </w:r>
            <w:proofErr w:type="gramEnd"/>
            <w:r w:rsidR="007563EF"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,</w:t>
            </w:r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and quantitative research.</w:t>
            </w:r>
          </w:p>
          <w:p w14:paraId="4DC45510" w14:textId="77777777" w:rsidR="00C14E26" w:rsidRPr="00C14E26" w:rsidRDefault="00C14E26" w:rsidP="00C14E26">
            <w:pPr>
              <w:pStyle w:val="ListParagraph"/>
              <w:numPr>
                <w:ilvl w:val="0"/>
                <w:numId w:val="10"/>
              </w:numPr>
              <w:spacing w:line="276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C14E26">
              <w:rPr>
                <w:rFonts w:ascii="Arial" w:hAnsi="Arial" w:cs="Arial"/>
                <w:b/>
                <w:bCs/>
                <w:sz w:val="18"/>
                <w:szCs w:val="18"/>
              </w:rPr>
              <w:t>Recognized patterns and themes in the current literature to evaluate significant findings.</w:t>
            </w:r>
          </w:p>
          <w:p w14:paraId="00002C32" w14:textId="77777777" w:rsidR="00C14E26" w:rsidRPr="00C14E26" w:rsidRDefault="00C14E26" w:rsidP="00C14E26">
            <w:pPr>
              <w:pStyle w:val="ListParagraph"/>
              <w:spacing w:line="276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  <w:p w14:paraId="66B8D6E7" w14:textId="21AC246D" w:rsidR="00E15FAC" w:rsidRPr="00B242CD" w:rsidRDefault="00C14E26" w:rsidP="00C14E26">
            <w:pPr>
              <w:pStyle w:val="ListParagraph"/>
              <w:numPr>
                <w:ilvl w:val="0"/>
                <w:numId w:val="10"/>
              </w:numPr>
              <w:spacing w:line="276" w:lineRule="auto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C14E26">
              <w:rPr>
                <w:rFonts w:ascii="Arial" w:hAnsi="Arial" w:cs="Arial"/>
                <w:b/>
                <w:bCs/>
                <w:sz w:val="18"/>
                <w:szCs w:val="18"/>
              </w:rPr>
              <w:t>This secondary research method combines evidence and theories without gathering primary data.</w:t>
            </w:r>
          </w:p>
          <w:p w14:paraId="5DC46BF7" w14:textId="5AF190AE" w:rsidR="00EB6F36" w:rsidRPr="00B242CD" w:rsidRDefault="0026578C" w:rsidP="0026578C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(NICE,</w:t>
            </w:r>
            <w:r w:rsidR="00193C95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</w:t>
            </w:r>
            <w:r w:rsidRPr="00B242CD">
              <w:rPr>
                <w:rFonts w:ascii="Arial" w:hAnsi="Arial" w:cs="Arial"/>
                <w:b/>
                <w:bCs/>
                <w:sz w:val="18"/>
                <w:szCs w:val="18"/>
              </w:rPr>
              <w:t>2022)</w:t>
            </w:r>
            <w:r w:rsidR="00193C95">
              <w:rPr>
                <w:rFonts w:ascii="Arial" w:hAnsi="Arial" w:cs="Arial"/>
                <w:b/>
                <w:bCs/>
                <w:sz w:val="18"/>
                <w:szCs w:val="18"/>
              </w:rPr>
              <w:t>.</w:t>
            </w: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284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973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269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842" w:type="dxa"/>
          </w:tcPr>
          <w:p w14:paraId="7C994393" w14:textId="3387ACBD" w:rsidR="00B67824" w:rsidRPr="0016148F" w:rsidRDefault="00FA0110" w:rsidP="00F37523">
            <w:pPr>
              <w:pStyle w:val="Heading1"/>
              <w:rPr>
                <w:rStyle w:val="Heading1Char"/>
                <w:rFonts w:ascii="Arial" w:hAnsi="Arial" w:cs="Arial"/>
                <w:b/>
                <w:color w:val="auto"/>
                <w:sz w:val="22"/>
              </w:rPr>
            </w:pPr>
            <w:r w:rsidRPr="0016148F">
              <w:rPr>
                <w:rStyle w:val="Heading1Char"/>
                <w:rFonts w:ascii="Arial" w:hAnsi="Arial" w:cs="Arial"/>
                <w:b/>
                <w:color w:val="auto"/>
                <w:sz w:val="22"/>
              </w:rPr>
              <w:t>Data Analysis</w:t>
            </w:r>
          </w:p>
          <w:p w14:paraId="7FAAB053" w14:textId="69B214DE" w:rsidR="0016148F" w:rsidRPr="00D11F1C" w:rsidRDefault="0016148F" w:rsidP="00681A21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D11F1C">
              <w:rPr>
                <w:rFonts w:ascii="Arial" w:hAnsi="Arial" w:cs="Arial"/>
                <w:b/>
                <w:bCs/>
                <w:sz w:val="18"/>
                <w:szCs w:val="18"/>
              </w:rPr>
              <w:t>Data were analyzed using Thematic Analysis, a versatile qualitative approach for recognizing and interpreting meaningful patterns (themes) in data.</w:t>
            </w:r>
          </w:p>
          <w:p w14:paraId="523B6E24" w14:textId="788FD24C" w:rsidR="0016148F" w:rsidRPr="00D11F1C" w:rsidRDefault="0016148F" w:rsidP="00681A21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D11F1C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This method </w:t>
            </w:r>
            <w:r w:rsidR="00E15FAC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enables researchers to systematically organize and present data </w:t>
            </w:r>
            <w:r w:rsidR="00C14E26">
              <w:rPr>
                <w:rFonts w:ascii="Arial" w:hAnsi="Arial" w:cs="Arial"/>
                <w:b/>
                <w:bCs/>
                <w:sz w:val="18"/>
                <w:szCs w:val="18"/>
              </w:rPr>
              <w:t>comprehensively</w:t>
            </w:r>
            <w:r w:rsidRPr="00D11F1C">
              <w:rPr>
                <w:rFonts w:ascii="Arial" w:hAnsi="Arial" w:cs="Arial"/>
                <w:b/>
                <w:bCs/>
                <w:sz w:val="18"/>
                <w:szCs w:val="18"/>
              </w:rPr>
              <w:t>.</w:t>
            </w:r>
          </w:p>
          <w:p w14:paraId="06ED19A4" w14:textId="77777777" w:rsidR="00193C95" w:rsidRDefault="0016148F" w:rsidP="00681A21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D11F1C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Thematic Analysis is broadly accessible and can be tailored to various theoretical frameworks </w:t>
            </w:r>
          </w:p>
          <w:p w14:paraId="2351104B" w14:textId="77777777" w:rsidR="00193C95" w:rsidRDefault="00193C95" w:rsidP="00681A21">
            <w:pPr>
              <w:pStyle w:val="ListParagraph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  <w:p w14:paraId="07A45081" w14:textId="641DA667" w:rsidR="0016148F" w:rsidRPr="00D11F1C" w:rsidRDefault="0016148F" w:rsidP="00681A21">
            <w:pPr>
              <w:pStyle w:val="ListParagraph"/>
              <w:jc w:val="both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D11F1C">
              <w:rPr>
                <w:rFonts w:ascii="Arial" w:hAnsi="Arial" w:cs="Arial"/>
                <w:b/>
                <w:bCs/>
                <w:sz w:val="18"/>
                <w:szCs w:val="18"/>
              </w:rPr>
              <w:t>(</w:t>
            </w:r>
            <w:r w:rsidR="00965FD0">
              <w:rPr>
                <w:rFonts w:ascii="Arial" w:hAnsi="Arial" w:cs="Arial"/>
                <w:b/>
                <w:bCs/>
                <w:sz w:val="18"/>
                <w:szCs w:val="18"/>
              </w:rPr>
              <w:t>Maria Rosala,</w:t>
            </w:r>
            <w:r w:rsidR="0061426C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 2019</w:t>
            </w:r>
            <w:r w:rsidRPr="00D11F1C">
              <w:rPr>
                <w:rFonts w:ascii="Arial" w:hAnsi="Arial" w:cs="Arial"/>
                <w:b/>
                <w:bCs/>
                <w:sz w:val="18"/>
                <w:szCs w:val="18"/>
              </w:rPr>
              <w:t>).</w:t>
            </w:r>
          </w:p>
          <w:p w14:paraId="01A90E3F" w14:textId="5F853F0E" w:rsidR="00EB6F36" w:rsidRPr="00797A0E" w:rsidRDefault="00797A0E" w:rsidP="00681A21">
            <w:pPr>
              <w:pStyle w:val="ListParagraph"/>
              <w:spacing w:after="160" w:line="276" w:lineRule="auto"/>
              <w:jc w:val="both"/>
              <w:rPr>
                <w:rFonts w:ascii="Arial" w:hAnsi="Arial" w:cs="Arial"/>
                <w:sz w:val="18"/>
                <w:szCs w:val="18"/>
              </w:rPr>
            </w:pPr>
            <w:r w:rsidRPr="00797A0E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25C421D3" w14:textId="77777777" w:rsidR="009779EC" w:rsidRDefault="009779EC" w:rsidP="00681A21">
            <w:pPr>
              <w:pStyle w:val="Heading1"/>
              <w:jc w:val="both"/>
              <w:rPr>
                <w:rFonts w:ascii="Arial" w:hAnsi="Arial" w:cs="Arial"/>
                <w:color w:val="auto"/>
                <w:sz w:val="22"/>
              </w:rPr>
            </w:pPr>
          </w:p>
          <w:p w14:paraId="6BCEC21C" w14:textId="0875AEEB" w:rsidR="009779EC" w:rsidRDefault="00797A0E" w:rsidP="00681A21">
            <w:pPr>
              <w:pStyle w:val="Heading1"/>
              <w:jc w:val="both"/>
              <w:rPr>
                <w:rFonts w:ascii="Arial" w:hAnsi="Arial" w:cs="Arial"/>
                <w:color w:val="auto"/>
                <w:sz w:val="22"/>
              </w:rPr>
            </w:pPr>
            <w:r w:rsidRPr="0016148F">
              <w:rPr>
                <w:rFonts w:ascii="Arial" w:hAnsi="Arial" w:cs="Arial"/>
                <w:color w:val="auto"/>
                <w:sz w:val="22"/>
              </w:rPr>
              <w:t>Ethical considerations</w:t>
            </w:r>
            <w:r w:rsidR="00681A21">
              <w:rPr>
                <w:rFonts w:ascii="Arial" w:hAnsi="Arial" w:cs="Arial"/>
                <w:color w:val="auto"/>
                <w:sz w:val="22"/>
              </w:rPr>
              <w:t xml:space="preserve"> </w:t>
            </w:r>
          </w:p>
          <w:p w14:paraId="03AADF4C" w14:textId="2587F500" w:rsidR="00B67824" w:rsidRPr="009779EC" w:rsidRDefault="00681A21" w:rsidP="009779EC">
            <w:pPr>
              <w:pStyle w:val="Heading1"/>
              <w:numPr>
                <w:ilvl w:val="0"/>
                <w:numId w:val="16"/>
              </w:numPr>
              <w:jc w:val="both"/>
              <w:rPr>
                <w:rFonts w:ascii="Arial" w:hAnsi="Arial" w:cs="Arial"/>
                <w:color w:val="auto"/>
                <w:sz w:val="18"/>
                <w:szCs w:val="18"/>
              </w:rPr>
            </w:pPr>
            <w:r w:rsidRPr="009779EC">
              <w:rPr>
                <w:rFonts w:ascii="Arial" w:hAnsi="Arial" w:cs="Arial"/>
                <w:color w:val="auto"/>
                <w:sz w:val="18"/>
                <w:szCs w:val="18"/>
              </w:rPr>
              <w:t>Ethical approval was obtained following the ethical guidelines and regulations of the University of Wales Trinity Saint David (UWTSD).</w:t>
            </w:r>
          </w:p>
          <w:p w14:paraId="7614B03A" w14:textId="77777777" w:rsidR="00681A21" w:rsidRPr="009779EC" w:rsidRDefault="00681A21" w:rsidP="009779EC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  <w:r w:rsidRPr="009779EC">
              <w:rPr>
                <w:rFonts w:ascii="Arial" w:hAnsi="Arial" w:cs="Arial"/>
                <w:b/>
                <w:sz w:val="18"/>
                <w:szCs w:val="18"/>
              </w:rPr>
              <w:t>Informed consent and supervisory approval were obtained before data collection and analysis.</w:t>
            </w:r>
          </w:p>
          <w:p w14:paraId="76583D8E" w14:textId="065DEEE1" w:rsidR="00681A21" w:rsidRPr="009779EC" w:rsidRDefault="00681A21" w:rsidP="009779EC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  <w:r w:rsidRPr="009779EC">
              <w:rPr>
                <w:rFonts w:ascii="Arial" w:hAnsi="Arial" w:cs="Arial"/>
                <w:b/>
                <w:sz w:val="18"/>
                <w:szCs w:val="18"/>
              </w:rPr>
              <w:t>All sources were accurately cited to maintain academic integrity and prevent plagiarism.</w:t>
            </w:r>
          </w:p>
          <w:p w14:paraId="4D4507A7" w14:textId="0E2697CE" w:rsidR="00E964BB" w:rsidRPr="0072170A" w:rsidRDefault="00E964BB" w:rsidP="00681A21">
            <w:pPr>
              <w:pStyle w:val="ListParagraph"/>
              <w:jc w:val="both"/>
              <w:rPr>
                <w:rFonts w:ascii="Arial" w:hAnsi="Arial" w:cs="Arial"/>
                <w:sz w:val="18"/>
                <w:szCs w:val="18"/>
              </w:rPr>
            </w:pPr>
          </w:p>
        </w:tc>
      </w:tr>
    </w:tbl>
    <w:p w14:paraId="39748402" w14:textId="77777777" w:rsidR="008415D7" w:rsidRDefault="008415D7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FE1C554" w14:textId="77777777" w:rsidR="008415D7" w:rsidRDefault="008415D7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9BBCE1" w14:textId="45F91685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4B8B6E7F" w14:textId="77777777" w:rsidR="006128DE" w:rsidRDefault="006128DE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5715179" w14:textId="197C896A" w:rsidR="006128DE" w:rsidRPr="006128DE" w:rsidRDefault="006128DE" w:rsidP="006128DE">
      <w:pPr>
        <w:pStyle w:val="NormalWeb"/>
        <w:jc w:val="both"/>
        <w:rPr>
          <w:rFonts w:ascii="Arial" w:hAnsi="Arial" w:cs="Arial"/>
        </w:rPr>
      </w:pPr>
      <w:r w:rsidRPr="006128DE">
        <w:rPr>
          <w:rStyle w:val="Strong"/>
          <w:rFonts w:ascii="Arial" w:hAnsi="Arial" w:cs="Arial"/>
          <w:b w:val="0"/>
          <w:bCs w:val="0"/>
        </w:rPr>
        <w:t>Forward With Dementia</w:t>
      </w:r>
      <w:r w:rsidR="00D22684">
        <w:rPr>
          <w:rStyle w:val="Strong"/>
          <w:rFonts w:ascii="Arial" w:hAnsi="Arial" w:cs="Arial"/>
          <w:b w:val="0"/>
          <w:bCs w:val="0"/>
        </w:rPr>
        <w:t>,</w:t>
      </w:r>
      <w:r w:rsidRPr="006128DE">
        <w:rPr>
          <w:rFonts w:ascii="Arial" w:hAnsi="Arial" w:cs="Arial"/>
        </w:rPr>
        <w:t xml:space="preserve"> (2024)</w:t>
      </w:r>
      <w:r w:rsidR="00D22684">
        <w:rPr>
          <w:rFonts w:ascii="Arial" w:hAnsi="Arial" w:cs="Arial"/>
        </w:rPr>
        <w:t>.</w:t>
      </w:r>
      <w:r w:rsidRPr="006128DE">
        <w:rPr>
          <w:rFonts w:ascii="Arial" w:hAnsi="Arial" w:cs="Arial"/>
        </w:rPr>
        <w:t xml:space="preserve"> </w:t>
      </w:r>
      <w:r w:rsidRPr="006128DE">
        <w:rPr>
          <w:rStyle w:val="Emphasis"/>
          <w:rFonts w:ascii="Arial" w:eastAsiaTheme="majorEastAsia" w:hAnsi="Arial" w:cs="Arial"/>
        </w:rPr>
        <w:t>Effective communication to support people living with dementia</w:t>
      </w:r>
      <w:r w:rsidRPr="006128DE">
        <w:rPr>
          <w:rFonts w:ascii="Arial" w:hAnsi="Arial" w:cs="Arial"/>
        </w:rPr>
        <w:t xml:space="preserve">. Available at: </w:t>
      </w:r>
      <w:hyperlink r:id="rId15" w:history="1">
        <w:r w:rsidR="00D22684" w:rsidRPr="00583CA9">
          <w:rPr>
            <w:rStyle w:val="Hyperlink"/>
            <w:rFonts w:ascii="Arial" w:hAnsi="Arial" w:cs="Arial"/>
          </w:rPr>
          <w:t>https://www.forwardwithdementia.org/en/uk/for-carers/effective-communication-to-support-people-living-with-dementia/</w:t>
        </w:r>
      </w:hyperlink>
      <w:r w:rsidR="00D22684">
        <w:rPr>
          <w:rFonts w:ascii="Arial" w:hAnsi="Arial" w:cs="Arial"/>
        </w:rPr>
        <w:t xml:space="preserve">: </w:t>
      </w:r>
      <w:r w:rsidRPr="006128DE">
        <w:rPr>
          <w:rFonts w:ascii="Arial" w:hAnsi="Arial" w:cs="Arial"/>
        </w:rPr>
        <w:t>Accessed: 9 October 2025.</w:t>
      </w:r>
    </w:p>
    <w:p w14:paraId="174F7875" w14:textId="5A097390" w:rsidR="006128DE" w:rsidRPr="006128DE" w:rsidRDefault="006128DE" w:rsidP="006128DE">
      <w:pPr>
        <w:pStyle w:val="NormalWeb"/>
        <w:jc w:val="both"/>
        <w:rPr>
          <w:rFonts w:ascii="Arial" w:hAnsi="Arial" w:cs="Arial"/>
        </w:rPr>
      </w:pPr>
      <w:r w:rsidRPr="006128DE">
        <w:rPr>
          <w:rStyle w:val="Strong"/>
          <w:rFonts w:ascii="Arial" w:hAnsi="Arial" w:cs="Arial"/>
          <w:b w:val="0"/>
          <w:bCs w:val="0"/>
        </w:rPr>
        <w:t>National Institute for Health and Care Excellence (NICE)</w:t>
      </w:r>
      <w:r w:rsidR="00D22684">
        <w:rPr>
          <w:rStyle w:val="Strong"/>
          <w:rFonts w:ascii="Arial" w:hAnsi="Arial" w:cs="Arial"/>
          <w:b w:val="0"/>
          <w:bCs w:val="0"/>
        </w:rPr>
        <w:t>,</w:t>
      </w:r>
      <w:r w:rsidRPr="006128DE">
        <w:rPr>
          <w:rFonts w:ascii="Arial" w:hAnsi="Arial" w:cs="Arial"/>
        </w:rPr>
        <w:t xml:space="preserve"> (2022)</w:t>
      </w:r>
      <w:r w:rsidR="00D22684">
        <w:rPr>
          <w:rFonts w:ascii="Arial" w:hAnsi="Arial" w:cs="Arial"/>
        </w:rPr>
        <w:t>.</w:t>
      </w:r>
      <w:r w:rsidRPr="006128DE">
        <w:rPr>
          <w:rFonts w:ascii="Arial" w:hAnsi="Arial" w:cs="Arial"/>
        </w:rPr>
        <w:t xml:space="preserve"> </w:t>
      </w:r>
      <w:r w:rsidRPr="006128DE">
        <w:rPr>
          <w:rStyle w:val="Emphasis"/>
          <w:rFonts w:ascii="Arial" w:eastAsiaTheme="majorEastAsia" w:hAnsi="Arial" w:cs="Arial"/>
        </w:rPr>
        <w:t>Developing NICE guidelines: the manual</w:t>
      </w:r>
      <w:r w:rsidRPr="006128DE">
        <w:rPr>
          <w:rFonts w:ascii="Arial" w:hAnsi="Arial" w:cs="Arial"/>
        </w:rPr>
        <w:t xml:space="preserve">. London: NICE. Available at: </w:t>
      </w:r>
      <w:hyperlink r:id="rId16" w:history="1">
        <w:r w:rsidR="00D22684" w:rsidRPr="00583CA9">
          <w:rPr>
            <w:rStyle w:val="Hyperlink"/>
            <w:rFonts w:ascii="Arial" w:hAnsi="Arial" w:cs="Arial"/>
          </w:rPr>
          <w:t>https://www.nice.org.uk/process/pmg20/resources/developing-nice-guidelines-the-manual-pdf-72286708700869</w:t>
        </w:r>
      </w:hyperlink>
      <w:r w:rsidR="00D22684">
        <w:rPr>
          <w:rFonts w:ascii="Arial" w:hAnsi="Arial" w:cs="Arial"/>
        </w:rPr>
        <w:t xml:space="preserve">: </w:t>
      </w:r>
      <w:r w:rsidRPr="006128DE">
        <w:rPr>
          <w:rFonts w:ascii="Arial" w:hAnsi="Arial" w:cs="Arial"/>
        </w:rPr>
        <w:t>Accessed: 8 October 2025.</w:t>
      </w:r>
    </w:p>
    <w:p w14:paraId="5ECCF0C0" w14:textId="17078F8B" w:rsidR="006128DE" w:rsidRPr="006128DE" w:rsidRDefault="006128DE" w:rsidP="006128DE">
      <w:pPr>
        <w:pStyle w:val="NormalWeb"/>
        <w:jc w:val="both"/>
        <w:rPr>
          <w:rFonts w:ascii="Arial" w:hAnsi="Arial" w:cs="Arial"/>
        </w:rPr>
      </w:pPr>
      <w:r w:rsidRPr="006128DE">
        <w:rPr>
          <w:rStyle w:val="Strong"/>
          <w:rFonts w:ascii="Arial" w:hAnsi="Arial" w:cs="Arial"/>
          <w:b w:val="0"/>
          <w:bCs w:val="0"/>
        </w:rPr>
        <w:t>Nielsen Norman Group</w:t>
      </w:r>
      <w:r w:rsidR="00D22684">
        <w:rPr>
          <w:rStyle w:val="Strong"/>
          <w:rFonts w:ascii="Arial" w:hAnsi="Arial" w:cs="Arial"/>
          <w:b w:val="0"/>
          <w:bCs w:val="0"/>
        </w:rPr>
        <w:t>,</w:t>
      </w:r>
      <w:r w:rsidRPr="006128DE">
        <w:rPr>
          <w:rFonts w:ascii="Arial" w:hAnsi="Arial" w:cs="Arial"/>
        </w:rPr>
        <w:t xml:space="preserve"> (2022)</w:t>
      </w:r>
      <w:r w:rsidR="00D22684">
        <w:rPr>
          <w:rFonts w:ascii="Arial" w:hAnsi="Arial" w:cs="Arial"/>
        </w:rPr>
        <w:t>.</w:t>
      </w:r>
      <w:r w:rsidRPr="006128DE">
        <w:rPr>
          <w:rFonts w:ascii="Arial" w:hAnsi="Arial" w:cs="Arial"/>
        </w:rPr>
        <w:t xml:space="preserve"> </w:t>
      </w:r>
      <w:r w:rsidRPr="006128DE">
        <w:rPr>
          <w:rStyle w:val="Emphasis"/>
          <w:rFonts w:ascii="Arial" w:eastAsiaTheme="majorEastAsia" w:hAnsi="Arial" w:cs="Arial"/>
        </w:rPr>
        <w:t>How to analyse qualitative data from UX research: Thematic analysis</w:t>
      </w:r>
      <w:r w:rsidRPr="006128DE">
        <w:rPr>
          <w:rFonts w:ascii="Arial" w:hAnsi="Arial" w:cs="Arial"/>
        </w:rPr>
        <w:t xml:space="preserve">. Available at: </w:t>
      </w:r>
      <w:hyperlink r:id="rId17" w:history="1">
        <w:r w:rsidR="00D22684" w:rsidRPr="00583CA9">
          <w:rPr>
            <w:rStyle w:val="Hyperlink"/>
            <w:rFonts w:ascii="Arial" w:hAnsi="Arial" w:cs="Arial"/>
          </w:rPr>
          <w:t>https://www.nngroup.com/articles/thematic-analysis/</w:t>
        </w:r>
      </w:hyperlink>
      <w:r w:rsidR="00D22684">
        <w:rPr>
          <w:rFonts w:ascii="Arial" w:hAnsi="Arial" w:cs="Arial"/>
        </w:rPr>
        <w:t xml:space="preserve">: </w:t>
      </w:r>
      <w:r w:rsidRPr="006128DE">
        <w:rPr>
          <w:rFonts w:ascii="Arial" w:hAnsi="Arial" w:cs="Arial"/>
        </w:rPr>
        <w:t>Accessed: 8 October 2025.</w:t>
      </w:r>
    </w:p>
    <w:p w14:paraId="773CE431" w14:textId="4F11B848" w:rsidR="006128DE" w:rsidRPr="006128DE" w:rsidRDefault="006128DE" w:rsidP="006128DE">
      <w:pPr>
        <w:pStyle w:val="NormalWeb"/>
        <w:jc w:val="both"/>
        <w:rPr>
          <w:rFonts w:ascii="Arial" w:hAnsi="Arial" w:cs="Arial"/>
        </w:rPr>
      </w:pPr>
      <w:r w:rsidRPr="006128DE">
        <w:rPr>
          <w:rStyle w:val="Strong"/>
          <w:rFonts w:ascii="Arial" w:hAnsi="Arial" w:cs="Arial"/>
          <w:b w:val="0"/>
          <w:bCs w:val="0"/>
        </w:rPr>
        <w:t>Rosala, M.</w:t>
      </w:r>
      <w:r w:rsidR="00D22684">
        <w:rPr>
          <w:rStyle w:val="Strong"/>
          <w:rFonts w:ascii="Arial" w:hAnsi="Arial" w:cs="Arial"/>
          <w:b w:val="0"/>
          <w:bCs w:val="0"/>
        </w:rPr>
        <w:t>,</w:t>
      </w:r>
      <w:r w:rsidRPr="006128DE">
        <w:rPr>
          <w:rFonts w:ascii="Arial" w:hAnsi="Arial" w:cs="Arial"/>
        </w:rPr>
        <w:t xml:space="preserve"> (2019)</w:t>
      </w:r>
      <w:r w:rsidR="00D22684">
        <w:rPr>
          <w:rFonts w:ascii="Arial" w:hAnsi="Arial" w:cs="Arial"/>
        </w:rPr>
        <w:t>.</w:t>
      </w:r>
      <w:r w:rsidRPr="006128DE">
        <w:rPr>
          <w:rFonts w:ascii="Arial" w:hAnsi="Arial" w:cs="Arial"/>
        </w:rPr>
        <w:t xml:space="preserve"> </w:t>
      </w:r>
      <w:r w:rsidRPr="006128DE">
        <w:rPr>
          <w:rStyle w:val="Emphasis"/>
          <w:rFonts w:ascii="Arial" w:eastAsiaTheme="majorEastAsia" w:hAnsi="Arial" w:cs="Arial"/>
        </w:rPr>
        <w:t>Thematic analysis of qualitative user research data</w:t>
      </w:r>
      <w:r w:rsidRPr="006128DE">
        <w:rPr>
          <w:rFonts w:ascii="Arial" w:hAnsi="Arial" w:cs="Arial"/>
        </w:rPr>
        <w:t xml:space="preserve"> [video]. Nielsen Norman Group. Available at: </w:t>
      </w:r>
      <w:hyperlink r:id="rId18" w:tgtFrame="_new" w:history="1">
        <w:r w:rsidRPr="006128DE">
          <w:rPr>
            <w:rStyle w:val="Hyperlink"/>
            <w:rFonts w:ascii="Arial" w:hAnsi="Arial" w:cs="Arial"/>
          </w:rPr>
          <w:t>https://www.nngroup.com/videos/thematic-analysis-qualitative-user-research-data/</w:t>
        </w:r>
      </w:hyperlink>
      <w:r w:rsidRPr="006128DE">
        <w:rPr>
          <w:rFonts w:ascii="Arial" w:hAnsi="Arial" w:cs="Arial"/>
        </w:rPr>
        <w:t xml:space="preserve"> (Accessed: 11 October 2025).</w:t>
      </w:r>
    </w:p>
    <w:p w14:paraId="046C1D08" w14:textId="77777777" w:rsidR="006128DE" w:rsidRPr="006128DE" w:rsidRDefault="006128DE" w:rsidP="006128DE">
      <w:pPr>
        <w:jc w:val="both"/>
        <w:rPr>
          <w:rFonts w:ascii="Arial" w:hAnsi="Arial" w:cs="Arial"/>
          <w:b/>
          <w:bCs/>
          <w:sz w:val="24"/>
          <w:szCs w:val="24"/>
        </w:rPr>
      </w:pPr>
    </w:p>
    <w:sectPr w:rsidR="006128DE" w:rsidRPr="006128DE" w:rsidSect="0026578C">
      <w:headerReference w:type="default" r:id="rId19"/>
      <w:headerReference w:type="first" r:id="rId20"/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BF2920" w14:textId="77777777" w:rsidR="00A41854" w:rsidRDefault="00A41854" w:rsidP="00D210FA">
      <w:pPr>
        <w:spacing w:after="0"/>
      </w:pPr>
      <w:r>
        <w:separator/>
      </w:r>
    </w:p>
  </w:endnote>
  <w:endnote w:type="continuationSeparator" w:id="0">
    <w:p w14:paraId="5345E3BF" w14:textId="77777777" w:rsidR="00A41854" w:rsidRDefault="00A41854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695AB9" w14:textId="77777777" w:rsidR="00A41854" w:rsidRDefault="00A41854" w:rsidP="00D210FA">
      <w:pPr>
        <w:spacing w:after="0"/>
      </w:pPr>
      <w:r>
        <w:separator/>
      </w:r>
    </w:p>
  </w:footnote>
  <w:footnote w:type="continuationSeparator" w:id="0">
    <w:p w14:paraId="71062A4A" w14:textId="77777777" w:rsidR="00A41854" w:rsidRDefault="00A41854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49A64AA"/>
    <w:multiLevelType w:val="hybridMultilevel"/>
    <w:tmpl w:val="39FA8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1E6DCB"/>
    <w:multiLevelType w:val="hybridMultilevel"/>
    <w:tmpl w:val="AC885B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7B0147"/>
    <w:multiLevelType w:val="hybridMultilevel"/>
    <w:tmpl w:val="9D14B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5AC6308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570C65"/>
    <w:multiLevelType w:val="hybridMultilevel"/>
    <w:tmpl w:val="600E7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C35090"/>
    <w:multiLevelType w:val="hybridMultilevel"/>
    <w:tmpl w:val="D8D041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3D36ED"/>
    <w:multiLevelType w:val="hybridMultilevel"/>
    <w:tmpl w:val="B95A6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1841B83"/>
    <w:multiLevelType w:val="hybridMultilevel"/>
    <w:tmpl w:val="577A7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2F0286E"/>
    <w:multiLevelType w:val="hybridMultilevel"/>
    <w:tmpl w:val="8744D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AF01017"/>
    <w:multiLevelType w:val="hybridMultilevel"/>
    <w:tmpl w:val="086C8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14"/>
  </w:num>
  <w:num w:numId="4" w16cid:durableId="67852329">
    <w:abstractNumId w:val="15"/>
  </w:num>
  <w:num w:numId="5" w16cid:durableId="825783799">
    <w:abstractNumId w:val="5"/>
  </w:num>
  <w:num w:numId="6" w16cid:durableId="1203637911">
    <w:abstractNumId w:val="4"/>
  </w:num>
  <w:num w:numId="7" w16cid:durableId="1393117886">
    <w:abstractNumId w:val="10"/>
  </w:num>
  <w:num w:numId="8" w16cid:durableId="217597652">
    <w:abstractNumId w:val="12"/>
  </w:num>
  <w:num w:numId="9" w16cid:durableId="1901943836">
    <w:abstractNumId w:val="11"/>
  </w:num>
  <w:num w:numId="10" w16cid:durableId="591398716">
    <w:abstractNumId w:val="7"/>
  </w:num>
  <w:num w:numId="11" w16cid:durableId="914974829">
    <w:abstractNumId w:val="9"/>
  </w:num>
  <w:num w:numId="12" w16cid:durableId="419181719">
    <w:abstractNumId w:val="6"/>
  </w:num>
  <w:num w:numId="13" w16cid:durableId="2067139471">
    <w:abstractNumId w:val="2"/>
  </w:num>
  <w:num w:numId="14" w16cid:durableId="1869879017">
    <w:abstractNumId w:val="3"/>
  </w:num>
  <w:num w:numId="15" w16cid:durableId="574823877">
    <w:abstractNumId w:val="8"/>
  </w:num>
  <w:num w:numId="16" w16cid:durableId="68740873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40E21"/>
    <w:rsid w:val="00061977"/>
    <w:rsid w:val="0008782A"/>
    <w:rsid w:val="00091547"/>
    <w:rsid w:val="000A065A"/>
    <w:rsid w:val="00106FC5"/>
    <w:rsid w:val="00120DEC"/>
    <w:rsid w:val="00123C19"/>
    <w:rsid w:val="0016148F"/>
    <w:rsid w:val="00193C95"/>
    <w:rsid w:val="001C55B6"/>
    <w:rsid w:val="001D6CC4"/>
    <w:rsid w:val="00206405"/>
    <w:rsid w:val="00234D04"/>
    <w:rsid w:val="00253267"/>
    <w:rsid w:val="0026578C"/>
    <w:rsid w:val="002823CD"/>
    <w:rsid w:val="00287787"/>
    <w:rsid w:val="00291685"/>
    <w:rsid w:val="00296640"/>
    <w:rsid w:val="002B0A3D"/>
    <w:rsid w:val="002B7584"/>
    <w:rsid w:val="002F1799"/>
    <w:rsid w:val="002F1AED"/>
    <w:rsid w:val="003007A7"/>
    <w:rsid w:val="00322587"/>
    <w:rsid w:val="003257E1"/>
    <w:rsid w:val="00325DEC"/>
    <w:rsid w:val="00326D3B"/>
    <w:rsid w:val="00346FFA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A2FA6"/>
    <w:rsid w:val="004A3D0F"/>
    <w:rsid w:val="00500564"/>
    <w:rsid w:val="0051102B"/>
    <w:rsid w:val="00524145"/>
    <w:rsid w:val="005838BC"/>
    <w:rsid w:val="005B57E1"/>
    <w:rsid w:val="005E61E0"/>
    <w:rsid w:val="005F0F31"/>
    <w:rsid w:val="006024ED"/>
    <w:rsid w:val="006128DE"/>
    <w:rsid w:val="0061426C"/>
    <w:rsid w:val="0061793F"/>
    <w:rsid w:val="0062123A"/>
    <w:rsid w:val="006605F8"/>
    <w:rsid w:val="00661A4F"/>
    <w:rsid w:val="006676A1"/>
    <w:rsid w:val="00681A21"/>
    <w:rsid w:val="006833BD"/>
    <w:rsid w:val="006D2642"/>
    <w:rsid w:val="006E2D42"/>
    <w:rsid w:val="0071632E"/>
    <w:rsid w:val="00720FEE"/>
    <w:rsid w:val="0072170A"/>
    <w:rsid w:val="00730CDE"/>
    <w:rsid w:val="007320F3"/>
    <w:rsid w:val="007372EB"/>
    <w:rsid w:val="007563EF"/>
    <w:rsid w:val="00764B6F"/>
    <w:rsid w:val="00767C19"/>
    <w:rsid w:val="00797A0E"/>
    <w:rsid w:val="007C480B"/>
    <w:rsid w:val="007C7319"/>
    <w:rsid w:val="007D43B3"/>
    <w:rsid w:val="007E53F7"/>
    <w:rsid w:val="007F20B4"/>
    <w:rsid w:val="007F525E"/>
    <w:rsid w:val="00822E17"/>
    <w:rsid w:val="0082695D"/>
    <w:rsid w:val="0083044C"/>
    <w:rsid w:val="008415D7"/>
    <w:rsid w:val="0085182D"/>
    <w:rsid w:val="00867E5F"/>
    <w:rsid w:val="008709F5"/>
    <w:rsid w:val="00877A91"/>
    <w:rsid w:val="00884E86"/>
    <w:rsid w:val="008927FF"/>
    <w:rsid w:val="008B0F18"/>
    <w:rsid w:val="008E3921"/>
    <w:rsid w:val="0090027B"/>
    <w:rsid w:val="00905238"/>
    <w:rsid w:val="0094702A"/>
    <w:rsid w:val="00965FD0"/>
    <w:rsid w:val="00967DAB"/>
    <w:rsid w:val="009779EC"/>
    <w:rsid w:val="00990E76"/>
    <w:rsid w:val="00991A53"/>
    <w:rsid w:val="00996F4E"/>
    <w:rsid w:val="009F191E"/>
    <w:rsid w:val="009F71FE"/>
    <w:rsid w:val="00A31F33"/>
    <w:rsid w:val="00A41854"/>
    <w:rsid w:val="00A70A62"/>
    <w:rsid w:val="00A71DA8"/>
    <w:rsid w:val="00AB1210"/>
    <w:rsid w:val="00AB770D"/>
    <w:rsid w:val="00AC1299"/>
    <w:rsid w:val="00AF2088"/>
    <w:rsid w:val="00AF5FB0"/>
    <w:rsid w:val="00B0080A"/>
    <w:rsid w:val="00B0538C"/>
    <w:rsid w:val="00B21CA4"/>
    <w:rsid w:val="00B242CD"/>
    <w:rsid w:val="00B37AB8"/>
    <w:rsid w:val="00B418DE"/>
    <w:rsid w:val="00B47FE7"/>
    <w:rsid w:val="00B67824"/>
    <w:rsid w:val="00BA1C78"/>
    <w:rsid w:val="00BE15BA"/>
    <w:rsid w:val="00C14E26"/>
    <w:rsid w:val="00C20ED0"/>
    <w:rsid w:val="00C348A8"/>
    <w:rsid w:val="00C46111"/>
    <w:rsid w:val="00C83332"/>
    <w:rsid w:val="00C95E04"/>
    <w:rsid w:val="00CC0A8F"/>
    <w:rsid w:val="00CC1B40"/>
    <w:rsid w:val="00CC24B6"/>
    <w:rsid w:val="00CD3A64"/>
    <w:rsid w:val="00CE08CD"/>
    <w:rsid w:val="00D0664A"/>
    <w:rsid w:val="00D11F1C"/>
    <w:rsid w:val="00D210FA"/>
    <w:rsid w:val="00D22684"/>
    <w:rsid w:val="00D30F1D"/>
    <w:rsid w:val="00D5713D"/>
    <w:rsid w:val="00D57231"/>
    <w:rsid w:val="00D87B48"/>
    <w:rsid w:val="00D91203"/>
    <w:rsid w:val="00D94FD1"/>
    <w:rsid w:val="00E15FAC"/>
    <w:rsid w:val="00E41692"/>
    <w:rsid w:val="00E55D74"/>
    <w:rsid w:val="00E81234"/>
    <w:rsid w:val="00E9037E"/>
    <w:rsid w:val="00E94122"/>
    <w:rsid w:val="00E964BB"/>
    <w:rsid w:val="00EA120D"/>
    <w:rsid w:val="00EA49C3"/>
    <w:rsid w:val="00EB5E14"/>
    <w:rsid w:val="00EB6475"/>
    <w:rsid w:val="00EB6F36"/>
    <w:rsid w:val="00ED1049"/>
    <w:rsid w:val="00EE19D9"/>
    <w:rsid w:val="00EF26FC"/>
    <w:rsid w:val="00F1727B"/>
    <w:rsid w:val="00F37523"/>
    <w:rsid w:val="00F50168"/>
    <w:rsid w:val="00F50D34"/>
    <w:rsid w:val="00F61360"/>
    <w:rsid w:val="00FA011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2B758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Emphasis">
    <w:name w:val="Emphasis"/>
    <w:basedOn w:val="DefaultParagraphFont"/>
    <w:uiPriority w:val="20"/>
    <w:qFormat/>
    <w:rsid w:val="002B7584"/>
    <w:rPr>
      <w:i/>
      <w:iCs/>
    </w:rPr>
  </w:style>
  <w:style w:type="character" w:styleId="Hyperlink">
    <w:name w:val="Hyperlink"/>
    <w:basedOn w:val="DefaultParagraphFont"/>
    <w:uiPriority w:val="99"/>
    <w:unhideWhenUsed/>
    <w:rsid w:val="0061426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hyperlink" Target="https://www.nngroup.com/videos/thematic-analysis-qualitative-user-research-data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nngroup.com/articles/thematic-analysi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ice.org.uk/process/pmg20/resources/developing-nice-guidelines-the-manual-pdf-72286708700869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forwardwithdementia.org/en/uk/for-carers/effective-communication-to-support-people-living-with-dementia/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3</Pages>
  <Words>523</Words>
  <Characters>3710</Characters>
  <Application>Microsoft Office Word</Application>
  <DocSecurity>0</DocSecurity>
  <Lines>185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2025-10-16T21:28:00Z</dcterms:created>
  <dcterms:modified xsi:type="dcterms:W3CDTF">2025-10-16T21:28:00Z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d9aa7351-b05e-4ede-bc0a-2f8f29e1836a</vt:lpwstr>
  </property>
</Properties>
</file>