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193D1EC">
      <w:pPr>
        <w:spacing w:before="212"/>
        <w:jc w:val="center"/>
        <w:rPr>
          <w:rFonts w:ascii="Arial"/>
          <w:b/>
          <w:sz w:val="56"/>
          <w:szCs w:val="56"/>
        </w:rPr>
      </w:pPr>
      <w:r>
        <w:drawing>
          <wp:inline distT="0" distB="0" distL="0" distR="0">
            <wp:extent cx="2980055" cy="1188085"/>
            <wp:effectExtent l="0" t="0" r="444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2998772" cy="1195431"/>
                    </a:xfrm>
                    <a:prstGeom prst="rect">
                      <a:avLst/>
                    </a:prstGeom>
                    <a:noFill/>
                  </pic:spPr>
                </pic:pic>
              </a:graphicData>
            </a:graphic>
          </wp:inline>
        </w:drawing>
      </w:r>
    </w:p>
    <w:p w14:paraId="5B9AE89A">
      <w:pPr>
        <w:spacing w:before="212"/>
        <w:rPr>
          <w:rFonts w:ascii="Arial"/>
          <w:b/>
          <w:sz w:val="56"/>
        </w:rPr>
      </w:pPr>
    </w:p>
    <w:p w14:paraId="5051A2D5">
      <w:pPr>
        <w:spacing w:before="212"/>
        <w:rPr>
          <w:rFonts w:hint="eastAsia" w:ascii="Arial" w:eastAsia="宋体"/>
          <w:b/>
          <w:sz w:val="48"/>
          <w:szCs w:val="48"/>
          <w:lang w:val="en-US" w:eastAsia="zh-CN"/>
        </w:rPr>
      </w:pPr>
      <w:r>
        <w:rPr>
          <w:rFonts w:ascii="Arial"/>
          <w:b/>
          <w:bCs/>
          <w:sz w:val="48"/>
          <w:szCs w:val="48"/>
        </w:rPr>
        <w:t xml:space="preserve">MODULE CODE: </w:t>
      </w:r>
      <w:r>
        <w:rPr>
          <w:rFonts w:hint="default" w:ascii="Arial" w:hAnsi="Arial" w:eastAsia="宋体" w:cs="Arial"/>
          <w:b/>
          <w:bCs/>
          <w:sz w:val="48"/>
          <w:szCs w:val="48"/>
        </w:rPr>
        <w:t>ECWB700</w:t>
      </w:r>
      <w:r>
        <w:rPr>
          <w:rFonts w:hint="eastAsia" w:ascii="Arial" w:hAnsi="Arial" w:eastAsia="宋体" w:cs="Arial"/>
          <w:b/>
          <w:bCs/>
          <w:sz w:val="48"/>
          <w:szCs w:val="48"/>
          <w:lang w:val="en-US" w:eastAsia="zh-CN"/>
        </w:rPr>
        <w:t>2</w:t>
      </w:r>
    </w:p>
    <w:p w14:paraId="590641B6">
      <w:pPr>
        <w:spacing w:before="212"/>
        <w:rPr>
          <w:rFonts w:ascii="Arial"/>
          <w:b/>
          <w:sz w:val="48"/>
          <w:szCs w:val="48"/>
        </w:rPr>
      </w:pPr>
    </w:p>
    <w:p w14:paraId="368F2F68">
      <w:pPr>
        <w:spacing w:before="212"/>
        <w:rPr>
          <w:rFonts w:ascii="Arial"/>
          <w:b/>
          <w:sz w:val="48"/>
          <w:szCs w:val="48"/>
        </w:rPr>
      </w:pPr>
      <w:r>
        <w:rPr>
          <w:rFonts w:ascii="Arial"/>
          <w:b/>
          <w:sz w:val="48"/>
          <w:szCs w:val="48"/>
        </w:rPr>
        <w:t>ASSESSMENT COMPONENT:</w:t>
      </w:r>
    </w:p>
    <w:p w14:paraId="1ABD6D12">
      <w:pPr>
        <w:spacing w:before="212"/>
        <w:rPr>
          <w:rFonts w:hint="default" w:ascii="Arial" w:eastAsiaTheme="minorEastAsia"/>
          <w:b/>
          <w:sz w:val="40"/>
          <w:szCs w:val="40"/>
          <w:highlight w:val="yellow"/>
          <w:lang w:val="en-US" w:eastAsia="zh-CN"/>
        </w:rPr>
      </w:pPr>
      <w:r>
        <w:rPr>
          <w:rFonts w:hint="eastAsia" w:ascii="Arial"/>
          <w:b/>
          <w:bCs/>
          <w:sz w:val="48"/>
          <w:szCs w:val="48"/>
          <w:lang w:val="en-US" w:eastAsia="zh-CN"/>
        </w:rPr>
        <w:t>Education Project</w:t>
      </w:r>
      <w:bookmarkStart w:id="0" w:name="_GoBack"/>
      <w:bookmarkEnd w:id="0"/>
    </w:p>
    <w:p w14:paraId="6AA1A7DC">
      <w:pPr>
        <w:spacing w:before="7"/>
        <w:jc w:val="center"/>
        <w:rPr>
          <w:rFonts w:ascii="Arial"/>
          <w:b/>
          <w:sz w:val="44"/>
        </w:rPr>
      </w:pPr>
    </w:p>
    <w:p w14:paraId="7681432B">
      <w:pPr>
        <w:spacing w:before="3"/>
        <w:rPr>
          <w:rFonts w:hint="default" w:ascii="Arial" w:eastAsiaTheme="minorEastAsia"/>
          <w:b/>
          <w:sz w:val="48"/>
          <w:szCs w:val="48"/>
          <w:lang w:val="en-US" w:eastAsia="zh-CN"/>
        </w:rPr>
      </w:pPr>
      <w:r>
        <w:rPr>
          <w:rFonts w:ascii="Arial"/>
          <w:b/>
          <w:sz w:val="48"/>
          <w:szCs w:val="48"/>
        </w:rPr>
        <w:t>STUDENT NAME:</w:t>
      </w:r>
      <w:r>
        <w:rPr>
          <w:rFonts w:hint="eastAsia" w:ascii="Arial"/>
          <w:b/>
          <w:sz w:val="48"/>
          <w:szCs w:val="48"/>
          <w:lang w:val="en-US" w:eastAsia="zh-CN"/>
        </w:rPr>
        <w:t xml:space="preserve"> Hongyue Huang</w:t>
      </w:r>
    </w:p>
    <w:p w14:paraId="031336B7">
      <w:pPr>
        <w:spacing w:before="3"/>
        <w:rPr>
          <w:rFonts w:ascii="Arial"/>
          <w:b/>
          <w:sz w:val="48"/>
          <w:szCs w:val="48"/>
        </w:rPr>
      </w:pPr>
    </w:p>
    <w:p w14:paraId="0D16D138">
      <w:pPr>
        <w:spacing w:before="3"/>
        <w:rPr>
          <w:rFonts w:ascii="Arial"/>
          <w:b/>
          <w:sz w:val="48"/>
          <w:szCs w:val="48"/>
        </w:rPr>
      </w:pPr>
    </w:p>
    <w:p w14:paraId="18107AFF">
      <w:pPr>
        <w:spacing w:before="3"/>
        <w:rPr>
          <w:rFonts w:ascii="Arial"/>
          <w:b/>
          <w:sz w:val="48"/>
          <w:szCs w:val="48"/>
        </w:rPr>
      </w:pPr>
      <w:r>
        <w:rPr>
          <w:rFonts w:ascii="Arial"/>
          <w:b/>
          <w:sz w:val="48"/>
          <w:szCs w:val="48"/>
        </w:rPr>
        <w:t>STUDENT NUMBER:</w:t>
      </w:r>
      <w:r>
        <w:rPr>
          <w:rFonts w:hint="eastAsia" w:ascii="Arial"/>
          <w:b/>
          <w:sz w:val="48"/>
          <w:szCs w:val="48"/>
          <w:lang w:val="en-US" w:eastAsia="zh-CN"/>
        </w:rPr>
        <w:t xml:space="preserve"> 2405712</w:t>
      </w:r>
    </w:p>
    <w:p w14:paraId="2BC15DF4">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67880687">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4017B6C9">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18DD6C1A">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08E0921C">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752C221A">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p>
    <w:p w14:paraId="54388E1E">
      <w:pPr>
        <w:keepNext w:val="0"/>
        <w:keepLines w:val="0"/>
        <w:pageBreakBefore w:val="0"/>
        <w:widowControl w:val="0"/>
        <w:kinsoku/>
        <w:wordWrap/>
        <w:overflowPunct/>
        <w:topLinePunct w:val="0"/>
        <w:autoSpaceDE/>
        <w:autoSpaceDN/>
        <w:bidi w:val="0"/>
        <w:adjustRightInd/>
        <w:snapToGrid/>
        <w:spacing w:line="480" w:lineRule="auto"/>
        <w:ind w:left="1444" w:leftChars="114" w:hanging="1205" w:hangingChars="500"/>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From "Skills Learning" to "Employment Matching": The role of CTE in reshaping and reforming the U.S. Vocational Education System</w:t>
      </w:r>
    </w:p>
    <w:p w14:paraId="5ABA788B">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lang w:val="en-US" w:eastAsia="zh-CN"/>
        </w:rPr>
      </w:pPr>
    </w:p>
    <w:p w14:paraId="0CFC907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Introduction</w:t>
      </w:r>
    </w:p>
    <w:p w14:paraId="32A4639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In the early 20th century, the goal of vocational education in the United States was mainly to train blue-collar workers and focus on skills training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 xml:space="preserve">gricultural </w:t>
      </w:r>
      <w:r>
        <w:rPr>
          <w:rFonts w:hint="eastAsia" w:ascii="Times New Roman" w:hAnsi="Times New Roman" w:cs="Times New Roman"/>
          <w:sz w:val="24"/>
          <w:szCs w:val="24"/>
          <w:lang w:val="en-US" w:eastAsia="zh-CN"/>
        </w:rPr>
        <w:t>m</w:t>
      </w:r>
      <w:r>
        <w:rPr>
          <w:rFonts w:hint="default" w:ascii="Times New Roman" w:hAnsi="Times New Roman" w:cs="Times New Roman"/>
          <w:sz w:val="24"/>
          <w:szCs w:val="24"/>
        </w:rPr>
        <w:t xml:space="preserve">achinery and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rPr>
        <w:t xml:space="preserve">ome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 xml:space="preserve">ppliance </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rPr>
        <w:t>epair). These courses were seriously disconnected from core subjects (</w:t>
      </w:r>
      <w:r>
        <w:rPr>
          <w:rFonts w:hint="eastAsia" w:ascii="Times New Roman" w:hAnsi="Times New Roman" w:cs="Times New Roman"/>
          <w:sz w:val="24"/>
          <w:szCs w:val="24"/>
          <w:lang w:val="en-US" w:eastAsia="zh-CN"/>
        </w:rPr>
        <w:t>e.g. M</w:t>
      </w:r>
      <w:r>
        <w:rPr>
          <w:rFonts w:hint="default" w:ascii="Times New Roman" w:hAnsi="Times New Roman" w:cs="Times New Roman"/>
          <w:sz w:val="24"/>
          <w:szCs w:val="24"/>
        </w:rPr>
        <w:t xml:space="preserve">athematics, </w:t>
      </w:r>
      <w:r>
        <w:rPr>
          <w:rFonts w:hint="eastAsia" w:ascii="Times New Roman" w:hAnsi="Times New Roman" w:cs="Times New Roman"/>
          <w:sz w:val="24"/>
          <w:szCs w:val="24"/>
          <w:lang w:val="en-US" w:eastAsia="zh-CN"/>
        </w:rPr>
        <w:t>F</w:t>
      </w:r>
      <w:r>
        <w:rPr>
          <w:rFonts w:hint="default" w:ascii="Times New Roman" w:hAnsi="Times New Roman" w:cs="Times New Roman"/>
          <w:sz w:val="24"/>
          <w:szCs w:val="24"/>
        </w:rPr>
        <w:t xml:space="preserve">oreign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rPr>
        <w:t xml:space="preserve">anguages,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rPr>
        <w:t>istory, etc.)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students lacked the necessary cultural literacy. This has led to vocational education being regarded as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rPr>
        <w:t xml:space="preserve">ow-end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ducation"  (Fletcher et al., 2013)for a long time, exacerbating educational inequality. At the end of the 20th century, a large number of emerging industries (</w:t>
      </w:r>
      <w:r>
        <w:rPr>
          <w:rFonts w:hint="eastAsia" w:ascii="Times New Roman" w:hAnsi="Times New Roman" w:cs="Times New Roman"/>
          <w:sz w:val="24"/>
          <w:szCs w:val="24"/>
          <w:lang w:val="en-US" w:eastAsia="zh-CN"/>
        </w:rPr>
        <w:t>e.g. E</w:t>
      </w:r>
      <w:r>
        <w:rPr>
          <w:rFonts w:hint="default" w:ascii="Times New Roman" w:hAnsi="Times New Roman" w:cs="Times New Roman"/>
          <w:sz w:val="24"/>
          <w:szCs w:val="24"/>
        </w:rPr>
        <w:t xml:space="preserve">lectronic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rPr>
        <w:t xml:space="preserve">nformation, </w:t>
      </w:r>
      <w:r>
        <w:rPr>
          <w:rFonts w:hint="eastAsia" w:ascii="Times New Roman" w:hAnsi="Times New Roman" w:cs="Times New Roman"/>
          <w:sz w:val="24"/>
          <w:szCs w:val="24"/>
          <w:lang w:val="en-US" w:eastAsia="zh-CN"/>
        </w:rPr>
        <w:t>H</w:t>
      </w:r>
      <w:r>
        <w:rPr>
          <w:rFonts w:hint="default" w:ascii="Times New Roman" w:hAnsi="Times New Roman" w:cs="Times New Roman"/>
          <w:sz w:val="24"/>
          <w:szCs w:val="24"/>
        </w:rPr>
        <w:t xml:space="preserve">ealth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rPr>
        <w:t>are, etc.) developed rapidly</w:t>
      </w:r>
      <w:r>
        <w:rPr>
          <w:rFonts w:hint="eastAsia" w:ascii="Times New Roman" w:hAnsi="Times New Roman" w:cs="Times New Roman"/>
          <w:sz w:val="24"/>
          <w:szCs w:val="24"/>
          <w:lang w:val="en-US" w:eastAsia="zh-CN"/>
        </w:rPr>
        <w:t>. T</w:t>
      </w:r>
      <w:r>
        <w:rPr>
          <w:rFonts w:hint="default" w:ascii="Times New Roman" w:hAnsi="Times New Roman" w:cs="Times New Roman"/>
          <w:sz w:val="24"/>
          <w:szCs w:val="24"/>
        </w:rPr>
        <w:t>he employment market urgently needed compound talents (professional skills + comprehensive abilities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traditional vocational education system faced transformation.</w:t>
      </w:r>
    </w:p>
    <w:p w14:paraId="141E00A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Carl D. Perkins Career and Technical Education Act (2006) first proposed the concept of CTE (Career and Technical Education), which is "a systematic education model that can provide students with diversified learning paths from secondary school to higher education by integrating academic knowledge, technical skills and vocational practice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 that they can be qualified for high-demand industry positions or continue their studies(Carl D. Perkins Act,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2006</w:t>
      </w:r>
      <w:r>
        <w:rPr>
          <w:rFonts w:hint="eastAsia" w:ascii="Times New Roman" w:hAnsi="Times New Roman" w:cs="Times New Roman"/>
          <w:sz w:val="24"/>
          <w:szCs w:val="24"/>
          <w:lang w:val="en-US" w:eastAsia="zh-CN"/>
        </w:rPr>
        <w:t>, P. 3</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Its core concepts include: Career Pathways and College and Career Readiness and Earn and Learn. Strengthening Career and Technical Education for the 21st Century Act (Perkins V,</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2018) further promotes the connection between CTE and the job market, focusing on fairness and innovation.</w:t>
      </w:r>
    </w:p>
    <w:p w14:paraId="4D29AF77">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reason why this article chooses CTE as the research topic is that the introduction of CTE has fundamentally changed the training goal of vocational education in the United States: from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 xml:space="preserve">raining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killed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rPr>
        <w:t>ractitioners" to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rPr>
        <w:t xml:space="preserve">ultivating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rPr>
        <w:t xml:space="preserve">ompound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ocial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alents" (Perkins V,</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2018, 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3). It breaks the rigid concept of "</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rPr>
        <w:t xml:space="preserve">niversity is the only </w:t>
      </w:r>
      <w:r>
        <w:rPr>
          <w:rFonts w:hint="eastAsia" w:ascii="Times New Roman" w:hAnsi="Times New Roman" w:cs="Times New Roman"/>
          <w:sz w:val="24"/>
          <w:szCs w:val="24"/>
          <w:lang w:val="en-US" w:eastAsia="zh-CN"/>
        </w:rPr>
        <w:t>o</w:t>
      </w:r>
      <w:r>
        <w:rPr>
          <w:rFonts w:hint="default" w:ascii="Times New Roman" w:hAnsi="Times New Roman" w:cs="Times New Roman"/>
          <w:sz w:val="24"/>
          <w:szCs w:val="24"/>
        </w:rPr>
        <w:t>ption"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Kidwai, 2011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and provides diversified employment channels for low-income families and minority students (Zirkle, 2011; Manley, 2011; John, 2013). The fairness clause in Perkins V (2018) requires that the salary level of vocational school students in high-income industries</w:t>
      </w:r>
      <w:r>
        <w:rPr>
          <w:rFonts w:hint="eastAsia" w:ascii="Times New Roman" w:hAnsi="Times New Roman" w:cs="Times New Roman"/>
          <w:sz w:val="24"/>
          <w:szCs w:val="24"/>
          <w:lang w:val="en-US" w:eastAsia="zh-CN"/>
        </w:rPr>
        <w:t xml:space="preserve"> should </w:t>
      </w:r>
      <w:r>
        <w:rPr>
          <w:rFonts w:hint="default" w:ascii="Times New Roman" w:hAnsi="Times New Roman" w:cs="Times New Roman"/>
          <w:sz w:val="24"/>
          <w:szCs w:val="24"/>
        </w:rPr>
        <w:t>be increased (not less than $1,500 per month). At the same time, CTE effectively connects middle schools, community colleges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enterprises through Career Pathways, stud</w:t>
      </w:r>
      <w:r>
        <w:rPr>
          <w:rFonts w:hint="eastAsia" w:ascii="Times New Roman" w:hAnsi="Times New Roman" w:cs="Times New Roman"/>
          <w:sz w:val="24"/>
          <w:szCs w:val="24"/>
          <w:lang w:val="en-US" w:eastAsia="zh-CN"/>
        </w:rPr>
        <w:t>ying</w:t>
      </w:r>
      <w:r>
        <w:rPr>
          <w:rFonts w:hint="default" w:ascii="Times New Roman" w:hAnsi="Times New Roman" w:cs="Times New Roman"/>
          <w:sz w:val="24"/>
          <w:szCs w:val="24"/>
        </w:rPr>
        <w:t xml:space="preserve"> how its workers can update their skills and learn in continuous work</w:t>
      </w:r>
      <w:r>
        <w:rPr>
          <w:rFonts w:hint="eastAsia" w:ascii="Times New Roman" w:hAnsi="Times New Roman" w:cs="Times New Roman"/>
          <w:sz w:val="24"/>
          <w:szCs w:val="24"/>
          <w:lang w:val="en-US" w:eastAsia="zh-CN"/>
        </w:rPr>
        <w:t>. Apart from these, CTE</w:t>
      </w:r>
      <w:r>
        <w:rPr>
          <w:rFonts w:hint="default" w:ascii="Times New Roman" w:hAnsi="Times New Roman" w:cs="Times New Roman"/>
          <w:sz w:val="24"/>
          <w:szCs w:val="24"/>
        </w:rPr>
        <w:t xml:space="preserve"> provides feasible suggestions for some communities with serious aging (Zamzam et al, 2024; Lambeth et al, 2018). In addition, CTE draws on the vocational education development plans of other countries</w:t>
      </w:r>
      <w:r>
        <w:rPr>
          <w:rFonts w:hint="eastAsia" w:ascii="Times New Roman" w:hAnsi="Times New Roman" w:cs="Times New Roman"/>
          <w:sz w:val="24"/>
          <w:szCs w:val="24"/>
          <w:lang w:val="en-US" w:eastAsia="zh-CN"/>
        </w:rPr>
        <w:t>(e.g. T</w:t>
      </w:r>
      <w:r>
        <w:rPr>
          <w:rFonts w:hint="default" w:ascii="Times New Roman" w:hAnsi="Times New Roman" w:cs="Times New Roman"/>
          <w:sz w:val="24"/>
          <w:szCs w:val="24"/>
        </w:rPr>
        <w:t xml:space="preserve">he German </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rPr>
        <w:t xml:space="preserve">ual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ystem and Singapore's "Skills for the Future"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study</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how to balance the connection between localization and internationalization (Kidwai, 2011; Cannon et al., 2024; Porreca, 2019) and cultivate skilled talents with an international perspective.</w:t>
      </w:r>
    </w:p>
    <w:p w14:paraId="167BC72F">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Since the proposal of CTE, various states in the United States have shown diverse responses due to differences in local economy, education system, market demand, etc. Supportive states </w:t>
      </w:r>
      <w:r>
        <w:rPr>
          <w:rFonts w:hint="eastAsia" w:ascii="Times New Roman" w:hAnsi="Times New Roman" w:cs="Times New Roman"/>
          <w:sz w:val="24"/>
          <w:szCs w:val="24"/>
          <w:lang w:val="en-US" w:eastAsia="zh-CN"/>
        </w:rPr>
        <w:t>particularly</w:t>
      </w:r>
      <w:r>
        <w:rPr>
          <w:rFonts w:hint="default" w:ascii="Times New Roman" w:hAnsi="Times New Roman" w:cs="Times New Roman"/>
          <w:sz w:val="24"/>
          <w:szCs w:val="24"/>
        </w:rPr>
        <w:t xml:space="preserve"> California have independently established CTE courses according to the industrial needs of each state, forming a "</w:t>
      </w:r>
      <w:r>
        <w:rPr>
          <w:rFonts w:hint="eastAsia" w:ascii="Times New Roman" w:hAnsi="Times New Roman" w:cs="Times New Roman"/>
          <w:sz w:val="24"/>
          <w:szCs w:val="24"/>
          <w:lang w:val="en-US" w:eastAsia="zh-CN"/>
        </w:rPr>
        <w:t>V</w:t>
      </w:r>
      <w:r>
        <w:rPr>
          <w:rFonts w:hint="default" w:ascii="Times New Roman" w:hAnsi="Times New Roman" w:cs="Times New Roman"/>
          <w:sz w:val="24"/>
          <w:szCs w:val="24"/>
        </w:rPr>
        <w:t xml:space="preserve">ocational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rPr>
        <w:t xml:space="preserve">luster </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rPr>
        <w:t>egionalization" model (Karandjeff and Schiorring, 2011, P. 11-12); but agricultural states led by Alabama have developed slowly due to resource constraints.</w:t>
      </w:r>
    </w:p>
    <w:p w14:paraId="6A455860">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lang w:val="en-US" w:eastAsia="zh-CN"/>
        </w:rPr>
      </w:pPr>
    </w:p>
    <w:p w14:paraId="143A4920">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Research Questions</w:t>
      </w:r>
    </w:p>
    <w:p w14:paraId="190C7C10">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article sets research questions around the two aspects of Vocational Education System and Job market connection.</w:t>
      </w:r>
    </w:p>
    <w:p w14:paraId="43703B0F">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How does CTE education change the traditional vocational education system in the United States? What are the differences between the two?</w:t>
      </w:r>
    </w:p>
    <w:p w14:paraId="0FA3FF7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How does CTE education alleviate the shortage of skilled talents and promote school-enterprise cooperation?</w:t>
      </w:r>
    </w:p>
    <w:p w14:paraId="585468A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on these issues also provides guidance on policy formulation and teaching strategies for state education departments and relevant teachers who teach CTE courses.</w:t>
      </w:r>
    </w:p>
    <w:p w14:paraId="5FB6773B">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b/>
          <w:bCs/>
          <w:sz w:val="24"/>
          <w:szCs w:val="24"/>
          <w:lang w:val="en-US" w:eastAsia="zh-CN"/>
        </w:rPr>
      </w:pPr>
    </w:p>
    <w:p w14:paraId="6B59721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Research Methodology</w:t>
      </w:r>
    </w:p>
    <w:p w14:paraId="16941201">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b w:val="0"/>
          <w:bCs w:val="0"/>
          <w:sz w:val="24"/>
          <w:szCs w:val="24"/>
          <w:lang w:val="en-US" w:eastAsia="zh-CN"/>
        </w:rPr>
      </w:pPr>
      <w:r>
        <w:rPr>
          <w:rFonts w:hint="eastAsia" w:ascii="Times New Roman" w:hAnsi="Times New Roman" w:cs="Times New Roman"/>
          <w:b/>
          <w:bCs/>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b w:val="0"/>
          <w:bCs w:val="0"/>
          <w:sz w:val="24"/>
          <w:szCs w:val="24"/>
        </w:rPr>
        <w:t>Clarify research questions and understand the CTE theoretical system and the current situation of vocational education in the United States</w:t>
      </w:r>
    </w:p>
    <w:p w14:paraId="6A3EC840">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main question of this study is how CTE promotes the transformation of the American vocational education system from single skill learning to job market connection. First</w:t>
      </w:r>
      <w:r>
        <w:rPr>
          <w:rFonts w:hint="eastAsia" w:ascii="Times New Roman" w:hAnsi="Times New Roman" w:cs="Times New Roman"/>
          <w:sz w:val="24"/>
          <w:szCs w:val="24"/>
          <w:lang w:val="en-US" w:eastAsia="zh-CN"/>
        </w:rPr>
        <w:t>ly</w:t>
      </w:r>
      <w:r>
        <w:rPr>
          <w:rFonts w:hint="default" w:ascii="Times New Roman" w:hAnsi="Times New Roman" w:cs="Times New Roman"/>
          <w:sz w:val="24"/>
          <w:szCs w:val="24"/>
        </w:rPr>
        <w:t>, by consulting federal laws and related documents, we understand the legal background and implementation status of CTE</w:t>
      </w:r>
      <w:r>
        <w:rPr>
          <w:rFonts w:hint="eastAsia" w:ascii="Times New Roman" w:hAnsi="Times New Roman" w:cs="Times New Roman"/>
          <w:sz w:val="24"/>
          <w:szCs w:val="24"/>
          <w:lang w:val="en-US" w:eastAsia="zh-CN"/>
        </w:rPr>
        <w:t xml:space="preserve">. Secondly, we should </w:t>
      </w:r>
      <w:r>
        <w:rPr>
          <w:rFonts w:hint="default" w:ascii="Times New Roman" w:hAnsi="Times New Roman" w:cs="Times New Roman"/>
          <w:sz w:val="24"/>
          <w:szCs w:val="24"/>
        </w:rPr>
        <w:t>clarify the core concepts and implementation objects of CTE</w:t>
      </w:r>
      <w:r>
        <w:rPr>
          <w:rFonts w:hint="eastAsia" w:ascii="Times New Roman" w:hAnsi="Times New Roman" w:cs="Times New Roman"/>
          <w:sz w:val="24"/>
          <w:szCs w:val="24"/>
          <w:lang w:val="en-US" w:eastAsia="zh-CN"/>
        </w:rPr>
        <w:t xml:space="preserve"> and</w:t>
      </w:r>
      <w:r>
        <w:rPr>
          <w:rFonts w:hint="default" w:ascii="Times New Roman" w:hAnsi="Times New Roman" w:cs="Times New Roman"/>
          <w:sz w:val="24"/>
          <w:szCs w:val="24"/>
        </w:rPr>
        <w:t xml:space="preserve"> understand the current status of vocational education in the United States, accurately understand</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the social problems that CTE needs to solve.</w:t>
      </w:r>
    </w:p>
    <w:p w14:paraId="7A18E194">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b w:val="0"/>
          <w:bCs w:val="0"/>
          <w:sz w:val="24"/>
          <w:szCs w:val="24"/>
          <w:lang w:val="en-US" w:eastAsia="zh-CN"/>
        </w:rPr>
      </w:pPr>
      <w:r>
        <w:rPr>
          <w:rFonts w:hint="eastAsia" w:ascii="Times New Roman" w:hAnsi="Times New Roman" w:cs="Times New Roman"/>
          <w:b/>
          <w:bCs/>
          <w:sz w:val="24"/>
          <w:szCs w:val="24"/>
          <w:lang w:val="en-US" w:eastAsia="zh-CN"/>
        </w:rPr>
        <w:t>·</w:t>
      </w:r>
      <w:r>
        <w:rPr>
          <w:rFonts w:hint="default" w:ascii="Times New Roman" w:hAnsi="Times New Roman" w:cs="Times New Roman"/>
          <w:b w:val="0"/>
          <w:bCs w:val="0"/>
          <w:sz w:val="24"/>
          <w:szCs w:val="24"/>
        </w:rPr>
        <w:t xml:space="preserve"> Literature selection and optimization</w:t>
      </w:r>
    </w:p>
    <w:p w14:paraId="6556C637">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Because CTE was proposed in 2006 and optimized in 2018, the literature selection is mostly concentrated on books and journal articles after 2006. After 2018, CTE courses pay more attention to docking with the labor market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setting of CTE courses in various states and specific practices have become the focus of literature selection. According to the above time range, search for keywords (</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 xml:space="preserve">CTE 2013-2024, CTE and Market, Vocational Education in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rPr>
        <w:t xml:space="preserve">United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tates, etc.) on academic websites </w:t>
      </w:r>
      <w:r>
        <w:rPr>
          <w:rFonts w:hint="eastAsia" w:ascii="Times New Roman" w:hAnsi="Times New Roman" w:cs="Times New Roman"/>
          <w:sz w:val="24"/>
          <w:szCs w:val="24"/>
          <w:lang w:val="en-US" w:eastAsia="zh-CN"/>
        </w:rPr>
        <w:t>particularly</w:t>
      </w:r>
      <w:r>
        <w:rPr>
          <w:rFonts w:hint="default" w:ascii="Times New Roman" w:hAnsi="Times New Roman" w:cs="Times New Roman"/>
          <w:sz w:val="24"/>
          <w:szCs w:val="24"/>
        </w:rPr>
        <w:t xml:space="preserve"> Google Scholar, UWTSD Library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SpringerLink</w:t>
      </w:r>
      <w:r>
        <w:rPr>
          <w:rFonts w:hint="eastAsia" w:ascii="Times New Roman" w:hAnsi="Times New Roman" w:cs="Times New Roman"/>
          <w:sz w:val="24"/>
          <w:szCs w:val="24"/>
          <w:lang w:val="en-US" w:eastAsia="zh-CN"/>
        </w:rPr>
        <w:t>. We should</w:t>
      </w:r>
      <w:r>
        <w:rPr>
          <w:rFonts w:hint="default" w:ascii="Times New Roman" w:hAnsi="Times New Roman" w:cs="Times New Roman"/>
          <w:sz w:val="24"/>
          <w:szCs w:val="24"/>
        </w:rPr>
        <w:t xml:space="preserve"> selectively read literature based on public data sources and methodological designs, especially core journals of vocational education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Journal of Vocational Education &amp; Training</w:t>
      </w:r>
      <w:r>
        <w:rPr>
          <w:rFonts w:hint="eastAsia" w:ascii="Times New Roman" w:hAnsi="Times New Roman" w:cs="Times New Roman"/>
          <w:sz w:val="24"/>
          <w:szCs w:val="24"/>
          <w:lang w:val="en-US" w:eastAsia="zh-CN"/>
        </w:rPr>
        <w:t xml:space="preserve"> \ </w:t>
      </w:r>
      <w:r>
        <w:rPr>
          <w:rFonts w:hint="default" w:ascii="Times New Roman" w:hAnsi="Times New Roman" w:cs="Times New Roman"/>
          <w:sz w:val="24"/>
          <w:szCs w:val="24"/>
        </w:rPr>
        <w:t>Vocation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Technology &amp; Education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etc.).</w:t>
      </w:r>
    </w:p>
    <w:p w14:paraId="59B27BE3">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Determine the methodology and theoretical framework</w:t>
      </w:r>
    </w:p>
    <w:p w14:paraId="170D5A1E">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research adopts the literature review method and case analysis method. By analyzing the journal articles of relevant CTE research and taking California and Alabama as examples, the transformation of the American vocational education system from</w:t>
      </w:r>
      <w:r>
        <w:rPr>
          <w:rFonts w:hint="eastAsia" w:ascii="Times New Roman" w:hAnsi="Times New Roman" w:cs="Times New Roman"/>
          <w:sz w:val="24"/>
          <w:szCs w:val="24"/>
          <w:lang w:val="en-US" w:eastAsia="zh-CN"/>
        </w:rPr>
        <w:t xml:space="preserve"> </w:t>
      </w:r>
      <w:r>
        <w:rPr>
          <w:rFonts w:hint="default" w:ascii="Times New Roman" w:hAnsi="Times New Roman" w:cs="Times New Roman"/>
          <w:b w:val="0"/>
          <w:bCs w:val="0"/>
          <w:sz w:val="24"/>
          <w:szCs w:val="24"/>
        </w:rPr>
        <w:t>"</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kill</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rPr>
        <w:t xml:space="preserve">earning </w:t>
      </w:r>
      <w:r>
        <w:rPr>
          <w:rFonts w:hint="default" w:ascii="Times New Roman" w:hAnsi="Times New Roman" w:cs="Times New Roman"/>
          <w:b w:val="0"/>
          <w:bCs w:val="0"/>
          <w:sz w:val="24"/>
          <w:szCs w:val="24"/>
        </w:rPr>
        <w:t>"</w:t>
      </w:r>
      <w:r>
        <w:rPr>
          <w:rFonts w:hint="default" w:ascii="Times New Roman" w:hAnsi="Times New Roman" w:cs="Times New Roman"/>
          <w:sz w:val="24"/>
          <w:szCs w:val="24"/>
        </w:rPr>
        <w:t>to</w:t>
      </w:r>
      <w:r>
        <w:rPr>
          <w:rFonts w:hint="eastAsia" w:ascii="Times New Roman" w:hAnsi="Times New Roman" w:cs="Times New Roman"/>
          <w:sz w:val="24"/>
          <w:szCs w:val="24"/>
          <w:lang w:val="en-US" w:eastAsia="zh-CN"/>
        </w:rPr>
        <w:t xml:space="preserve"> </w:t>
      </w:r>
      <w:r>
        <w:rPr>
          <w:rFonts w:hint="default" w:ascii="Times New Roman" w:hAnsi="Times New Roman" w:cs="Times New Roman"/>
          <w:b w:val="0"/>
          <w:bCs w:val="0"/>
          <w:sz w:val="24"/>
          <w:szCs w:val="24"/>
        </w:rPr>
        <w:t>"</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mployment </w:t>
      </w:r>
      <w:r>
        <w:rPr>
          <w:rFonts w:hint="eastAsia" w:ascii="Times New Roman" w:hAnsi="Times New Roman" w:cs="Times New Roman"/>
          <w:sz w:val="24"/>
          <w:szCs w:val="24"/>
          <w:lang w:val="en-US" w:eastAsia="zh-CN"/>
        </w:rPr>
        <w:t>M</w:t>
      </w:r>
      <w:r>
        <w:rPr>
          <w:rFonts w:hint="default" w:ascii="Times New Roman" w:hAnsi="Times New Roman" w:cs="Times New Roman"/>
          <w:sz w:val="24"/>
          <w:szCs w:val="24"/>
        </w:rPr>
        <w:t xml:space="preserve">atching </w:t>
      </w:r>
      <w:r>
        <w:rPr>
          <w:rFonts w:hint="default" w:ascii="Times New Roman" w:hAnsi="Times New Roman" w:cs="Times New Roman"/>
          <w:b w:val="0"/>
          <w:bCs w:val="0"/>
          <w:sz w:val="24"/>
          <w:szCs w:val="24"/>
        </w:rPr>
        <w:t>"</w:t>
      </w:r>
      <w:r>
        <w:rPr>
          <w:rFonts w:hint="default" w:ascii="Times New Roman" w:hAnsi="Times New Roman" w:cs="Times New Roman"/>
          <w:sz w:val="24"/>
          <w:szCs w:val="24"/>
        </w:rPr>
        <w:t xml:space="preserve">is revealed. At the same time, modern vocational education theories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rPr>
        <w:t xml:space="preserve">ragmatism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ducation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heory (Dewey</w:t>
      </w:r>
      <w:r>
        <w:rPr>
          <w:rFonts w:hint="eastAsia" w:ascii="Times New Roman" w:hAnsi="Times New Roman" w:cs="Times New Roman"/>
          <w:sz w:val="24"/>
          <w:szCs w:val="24"/>
          <w:lang w:val="en-US" w:eastAsia="zh-CN"/>
        </w:rPr>
        <w:t>, 1908</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Social Cognitive Career Theory (</w:t>
      </w:r>
      <w:r>
        <w:rPr>
          <w:rFonts w:hint="eastAsia" w:ascii="Times New Roman" w:hAnsi="Times New Roman" w:cs="Times New Roman"/>
          <w:sz w:val="24"/>
          <w:szCs w:val="24"/>
          <w:lang w:val="en-US" w:eastAsia="zh-CN"/>
        </w:rPr>
        <w:t>SCCT, Greene and Ephross, 1991)</w:t>
      </w:r>
      <w:r>
        <w:rPr>
          <w:rFonts w:hint="default" w:ascii="Times New Roman" w:hAnsi="Times New Roman" w:cs="Times New Roman"/>
          <w:sz w:val="24"/>
          <w:szCs w:val="24"/>
        </w:rPr>
        <w:t>, Constructivist Learning (</w:t>
      </w:r>
      <w:r>
        <w:rPr>
          <w:rFonts w:hint="eastAsia" w:ascii="Times New Roman" w:hAnsi="Times New Roman" w:cs="Times New Roman"/>
          <w:sz w:val="24"/>
          <w:szCs w:val="24"/>
          <w:lang w:val="en-US" w:eastAsia="zh-CN"/>
        </w:rPr>
        <w:t>Wilson, 1996</w:t>
      </w:r>
      <w:r>
        <w:rPr>
          <w:rFonts w:hint="default" w:ascii="Times New Roman" w:hAnsi="Times New Roman" w:cs="Times New Roman"/>
          <w:sz w:val="24"/>
          <w:szCs w:val="24"/>
        </w:rPr>
        <w:t xml:space="preserve">) and Self-Determination Theory </w:t>
      </w:r>
      <w:r>
        <w:rPr>
          <w:rFonts w:hint="eastAsia" w:ascii="Times New Roman" w:hAnsi="Times New Roman" w:cs="Times New Roman"/>
          <w:sz w:val="24"/>
          <w:szCs w:val="24"/>
          <w:lang w:val="en-US" w:eastAsia="zh-CN"/>
        </w:rPr>
        <w:t>(SDT, Murrell and Harget, 1972</w:t>
      </w:r>
      <w:r>
        <w:rPr>
          <w:rFonts w:hint="default" w:ascii="Times New Roman" w:hAnsi="Times New Roman" w:cs="Times New Roman"/>
          <w:sz w:val="24"/>
          <w:szCs w:val="24"/>
        </w:rPr>
        <w:t>) are used to ensure the balance between theoretical analysis and empirical research.</w:t>
      </w:r>
    </w:p>
    <w:p w14:paraId="54F9370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sz w:val="24"/>
          <w:szCs w:val="24"/>
        </w:rPr>
        <w:t>CTE and employment market demand (case analysis)</w:t>
      </w:r>
    </w:p>
    <w:p w14:paraId="7D35E36E">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According to the different educational structures of each state, the article selects two representative typical case analyses: the IBM P-TECH project in California (a model of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chool-</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nterprise cooperation)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"Rural Broadband and Digital Skills Program" in Alabama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(basic talent construction) for comparative research. By analyzing the theoretical literature and research results of different scholars, we can systematically understand the reshaping and optimization of the American vocational education system by CTE. And make a critical evaluation of its achievements and future development.</w:t>
      </w:r>
    </w:p>
    <w:p w14:paraId="2D93A29E">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Controversy and challenges of the CTE system</w:t>
      </w:r>
    </w:p>
    <w:p w14:paraId="4625F617">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Since CTE was proposed in 2006, it has basically formed a complete vocational education training system after nearly 20 years of development. However, the fair construction, curriculum structure and external environment challenges faced by the CTE system also need to be continuously improved. Read journal articles and dissertations in vocational education, teacher education and other majors, adopt the suggestions in a targeted manner, and effectively respond to the difficulties and challenges of the development of the US CTE system.</w:t>
      </w:r>
    </w:p>
    <w:p w14:paraId="21771961">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w:t>
      </w:r>
      <w:r>
        <w:rPr>
          <w:rFonts w:hint="default" w:ascii="Times New Roman" w:hAnsi="Times New Roman" w:cs="Times New Roman"/>
          <w:sz w:val="24"/>
          <w:szCs w:val="24"/>
        </w:rPr>
        <w:t xml:space="preserve"> Draw conclusions</w:t>
      </w:r>
    </w:p>
    <w:p w14:paraId="016B6A2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 xml:space="preserve">Integrate the research content and answer the two research questions raised. Critically analyze the multi-faceted impact of CTE on the US vocational education system. At the same time, compare it with the vocational education systems of other countries and look at the development of US CTE education from an international perspective. Due to the </w:t>
      </w:r>
      <w:r>
        <w:rPr>
          <w:rFonts w:hint="eastAsia" w:ascii="Times New Roman" w:hAnsi="Times New Roman" w:cs="Times New Roman"/>
          <w:sz w:val="24"/>
          <w:szCs w:val="24"/>
          <w:lang w:val="en-US" w:eastAsia="zh-CN"/>
        </w:rPr>
        <w:t>factors</w:t>
      </w:r>
      <w:r>
        <w:rPr>
          <w:rFonts w:hint="default" w:ascii="Times New Roman" w:hAnsi="Times New Roman" w:cs="Times New Roman"/>
          <w:sz w:val="24"/>
          <w:szCs w:val="24"/>
        </w:rPr>
        <w:t xml:space="preserve"> of length and research time, this study has some limitations. How should it be improved and perfected in the next step</w:t>
      </w:r>
      <w:r>
        <w:rPr>
          <w:rFonts w:hint="eastAsia" w:ascii="Times New Roman" w:hAnsi="Times New Roman" w:cs="Times New Roman"/>
          <w:sz w:val="24"/>
          <w:szCs w:val="24"/>
          <w:lang w:val="en-US" w:eastAsia="zh-CN"/>
        </w:rPr>
        <w:t>.</w:t>
      </w:r>
    </w:p>
    <w:p w14:paraId="5462A458">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p>
    <w:p w14:paraId="7DC0B73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p>
    <w:p w14:paraId="7B298244">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Literature Review</w:t>
      </w:r>
    </w:p>
    <w:p w14:paraId="02F9F81F">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rPr>
      </w:pPr>
      <w:r>
        <w:rPr>
          <w:rFonts w:hint="default" w:ascii="Times New Roman" w:hAnsi="Times New Roman" w:cs="Times New Roman" w:eastAsiaTheme="minorEastAsia"/>
          <w:b w:val="0"/>
          <w:bCs w:val="0"/>
          <w:kern w:val="2"/>
          <w:sz w:val="24"/>
          <w:szCs w:val="24"/>
          <w:lang w:val="en-US" w:eastAsia="zh-CN" w:bidi="ar-SA"/>
        </w:rPr>
        <w:t>1.</w:t>
      </w:r>
      <w:r>
        <w:rPr>
          <w:rFonts w:hint="default" w:ascii="Times New Roman" w:hAnsi="Times New Roman" w:cs="Times New Roman"/>
          <w:b w:val="0"/>
          <w:bCs w:val="0"/>
          <w:sz w:val="24"/>
          <w:szCs w:val="24"/>
        </w:rPr>
        <w:t>Related research on CTE</w:t>
      </w:r>
    </w:p>
    <w:p w14:paraId="4F7F826A">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 xml:space="preserve">1.1 </w:t>
      </w:r>
      <w:r>
        <w:rPr>
          <w:rFonts w:hint="default" w:ascii="Times New Roman" w:hAnsi="Times New Roman" w:cs="Times New Roman"/>
          <w:sz w:val="24"/>
          <w:szCs w:val="24"/>
        </w:rPr>
        <w:t>CTE theory system</w:t>
      </w:r>
    </w:p>
    <w:p w14:paraId="7B1B3EFA">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CTE was first proposed by Carl D. Perkins Career and Technical Education Act (2006) and supplemented by Perkins V (2018). It aims to help students prepare for specific career fields or further studies through a model that combines academic knowledge and skill training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enhanc</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students' employment competitiveness and lifelong learning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ability</w:t>
      </w:r>
      <w:r>
        <w:rPr>
          <w:rFonts w:hint="eastAsia" w:ascii="Times New Roman" w:hAnsi="Times New Roman" w:cs="Times New Roman"/>
          <w:sz w:val="24"/>
          <w:szCs w:val="24"/>
          <w:lang w:val="en-US" w:eastAsia="zh-CN"/>
        </w:rPr>
        <w:t>(Perkins V, 2018)</w:t>
      </w:r>
      <w:r>
        <w:rPr>
          <w:rFonts w:hint="default" w:ascii="Times New Roman" w:hAnsi="Times New Roman" w:cs="Times New Roman"/>
          <w:sz w:val="24"/>
          <w:szCs w:val="24"/>
        </w:rPr>
        <w:t xml:space="preserve">. The CTE theory system includes </w:t>
      </w:r>
      <w:r>
        <w:rPr>
          <w:rFonts w:hint="eastAsia" w:ascii="Times New Roman" w:hAnsi="Times New Roman" w:cs="Times New Roman"/>
          <w:sz w:val="24"/>
          <w:szCs w:val="24"/>
          <w:lang w:val="en-US" w:eastAsia="zh-CN"/>
        </w:rPr>
        <w:t>P</w:t>
      </w:r>
      <w:r>
        <w:rPr>
          <w:rFonts w:hint="default" w:ascii="Times New Roman" w:hAnsi="Times New Roman" w:cs="Times New Roman"/>
          <w:sz w:val="24"/>
          <w:szCs w:val="24"/>
        </w:rPr>
        <w:t xml:space="preserve">ragmatism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 xml:space="preserve">ducation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heory (Dewey</w:t>
      </w:r>
      <w:r>
        <w:rPr>
          <w:rFonts w:hint="eastAsia" w:ascii="Times New Roman" w:hAnsi="Times New Roman" w:cs="Times New Roman"/>
          <w:sz w:val="24"/>
          <w:szCs w:val="24"/>
          <w:lang w:val="en-US" w:eastAsia="zh-CN"/>
        </w:rPr>
        <w:t>, 1908</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Social Cognitive Career Theory (</w:t>
      </w:r>
      <w:r>
        <w:rPr>
          <w:rFonts w:hint="eastAsia" w:ascii="Times New Roman" w:hAnsi="Times New Roman" w:cs="Times New Roman"/>
          <w:sz w:val="24"/>
          <w:szCs w:val="24"/>
          <w:lang w:val="en-US" w:eastAsia="zh-CN"/>
        </w:rPr>
        <w:t>SCCT, Greene and Ephross, 1991)</w:t>
      </w:r>
      <w:r>
        <w:rPr>
          <w:rFonts w:hint="default" w:ascii="Times New Roman" w:hAnsi="Times New Roman" w:cs="Times New Roman"/>
          <w:sz w:val="24"/>
          <w:szCs w:val="24"/>
        </w:rPr>
        <w:t>, Constructivist Learning (</w:t>
      </w:r>
      <w:r>
        <w:rPr>
          <w:rFonts w:hint="eastAsia" w:ascii="Times New Roman" w:hAnsi="Times New Roman" w:cs="Times New Roman"/>
          <w:sz w:val="24"/>
          <w:szCs w:val="24"/>
          <w:lang w:val="en-US" w:eastAsia="zh-CN"/>
        </w:rPr>
        <w:t>Wilson, 1996</w:t>
      </w:r>
      <w:r>
        <w:rPr>
          <w:rFonts w:hint="default" w:ascii="Times New Roman" w:hAnsi="Times New Roman" w:cs="Times New Roman"/>
          <w:sz w:val="24"/>
          <w:szCs w:val="24"/>
        </w:rPr>
        <w:t xml:space="preserve">) and Self-Determination Theory </w:t>
      </w:r>
      <w:r>
        <w:rPr>
          <w:rFonts w:hint="eastAsia" w:ascii="Times New Roman" w:hAnsi="Times New Roman" w:cs="Times New Roman"/>
          <w:sz w:val="24"/>
          <w:szCs w:val="24"/>
          <w:lang w:val="en-US" w:eastAsia="zh-CN"/>
        </w:rPr>
        <w:t>(SDT, Murrell and Harget, 1972</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CTE integrates multidisciplinary theoretical systems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pedagogy, sociology, and psychology to respond to the needs of the employment market through educational practice (Mobley et al., 2017).</w:t>
      </w:r>
    </w:p>
    <w:p w14:paraId="3A9AE09F">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1.2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 dilemma of traditional vocational education in the United States</w:t>
      </w:r>
    </w:p>
    <w:p w14:paraId="34D2B8B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traditional vocational education system in the United States faced multiple structural transformation challenges at the end of the 20th century. The Smith-Hughes National Vocational Education Act (1917) laid the foundation for traditional vocational education. Its core goal was to train factory workers and agricultural laborers, which led to vocational education being regarded as a forced choice for "non-academic students" for a long time (Dortch, 2014). The Vocational Education Amendments (1968) divided students into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 xml:space="preserve">cademic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rack" and "</w:t>
      </w:r>
      <w:r>
        <w:rPr>
          <w:rFonts w:hint="eastAsia" w:ascii="Times New Roman" w:hAnsi="Times New Roman" w:cs="Times New Roman"/>
          <w:sz w:val="24"/>
          <w:szCs w:val="24"/>
          <w:lang w:val="en-US" w:eastAsia="zh-CN"/>
        </w:rPr>
        <w:t>V</w:t>
      </w:r>
      <w:r>
        <w:rPr>
          <w:rFonts w:hint="default" w:ascii="Times New Roman" w:hAnsi="Times New Roman" w:cs="Times New Roman"/>
          <w:sz w:val="24"/>
          <w:szCs w:val="24"/>
        </w:rPr>
        <w:t xml:space="preserve">ocational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rPr>
        <w:t>rack" according to their grades based on standardized tests. Walsh (1974) conducted a systematic analysis of the vocational education curriculum of the Handicapped and conducted on-site evaluations of 92 disabled education programs in 24 eastern states, providing a strong reference for the establishment of vocational education curriculum for disabled people in various states; Barr et al. (1989) made a detailed discussion on the obligations that vocational education administrators should fulfill under the law</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students should be classified according to </w:t>
      </w:r>
      <w:r>
        <w:rPr>
          <w:rFonts w:hint="eastAsia" w:ascii="Times New Roman" w:hAnsi="Times New Roman" w:cs="Times New Roman"/>
          <w:sz w:val="24"/>
          <w:szCs w:val="24"/>
          <w:lang w:val="en-US" w:eastAsia="zh-CN"/>
        </w:rPr>
        <w:t xml:space="preserve">many factors.(e.g. </w:t>
      </w:r>
      <w:r>
        <w:rPr>
          <w:rFonts w:hint="default" w:ascii="Times New Roman" w:hAnsi="Times New Roman" w:cs="Times New Roman"/>
          <w:sz w:val="24"/>
          <w:szCs w:val="24"/>
        </w:rPr>
        <w:t>health status, academic performance, cultural background, etc.</w:t>
      </w:r>
      <w:r>
        <w:rPr>
          <w:rFonts w:hint="eastAsia" w:ascii="Times New Roman" w:hAnsi="Times New Roman" w:cs="Times New Roman"/>
          <w:sz w:val="24"/>
          <w:szCs w:val="24"/>
          <w:lang w:val="en-US" w:eastAsia="zh-CN"/>
        </w:rPr>
        <w:t>) in order to</w:t>
      </w:r>
      <w:r>
        <w:rPr>
          <w:rFonts w:hint="default" w:ascii="Times New Roman" w:hAnsi="Times New Roman" w:cs="Times New Roman"/>
          <w:sz w:val="24"/>
          <w:szCs w:val="24"/>
        </w:rPr>
        <w:t xml:space="preserve"> distinguish between academic high schools and vocational high schools in the United States. However, because American society has long advocated the "College-for-all" culture (Zajacova and Lawrence, 2021), society generally believes that vocational education is a "choice for poor students." Bailey and Berg (2009) conducted a survey on the acceptance of vocational education in 48 states in the United States in 2001. The survey showed that only 11.4% of parents were willing to let their children give priority to vocational education.</w:t>
      </w:r>
    </w:p>
    <w:p w14:paraId="2D6F6CA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More importantly, the traditional vocational education course cycle in the United States is as long as 10-15 years, which cannot adapt to the rapid industrial upgrading. Vocational education teachers are mostly retired industry practitioners, lack of systematic teacher training, resulting in serious aging of the teaching staff (Dougherty, 2023; Chen et al., 2023). According to the National Center for Education Statistics (2020), the average age of vocational teachers in the United States in 2019 was 52-54 years old, much higher than the average age of academic teachers. The long course cycle and aging teaching staff are problems that the U.S. vocational education system urgently needs to reform.</w:t>
      </w:r>
    </w:p>
    <w:p w14:paraId="1B1F1862">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These difficulties of traditional vocational education are essentially a reflection of the structural contradiction between the education model and social needs after the industrial revolution. Entering the 21st century, US states have tried to reform these ills through the "academic + career" integration model. Breiman (2017) suggested introducing dynamic skills to enhance employment competitiveness in his study of the path of young people's transition from secondary education to the workplace; Shah (2017) analyzed in detail the obstacles to setting up CTE courses in US public colleges and universities, pointing out that the available information on course quality and insufficient funds are the main problems in the completion rate of CTE courses. Therefore, the goal of CTE courses is to promote educational equity and improve employment competitiveness.</w:t>
      </w:r>
    </w:p>
    <w:p w14:paraId="06AD7F02">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1.3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Comparison between the traditional vocational education system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w:t>
      </w:r>
    </w:p>
    <w:p w14:paraId="48702976">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There are significant differences between the traditional vocational education system and CTE system in the United States in terms of training objectives, curriculum design, market connection, policy support and funding allocation</w:t>
      </w:r>
      <w:r>
        <w:rPr>
          <w:rFonts w:hint="eastAsia" w:ascii="Times New Roman" w:hAnsi="Times New Roman" w:cs="Times New Roman"/>
          <w:sz w:val="24"/>
          <w:szCs w:val="24"/>
          <w:lang w:val="en-US" w:eastAsia="zh-CN"/>
        </w:rPr>
        <w:t>. A</w:t>
      </w:r>
      <w:r>
        <w:rPr>
          <w:rFonts w:hint="default" w:ascii="Times New Roman" w:hAnsi="Times New Roman" w:cs="Times New Roman"/>
          <w:sz w:val="24"/>
          <w:szCs w:val="24"/>
        </w:rPr>
        <w:t>s shown in the table</w:t>
      </w:r>
      <w:r>
        <w:rPr>
          <w:rFonts w:hint="eastAsia" w:ascii="Times New Roman" w:hAnsi="Times New Roman" w:cs="Times New Roman"/>
          <w:sz w:val="24"/>
          <w:szCs w:val="24"/>
          <w:lang w:val="en-US" w:eastAsia="zh-CN"/>
        </w:rPr>
        <w:t xml:space="preserve"> 1</w:t>
      </w:r>
      <w:r>
        <w:rPr>
          <w:rFonts w:hint="default" w:ascii="Times New Roman" w:hAnsi="Times New Roman" w:cs="Times New Roman"/>
          <w:sz w:val="24"/>
          <w:szCs w:val="24"/>
        </w:rPr>
        <w:t xml:space="preserve"> below.</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92"/>
        <w:gridCol w:w="4455"/>
        <w:gridCol w:w="3395"/>
      </w:tblGrid>
      <w:tr w14:paraId="0010C5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8" w:hRule="atLeast"/>
        </w:trPr>
        <w:tc>
          <w:tcPr>
            <w:tcW w:w="1392" w:type="dxa"/>
          </w:tcPr>
          <w:p w14:paraId="6777B8E1">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Dimensions</w:t>
            </w:r>
          </w:p>
        </w:tc>
        <w:tc>
          <w:tcPr>
            <w:tcW w:w="4455" w:type="dxa"/>
          </w:tcPr>
          <w:p w14:paraId="437893F8">
            <w:pPr>
              <w:keepNext w:val="0"/>
              <w:keepLines w:val="0"/>
              <w:pageBreakBefore w:val="0"/>
              <w:widowControl w:val="0"/>
              <w:kinsoku/>
              <w:wordWrap/>
              <w:overflowPunct/>
              <w:topLinePunct w:val="0"/>
              <w:autoSpaceDE/>
              <w:autoSpaceDN/>
              <w:bidi w:val="0"/>
              <w:adjustRightInd/>
              <w:snapToGrid/>
              <w:spacing w:line="240" w:lineRule="auto"/>
              <w:ind w:firstLine="400" w:firstLineChars="200"/>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Traditional</w:t>
            </w:r>
            <w:r>
              <w:rPr>
                <w:rFonts w:hint="eastAsia" w:ascii="Times New Roman" w:hAnsi="Times New Roman" w:cs="Times New Roman"/>
                <w:sz w:val="20"/>
                <w:szCs w:val="20"/>
                <w:shd w:val="clear" w:color="auto" w:fill="auto"/>
                <w:vertAlign w:val="baseline"/>
                <w:lang w:val="en-US" w:eastAsia="zh-CN"/>
              </w:rPr>
              <w:t xml:space="preserve"> </w:t>
            </w:r>
            <w:r>
              <w:rPr>
                <w:rFonts w:hint="eastAsia" w:ascii="Times New Roman" w:hAnsi="Times New Roman" w:cs="Times New Roman" w:eastAsiaTheme="minorEastAsia"/>
                <w:sz w:val="20"/>
                <w:szCs w:val="20"/>
                <w:shd w:val="clear" w:color="auto" w:fill="auto"/>
                <w:vertAlign w:val="baseline"/>
                <w:lang w:val="en-US" w:eastAsia="zh-CN"/>
              </w:rPr>
              <w:t>vocational education system</w:t>
            </w:r>
          </w:p>
        </w:tc>
        <w:tc>
          <w:tcPr>
            <w:tcW w:w="3395" w:type="dxa"/>
          </w:tcPr>
          <w:p w14:paraId="750429FA">
            <w:pPr>
              <w:keepNext w:val="0"/>
              <w:keepLines w:val="0"/>
              <w:pageBreakBefore w:val="0"/>
              <w:widowControl w:val="0"/>
              <w:kinsoku/>
              <w:wordWrap/>
              <w:overflowPunct/>
              <w:topLinePunct w:val="0"/>
              <w:autoSpaceDE/>
              <w:autoSpaceDN/>
              <w:bidi w:val="0"/>
              <w:adjustRightInd/>
              <w:snapToGrid/>
              <w:spacing w:line="240" w:lineRule="auto"/>
              <w:ind w:firstLine="1000" w:firstLineChars="500"/>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CTE system</w:t>
            </w:r>
          </w:p>
        </w:tc>
      </w:tr>
      <w:tr w14:paraId="33EED8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07311067">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Training Objectives</w:t>
            </w:r>
          </w:p>
        </w:tc>
        <w:tc>
          <w:tcPr>
            <w:tcW w:w="4455" w:type="dxa"/>
          </w:tcPr>
          <w:p w14:paraId="0147518C">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pacing w:val="-6"/>
                <w:sz w:val="20"/>
                <w:szCs w:val="20"/>
                <w:shd w:val="clear" w:color="auto" w:fill="auto"/>
                <w:vertAlign w:val="baseline"/>
                <w:lang w:val="en-US" w:eastAsia="zh-CN"/>
              </w:rPr>
              <w:t>To cultivate artisans or blue-collar workers in specific positions(e.g. carpenters, bakers etc.)</w:t>
            </w:r>
          </w:p>
        </w:tc>
        <w:tc>
          <w:tcPr>
            <w:tcW w:w="3395" w:type="dxa"/>
          </w:tcPr>
          <w:p w14:paraId="2F4CC8EB">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pacing w:val="0"/>
                <w:sz w:val="20"/>
                <w:szCs w:val="20"/>
                <w:shd w:val="clear" w:color="auto" w:fill="auto"/>
                <w:vertAlign w:val="baseline"/>
                <w:lang w:val="en-US" w:eastAsia="zh-CN"/>
              </w:rPr>
              <w:t xml:space="preserve">To cultivate compound talents with </w:t>
            </w:r>
            <w:r>
              <w:rPr>
                <w:rFonts w:hint="default" w:ascii="Times New Roman" w:hAnsi="Times New Roman" w:cs="Times New Roman" w:eastAsiaTheme="minorEastAsia"/>
                <w:spacing w:val="0"/>
                <w:sz w:val="20"/>
                <w:szCs w:val="20"/>
                <w:shd w:val="clear" w:color="auto" w:fill="auto"/>
              </w:rPr>
              <w:t>"</w:t>
            </w:r>
            <w:r>
              <w:rPr>
                <w:rFonts w:hint="eastAsia" w:ascii="Times New Roman" w:hAnsi="Times New Roman" w:cs="Times New Roman" w:eastAsiaTheme="minorEastAsia"/>
                <w:spacing w:val="0"/>
                <w:sz w:val="20"/>
                <w:szCs w:val="20"/>
                <w:shd w:val="clear" w:color="auto" w:fill="auto"/>
                <w:lang w:val="en-US" w:eastAsia="zh-CN"/>
              </w:rPr>
              <w:t>Academic + Skills</w:t>
            </w:r>
            <w:r>
              <w:rPr>
                <w:rFonts w:hint="default" w:ascii="Times New Roman" w:hAnsi="Times New Roman" w:cs="Times New Roman" w:eastAsiaTheme="minorEastAsia"/>
                <w:spacing w:val="0"/>
                <w:sz w:val="20"/>
                <w:szCs w:val="20"/>
                <w:shd w:val="clear" w:color="auto" w:fill="auto"/>
              </w:rPr>
              <w:t>"</w:t>
            </w:r>
            <w:r>
              <w:rPr>
                <w:rFonts w:hint="eastAsia" w:ascii="Times New Roman" w:hAnsi="Times New Roman" w:cs="Times New Roman" w:eastAsiaTheme="minorEastAsia"/>
                <w:spacing w:val="0"/>
                <w:sz w:val="20"/>
                <w:szCs w:val="20"/>
                <w:shd w:val="clear" w:color="auto" w:fill="auto"/>
                <w:lang w:val="en-US" w:eastAsia="zh-CN"/>
              </w:rPr>
              <w:t xml:space="preserve"> who can adapt social changes</w:t>
            </w:r>
          </w:p>
        </w:tc>
      </w:tr>
      <w:tr w14:paraId="01C9B8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737830EE">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rPr>
            </w:pPr>
            <w:r>
              <w:rPr>
                <w:rFonts w:hint="eastAsia" w:ascii="Times New Roman" w:hAnsi="Times New Roman" w:cs="Times New Roman" w:eastAsiaTheme="minorEastAsia"/>
                <w:sz w:val="20"/>
                <w:szCs w:val="20"/>
                <w:shd w:val="clear" w:color="auto" w:fill="auto"/>
                <w:vertAlign w:val="baseline"/>
                <w:lang w:val="en-US" w:eastAsia="zh-CN"/>
              </w:rPr>
              <w:t>Course Design</w:t>
            </w:r>
          </w:p>
        </w:tc>
        <w:tc>
          <w:tcPr>
            <w:tcW w:w="4455" w:type="dxa"/>
          </w:tcPr>
          <w:p w14:paraId="5CB7187A">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rPr>
            </w:pPr>
            <w:r>
              <w:rPr>
                <w:rFonts w:hint="eastAsia" w:ascii="Times New Roman" w:hAnsi="Times New Roman" w:cs="Times New Roman" w:eastAsiaTheme="minorEastAsia"/>
                <w:sz w:val="20"/>
                <w:szCs w:val="20"/>
                <w:shd w:val="clear" w:color="auto" w:fill="auto"/>
                <w:vertAlign w:val="baseline"/>
                <w:lang w:val="en-US" w:eastAsia="zh-CN"/>
              </w:rPr>
              <w:t>Long cycle, out of touch with market demand</w:t>
            </w:r>
          </w:p>
        </w:tc>
        <w:tc>
          <w:tcPr>
            <w:tcW w:w="3395" w:type="dxa"/>
          </w:tcPr>
          <w:p w14:paraId="75C4C028">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rPr>
            </w:pPr>
            <w:r>
              <w:rPr>
                <w:rFonts w:hint="eastAsia" w:ascii="Times New Roman" w:hAnsi="Times New Roman" w:cs="Times New Roman" w:eastAsiaTheme="minorEastAsia"/>
                <w:sz w:val="20"/>
                <w:szCs w:val="20"/>
                <w:shd w:val="clear" w:color="auto" w:fill="auto"/>
                <w:vertAlign w:val="baseline"/>
                <w:lang w:val="en-US" w:eastAsia="zh-CN"/>
              </w:rPr>
              <w:t>Deep integration of knowledge learned with job market</w:t>
            </w:r>
          </w:p>
        </w:tc>
      </w:tr>
      <w:tr w14:paraId="15CF74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6F75451D">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5F2E67B1">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3DC0B9FD">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28FDF924">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Market Connection</w:t>
            </w:r>
          </w:p>
        </w:tc>
        <w:tc>
          <w:tcPr>
            <w:tcW w:w="4455" w:type="dxa"/>
          </w:tcPr>
          <w:p w14:paraId="1BF36D91">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1672EB8B">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01282402">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High short-term employment rate but slow salary growth, poor staff mobility, easy to be replaced by AI</w:t>
            </w:r>
          </w:p>
        </w:tc>
        <w:tc>
          <w:tcPr>
            <w:tcW w:w="3395" w:type="dxa"/>
          </w:tcPr>
          <w:p w14:paraId="26947C8C">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High employment rate of STEAM positions, fast salary growth, breaking class solidification(Latinos and minorities enter high-tech fields), skill system upgrade(robot maintenance replaces manpower)</w:t>
            </w:r>
          </w:p>
        </w:tc>
      </w:tr>
      <w:tr w14:paraId="24994B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2E1C373A">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Policy Support</w:t>
            </w:r>
          </w:p>
        </w:tc>
        <w:tc>
          <w:tcPr>
            <w:tcW w:w="4455" w:type="dxa"/>
          </w:tcPr>
          <w:p w14:paraId="5EB8941C">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 xml:space="preserve">Smith-Hughes Act(1917) focuses on training blue-collar workers, </w:t>
            </w:r>
            <w:r>
              <w:rPr>
                <w:rFonts w:hint="eastAsia" w:ascii="Times New Roman" w:hAnsi="Times New Roman" w:cs="Times New Roman"/>
                <w:sz w:val="20"/>
                <w:szCs w:val="20"/>
                <w:shd w:val="clear" w:color="auto" w:fill="auto"/>
                <w:vertAlign w:val="baseline"/>
                <w:lang w:val="en-US" w:eastAsia="zh-CN"/>
              </w:rPr>
              <w:t xml:space="preserve">low </w:t>
            </w:r>
            <w:r>
              <w:rPr>
                <w:rFonts w:hint="eastAsia" w:ascii="Times New Roman" w:hAnsi="Times New Roman" w:cs="Times New Roman" w:eastAsiaTheme="minorEastAsia"/>
                <w:sz w:val="20"/>
                <w:szCs w:val="20"/>
                <w:shd w:val="clear" w:color="auto" w:fill="auto"/>
                <w:vertAlign w:val="baseline"/>
                <w:lang w:val="en-US" w:eastAsia="zh-CN"/>
              </w:rPr>
              <w:t xml:space="preserve">corporate acceptance </w:t>
            </w:r>
          </w:p>
        </w:tc>
        <w:tc>
          <w:tcPr>
            <w:tcW w:w="3395" w:type="dxa"/>
          </w:tcPr>
          <w:p w14:paraId="1F828BE8">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 xml:space="preserve">Perkins V(2018)focuses on training compound talents, </w:t>
            </w:r>
            <w:r>
              <w:rPr>
                <w:rFonts w:hint="eastAsia" w:ascii="Times New Roman" w:hAnsi="Times New Roman" w:cs="Times New Roman"/>
                <w:sz w:val="20"/>
                <w:szCs w:val="20"/>
                <w:shd w:val="clear" w:color="auto" w:fill="auto"/>
                <w:vertAlign w:val="baseline"/>
                <w:lang w:val="en-US" w:eastAsia="zh-CN"/>
              </w:rPr>
              <w:t xml:space="preserve">high </w:t>
            </w:r>
            <w:r>
              <w:rPr>
                <w:rFonts w:hint="eastAsia" w:ascii="Times New Roman" w:hAnsi="Times New Roman" w:cs="Times New Roman" w:eastAsiaTheme="minorEastAsia"/>
                <w:sz w:val="20"/>
                <w:szCs w:val="20"/>
                <w:shd w:val="clear" w:color="auto" w:fill="auto"/>
                <w:vertAlign w:val="baseline"/>
                <w:lang w:val="en-US" w:eastAsia="zh-CN"/>
              </w:rPr>
              <w:t>corporate participation</w:t>
            </w:r>
          </w:p>
        </w:tc>
      </w:tr>
      <w:tr w14:paraId="4351F2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2" w:type="dxa"/>
          </w:tcPr>
          <w:p w14:paraId="3D1D0B5B">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066063F5">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Fund Allocation</w:t>
            </w:r>
          </w:p>
        </w:tc>
        <w:tc>
          <w:tcPr>
            <w:tcW w:w="4455" w:type="dxa"/>
          </w:tcPr>
          <w:p w14:paraId="0C17879E">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eastAsia" w:ascii="Times New Roman" w:hAnsi="Times New Roman" w:cs="Times New Roman" w:eastAsiaTheme="minorEastAsia"/>
                <w:sz w:val="20"/>
                <w:szCs w:val="20"/>
                <w:shd w:val="clear" w:color="auto" w:fill="auto"/>
                <w:vertAlign w:val="baseline"/>
                <w:lang w:val="en-US" w:eastAsia="zh-CN"/>
              </w:rPr>
            </w:pPr>
          </w:p>
          <w:p w14:paraId="646A4430">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z w:val="20"/>
                <w:szCs w:val="20"/>
                <w:shd w:val="clear" w:color="auto" w:fill="auto"/>
                <w:vertAlign w:val="baseline"/>
                <w:lang w:val="en-US" w:eastAsia="zh-CN"/>
              </w:rPr>
              <w:t xml:space="preserve">Evenly distributed according to the number of schools, lack of KPI incentive system </w:t>
            </w:r>
          </w:p>
        </w:tc>
        <w:tc>
          <w:tcPr>
            <w:tcW w:w="3395" w:type="dxa"/>
          </w:tcPr>
          <w:p w14:paraId="612FB168">
            <w:pPr>
              <w:keepNext w:val="0"/>
              <w:keepLines w:val="0"/>
              <w:pageBreakBefore w:val="0"/>
              <w:widowControl w:val="0"/>
              <w:kinsoku/>
              <w:wordWrap/>
              <w:overflowPunct/>
              <w:topLinePunct w:val="0"/>
              <w:autoSpaceDE/>
              <w:autoSpaceDN/>
              <w:bidi w:val="0"/>
              <w:adjustRightInd/>
              <w:snapToGrid/>
              <w:spacing w:line="240" w:lineRule="auto"/>
              <w:jc w:val="left"/>
              <w:textAlignment w:val="auto"/>
              <w:rPr>
                <w:rFonts w:hint="default" w:ascii="Times New Roman" w:hAnsi="Times New Roman" w:cs="Times New Roman" w:eastAsiaTheme="minorEastAsia"/>
                <w:sz w:val="20"/>
                <w:szCs w:val="20"/>
                <w:shd w:val="clear" w:color="auto" w:fill="auto"/>
                <w:vertAlign w:val="baseline"/>
                <w:lang w:val="en-US" w:eastAsia="zh-CN"/>
              </w:rPr>
            </w:pPr>
            <w:r>
              <w:rPr>
                <w:rFonts w:hint="eastAsia" w:ascii="Times New Roman" w:hAnsi="Times New Roman" w:cs="Times New Roman" w:eastAsiaTheme="minorEastAsia"/>
                <w:spacing w:val="0"/>
                <w:sz w:val="20"/>
                <w:szCs w:val="20"/>
                <w:shd w:val="clear" w:color="auto" w:fill="auto"/>
                <w:vertAlign w:val="baseline"/>
                <w:lang w:val="en-US" w:eastAsia="zh-CN"/>
              </w:rPr>
              <w:t xml:space="preserve">Implement </w:t>
            </w:r>
            <w:r>
              <w:rPr>
                <w:rFonts w:hint="default" w:ascii="Times New Roman" w:hAnsi="Times New Roman" w:cs="Times New Roman" w:eastAsiaTheme="minorEastAsia"/>
                <w:spacing w:val="0"/>
                <w:sz w:val="20"/>
                <w:szCs w:val="20"/>
                <w:shd w:val="clear" w:color="auto" w:fill="auto"/>
              </w:rPr>
              <w:t>"</w:t>
            </w:r>
            <w:r>
              <w:rPr>
                <w:rFonts w:hint="eastAsia" w:ascii="Times New Roman" w:hAnsi="Times New Roman" w:cs="Times New Roman" w:eastAsiaTheme="minorEastAsia"/>
                <w:spacing w:val="0"/>
                <w:sz w:val="20"/>
                <w:szCs w:val="20"/>
                <w:shd w:val="clear" w:color="auto" w:fill="auto"/>
                <w:lang w:val="en-US" w:eastAsia="zh-CN"/>
              </w:rPr>
              <w:t>Apprenticeship System</w:t>
            </w:r>
            <w:r>
              <w:rPr>
                <w:rFonts w:hint="default" w:ascii="Times New Roman" w:hAnsi="Times New Roman" w:cs="Times New Roman" w:eastAsiaTheme="minorEastAsia"/>
                <w:spacing w:val="0"/>
                <w:sz w:val="20"/>
                <w:szCs w:val="20"/>
                <w:shd w:val="clear" w:color="auto" w:fill="auto"/>
              </w:rPr>
              <w:t>"</w:t>
            </w:r>
            <w:r>
              <w:rPr>
                <w:rFonts w:hint="eastAsia" w:ascii="Times New Roman" w:hAnsi="Times New Roman" w:cs="Times New Roman" w:eastAsiaTheme="minorEastAsia"/>
                <w:spacing w:val="0"/>
                <w:sz w:val="20"/>
                <w:szCs w:val="20"/>
                <w:shd w:val="clear" w:color="auto" w:fill="auto"/>
                <w:lang w:val="en-US" w:eastAsia="zh-CN"/>
              </w:rPr>
              <w:t>, companies independently choose salary structure and provide internships</w:t>
            </w:r>
          </w:p>
        </w:tc>
      </w:tr>
    </w:tbl>
    <w:p w14:paraId="077D4C0C">
      <w:pPr>
        <w:keepNext w:val="0"/>
        <w:keepLines w:val="0"/>
        <w:pageBreakBefore w:val="0"/>
        <w:widowControl w:val="0"/>
        <w:kinsoku/>
        <w:wordWrap/>
        <w:overflowPunct/>
        <w:topLinePunct w:val="0"/>
        <w:autoSpaceDE/>
        <w:autoSpaceDN/>
        <w:bidi w:val="0"/>
        <w:adjustRightInd/>
        <w:snapToGrid/>
        <w:spacing w:line="480" w:lineRule="auto"/>
        <w:ind w:firstLine="840" w:firstLineChars="400"/>
        <w:jc w:val="both"/>
        <w:textAlignment w:val="auto"/>
        <w:rPr>
          <w:rFonts w:hint="default" w:ascii="Times New Roman" w:hAnsi="Times New Roman" w:cs="Times New Roman" w:eastAsiaTheme="minorEastAsia"/>
          <w:sz w:val="21"/>
          <w:szCs w:val="21"/>
          <w:lang w:val="en-US" w:eastAsia="zh-CN"/>
        </w:rPr>
      </w:pPr>
      <w:r>
        <w:rPr>
          <w:rFonts w:hint="eastAsia" w:ascii="Times New Roman" w:hAnsi="Times New Roman" w:cs="Times New Roman"/>
          <w:sz w:val="21"/>
          <w:szCs w:val="21"/>
          <w:lang w:val="en-US" w:eastAsia="zh-CN"/>
        </w:rPr>
        <w:t>Table 1: Comparison between the t</w:t>
      </w:r>
      <w:r>
        <w:rPr>
          <w:rFonts w:hint="eastAsia" w:ascii="Times New Roman" w:hAnsi="Times New Roman" w:cs="Times New Roman" w:eastAsiaTheme="minorEastAsia"/>
          <w:sz w:val="21"/>
          <w:szCs w:val="21"/>
          <w:shd w:val="clear" w:color="auto" w:fill="auto"/>
          <w:vertAlign w:val="baseline"/>
          <w:lang w:val="en-US" w:eastAsia="zh-CN"/>
        </w:rPr>
        <w:t>raditional</w:t>
      </w:r>
      <w:r>
        <w:rPr>
          <w:rFonts w:hint="eastAsia" w:ascii="Times New Roman" w:hAnsi="Times New Roman" w:cs="Times New Roman"/>
          <w:sz w:val="21"/>
          <w:szCs w:val="21"/>
          <w:shd w:val="clear" w:color="auto" w:fill="auto"/>
          <w:vertAlign w:val="baseline"/>
          <w:lang w:val="en-US" w:eastAsia="zh-CN"/>
        </w:rPr>
        <w:t xml:space="preserve"> </w:t>
      </w:r>
      <w:r>
        <w:rPr>
          <w:rFonts w:hint="eastAsia" w:ascii="Times New Roman" w:hAnsi="Times New Roman" w:cs="Times New Roman" w:eastAsiaTheme="minorEastAsia"/>
          <w:sz w:val="21"/>
          <w:szCs w:val="21"/>
          <w:shd w:val="clear" w:color="auto" w:fill="auto"/>
          <w:vertAlign w:val="baseline"/>
          <w:lang w:val="en-US" w:eastAsia="zh-CN"/>
        </w:rPr>
        <w:t>vocational education system</w:t>
      </w:r>
      <w:r>
        <w:rPr>
          <w:rFonts w:hint="eastAsia" w:ascii="Times New Roman" w:hAnsi="Times New Roman" w:cs="Times New Roman"/>
          <w:sz w:val="21"/>
          <w:szCs w:val="21"/>
          <w:shd w:val="clear" w:color="auto" w:fill="auto"/>
          <w:vertAlign w:val="baseline"/>
          <w:lang w:val="en-US" w:eastAsia="zh-CN"/>
        </w:rPr>
        <w:t xml:space="preserve"> and CTE system</w:t>
      </w:r>
    </w:p>
    <w:p w14:paraId="58C6A7E0">
      <w:pPr>
        <w:keepNext w:val="0"/>
        <w:keepLines w:val="0"/>
        <w:pageBreakBefore w:val="0"/>
        <w:widowControl w:val="0"/>
        <w:kinsoku/>
        <w:wordWrap/>
        <w:overflowPunct/>
        <w:topLinePunct w:val="0"/>
        <w:autoSpaceDE/>
        <w:autoSpaceDN/>
        <w:bidi w:val="0"/>
        <w:adjustRightInd/>
        <w:snapToGrid/>
        <w:spacing w:line="480" w:lineRule="auto"/>
        <w:ind w:firstLine="480" w:firstLineChars="20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From the comparison in the above table</w:t>
      </w:r>
      <w:r>
        <w:rPr>
          <w:rFonts w:hint="eastAsia" w:ascii="Times New Roman" w:hAnsi="Times New Roman" w:cs="Times New Roman"/>
          <w:sz w:val="24"/>
          <w:szCs w:val="24"/>
          <w:lang w:val="en-US" w:eastAsia="zh-CN"/>
        </w:rPr>
        <w:t xml:space="preserve"> 1</w:t>
      </w:r>
      <w:r>
        <w:rPr>
          <w:rFonts w:hint="default" w:ascii="Times New Roman" w:hAnsi="Times New Roman" w:cs="Times New Roman"/>
          <w:sz w:val="24"/>
          <w:szCs w:val="24"/>
        </w:rPr>
        <w:t xml:space="preserve">, we can see that the CTE system has reshaped the American vocational education system through policy changes, curriculum integration,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chool-</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rPr>
        <w:t>nterprise cooperation, etc.</w:t>
      </w:r>
      <w:r>
        <w:rPr>
          <w:rFonts w:hint="eastAsia" w:ascii="Times New Roman" w:hAnsi="Times New Roman" w:cs="Times New Roman"/>
          <w:sz w:val="24"/>
          <w:szCs w:val="24"/>
          <w:lang w:val="en-US" w:eastAsia="zh-CN"/>
        </w:rPr>
        <w:t xml:space="preserve"> It</w:t>
      </w:r>
      <w:r>
        <w:rPr>
          <w:rFonts w:hint="default" w:ascii="Times New Roman" w:hAnsi="Times New Roman" w:cs="Times New Roman"/>
          <w:sz w:val="24"/>
          <w:szCs w:val="24"/>
        </w:rPr>
        <w:t xml:space="preserve"> has continuously adapted to market demand through </w:t>
      </w:r>
      <w:r>
        <w:rPr>
          <w:rFonts w:hint="eastAsia" w:ascii="Times New Roman" w:hAnsi="Times New Roman" w:cs="Times New Roman"/>
          <w:sz w:val="24"/>
          <w:szCs w:val="24"/>
          <w:lang w:val="en-US" w:eastAsia="zh-CN"/>
        </w:rPr>
        <w:t>long-term</w:t>
      </w:r>
      <w:r>
        <w:rPr>
          <w:rFonts w:hint="default" w:ascii="Times New Roman" w:hAnsi="Times New Roman" w:cs="Times New Roman"/>
          <w:sz w:val="24"/>
          <w:szCs w:val="24"/>
        </w:rPr>
        <w:t xml:space="preserve"> capital investment and dynamic management mechanisms. In their study on "whether CTE reduces, replicates or exacerbates socioeconomic inequality", Imperatore and Hyslop (2017, P4) found that CTE implementation in regions with a higher degree of modernization is better, which greatly improves the employment success rate of vocational school students; however, CTE implementation in rural areas is more difficult due to poor hardware facilities. At the same time, Miller (2023) believes that Safety is still an important part of the CTE system. Through interviews with 718 STEAM and CTE teachers in 42 states in the United States, it can be seen that the education department should take measures to effectively ensure the safe implementation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w:t>
      </w:r>
    </w:p>
    <w:p w14:paraId="6D1A79D8">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From "out of touch with society" to "integration of academics and skills"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Breiman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2017), the American vocational education system continues to adapt to changes in the job market and optimize. However, Plasman et al. (2017) pointed out that the US CTE system still faces problems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unbalanced regional resource allocation and insufficient teacher training. The federal government and state governments need to continue to pay attention to the development of CTE and provide strong guarantees for the smooth implementation of CTE courses.</w:t>
      </w:r>
    </w:p>
    <w:p w14:paraId="47917CD4">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2. CTE and employment market demand</w:t>
      </w:r>
    </w:p>
    <w:p w14:paraId="6E5C81FF">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There are relatively many special literatures on empirical research on CTE and employment status, including teaching feedback from front-line teachers and master's and doctoral theses in majors such as vocational education. Most of these papers analyze the implementation of CTE in a certain state or school. Shulock et al. (2012) fully affirmed the positive role of the CTE system in the organizational structure and funding allocation of vocational schools while analyzing the contribution of community colleges to the training of California's workforce and economic development; Kamin (2023) analyzed the implementation of CTE in 20 immigrant communities in New York State, explor</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the differences in CTE access among students of different racial backgrounds</w:t>
      </w:r>
      <w:r>
        <w:rPr>
          <w:rFonts w:hint="eastAsia" w:ascii="Times New Roman" w:hAnsi="Times New Roman" w:cs="Times New Roman"/>
          <w:sz w:val="24"/>
          <w:szCs w:val="24"/>
          <w:lang w:val="en-US" w:eastAsia="zh-CN"/>
        </w:rPr>
        <w:t>. It</w:t>
      </w:r>
      <w:r>
        <w:rPr>
          <w:rFonts w:hint="default" w:ascii="Times New Roman" w:hAnsi="Times New Roman" w:cs="Times New Roman"/>
          <w:sz w:val="24"/>
          <w:szCs w:val="24"/>
        </w:rPr>
        <w:t xml:space="preserve"> pointed out that communities with a higher proportion of black and Latino students have the highest CTE access; Yoon and Strobel (2017) explored the changes in enrollment data for STE</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rPr>
        <w:t>M courses in vocational and technical education in Texas from 2008 to 2013,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found</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that the implementation of CTE has greatly increased students' interest in ST</w:t>
      </w:r>
      <w:r>
        <w:rPr>
          <w:rFonts w:hint="eastAsia" w:ascii="Times New Roman" w:hAnsi="Times New Roman" w:cs="Times New Roman"/>
          <w:sz w:val="24"/>
          <w:szCs w:val="24"/>
          <w:lang w:val="en-US" w:eastAsia="zh-CN"/>
        </w:rPr>
        <w:t>EA</w:t>
      </w:r>
      <w:r>
        <w:rPr>
          <w:rFonts w:hint="default" w:ascii="Times New Roman" w:hAnsi="Times New Roman" w:cs="Times New Roman"/>
          <w:sz w:val="24"/>
          <w:szCs w:val="24"/>
        </w:rPr>
        <w:t>M courses</w:t>
      </w:r>
      <w:r>
        <w:rPr>
          <w:rFonts w:hint="eastAsia" w:ascii="Times New Roman" w:hAnsi="Times New Roman" w:cs="Times New Roman"/>
          <w:sz w:val="24"/>
          <w:szCs w:val="24"/>
          <w:lang w:val="en-US" w:eastAsia="zh-CN"/>
        </w:rPr>
        <w:t>. M</w:t>
      </w:r>
      <w:r>
        <w:rPr>
          <w:rFonts w:hint="default" w:ascii="Times New Roman" w:hAnsi="Times New Roman" w:cs="Times New Roman"/>
          <w:sz w:val="24"/>
          <w:szCs w:val="24"/>
        </w:rPr>
        <w:t>ore than 74% of students believe that CTE is helpful to their studies. These studies provide us with a detailed reference for a systematic understanding of the current status of CTE implementation in various states in the United States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and </w:t>
      </w:r>
      <w:r>
        <w:rPr>
          <w:rFonts w:hint="eastAsia" w:ascii="Times New Roman" w:hAnsi="Times New Roman" w:cs="Times New Roman"/>
          <w:sz w:val="24"/>
          <w:szCs w:val="24"/>
          <w:lang w:val="en-US" w:eastAsia="zh-CN"/>
        </w:rPr>
        <w:t xml:space="preserve">they </w:t>
      </w:r>
      <w:r>
        <w:rPr>
          <w:rFonts w:hint="default" w:ascii="Times New Roman" w:hAnsi="Times New Roman" w:cs="Times New Roman"/>
          <w:sz w:val="24"/>
          <w:szCs w:val="24"/>
        </w:rPr>
        <w:t>also provide some practical experience for teachers who will engage in CTE teaching in the future.</w:t>
      </w:r>
    </w:p>
    <w:p w14:paraId="5DDB4A8A">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2.1 CTE creates a new model of school-enterprise cooperation</w:t>
      </w:r>
    </w:p>
    <w:p w14:paraId="4B68497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California, as the most economically developed region in the western United States, has a relatively complete vocational education system. Due to the high proportion of Latino students in California, the fairness of vocational education has received much attention from the government. Lopez (2024) discussed the application of CTE system in public school districts in Southern California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pointed out that CTE system provides solid academic literacy and potential employment opportunities for vocational school students from ordinary families. Among them, the IBM P-TECH (Pathways in Technology Early College High School) project in California is regarded as a model of school-enterprise cooperation under CTE system.</w:t>
      </w:r>
    </w:p>
    <w:p w14:paraId="0EDC95C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P-TECH was jointly founded by IBM, the New York City Department of Education and the City Institute of Technology in New York in 2011. It aims to provide an integrated path of "high school-vocational-university" for low-income groups and minority students. The first pilot of the project was selected in the San Francisco Unified School District (SFUSD) in California. The goal is to solve the skill gap in vocational schools and promote educational equity through school-enterprise cooperation (IBM, 2013). Students in the IBM P-TECH program complete high school in four years starting from grade 9</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obtain an Associate Degree through a two-year community college course(IBM, 2013). At the same time, they accumulate industry skills</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IBM certificates and data analysis certificates</w:t>
      </w:r>
      <w:r>
        <w:rPr>
          <w:rFonts w:hint="eastAsia" w:ascii="Times New Roman" w:hAnsi="Times New Roman" w:cs="Times New Roman"/>
          <w:sz w:val="24"/>
          <w:szCs w:val="24"/>
          <w:lang w:val="en-US" w:eastAsia="zh-CN"/>
        </w:rPr>
        <w:t xml:space="preserve"> etc.)</w:t>
      </w:r>
      <w:r>
        <w:rPr>
          <w:rFonts w:hint="default" w:ascii="Times New Roman" w:hAnsi="Times New Roman" w:cs="Times New Roman"/>
          <w:sz w:val="24"/>
          <w:szCs w:val="24"/>
        </w:rPr>
        <w:t xml:space="preserve"> to achieve the same academic certification as a university bachelor's degree. Mustain (2018) conducted 60 in-depth interviews and participatory observations with corporate cooperation leaders, front-line teachers and students in three P-TECH model schools in California, analyzing CTE's guidance on the educational goals, teaching strategies and employment directions of the P-TECH model</w:t>
      </w:r>
      <w:r>
        <w:rPr>
          <w:rFonts w:hint="eastAsia" w:ascii="Times New Roman" w:hAnsi="Times New Roman" w:cs="Times New Roman"/>
          <w:sz w:val="24"/>
          <w:szCs w:val="24"/>
          <w:lang w:val="en-US" w:eastAsia="zh-CN"/>
        </w:rPr>
        <w:t xml:space="preserve">. He also </w:t>
      </w:r>
      <w:r>
        <w:rPr>
          <w:rFonts w:hint="default" w:ascii="Times New Roman" w:hAnsi="Times New Roman" w:cs="Times New Roman"/>
          <w:sz w:val="24"/>
          <w:szCs w:val="24"/>
        </w:rPr>
        <w:t>explain</w:t>
      </w:r>
      <w:r>
        <w:rPr>
          <w:rFonts w:hint="eastAsia" w:ascii="Times New Roman" w:hAnsi="Times New Roman" w:cs="Times New Roman"/>
          <w:sz w:val="24"/>
          <w:szCs w:val="24"/>
          <w:lang w:val="en-US" w:eastAsia="zh-CN"/>
        </w:rPr>
        <w:t xml:space="preserve">ed </w:t>
      </w:r>
      <w:r>
        <w:rPr>
          <w:rFonts w:hint="default" w:ascii="Times New Roman" w:hAnsi="Times New Roman" w:cs="Times New Roman"/>
          <w:sz w:val="24"/>
          <w:szCs w:val="24"/>
        </w:rPr>
        <w:t>the negative impact of CTE system on students' personalized training.</w:t>
      </w:r>
    </w:p>
    <w:p w14:paraId="2723A551">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IBM P-TECH program provides more employment opportunities for students in California vocational schools. SRI International (2017) conducted a survey on the employment rate of graduates from the California P-TECH program. About 60% of students obtained an associate degree within 6 years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some students transferred to CSU (California State University) through school-enterprise cooperation agreements, far exceeding the state average (42%); Laforest et al. (2019) conducted a systematic investigation of the IBM P-TECH program of the California Career Institute and found that students majoring in welding and auto repair had the highest support for this program, because the program implements the "apprenticeship" training method in the CTE system</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tudents can</w:t>
      </w:r>
      <w:r>
        <w:rPr>
          <w:rFonts w:hint="eastAsia" w:ascii="Times New Roman" w:hAnsi="Times New Roman" w:cs="Times New Roman"/>
          <w:sz w:val="24"/>
          <w:szCs w:val="24"/>
          <w:lang w:val="en-US" w:eastAsia="zh-CN"/>
        </w:rPr>
        <w:t xml:space="preserve"> also</w:t>
      </w:r>
      <w:r>
        <w:rPr>
          <w:rFonts w:hint="default" w:ascii="Times New Roman" w:hAnsi="Times New Roman" w:cs="Times New Roman"/>
          <w:sz w:val="24"/>
          <w:szCs w:val="24"/>
        </w:rPr>
        <w:t xml:space="preserve"> get in touch with their teachers at any time to enhance their professional skills.</w:t>
      </w:r>
    </w:p>
    <w:p w14:paraId="7E9A1F5A">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IBM P-TECH program has achieved the "educational equity" and "gender balance" advocated by the CTE system. Barnett (2015) revealed that the enrollment target of the IBM P-TECH program tends to be Asian and African female immigrants from low-income families, effectively guaranteeing the right of women from immigrant families to receive education; Biddix et al. (2023) pointed out that the project aims to cultivate "academic + skills" talents in the CTE system, and IBM and its partner companies provide them with professional skills and employment options guidance to broaden the employment channels for vocational school students. Goracinova (2019) further supplemented Barnett et al. (2015). </w:t>
      </w:r>
      <w:r>
        <w:rPr>
          <w:rFonts w:hint="eastAsia" w:ascii="Times New Roman" w:hAnsi="Times New Roman" w:cs="Times New Roman"/>
          <w:sz w:val="24"/>
          <w:szCs w:val="24"/>
          <w:lang w:val="en-US" w:eastAsia="zh-CN"/>
        </w:rPr>
        <w:t>Her</w:t>
      </w:r>
      <w:r>
        <w:rPr>
          <w:rFonts w:hint="default" w:ascii="Times New Roman" w:hAnsi="Times New Roman" w:cs="Times New Roman"/>
          <w:sz w:val="24"/>
          <w:szCs w:val="24"/>
        </w:rPr>
        <w:t xml:space="preserve"> study took the "Girls Who Code" club in the San Diego P-TECH project as the research object, analyzing the significance of establishing a women's technology club and the support of the IBM Innovation Fund for female students. At the same time, female skill mentors were added, so that the proportion of female teaching teachers increased from 13% in 2015 to 35% in 2018.</w:t>
      </w:r>
    </w:p>
    <w:p w14:paraId="1A1D89C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As an innovative model of vocational education in the United States, the IBM P-TECH project has achieved remarkable results in promoting educational equity and eliminating gender differences, but </w:t>
      </w:r>
      <w:r>
        <w:rPr>
          <w:rFonts w:hint="eastAsia" w:ascii="Times New Roman" w:hAnsi="Times New Roman" w:cs="Times New Roman"/>
          <w:sz w:val="24"/>
          <w:szCs w:val="24"/>
          <w:lang w:val="en-US" w:eastAsia="zh-CN"/>
        </w:rPr>
        <w:t xml:space="preserve">several </w:t>
      </w:r>
      <w:r>
        <w:rPr>
          <w:rFonts w:hint="default" w:ascii="Times New Roman" w:hAnsi="Times New Roman" w:cs="Times New Roman"/>
          <w:sz w:val="24"/>
          <w:szCs w:val="24"/>
        </w:rPr>
        <w:t>problems</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uneven resource allocation, inadequate protection of student rights and interests,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ambiguous corporate roles during implementation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cannot be ignored. Kazis (2016) pointed out that the initial transition of the project relied on IBM and its corporate funding support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schools lacked the awareness of independent training; EdTrust–West (2022) pointed out that the P-TECH project resources were unevenly distributed</w:t>
      </w:r>
      <w:r>
        <w:rPr>
          <w:rFonts w:hint="eastAsia" w:ascii="Times New Roman" w:hAnsi="Times New Roman" w:cs="Times New Roman"/>
          <w:sz w:val="24"/>
          <w:szCs w:val="24"/>
          <w:lang w:val="en-US" w:eastAsia="zh-CN"/>
        </w:rPr>
        <w:t>. W</w:t>
      </w:r>
      <w:r>
        <w:rPr>
          <w:rFonts w:hint="default" w:ascii="Times New Roman" w:hAnsi="Times New Roman" w:cs="Times New Roman"/>
          <w:sz w:val="24"/>
          <w:szCs w:val="24"/>
        </w:rPr>
        <w:t>ealthy school districts could obtain advanced technology through corporate cooperation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but the gap between low-income school districts widened due to lack of corporate attention. </w:t>
      </w:r>
      <w:r>
        <w:rPr>
          <w:rFonts w:hint="eastAsia" w:ascii="Times New Roman" w:hAnsi="Times New Roman" w:cs="Times New Roman"/>
          <w:sz w:val="24"/>
          <w:szCs w:val="24"/>
          <w:lang w:val="en-US" w:eastAsia="zh-CN"/>
        </w:rPr>
        <w:t>In addition</w:t>
      </w:r>
      <w:r>
        <w:rPr>
          <w:rFonts w:hint="default" w:ascii="Times New Roman" w:hAnsi="Times New Roman" w:cs="Times New Roman"/>
          <w:sz w:val="24"/>
          <w:szCs w:val="24"/>
        </w:rPr>
        <w:t>, the curriculum transition relied on IBM's evaluation criteria (Kazis, 2016)</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and students may be limited in thinking and unable to adapt to the changing workplace needs. Therefore, Kiv et al. (2019) suggested that the federal government and state governments </w:t>
      </w:r>
      <w:r>
        <w:rPr>
          <w:rFonts w:hint="eastAsia" w:ascii="Times New Roman" w:hAnsi="Times New Roman" w:cs="Times New Roman"/>
          <w:sz w:val="24"/>
          <w:szCs w:val="24"/>
          <w:lang w:val="en-US" w:eastAsia="zh-CN"/>
        </w:rPr>
        <w:t xml:space="preserve">should </w:t>
      </w:r>
      <w:r>
        <w:rPr>
          <w:rFonts w:hint="default" w:ascii="Times New Roman" w:hAnsi="Times New Roman" w:cs="Times New Roman"/>
          <w:sz w:val="24"/>
          <w:szCs w:val="24"/>
        </w:rPr>
        <w:t xml:space="preserve">establish an independent supervision mechanism to limit excessive corporate intervention in CTE courses. </w:t>
      </w:r>
      <w:r>
        <w:rPr>
          <w:rFonts w:hint="eastAsia" w:ascii="Times New Roman" w:hAnsi="Times New Roman" w:cs="Times New Roman"/>
          <w:sz w:val="24"/>
          <w:szCs w:val="24"/>
          <w:lang w:val="en-US" w:eastAsia="zh-CN"/>
        </w:rPr>
        <w:t>Apart from this</w:t>
      </w:r>
      <w:r>
        <w:rPr>
          <w:rFonts w:hint="default" w:ascii="Times New Roman" w:hAnsi="Times New Roman" w:cs="Times New Roman"/>
          <w:sz w:val="24"/>
          <w:szCs w:val="24"/>
        </w:rPr>
        <w:t xml:space="preserve">, </w:t>
      </w:r>
      <w:r>
        <w:rPr>
          <w:rFonts w:hint="eastAsia" w:ascii="Times New Roman" w:hAnsi="Times New Roman" w:cs="Times New Roman"/>
          <w:sz w:val="24"/>
          <w:szCs w:val="24"/>
          <w:lang w:val="en-US" w:eastAsia="zh-CN"/>
        </w:rPr>
        <w:t xml:space="preserve">governments are bound to </w:t>
      </w:r>
      <w:r>
        <w:rPr>
          <w:rFonts w:hint="default" w:ascii="Times New Roman" w:hAnsi="Times New Roman" w:cs="Times New Roman"/>
          <w:sz w:val="24"/>
          <w:szCs w:val="24"/>
        </w:rPr>
        <w:t>add a career conversion course module to reduce reliance on single skill courses.</w:t>
      </w:r>
    </w:p>
    <w:p w14:paraId="3EABDDEB">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2.2 CTE helps rural basic talent construction</w:t>
      </w:r>
    </w:p>
    <w:p w14:paraId="362128AC">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Unlike the economically developed California, Alabama is located in a mountainous area, </w:t>
      </w:r>
      <w:r>
        <w:rPr>
          <w:rFonts w:hint="eastAsia" w:ascii="Times New Roman" w:hAnsi="Times New Roman" w:cs="Times New Roman"/>
          <w:sz w:val="24"/>
          <w:szCs w:val="24"/>
          <w:lang w:val="en-US" w:eastAsia="zh-CN"/>
        </w:rPr>
        <w:t>where</w:t>
      </w:r>
      <w:r>
        <w:rPr>
          <w:rFonts w:hint="default" w:ascii="Times New Roman" w:hAnsi="Times New Roman" w:cs="Times New Roman"/>
          <w:sz w:val="24"/>
          <w:szCs w:val="24"/>
        </w:rPr>
        <w:t xml:space="preserve"> vocational education has long</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faced problems such as funding shortages and insufficient teaching staff, resulting in a single and stereotyped vocational education system in Alabama (Norris et al., 2023). Since the promulgation of Perkins V (2018), the state government has formulated the "Rural Broadband and Digital Skills Program" (Connect Alabama Act, 2021) based on its own industrial development priorities, aiming to improve the digital skills of rural residents and expand employment opportunities. The program is centered 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theoretical system, making full use of special federal government grants and supporting facilities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cooperating with large telecommunications companies</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C Spire</w:t>
      </w:r>
      <w:r>
        <w:rPr>
          <w:rFonts w:hint="eastAsia" w:ascii="Times New Roman" w:hAnsi="Times New Roman" w:cs="Times New Roman"/>
          <w:sz w:val="24"/>
          <w:szCs w:val="24"/>
          <w:lang w:val="en-US" w:eastAsia="zh-CN"/>
        </w:rPr>
        <w:t xml:space="preserve">, T-Mobile US etc.) </w:t>
      </w:r>
      <w:r>
        <w:rPr>
          <w:rFonts w:hint="default" w:ascii="Times New Roman" w:hAnsi="Times New Roman" w:cs="Times New Roman"/>
          <w:sz w:val="24"/>
          <w:szCs w:val="24"/>
        </w:rPr>
        <w:t>to establish a "Digital Talent Training Class"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Connect Alabama Act, 2021</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 to effectively alleviate the shortage of digital talents in rural areas of Alabama.</w:t>
      </w:r>
    </w:p>
    <w:p w14:paraId="67A852D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course setting of this class revolves around SCCT (Social Cognitive Career Theory) and SDT (Self-Determination Theory)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is divided into basic courses (basic computer operation, Internet security, etc.), advanced courses (business office software, e-commerce, etc.) and industry-customized courses (agricultural digitization, medical and health management, etc.)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 that students can fully access multidisciplinary knowledge and broaden their employment channels. Malik et al. (2023) pointed out that three vocational schools in Alabama have opened C language and digital literacy courses, which greatly improved students' professional and technical capabilities; Okonkwo and Ibijola (2021) suggested that the "digital skills certificate" be included in the vocational education credit system to assist enterprises in recruitment. At the same time, an "online network Q&amp;A class" was established to invite professional and technical personnel to provide remote guidance to community residents.</w:t>
      </w:r>
    </w:p>
    <w:p w14:paraId="6C2DB768">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Compared with the IBM P-TECH project in California, Alabama's "Rural Broadband and Digital Skills Program" focuses on cultivating practical talents for rural areas and narrowing the gap between urban and rural development. The former trains skilled talents for emerging industries</w:t>
      </w:r>
      <w:r>
        <w:rPr>
          <w:rFonts w:hint="eastAsia" w:ascii="Times New Roman" w:hAnsi="Times New Roman" w:cs="Times New Roman"/>
          <w:sz w:val="24"/>
          <w:szCs w:val="24"/>
          <w:lang w:val="en-US" w:eastAsia="zh-CN"/>
        </w:rPr>
        <w:t xml:space="preserve">(e.g. </w:t>
      </w:r>
      <w:r>
        <w:rPr>
          <w:rFonts w:hint="default" w:ascii="Times New Roman" w:hAnsi="Times New Roman" w:cs="Times New Roman"/>
          <w:sz w:val="24"/>
          <w:szCs w:val="24"/>
        </w:rPr>
        <w:t>science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technology and medicine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while the latter applies the CTE system to the construction of rural basic talents. Although the two have different training objectives and beneficiary groups, they are both centered 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rPr>
        <w:t>pay attention to the right to education of low-income groups and ethnic minorities, implement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a school-enterprise cooperation model</w:t>
      </w:r>
      <w:r>
        <w:rPr>
          <w:rFonts w:hint="eastAsia" w:ascii="Times New Roman" w:hAnsi="Times New Roman" w:cs="Times New Roman"/>
          <w:sz w:val="24"/>
          <w:szCs w:val="24"/>
          <w:lang w:val="en-US" w:eastAsia="zh-CN"/>
        </w:rPr>
        <w:t xml:space="preserve">. More importantly, Both of them </w:t>
      </w:r>
      <w:r>
        <w:rPr>
          <w:rFonts w:hint="default" w:ascii="Times New Roman" w:hAnsi="Times New Roman" w:cs="Times New Roman"/>
          <w:sz w:val="24"/>
          <w:szCs w:val="24"/>
        </w:rPr>
        <w:t>integrate resources from the government, schools, enterprises and communities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improve the construction of vocational education systems in various states.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Mendiola (2025) pointed out that the vocational education systems of various states in the United States will be differentiated according to their own conditions. They must not only cultivate professional skilled talents, but also lay a solid foundation for economic development.</w:t>
      </w:r>
    </w:p>
    <w:p w14:paraId="1381B6DC">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Controversy and challenges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w:t>
      </w:r>
    </w:p>
    <w:p w14:paraId="48665CC6">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CTE has an important impact on the policy framework, educational goals and curriculum setting of the traditional vocational education system in the United States, promoting its transformation from "Skills Learning" to "Employment Matching". However, it also faces some controversies and challenges in the development process.</w:t>
      </w:r>
    </w:p>
    <w:p w14:paraId="462A1AC8">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3.1</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Equity Construction</w:t>
      </w:r>
    </w:p>
    <w:p w14:paraId="78FE8A00">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At the beginning of its establishment,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often faced many problems such as separation of learning and use, racial and gender discrimination (Kim et al., 2021; Alosco et al., 2020), resulting in the inability of CTE system students to receive equal education. Policy lags and insufficient funds also seriously affect the implementation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Many experts and scholars have expressed their views on this issue and launched heated discussions.</w:t>
      </w:r>
    </w:p>
    <w:p w14:paraId="01A68B10">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Good policy intervention and implementation of targeted resource redistribution. Anon (2010) and Stevens (2019) both </w:t>
      </w:r>
      <w:r>
        <w:rPr>
          <w:rFonts w:hint="eastAsia" w:ascii="Times New Roman" w:hAnsi="Times New Roman" w:cs="Times New Roman"/>
          <w:sz w:val="24"/>
          <w:szCs w:val="24"/>
          <w:lang w:val="en-US" w:eastAsia="zh-CN"/>
        </w:rPr>
        <w:t>found</w:t>
      </w:r>
      <w:r>
        <w:rPr>
          <w:rFonts w:hint="default" w:ascii="Times New Roman" w:hAnsi="Times New Roman" w:cs="Times New Roman"/>
          <w:sz w:val="24"/>
          <w:szCs w:val="24"/>
        </w:rPr>
        <w:t xml:space="preserve"> that the "Equity Formula" in Pe</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rPr>
        <w:t>kins V(2018) effectively alleviated the pressure on education funds in rural areas and immigrant communities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CTE courses (cybersecurity, renewable energy, etc.) offered were well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connected to the needs of the job market; Park and Johnson (2019) closely combined the needs of the labor market with school education to train students with the background knowledge and professional skills required for employment.</w:t>
      </w:r>
    </w:p>
    <w:p w14:paraId="61EF0F53">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eastAsia" w:ascii="Times New Roman" w:hAnsi="Times New Roman" w:cs="Times New Roman"/>
          <w:sz w:val="24"/>
          <w:szCs w:val="24"/>
          <w:lang w:val="en-US" w:eastAsia="zh-CN"/>
        </w:rPr>
        <w:t>To b</w:t>
      </w:r>
      <w:r>
        <w:rPr>
          <w:rFonts w:hint="default" w:ascii="Times New Roman" w:hAnsi="Times New Roman" w:cs="Times New Roman"/>
          <w:sz w:val="24"/>
          <w:szCs w:val="24"/>
        </w:rPr>
        <w:t xml:space="preserve">reak down gender barriers and develop diversified learning models. Jocson (2008) explained the necessity of establishing gender-neutral courses from the perspective of gender segregation and encouraged female researchers to join the study of </w:t>
      </w:r>
      <w:r>
        <w:rPr>
          <w:rFonts w:hint="eastAsia" w:ascii="Times New Roman" w:hAnsi="Times New Roman" w:cs="Times New Roman"/>
          <w:sz w:val="24"/>
          <w:szCs w:val="24"/>
          <w:lang w:val="en-US" w:eastAsia="zh-CN"/>
        </w:rPr>
        <w:t xml:space="preserve">AI </w:t>
      </w:r>
      <w:r>
        <w:rPr>
          <w:rFonts w:hint="default" w:ascii="Times New Roman" w:hAnsi="Times New Roman" w:cs="Times New Roman"/>
          <w:sz w:val="24"/>
          <w:szCs w:val="24"/>
        </w:rPr>
        <w:t>emerging disciplines ; Solberg et al. (2020) innovatively proposed to let men participate in early childhood education based on Jocson (2008) and add gender awareness sections to CTE courses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so that students can be widely exposed to knowledge of different disciplines and ultimately determine their own careers. The two explored different learning models from the perspectives of men and women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which is also a reflection of gender equality in vocational education.</w:t>
      </w:r>
    </w:p>
    <w:p w14:paraId="5BA8FEF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School-enterprise cooperation creates equal employment opportunities. Following the IBM P-TECH project in California, Mississippi, Wisconsin and other states have successively introduced bills to promote school-enterprise employment cooperation. Leu and Arbeit (2020) pointed out that some vocational schools have signed agreements with enterprises to ensure that CTE graduates have fair recruitment opportunities. However, a small number of scholars believe that it is difficult to have a specific measurement standard for the fairness of the CTE system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so-called "fairness construction" is nothing more than a tool for the government to make profits. Reese (2011) believes that in school-enterprise cooperation, excessive involvement of enterprises in education may lead to the maximization of the interests of teaching goals rather than the overall development of students; DeFeo (2015) also emphasized that public education resources may be used for specific commercial purposes, weakening the public nature of education. Therefore, the fairness construction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requires listening to the voices of all parties and making comprehensive judgments.</w:t>
      </w:r>
    </w:p>
    <w:p w14:paraId="141DC778">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3.2 Structuring of CTE Courses</w:t>
      </w:r>
    </w:p>
    <w:p w14:paraId="6AB9C5E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structured design of CTE courses in the United States is a reshaping of traditional vocational education courses (Theobald et al., 2022). It combines academic ability and professional skills through a systematic, modular and diversified curriculum framework</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adapt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to the needs of the employment market. Since 2006, a large number of experts and scholars have conducted in-depth research on how to reasonably set up CTE courses in vocational schools, which can be roughly divided into the following two aspects.</w:t>
      </w:r>
    </w:p>
    <w:p w14:paraId="2954807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Stratification and integration of curriculum framework. This is the core issue of structured research. Furey (2025) guided students to understand the current employment situation and complete student interest and ability assessment through the "Career Cluster" model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information technology, medical health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legal science popularization); Norris et al. (2023) tried to add geometric measurement to the architectural course to improve the core professional ability of engineering students. In addition to the vertical stratification of employment development orientation, horizontal integration of interdisciplinary cross-disciplines is also essential. Lowry and Thomas (2017) integrated gene editing and data analysis into the agricultural CTE curriculum system to form an "agriculture + big data" training model. However, problems such as knowledge fragmentation and insufficient teacher ability caused by interdisciplinary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studies are becoming increasingly prominent. Hough (2025) found that in the "green energy course</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 environmental science, engineering and economics were taught in independent modules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ability to solve problems systematically was not formed.</w:t>
      </w:r>
    </w:p>
    <w:p w14:paraId="63C61ACD">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Personalized training and scenario-based teaching. This is the focus of structured research in recent years. Manley (2011) advocated that vocational schools with conditions should conduct ILP (Individual Learning Plan), record</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completion status through learning management systems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flexibly adjust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course progress; Seifert (2019) proposed WBL (Work-Based Learning) on the basis of "apprenticeship"</w:t>
      </w:r>
      <w:r>
        <w:rPr>
          <w:rFonts w:hint="eastAsia" w:ascii="Times New Roman" w:hAnsi="Times New Roman" w:cs="Times New Roman"/>
          <w:sz w:val="24"/>
          <w:szCs w:val="24"/>
          <w:lang w:val="en-US" w:eastAsia="zh-CN"/>
        </w:rPr>
        <w:t>(Gibbs, 2010)</w:t>
      </w:r>
      <w:r>
        <w:rPr>
          <w:rFonts w:hint="default" w:ascii="Times New Roman" w:hAnsi="Times New Roman" w:cs="Times New Roman"/>
          <w:sz w:val="24"/>
          <w:szCs w:val="24"/>
        </w:rPr>
        <w:t>, in which junior students conduct short-term professional environment experience and senior students implement paid training to reduce practical costs. However, Hayes (2021) opposes scenario-based teaching for all courses. He pointed out that regular maintenance of hardware facilities requires a lot of money</w:t>
      </w:r>
      <w:r>
        <w:rPr>
          <w:rFonts w:hint="eastAsia" w:ascii="Times New Roman" w:hAnsi="Times New Roman" w:cs="Times New Roman"/>
          <w:sz w:val="24"/>
          <w:szCs w:val="24"/>
          <w:lang w:val="en-US" w:eastAsia="zh-CN"/>
        </w:rPr>
        <w:t xml:space="preserve"> especially </w:t>
      </w:r>
      <w:r>
        <w:rPr>
          <w:rFonts w:hint="default" w:ascii="Times New Roman" w:hAnsi="Times New Roman" w:cs="Times New Roman"/>
          <w:sz w:val="24"/>
          <w:szCs w:val="24"/>
        </w:rPr>
        <w:t>teacher training is long and expensive; Plasman et al. (2019) pointed out that some vocational schools in Texas are overly idealistic and ignore the ambiguity and uncertainty in the work environment. Therefore, it is necessary to formulate different training programs based on individual differences of students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to adhere to the teaching of basic subjects.</w:t>
      </w:r>
    </w:p>
    <w:p w14:paraId="36917DC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3.3 Challenges of CTE external environment</w:t>
      </w:r>
    </w:p>
    <w:p w14:paraId="153CED6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development of the US CTE system has formed a relatively complete teaching model and training program. However, with the rapid rise of AI and automation technology, traditional manufacturing and service industries are gradually being replaced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digital skills and cross-industry cooperation have put forward higher requirements for vocational school graduates. Hirschy et al. (2011) have long found that most companies not only need employees with strong professional skills, but also critical thinking, remote office and other abilities are also necessary for employees (Spindler and Greiman, 2013). Online platforms (</w:t>
      </w:r>
      <w:r>
        <w:rPr>
          <w:rFonts w:hint="eastAsia" w:ascii="Times New Roman" w:hAnsi="Times New Roman" w:cs="Times New Roman"/>
          <w:sz w:val="24"/>
          <w:szCs w:val="24"/>
          <w:lang w:val="en-US" w:eastAsia="zh-CN"/>
        </w:rPr>
        <w:t>e.g.</w:t>
      </w:r>
      <w:r>
        <w:rPr>
          <w:rFonts w:hint="default" w:ascii="Times New Roman" w:hAnsi="Times New Roman" w:cs="Times New Roman"/>
          <w:sz w:val="24"/>
          <w:szCs w:val="24"/>
        </w:rPr>
        <w:t xml:space="preserve"> Udacity, etc.) provide flexible and low-cost training for corporate employees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also divert some CTE supporters.</w:t>
      </w:r>
    </w:p>
    <w:p w14:paraId="1C163E8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More importantly,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is highly dependent on federal funding from the Perkins Act (2006), but changes in national regimes such as presidential elections and cabinet changes directly affect funding allocation. Schmidtke (2017) pointed out that Arizona reduced its investment in vocational education in 2013 due to the change of state House members. In addition, the American society has long advocated the "four-year undergraduate" university training path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CTE has been mistakenly regarded as a "non-academic path" (Reese, 2011), resulting in low acceptance by parents and students. Therefore, promoting successful cases to enhance social awareness of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system is also what the vocational education departments of various states in the United States have been doing in recent years.</w:t>
      </w:r>
    </w:p>
    <w:p w14:paraId="6C72A9C2">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rPr>
      </w:pPr>
    </w:p>
    <w:p w14:paraId="75CD73FA">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Conclusion</w:t>
      </w:r>
    </w:p>
    <w:p w14:paraId="75F9B4B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Since the proposal of Perkins V (2018), CTE has gradually transformed from the traditional vocational education model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training goal has also changed from "Skills Learning" to "Employment Matching". This transformation has not only reshaped the curriculum design, training methods and policy orientation of American vocational education, but also profoundly affected the whole society's understanding of vocational education.</w:t>
      </w:r>
    </w:p>
    <w:p w14:paraId="465BCD1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CTE promotes the goal of vocational education from "single skill" to "integration of career and academics". Constructing the path of "CTE-community college-adult undergraduate-lifelong learning" (Sanchez and McMurray, 2024) fully meets the different learning needs of workers in various industries for undergraduate education; CTE effectively promotes in-depth cooperation between schools and enterprises. The traditional teaching mode of vocational education in the United States is single, the curriculum is updated slowly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participation of enterprises is low. The CTE system enables enterprises to directly participate in curriculum construction, which greatly improves the academic employment rate of vocational schools; during the epidemic, 80% of CTE project courses in the United States were taught through online and offline hybrid teaching (Edmunds et al., 2024), realizing the innovation of teaching methods.</w:t>
      </w:r>
    </w:p>
    <w:p w14:paraId="36E1D469">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CTE has promoted educational equity and class mobility, </w:t>
      </w:r>
      <w:r>
        <w:rPr>
          <w:rFonts w:hint="eastAsia" w:ascii="Times New Roman" w:hAnsi="Times New Roman" w:cs="Times New Roman"/>
          <w:sz w:val="24"/>
          <w:szCs w:val="24"/>
          <w:lang w:val="en-US" w:eastAsia="zh-CN"/>
        </w:rPr>
        <w:t>reshaping</w:t>
      </w:r>
      <w:r>
        <w:rPr>
          <w:rFonts w:hint="default" w:ascii="Times New Roman" w:hAnsi="Times New Roman" w:cs="Times New Roman"/>
          <w:sz w:val="24"/>
          <w:szCs w:val="24"/>
        </w:rPr>
        <w:t xml:space="preserve"> the society's perception of vocational education. Emerick and Goldberg (2022) conducted a survey on graduates from 10 vocational schools in Texas and found that 35% of CTE graduates had salaries exceeding the state average within 5 years of graduation. At the same time, more than 20% of CTE graduates work in the STEAM field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the proportion of women and minorities is increasing year by year. At the same time, public awareness of CTE has increased significantly. Anglum et al. (2023) conducted street interviews in downtown Seattle and found that nearly half of parents believed that CTE could provide the same educational value as undergraduate education.</w:t>
      </w:r>
    </w:p>
    <w:p w14:paraId="5A6B4BBA">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However, the U.S. vocational education system still has shortcomings and limitations. CTE education in rural areas generally faces the problems of aging teaching facilities and teacher shortages. Seifert (2019) pointed out that the teaching equipment in rural vocational schools in Alabama is mostly aging factory machinery from the 1990s, which cannot simulate the real scene of modern factories; CTE course content is difficult to keep up with the rapidly changing industry needs. CTE course updates usually take 2-3 years, but fields such as AI and new energy are updated very quickly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it takes a long time for CTE courses to match the industry (Edmunds et al., 2023); the aging population structure in the United States restricts the development of CTE. Edmunds et al. (2024) analyzed the changes in the U.S. population structure in the past three years based on the 2023 report and pointed out that by 2050, the U.S. population aged 65 and above will exceed 20%</w:t>
      </w:r>
      <w:r>
        <w:rPr>
          <w:rFonts w:hint="eastAsia" w:ascii="Times New Roman" w:hAnsi="Times New Roman" w:cs="Times New Roman"/>
          <w:sz w:val="24"/>
          <w:szCs w:val="24"/>
          <w:lang w:val="en-US" w:eastAsia="zh-CN"/>
        </w:rPr>
        <w:t xml:space="preserve"> so</w:t>
      </w:r>
      <w:r>
        <w:rPr>
          <w:rFonts w:hint="default" w:ascii="Times New Roman" w:hAnsi="Times New Roman" w:cs="Times New Roman"/>
          <w:sz w:val="24"/>
          <w:szCs w:val="24"/>
        </w:rPr>
        <w:t xml:space="preserve"> the decline in social labor and innovation capabilities may have an impact 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CTE education system.</w:t>
      </w:r>
    </w:p>
    <w:p w14:paraId="496D1344">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The federal government, state governments, schools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and businesses should work together to address the risks and challenges that CTE may face in the future. At the same time, we can learn from the experience of vocational education in other countries (Bastgen et al., 2024; Zi et al., 2023) to supplement and improve the US CTE education system so that CTE can better cope with future social development and industry needs.</w:t>
      </w:r>
    </w:p>
    <w:p w14:paraId="7435398B">
      <w:pPr>
        <w:keepNext w:val="0"/>
        <w:keepLines w:val="0"/>
        <w:pageBreakBefore w:val="0"/>
        <w:widowControl w:val="0"/>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Due to the influence of research time and region, this study has some limitations. This study focuses on local cases in the United States (California, Texas, etc.)</w:t>
      </w:r>
      <w:r>
        <w:rPr>
          <w:rFonts w:hint="eastAsia" w:ascii="Times New Roman" w:hAnsi="Times New Roman" w:cs="Times New Roman"/>
          <w:sz w:val="24"/>
          <w:szCs w:val="24"/>
          <w:lang w:val="en-US" w:eastAsia="zh-CN"/>
        </w:rPr>
        <w:t xml:space="preserve"> but</w:t>
      </w:r>
      <w:r>
        <w:rPr>
          <w:rFonts w:hint="default" w:ascii="Times New Roman" w:hAnsi="Times New Roman" w:cs="Times New Roman"/>
          <w:sz w:val="24"/>
          <w:szCs w:val="24"/>
        </w:rPr>
        <w:t xml:space="preserve"> fails to explore the comparison of international vocational education development in depth. At the same time, due to the limitations of existing resources and conditions, the reform resistance at the school level of vocational schools has not been </w:t>
      </w:r>
      <w:r>
        <w:rPr>
          <w:rFonts w:hint="eastAsia" w:ascii="Times New Roman" w:hAnsi="Times New Roman" w:cs="Times New Roman"/>
          <w:sz w:val="24"/>
          <w:szCs w:val="24"/>
          <w:lang w:val="en-US" w:eastAsia="zh-CN"/>
        </w:rPr>
        <w:t xml:space="preserve">deeply </w:t>
      </w:r>
      <w:r>
        <w:rPr>
          <w:rFonts w:hint="default" w:ascii="Times New Roman" w:hAnsi="Times New Roman" w:cs="Times New Roman"/>
          <w:sz w:val="24"/>
          <w:szCs w:val="24"/>
        </w:rPr>
        <w:t>explored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Therefore, in the subsequent research plan, I will review the latest laws and policies on vocational education in various states</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rPr>
        <w:t>read relevant scholars' literature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conduct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rPr>
        <w:t xml:space="preserve"> in-depth research on the development of critical CTE in the AI era to provide effective reference for the employment of vocational school graduates.</w:t>
      </w:r>
    </w:p>
    <w:p w14:paraId="769A9088">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6"/>
          <w:szCs w:val="36"/>
        </w:rPr>
      </w:pPr>
    </w:p>
    <w:p w14:paraId="684671C0">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6"/>
          <w:szCs w:val="36"/>
        </w:rPr>
      </w:pPr>
    </w:p>
    <w:p w14:paraId="52568E57">
      <w:pPr>
        <w:pStyle w:val="2"/>
        <w:keepNext w:val="0"/>
        <w:keepLines w:val="0"/>
        <w:widowControl/>
        <w:suppressLineNumbers w:val="0"/>
        <w:spacing w:before="0" w:beforeAutospacing="0" w:after="210" w:afterAutospacing="0" w:line="360" w:lineRule="auto"/>
        <w:jc w:val="left"/>
        <w:rPr>
          <w:rFonts w:hint="default" w:ascii="Times New Roman" w:hAnsi="Times New Roman" w:cs="Times New Roman"/>
          <w:sz w:val="32"/>
          <w:szCs w:val="32"/>
        </w:rPr>
      </w:pPr>
      <w:r>
        <w:rPr>
          <w:rFonts w:hint="default" w:ascii="Times New Roman" w:hAnsi="Times New Roman" w:cs="Times New Roman"/>
          <w:sz w:val="32"/>
          <w:szCs w:val="32"/>
        </w:rPr>
        <w:t>Reference</w:t>
      </w:r>
      <w:r>
        <w:rPr>
          <w:rFonts w:hint="eastAsia" w:ascii="Times New Roman" w:hAnsi="Times New Roman" w:cs="Times New Roman"/>
          <w:sz w:val="32"/>
          <w:szCs w:val="32"/>
          <w:lang w:val="en-US" w:eastAsia="zh-CN"/>
        </w:rPr>
        <w:t>s</w:t>
      </w:r>
      <w:r>
        <w:rPr>
          <w:rFonts w:hint="default" w:ascii="Times New Roman" w:hAnsi="Times New Roman" w:cs="Times New Roman"/>
          <w:sz w:val="32"/>
          <w:szCs w:val="32"/>
        </w:rPr>
        <w:t xml:space="preserve"> </w:t>
      </w:r>
    </w:p>
    <w:p w14:paraId="0ABC854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Acosta Castellanos, P.M. and Queiruga-Dios, A. (2021). From environmental education to education for sustainable development in higher education: a systematic review. </w:t>
      </w:r>
      <w:r>
        <w:rPr>
          <w:rFonts w:hint="default" w:ascii="Times New Roman" w:hAnsi="Times New Roman" w:cs="Times New Roman"/>
          <w:i/>
          <w:iCs/>
          <w:sz w:val="24"/>
          <w:szCs w:val="24"/>
        </w:rPr>
        <w:t>International Journal of Sustainability in Higher Education</w:t>
      </w:r>
      <w:r>
        <w:rPr>
          <w:rFonts w:hint="default" w:ascii="Times New Roman" w:hAnsi="Times New Roman" w:cs="Times New Roman"/>
          <w:sz w:val="24"/>
          <w:szCs w:val="24"/>
        </w:rPr>
        <w:t>, ahead-of-print(ahead-of-print). doi:https://doi.org/10.1108/ijshe-04-2021-0167.</w:t>
      </w:r>
    </w:p>
    <w:p w14:paraId="15C8ECE5">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Aguilar, O.M. (2016). Examining the literature to reveal the nature of community EE/ESD programs and research. </w:t>
      </w:r>
      <w:r>
        <w:rPr>
          <w:rFonts w:hint="default" w:ascii="Times New Roman" w:hAnsi="Times New Roman" w:cs="Times New Roman"/>
          <w:i/>
          <w:iCs/>
          <w:sz w:val="24"/>
          <w:szCs w:val="24"/>
        </w:rPr>
        <w:t>Environmental Education Research</w:t>
      </w:r>
      <w:r>
        <w:rPr>
          <w:rFonts w:hint="default" w:ascii="Times New Roman" w:hAnsi="Times New Roman" w:cs="Times New Roman"/>
          <w:sz w:val="24"/>
          <w:szCs w:val="24"/>
        </w:rPr>
        <w:t>, 24(1), pp.26–49. doi:https://doi.org/10.1080/13504622.2016.1244658.</w:t>
      </w:r>
    </w:p>
    <w:p w14:paraId="0F04D582">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Aldrich, R. (2010). Education for survival: an historical perspective. </w:t>
      </w:r>
      <w:r>
        <w:rPr>
          <w:rFonts w:hint="default" w:ascii="Times New Roman" w:hAnsi="Times New Roman" w:cs="Times New Roman"/>
          <w:i/>
          <w:iCs/>
          <w:sz w:val="24"/>
          <w:szCs w:val="24"/>
        </w:rPr>
        <w:t>History of Education</w:t>
      </w:r>
      <w:r>
        <w:rPr>
          <w:rFonts w:hint="default" w:ascii="Times New Roman" w:hAnsi="Times New Roman" w:cs="Times New Roman"/>
          <w:sz w:val="24"/>
          <w:szCs w:val="24"/>
        </w:rPr>
        <w:t>, 39(1), pp.1–14. doi:https://doi.org/10.1080/00467600802331895.</w:t>
      </w:r>
    </w:p>
    <w:p w14:paraId="0C6E29E9">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Anon (2014). CIES Bibliography 2013. </w:t>
      </w:r>
      <w:r>
        <w:rPr>
          <w:rFonts w:hint="default" w:ascii="Times New Roman" w:hAnsi="Times New Roman" w:cs="Times New Roman"/>
          <w:i/>
          <w:iCs/>
          <w:sz w:val="24"/>
          <w:szCs w:val="24"/>
        </w:rPr>
        <w:t>Comparative Education Review</w:t>
      </w:r>
      <w:r>
        <w:rPr>
          <w:rFonts w:hint="default" w:ascii="Times New Roman" w:hAnsi="Times New Roman" w:cs="Times New Roman"/>
          <w:sz w:val="24"/>
          <w:szCs w:val="24"/>
        </w:rPr>
        <w:t>, 58(S3), pp.S1–S165. doi:https://doi.org/10.1086/677294.</w:t>
      </w:r>
    </w:p>
    <w:p w14:paraId="344D46F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Araneo, P. (2023). Exploring education for sustainable development (ESD) course content in higher education; a multiple case study including what students say they like. </w:t>
      </w:r>
      <w:r>
        <w:rPr>
          <w:rFonts w:hint="default" w:ascii="Times New Roman" w:hAnsi="Times New Roman" w:cs="Times New Roman"/>
          <w:i/>
          <w:iCs/>
          <w:sz w:val="24"/>
          <w:szCs w:val="24"/>
        </w:rPr>
        <w:t>Environmental Education Research</w:t>
      </w:r>
      <w:r>
        <w:rPr>
          <w:rFonts w:hint="default" w:ascii="Times New Roman" w:hAnsi="Times New Roman" w:cs="Times New Roman"/>
          <w:sz w:val="24"/>
          <w:szCs w:val="24"/>
        </w:rPr>
        <w:t>, 30(4), pp.1–28. doi:https://doi.org/10.1080/13504622.2023.2280438.</w:t>
      </w:r>
    </w:p>
    <w:p w14:paraId="14E2892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Bell, S.A., Oteng, R., Redman, R., Lapham, J., Bam, V., Dzomecku, V., Yakubu, J., Tagoe, N. and Donkor, P. (2014). Development of an emergency nursing training curriculum in Ghana. </w:t>
      </w:r>
      <w:r>
        <w:rPr>
          <w:rFonts w:hint="default" w:ascii="Times New Roman" w:hAnsi="Times New Roman" w:cs="Times New Roman"/>
          <w:i/>
          <w:iCs/>
          <w:sz w:val="24"/>
          <w:szCs w:val="24"/>
        </w:rPr>
        <w:t>International Emergency Nursing</w:t>
      </w:r>
      <w:r>
        <w:rPr>
          <w:rFonts w:hint="default" w:ascii="Times New Roman" w:hAnsi="Times New Roman" w:cs="Times New Roman"/>
          <w:sz w:val="24"/>
          <w:szCs w:val="24"/>
        </w:rPr>
        <w:t>, [online] 22(4), pp.202–207. doi:https://doi.org/10.1016/j.ienj.2014.02.002.</w:t>
      </w:r>
    </w:p>
    <w:p w14:paraId="6B2DC48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Ben (2006). The Global Change Curriculum and Minor at the University of Michigan. </w:t>
      </w:r>
      <w:r>
        <w:rPr>
          <w:rFonts w:hint="default" w:ascii="Times New Roman" w:hAnsi="Times New Roman" w:cs="Times New Roman"/>
          <w:i/>
          <w:iCs/>
          <w:sz w:val="24"/>
          <w:szCs w:val="24"/>
        </w:rPr>
        <w:t>Journal of Geoscience Education</w:t>
      </w:r>
      <w:r>
        <w:rPr>
          <w:rFonts w:hint="default" w:ascii="Times New Roman" w:hAnsi="Times New Roman" w:cs="Times New Roman"/>
          <w:sz w:val="24"/>
          <w:szCs w:val="24"/>
        </w:rPr>
        <w:t>, 54(3), pp.249–254. doi:https://doi.org/10.5408/1089-9995-54.3.249.</w:t>
      </w:r>
    </w:p>
    <w:p w14:paraId="73BD3EB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Bronstein, E. and Halvorsen, A.-L. (2019). Inquiry, investigations, and integration: Innovations in middle school history and writing. </w:t>
      </w:r>
      <w:r>
        <w:rPr>
          <w:rFonts w:hint="default" w:ascii="Times New Roman" w:hAnsi="Times New Roman" w:cs="Times New Roman"/>
          <w:i/>
          <w:iCs/>
          <w:sz w:val="24"/>
          <w:szCs w:val="24"/>
        </w:rPr>
        <w:t>Theory &amp; Research in Social Education</w:t>
      </w:r>
      <w:r>
        <w:rPr>
          <w:rFonts w:hint="default" w:ascii="Times New Roman" w:hAnsi="Times New Roman" w:cs="Times New Roman"/>
          <w:sz w:val="24"/>
          <w:szCs w:val="24"/>
        </w:rPr>
        <w:t>, 47(4), pp.604–608. doi:https://doi.org/10.1080/00933104.2019.1632130.</w:t>
      </w:r>
    </w:p>
    <w:p w14:paraId="485EE805">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Burk-Rafel, J., Harris, K.B., Heath, J., Milliron, A., Savage, D.J. and Skochelak, S.E. (2020). Students as catalysts for curricular innovation: A change management framework. </w:t>
      </w:r>
      <w:r>
        <w:rPr>
          <w:rFonts w:hint="default" w:ascii="Times New Roman" w:hAnsi="Times New Roman" w:cs="Times New Roman"/>
          <w:i/>
          <w:iCs/>
          <w:sz w:val="24"/>
          <w:szCs w:val="24"/>
        </w:rPr>
        <w:t>Medical Teacher</w:t>
      </w:r>
      <w:r>
        <w:rPr>
          <w:rFonts w:hint="default" w:ascii="Times New Roman" w:hAnsi="Times New Roman" w:cs="Times New Roman"/>
          <w:sz w:val="24"/>
          <w:szCs w:val="24"/>
        </w:rPr>
        <w:t>, 42(5), pp.572–577. doi:https://doi.org/10.1080/0142159x.2020.1718070.</w:t>
      </w:r>
    </w:p>
    <w:p w14:paraId="04DEFA77">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Cebrián, G., Junyent, M. and Mulà, I. (2021). Current Practices and Future Pathways towards Competencies in Education for Sustainable Development.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13(16), p.8733. doi:https://doi.org/10.3390/su13168733.</w:t>
      </w:r>
    </w:p>
    <w:p w14:paraId="1DC4416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Chien-Chi, T., David M., T., Ron, P. and Devi R., G. (2025). </w:t>
      </w:r>
      <w:r>
        <w:rPr>
          <w:rFonts w:hint="default" w:ascii="Times New Roman" w:hAnsi="Times New Roman" w:cs="Times New Roman"/>
          <w:i/>
          <w:iCs/>
          <w:sz w:val="24"/>
          <w:szCs w:val="24"/>
        </w:rPr>
        <w:t>Building an entrepreneurship education program in a technology-rich environment: Virginia Tech’s entrepreneurship ecosystem</w:t>
      </w:r>
      <w:r>
        <w:rPr>
          <w:rFonts w:hint="default" w:ascii="Times New Roman" w:hAnsi="Times New Roman" w:cs="Times New Roman"/>
          <w:sz w:val="24"/>
          <w:szCs w:val="24"/>
        </w:rPr>
        <w:t>. [online] https://vtechworks.lib.vt.edu/items/92c8270d-c85d-472d-97dc-579b04ee847a. Available at: https://hdl.handle.net/10919/124162 [Accessed 1 Jan. 2025].</w:t>
      </w:r>
    </w:p>
    <w:p w14:paraId="38C4EFE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Colás-Bravo, P., Conde-Jiménez, J. and Reyes-de-Cózar, S. (2021). Sustainability and Digital Teaching Competence in Higher Education.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13(22), p.12354. doi:https://doi.org/10.3390/su132212354.</w:t>
      </w:r>
    </w:p>
    <w:p w14:paraId="43450377">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ElMassah, S. and Mohieldin, M. (2020). Digital transformation and localizing the Sustainable Development Goals (SDGs). </w:t>
      </w:r>
      <w:r>
        <w:rPr>
          <w:rFonts w:hint="default" w:ascii="Times New Roman" w:hAnsi="Times New Roman" w:cs="Times New Roman"/>
          <w:i/>
          <w:iCs/>
          <w:sz w:val="24"/>
          <w:szCs w:val="24"/>
        </w:rPr>
        <w:t>Ecological Economics</w:t>
      </w:r>
      <w:r>
        <w:rPr>
          <w:rFonts w:hint="default" w:ascii="Times New Roman" w:hAnsi="Times New Roman" w:cs="Times New Roman"/>
          <w:sz w:val="24"/>
          <w:szCs w:val="24"/>
        </w:rPr>
        <w:t>, 169(2), p.106490. doi:https://doi.org/10.1016/j.ecolecon.2019.106490.</w:t>
      </w:r>
    </w:p>
    <w:p w14:paraId="018D548B">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Ferguson, T., Roofe, C., Cook, L.D., Bramwell-Lalor, S. and Hordatt Gentles, C. (2022). Education for Sustainable Development (ESD) Infusion into Curricula: Influences on Students’ Understandings of Sustainable Development and ESD. </w:t>
      </w:r>
      <w:r>
        <w:rPr>
          <w:rFonts w:hint="default" w:ascii="Times New Roman" w:hAnsi="Times New Roman" w:cs="Times New Roman"/>
          <w:i/>
          <w:iCs/>
          <w:sz w:val="24"/>
          <w:szCs w:val="24"/>
        </w:rPr>
        <w:t>Brock Education Journal</w:t>
      </w:r>
      <w:r>
        <w:rPr>
          <w:rFonts w:hint="default" w:ascii="Times New Roman" w:hAnsi="Times New Roman" w:cs="Times New Roman"/>
          <w:sz w:val="24"/>
          <w:szCs w:val="24"/>
        </w:rPr>
        <w:t>, 31(2), pp.63–84. doi:https://doi.org/10.26522/brocked.v31i2.915.</w:t>
      </w:r>
    </w:p>
    <w:p w14:paraId="3D0AC33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Gamage, A. and Silva (2022). Barriers, New Developments, and Emerging Trends in Sustainability in HE. pp.453–459. doi:https://doi.org/10.1002/9781119852858.ch22.</w:t>
      </w:r>
    </w:p>
    <w:p w14:paraId="259FF775">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Giangrande, N., White, R.M., East, M., Jackson, R., Clarke, T., Saloff Coste, M. and Penha-Lopes, G. (2019). A Competency Framework to Assess and Activate Education for Sustainable Development: Addressing the UN Sustainable Development Goals 4.7 Challenge.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11(10), p.2832. doi:https://doi.org/10.3390/su11102832.</w:t>
      </w:r>
    </w:p>
    <w:p w14:paraId="34737FF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Gibbs, P. (2010). Rediscovering Apprenticeship: Research Findings of the International Network on Innovative Apprenticeship (INAP)20103Edited by Felix Rauner and Erica Smith. Rediscovering Apprenticeship: Research Findings of the International Network on Innovative Apprenticeship (INAP). Dordrecht: Springer/UNEVOC. </w:t>
      </w:r>
      <w:r>
        <w:rPr>
          <w:rFonts w:hint="default" w:ascii="Times New Roman" w:hAnsi="Times New Roman" w:cs="Times New Roman"/>
          <w:i/>
          <w:iCs/>
          <w:sz w:val="24"/>
          <w:szCs w:val="24"/>
        </w:rPr>
        <w:t>Higher Education, Skills and Work-Based Learning</w:t>
      </w:r>
      <w:r>
        <w:rPr>
          <w:rFonts w:hint="default" w:ascii="Times New Roman" w:hAnsi="Times New Roman" w:cs="Times New Roman"/>
          <w:sz w:val="24"/>
          <w:szCs w:val="24"/>
        </w:rPr>
        <w:t>, 1(1), pp.80–81. doi:https://doi.org/10.1108/heswbl.2011.1.1.80.3.</w:t>
      </w:r>
    </w:p>
    <w:p w14:paraId="37C761D4">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Glavič, P. (2020). Identifying Key Issues of Education for Sustainable Development.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12(16), p.6500. doi:https://doi.org/10.3390/su12166500.</w:t>
      </w:r>
    </w:p>
    <w:p w14:paraId="5F47474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Graeske, C. and Sjöberg, S.A. (2021). VR-Technology in Teaching: Opportunities and Challenges. </w:t>
      </w:r>
      <w:r>
        <w:rPr>
          <w:rFonts w:hint="default" w:ascii="Times New Roman" w:hAnsi="Times New Roman" w:cs="Times New Roman"/>
          <w:i/>
          <w:iCs/>
          <w:sz w:val="24"/>
          <w:szCs w:val="24"/>
        </w:rPr>
        <w:t>International Education Studies</w:t>
      </w:r>
      <w:r>
        <w:rPr>
          <w:rFonts w:hint="default" w:ascii="Times New Roman" w:hAnsi="Times New Roman" w:cs="Times New Roman"/>
          <w:sz w:val="24"/>
          <w:szCs w:val="24"/>
        </w:rPr>
        <w:t>, [online] 14(8), p.76. doi:https://doi.org/10.5539/ies.v14n8p76.</w:t>
      </w:r>
    </w:p>
    <w:p w14:paraId="5DC0CB2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Greene, R.R. and Ephross, P.H. (1991). </w:t>
      </w:r>
      <w:r>
        <w:rPr>
          <w:rFonts w:hint="default" w:ascii="Times New Roman" w:hAnsi="Times New Roman" w:cs="Times New Roman"/>
          <w:i/>
          <w:iCs/>
          <w:sz w:val="24"/>
          <w:szCs w:val="24"/>
        </w:rPr>
        <w:t>Human behavior theory and social work practice</w:t>
      </w:r>
      <w:r>
        <w:rPr>
          <w:rFonts w:hint="default" w:ascii="Times New Roman" w:hAnsi="Times New Roman" w:cs="Times New Roman"/>
          <w:sz w:val="24"/>
          <w:szCs w:val="24"/>
        </w:rPr>
        <w:t>. New York: Aldine De Gruyter.</w:t>
      </w:r>
    </w:p>
    <w:p w14:paraId="5F54CBAC">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Griffin, J. (2019). Leadership to advance data and information science at Virginia Tech library. </w:t>
      </w:r>
      <w:r>
        <w:rPr>
          <w:rFonts w:hint="default" w:ascii="Times New Roman" w:hAnsi="Times New Roman" w:cs="Times New Roman"/>
          <w:i/>
          <w:iCs/>
          <w:sz w:val="24"/>
          <w:szCs w:val="24"/>
        </w:rPr>
        <w:t>Information Services and Use</w:t>
      </w:r>
      <w:r>
        <w:rPr>
          <w:rFonts w:hint="default" w:ascii="Times New Roman" w:hAnsi="Times New Roman" w:cs="Times New Roman"/>
          <w:sz w:val="24"/>
          <w:szCs w:val="24"/>
        </w:rPr>
        <w:t>, 39(3), pp.177–181. doi:https://doi.org/10.3233/isu-190042.</w:t>
      </w:r>
    </w:p>
    <w:p w14:paraId="2B3F3327">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Hansen, B., Stiling, P. and Uy, W.F. (2021). Innovations and challenges in SDG integration and reporting in higher education: a case study from the University of South Florida. </w:t>
      </w:r>
      <w:r>
        <w:rPr>
          <w:rFonts w:hint="default" w:ascii="Times New Roman" w:hAnsi="Times New Roman" w:cs="Times New Roman"/>
          <w:i/>
          <w:iCs/>
          <w:sz w:val="24"/>
          <w:szCs w:val="24"/>
        </w:rPr>
        <w:t>International Journal of Sustainability in Higher Education</w:t>
      </w:r>
      <w:r>
        <w:rPr>
          <w:rFonts w:hint="default" w:ascii="Times New Roman" w:hAnsi="Times New Roman" w:cs="Times New Roman"/>
          <w:sz w:val="24"/>
          <w:szCs w:val="24"/>
        </w:rPr>
        <w:t>, 22(5), pp.1002–1021. doi:https://doi.org/10.1108/ijshe-08-2020-0310.</w:t>
      </w:r>
    </w:p>
    <w:p w14:paraId="467A85EF">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Hillison, J.H. (2018). Department of Agricultural, Leadership, and Community Education at Virginia Tech 1918 - 2018.</w:t>
      </w:r>
    </w:p>
    <w:p w14:paraId="5FDAC6B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Krasny, M.E. and DuBois, B. (2016). Climate adaptation education: embracing reality or abandoning environmental values. </w:t>
      </w:r>
      <w:r>
        <w:rPr>
          <w:rFonts w:hint="default" w:ascii="Times New Roman" w:hAnsi="Times New Roman" w:cs="Times New Roman"/>
          <w:i/>
          <w:iCs/>
          <w:sz w:val="24"/>
          <w:szCs w:val="24"/>
        </w:rPr>
        <w:t>Environmental Education Research</w:t>
      </w:r>
      <w:r>
        <w:rPr>
          <w:rFonts w:hint="default" w:ascii="Times New Roman" w:hAnsi="Times New Roman" w:cs="Times New Roman"/>
          <w:sz w:val="24"/>
          <w:szCs w:val="24"/>
        </w:rPr>
        <w:t>, 25(6), pp.883–894. doi:https://doi.org/10.1080/13504622.2016.1196345.</w:t>
      </w:r>
    </w:p>
    <w:p w14:paraId="2262A642">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Laurie, R., Nonoyama-Tarumi, Y., Mckeown, R. and Hopkins, C. (2016). Contributions of Education for Sustainable Development (ESD) to Quality Education: A Synthesis of Research. </w:t>
      </w:r>
      <w:r>
        <w:rPr>
          <w:rFonts w:hint="default" w:ascii="Times New Roman" w:hAnsi="Times New Roman" w:cs="Times New Roman"/>
          <w:i/>
          <w:iCs/>
          <w:sz w:val="24"/>
          <w:szCs w:val="24"/>
        </w:rPr>
        <w:t>Journal of Education for Sustainable Development</w:t>
      </w:r>
      <w:r>
        <w:rPr>
          <w:rFonts w:hint="default" w:ascii="Times New Roman" w:hAnsi="Times New Roman" w:cs="Times New Roman"/>
          <w:sz w:val="24"/>
          <w:szCs w:val="24"/>
        </w:rPr>
        <w:t>, 10(2), pp.226–242. doi:https://doi.org/10.1177/0973408216661442.</w:t>
      </w:r>
    </w:p>
    <w:p w14:paraId="3EC7B70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Lee, T.T. and Chiu, S.W. (2016). Curriculum reform and the social class achievement gap. </w:t>
      </w:r>
      <w:r>
        <w:rPr>
          <w:rFonts w:hint="default" w:ascii="Times New Roman" w:hAnsi="Times New Roman" w:cs="Times New Roman"/>
          <w:i/>
          <w:iCs/>
          <w:sz w:val="24"/>
          <w:szCs w:val="24"/>
        </w:rPr>
        <w:t>Social Transformations in Chinese Societies</w:t>
      </w:r>
      <w:r>
        <w:rPr>
          <w:rFonts w:hint="default" w:ascii="Times New Roman" w:hAnsi="Times New Roman" w:cs="Times New Roman"/>
          <w:sz w:val="24"/>
          <w:szCs w:val="24"/>
        </w:rPr>
        <w:t>, 12(2), pp.148–165. doi:https://doi.org/10.1108/stics-05-2016-0002.</w:t>
      </w:r>
    </w:p>
    <w:p w14:paraId="0041074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Lohani, V.K., Wolfe, M.L., Wildman, T., Kumar Mallikarjunan and Connor, J. (2011). Reformulating general engineering and biological systems engineering programs at Virginia Tech. </w:t>
      </w:r>
      <w:r>
        <w:rPr>
          <w:rFonts w:hint="default" w:ascii="Times New Roman" w:hAnsi="Times New Roman" w:cs="Times New Roman"/>
          <w:i/>
          <w:iCs/>
          <w:sz w:val="24"/>
          <w:szCs w:val="24"/>
        </w:rPr>
        <w:t>AEE Journal</w:t>
      </w:r>
      <w:r>
        <w:rPr>
          <w:rFonts w:hint="default" w:ascii="Times New Roman" w:hAnsi="Times New Roman" w:cs="Times New Roman"/>
          <w:sz w:val="24"/>
          <w:szCs w:val="24"/>
        </w:rPr>
        <w:t>, 2(4), p.11.</w:t>
      </w:r>
    </w:p>
    <w:p w14:paraId="193AE80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Maba, W. (2017). Teacher’s Perception on the Implementation of the Assessment Process in 2013 Curriculum. </w:t>
      </w:r>
      <w:r>
        <w:rPr>
          <w:rFonts w:hint="default" w:ascii="Times New Roman" w:hAnsi="Times New Roman" w:cs="Times New Roman"/>
          <w:i/>
          <w:iCs/>
          <w:sz w:val="24"/>
          <w:szCs w:val="24"/>
        </w:rPr>
        <w:t>International Journal of Social Sciences and Humanities (IJSSH)</w:t>
      </w:r>
      <w:r>
        <w:rPr>
          <w:rFonts w:hint="default" w:ascii="Times New Roman" w:hAnsi="Times New Roman" w:cs="Times New Roman"/>
          <w:sz w:val="24"/>
          <w:szCs w:val="24"/>
        </w:rPr>
        <w:t>, 1(2), p.1. doi:https://doi.org/10.21744/ijssh.v1i2.26.</w:t>
      </w:r>
    </w:p>
    <w:p w14:paraId="716233F8">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Manna, P. (2013). Centralized Governance and Student Outcomes: Excellence, Equity, and Academic Achievement in the U.S. States. </w:t>
      </w:r>
      <w:r>
        <w:rPr>
          <w:rFonts w:hint="default" w:ascii="Times New Roman" w:hAnsi="Times New Roman" w:cs="Times New Roman"/>
          <w:i/>
          <w:iCs/>
          <w:sz w:val="24"/>
          <w:szCs w:val="24"/>
        </w:rPr>
        <w:t>Policy Studies Journal</w:t>
      </w:r>
      <w:r>
        <w:rPr>
          <w:rFonts w:hint="default" w:ascii="Times New Roman" w:hAnsi="Times New Roman" w:cs="Times New Roman"/>
          <w:sz w:val="24"/>
          <w:szCs w:val="24"/>
        </w:rPr>
        <w:t>, 41(4), pp.682–705. doi:https://doi.org/10.1111/psj.12037.</w:t>
      </w:r>
    </w:p>
    <w:p w14:paraId="429BD06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Marcotte, K.M. and Gruppen, L.D. (2022). Competency-Based Education as Curriculum and Assessment for Integrative Learning. </w:t>
      </w:r>
      <w:r>
        <w:rPr>
          <w:rFonts w:hint="default" w:ascii="Times New Roman" w:hAnsi="Times New Roman" w:cs="Times New Roman"/>
          <w:i/>
          <w:iCs/>
          <w:sz w:val="24"/>
          <w:szCs w:val="24"/>
        </w:rPr>
        <w:t>Education Sciences</w:t>
      </w:r>
      <w:r>
        <w:rPr>
          <w:rFonts w:hint="default" w:ascii="Times New Roman" w:hAnsi="Times New Roman" w:cs="Times New Roman"/>
          <w:sz w:val="24"/>
          <w:szCs w:val="24"/>
        </w:rPr>
        <w:t>, 12(4), p.267. doi:https://doi.org/10.3390/educsci12040267.</w:t>
      </w:r>
    </w:p>
    <w:p w14:paraId="3170B02F">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Mensah, J. (2019). Sustainable development: Meaning, history, principles, pillars, and Implications for Human action: Literature Review. </w:t>
      </w:r>
      <w:r>
        <w:rPr>
          <w:rFonts w:hint="default" w:ascii="Times New Roman" w:hAnsi="Times New Roman" w:cs="Times New Roman"/>
          <w:i/>
          <w:iCs/>
          <w:sz w:val="24"/>
          <w:szCs w:val="24"/>
        </w:rPr>
        <w:t>Cogent Social Sciences</w:t>
      </w:r>
      <w:r>
        <w:rPr>
          <w:rFonts w:hint="default" w:ascii="Times New Roman" w:hAnsi="Times New Roman" w:cs="Times New Roman"/>
          <w:sz w:val="24"/>
          <w:szCs w:val="24"/>
        </w:rPr>
        <w:t>, [online] 5(1), pp.1–21. doi:https://doi.org/10.1080/23311886.2019.1653531.</w:t>
      </w:r>
    </w:p>
    <w:p w14:paraId="01536882">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Mikhailova, E.A., Zurqani, H.A., Lin, L., Hao, Z., Post, C.J., Schlautman, M.A. and Shepherd, G.B. (2023). Opportunities for Monitoring Soil and Land Development to Support United Nations (UN) Sustainable Development Goals (SDGs): A Case Study of the United States of America (USA). </w:t>
      </w:r>
      <w:r>
        <w:rPr>
          <w:rFonts w:hint="default" w:ascii="Times New Roman" w:hAnsi="Times New Roman" w:cs="Times New Roman"/>
          <w:i/>
          <w:iCs/>
          <w:sz w:val="24"/>
          <w:szCs w:val="24"/>
        </w:rPr>
        <w:t>Land</w:t>
      </w:r>
      <w:r>
        <w:rPr>
          <w:rFonts w:hint="default" w:ascii="Times New Roman" w:hAnsi="Times New Roman" w:cs="Times New Roman"/>
          <w:sz w:val="24"/>
          <w:szCs w:val="24"/>
        </w:rPr>
        <w:t>, [online] 12(10), p.1853. doi:https://doi.org/10.3390/land12101853.</w:t>
      </w:r>
    </w:p>
    <w:p w14:paraId="0055DA9C">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Mogaji, I.M. and Newton, P. (2020). School Leadership for Sustainable Development: A Scoping Review. </w:t>
      </w:r>
      <w:r>
        <w:rPr>
          <w:rFonts w:hint="default" w:ascii="Times New Roman" w:hAnsi="Times New Roman" w:cs="Times New Roman"/>
          <w:i/>
          <w:iCs/>
          <w:sz w:val="24"/>
          <w:szCs w:val="24"/>
        </w:rPr>
        <w:t>Journal of Sustainable Development</w:t>
      </w:r>
      <w:r>
        <w:rPr>
          <w:rFonts w:hint="default" w:ascii="Times New Roman" w:hAnsi="Times New Roman" w:cs="Times New Roman"/>
          <w:sz w:val="24"/>
          <w:szCs w:val="24"/>
        </w:rPr>
        <w:t>, 13(5), p.15. doi:https://doi.org/10.5539/jsd.v13n5p15.</w:t>
      </w:r>
    </w:p>
    <w:p w14:paraId="4ED54E9D">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Moner, W., Motley, P. and Pope-Ruark, R. (2020). </w:t>
      </w:r>
      <w:r>
        <w:rPr>
          <w:rFonts w:hint="default" w:ascii="Times New Roman" w:hAnsi="Times New Roman" w:cs="Times New Roman"/>
          <w:i/>
          <w:iCs/>
          <w:sz w:val="24"/>
          <w:szCs w:val="24"/>
        </w:rPr>
        <w:t>Redesigning liberal education : innovative design for a twenty-first-century undergraduate education</w:t>
      </w:r>
      <w:r>
        <w:rPr>
          <w:rFonts w:hint="default" w:ascii="Times New Roman" w:hAnsi="Times New Roman" w:cs="Times New Roman"/>
          <w:sz w:val="24"/>
          <w:szCs w:val="24"/>
        </w:rPr>
        <w:t>. Baltimore: Johns Hopkins University Press.</w:t>
      </w:r>
    </w:p>
    <w:p w14:paraId="46E0C87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Mujib Ubaidillah, Putut Marwoto, Wiyanto Wiyanto and Bambang Subali (2023). Problem Solving and Decision-Making Skills for ESD: A Bibliometric Analysis. </w:t>
      </w:r>
      <w:r>
        <w:rPr>
          <w:rFonts w:hint="default" w:ascii="Times New Roman" w:hAnsi="Times New Roman" w:cs="Times New Roman"/>
          <w:i/>
          <w:iCs/>
          <w:sz w:val="24"/>
          <w:szCs w:val="24"/>
        </w:rPr>
        <w:t>International Journal of Cognitive Research in Science, Engineering and Education</w:t>
      </w:r>
      <w:r>
        <w:rPr>
          <w:rFonts w:hint="default" w:ascii="Times New Roman" w:hAnsi="Times New Roman" w:cs="Times New Roman"/>
          <w:sz w:val="24"/>
          <w:szCs w:val="24"/>
        </w:rPr>
        <w:t>, 11(3), pp.401–415. doi:https://doi.org/10.23947/2334-8496-2023-11-3-401-415.</w:t>
      </w:r>
    </w:p>
    <w:p w14:paraId="2C8102C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Müller, U., Hancock, D.R., Stricker, T. and Wang, C. (2021). Implementing ESD in Schools: Perspectives of Principals in Germany, Macau, and the USA.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13(17), p.9823. doi:https://doi.org/10.3390/su13179823.</w:t>
      </w:r>
    </w:p>
    <w:p w14:paraId="609AEA89">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Murrell, J.N. and Alan John Harget (1972). </w:t>
      </w:r>
      <w:r>
        <w:rPr>
          <w:rFonts w:hint="default" w:ascii="Times New Roman" w:hAnsi="Times New Roman" w:cs="Times New Roman"/>
          <w:i/>
          <w:iCs/>
          <w:sz w:val="24"/>
          <w:szCs w:val="24"/>
        </w:rPr>
        <w:t>Semi-empirical self-consistent-field molecular orbital theory of molecules,.</w:t>
      </w:r>
      <w:r>
        <w:rPr>
          <w:rFonts w:hint="default" w:ascii="Times New Roman" w:hAnsi="Times New Roman" w:cs="Times New Roman"/>
          <w:sz w:val="24"/>
          <w:szCs w:val="24"/>
        </w:rPr>
        <w:t xml:space="preserve"> London, New York, Wiley-Interscience.</w:t>
      </w:r>
    </w:p>
    <w:p w14:paraId="0427F4EB">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Oerther, S. (2019). Localizing the United Nations Sustainable Development Goals to rural communities in America through university extension programmes. </w:t>
      </w:r>
      <w:r>
        <w:rPr>
          <w:rFonts w:hint="default" w:ascii="Times New Roman" w:hAnsi="Times New Roman" w:cs="Times New Roman"/>
          <w:i/>
          <w:iCs/>
          <w:sz w:val="24"/>
          <w:szCs w:val="24"/>
        </w:rPr>
        <w:t>Nursing Open</w:t>
      </w:r>
      <w:r>
        <w:rPr>
          <w:rFonts w:hint="default" w:ascii="Times New Roman" w:hAnsi="Times New Roman" w:cs="Times New Roman"/>
          <w:sz w:val="24"/>
          <w:szCs w:val="24"/>
        </w:rPr>
        <w:t>, 6(3), pp.662–663. doi:https://doi.org/10.1002/nop2.337.</w:t>
      </w:r>
    </w:p>
    <w:p w14:paraId="1A70351D">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Oteng, B., Mensah, R.O., Adiza Babah, P. and Swanzy-Impraim, E. (2023). Social studies and history curriculum assessment in colleges of education in Ghana: Reflective practices of teacher educators. </w:t>
      </w:r>
      <w:r>
        <w:rPr>
          <w:rFonts w:hint="default" w:ascii="Times New Roman" w:hAnsi="Times New Roman" w:cs="Times New Roman"/>
          <w:i/>
          <w:iCs/>
          <w:sz w:val="24"/>
          <w:szCs w:val="24"/>
        </w:rPr>
        <w:t>Cogent Education</w:t>
      </w:r>
      <w:r>
        <w:rPr>
          <w:rFonts w:hint="default" w:ascii="Times New Roman" w:hAnsi="Times New Roman" w:cs="Times New Roman"/>
          <w:sz w:val="24"/>
          <w:szCs w:val="24"/>
        </w:rPr>
        <w:t>, 10(1). doi:https://doi.org/10.1080/2331186x.2023.2175515.</w:t>
      </w:r>
    </w:p>
    <w:p w14:paraId="00F54305">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Pelissero, J.P. and Krebs, T.B. (1997). City Council Legislative Committees and Policy-making in Large United States Cities. </w:t>
      </w:r>
      <w:r>
        <w:rPr>
          <w:rFonts w:hint="default" w:ascii="Times New Roman" w:hAnsi="Times New Roman" w:cs="Times New Roman"/>
          <w:i/>
          <w:iCs/>
          <w:sz w:val="24"/>
          <w:szCs w:val="24"/>
        </w:rPr>
        <w:t>American Journal of Political Science</w:t>
      </w:r>
      <w:r>
        <w:rPr>
          <w:rFonts w:hint="default" w:ascii="Times New Roman" w:hAnsi="Times New Roman" w:cs="Times New Roman"/>
          <w:sz w:val="24"/>
          <w:szCs w:val="24"/>
        </w:rPr>
        <w:t>, 41(2), p.499. doi:https://doi.org/10.2307/2111774.</w:t>
      </w:r>
    </w:p>
    <w:p w14:paraId="4ECAB85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Peterson, W.J., Munzer, B.W., Tucker, R., Losman, E., Harvey, C.K., Hatton, C.J., Sefa, N., Bassin, B.S. and Hsu, C.H. (2021). Rapid Dissemination of a COVID-19 Airway Management Simulation Using a Train-the-Trainers Curriculum. </w:t>
      </w:r>
      <w:r>
        <w:rPr>
          <w:rFonts w:hint="default" w:ascii="Times New Roman" w:hAnsi="Times New Roman" w:cs="Times New Roman"/>
          <w:i/>
          <w:iCs/>
          <w:sz w:val="24"/>
          <w:szCs w:val="24"/>
        </w:rPr>
        <w:t>Academic Medicine</w:t>
      </w:r>
      <w:r>
        <w:rPr>
          <w:rFonts w:hint="default" w:ascii="Times New Roman" w:hAnsi="Times New Roman" w:cs="Times New Roman"/>
          <w:sz w:val="24"/>
          <w:szCs w:val="24"/>
        </w:rPr>
        <w:t>, 96(10), pp.1414–1418. doi:https://doi.org/10.1097/acm.0000000000004120.</w:t>
      </w:r>
    </w:p>
    <w:p w14:paraId="2D70FC0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Pizzi, S., Caputo, A., Corvino, A. and Venturelli, A. (2020). Management research and the UN sustainable development goals (SDGs): A bibliometric investigation and systematic review. </w:t>
      </w:r>
      <w:r>
        <w:rPr>
          <w:rFonts w:hint="default" w:ascii="Times New Roman" w:hAnsi="Times New Roman" w:cs="Times New Roman"/>
          <w:i/>
          <w:iCs/>
          <w:sz w:val="24"/>
          <w:szCs w:val="24"/>
        </w:rPr>
        <w:t>Journal of Cleaner Production</w:t>
      </w:r>
      <w:r>
        <w:rPr>
          <w:rFonts w:hint="default" w:ascii="Times New Roman" w:hAnsi="Times New Roman" w:cs="Times New Roman"/>
          <w:sz w:val="24"/>
          <w:szCs w:val="24"/>
        </w:rPr>
        <w:t>, 276(1), p.124033. doi:https://doi.org/10.1016/j.jclepro.2020.124033.</w:t>
      </w:r>
    </w:p>
    <w:p w14:paraId="085C246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Reeping, D., Grote, D., McNair, L. and Martin, T. (n.d.). Curricular Complexity as a Metric to Forecast Issues with Transferring into a Redesigned Engineering Curriculum. </w:t>
      </w:r>
      <w:r>
        <w:rPr>
          <w:rFonts w:hint="default" w:ascii="Times New Roman" w:hAnsi="Times New Roman" w:cs="Times New Roman"/>
          <w:i/>
          <w:iCs/>
          <w:sz w:val="24"/>
          <w:szCs w:val="24"/>
        </w:rPr>
        <w:t>2020 ASEE Virtual Annual Conference Content Access Proceedings</w:t>
      </w:r>
      <w:r>
        <w:rPr>
          <w:rFonts w:hint="default" w:ascii="Times New Roman" w:hAnsi="Times New Roman" w:cs="Times New Roman"/>
          <w:sz w:val="24"/>
          <w:szCs w:val="24"/>
        </w:rPr>
        <w:t>. doi:https://doi.org/10.18260/1-2--34363.</w:t>
      </w:r>
    </w:p>
    <w:p w14:paraId="24F9AC6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Rowe, D., Gentile, S.J. and Clevey, L. (2015). The U.S. Partnership for Education for Sustainable Development: Progress and Challenges Ahead. </w:t>
      </w:r>
      <w:r>
        <w:rPr>
          <w:rFonts w:hint="default" w:ascii="Times New Roman" w:hAnsi="Times New Roman" w:cs="Times New Roman"/>
          <w:i/>
          <w:iCs/>
          <w:sz w:val="24"/>
          <w:szCs w:val="24"/>
        </w:rPr>
        <w:t>Applied Environmental Education &amp; Communication</w:t>
      </w:r>
      <w:r>
        <w:rPr>
          <w:rFonts w:hint="default" w:ascii="Times New Roman" w:hAnsi="Times New Roman" w:cs="Times New Roman"/>
          <w:sz w:val="24"/>
          <w:szCs w:val="24"/>
        </w:rPr>
        <w:t>, 14(2), pp.112–120. doi:https://doi.org/10.1080/1533015x.2014.978048.</w:t>
      </w:r>
    </w:p>
    <w:p w14:paraId="25B3C8A0">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Schaefer, R.E. (2021). Redefining liberal arts education in the twenty-first century. </w:t>
      </w:r>
      <w:r>
        <w:rPr>
          <w:rFonts w:hint="default" w:ascii="Times New Roman" w:hAnsi="Times New Roman" w:cs="Times New Roman"/>
          <w:i/>
          <w:iCs/>
          <w:sz w:val="24"/>
          <w:szCs w:val="24"/>
        </w:rPr>
        <w:t>The Journal of General Education</w:t>
      </w:r>
      <w:r>
        <w:rPr>
          <w:rFonts w:hint="default" w:ascii="Times New Roman" w:hAnsi="Times New Roman" w:cs="Times New Roman"/>
          <w:sz w:val="24"/>
          <w:szCs w:val="24"/>
        </w:rPr>
        <w:t>, 70(1-2), pp.174–179. doi:https://doi.org/10.5325/jgeneeduc.70.1-2.0174.</w:t>
      </w:r>
    </w:p>
    <w:p w14:paraId="3777DC5C">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Schneiderhan, J., Guetterman, T.C. and Dobson, M.L. (2019). Curriculum development: a how to primer. </w:t>
      </w:r>
      <w:r>
        <w:rPr>
          <w:rFonts w:hint="default" w:ascii="Times New Roman" w:hAnsi="Times New Roman" w:cs="Times New Roman"/>
          <w:i/>
          <w:iCs/>
          <w:sz w:val="24"/>
          <w:szCs w:val="24"/>
        </w:rPr>
        <w:t>Family Medicine and Community Health</w:t>
      </w:r>
      <w:r>
        <w:rPr>
          <w:rFonts w:hint="default" w:ascii="Times New Roman" w:hAnsi="Times New Roman" w:cs="Times New Roman"/>
          <w:sz w:val="24"/>
          <w:szCs w:val="24"/>
        </w:rPr>
        <w:t>, 7(2), p.e000046. doi:https://doi.org/10.1136/fmch-2018-000046.</w:t>
      </w:r>
    </w:p>
    <w:p w14:paraId="2853657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Scott, L.M. (2016). Theory and research in construction education: the case for pragmatism. </w:t>
      </w:r>
      <w:r>
        <w:rPr>
          <w:rFonts w:hint="default" w:ascii="Times New Roman" w:hAnsi="Times New Roman" w:cs="Times New Roman"/>
          <w:i/>
          <w:iCs/>
          <w:sz w:val="24"/>
          <w:szCs w:val="24"/>
        </w:rPr>
        <w:t>Construction Management and Economics</w:t>
      </w:r>
      <w:r>
        <w:rPr>
          <w:rFonts w:hint="default" w:ascii="Times New Roman" w:hAnsi="Times New Roman" w:cs="Times New Roman"/>
          <w:sz w:val="24"/>
          <w:szCs w:val="24"/>
        </w:rPr>
        <w:t>, 34(7-8), pp.552–560. doi:https://doi.org/10.1080/01446193.2016.1151539.</w:t>
      </w:r>
    </w:p>
    <w:p w14:paraId="4C968C7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Sepasi, S., Rahdari, A. and Rexhepi, G. (2018). Developing a sustainability reporting assessment tool for higher education institutions: The University of California. </w:t>
      </w:r>
      <w:r>
        <w:rPr>
          <w:rFonts w:hint="default" w:ascii="Times New Roman" w:hAnsi="Times New Roman" w:cs="Times New Roman"/>
          <w:i/>
          <w:iCs/>
          <w:sz w:val="24"/>
          <w:szCs w:val="24"/>
        </w:rPr>
        <w:t>Sustainable Development</w:t>
      </w:r>
      <w:r>
        <w:rPr>
          <w:rFonts w:hint="default" w:ascii="Times New Roman" w:hAnsi="Times New Roman" w:cs="Times New Roman"/>
          <w:sz w:val="24"/>
          <w:szCs w:val="24"/>
        </w:rPr>
        <w:t>, 26(6), pp.672–682. doi:https://doi.org/10.1002/sd.1736.</w:t>
      </w:r>
    </w:p>
    <w:p w14:paraId="2294104E">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Shulla, K., Filho, W.L., Lardjane, S., Sommer, J.H. and Borgemeister, C. (2020). Sustainable development education in the context of the 2030 Agenda for sustainable development. </w:t>
      </w:r>
      <w:r>
        <w:rPr>
          <w:rFonts w:hint="default" w:ascii="Times New Roman" w:hAnsi="Times New Roman" w:cs="Times New Roman"/>
          <w:i/>
          <w:iCs/>
          <w:sz w:val="24"/>
          <w:szCs w:val="24"/>
        </w:rPr>
        <w:t>International Journal of Sustainable Development &amp; World Ecology</w:t>
      </w:r>
      <w:r>
        <w:rPr>
          <w:rFonts w:hint="default" w:ascii="Times New Roman" w:hAnsi="Times New Roman" w:cs="Times New Roman"/>
          <w:sz w:val="24"/>
          <w:szCs w:val="24"/>
        </w:rPr>
        <w:t>, 27(5), pp.1–11. doi:https://doi.org/10.1080/13504509.2020.1721378.</w:t>
      </w:r>
    </w:p>
    <w:p w14:paraId="2E25FE37">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Tsihouridis, C., Vavougios, D., Batsila, M. and Ioannidis, G. (2019). The Optimum Equilibrium when Using Experiments in Teaching – Where Virtual and Real Labs Stand in Science and Engineering Teaching Practice. </w:t>
      </w:r>
      <w:r>
        <w:rPr>
          <w:rFonts w:hint="default" w:ascii="Times New Roman" w:hAnsi="Times New Roman" w:cs="Times New Roman"/>
          <w:i/>
          <w:iCs/>
          <w:sz w:val="24"/>
          <w:szCs w:val="24"/>
        </w:rPr>
        <w:t>International Journal of Emerging Technologies in Learning (iJET)</w:t>
      </w:r>
      <w:r>
        <w:rPr>
          <w:rFonts w:hint="default" w:ascii="Times New Roman" w:hAnsi="Times New Roman" w:cs="Times New Roman"/>
          <w:sz w:val="24"/>
          <w:szCs w:val="24"/>
        </w:rPr>
        <w:t>, 14(23), p.67. doi:https://doi.org/10.3991/ijet.v14i23.10890.</w:t>
      </w:r>
    </w:p>
    <w:p w14:paraId="3287584C">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UNESCO (2016). </w:t>
      </w:r>
      <w:r>
        <w:rPr>
          <w:rFonts w:hint="default" w:ascii="Times New Roman" w:hAnsi="Times New Roman" w:cs="Times New Roman"/>
          <w:i/>
          <w:iCs/>
          <w:sz w:val="24"/>
          <w:szCs w:val="24"/>
        </w:rPr>
        <w:t>Education 2030: Incheon Declaration and Framework for Action for the implementation of Sustainable Development Goal 4: Ensure inclusive and equitable quality education and promote lifelong learning opportunities for all</w:t>
      </w:r>
      <w:r>
        <w:rPr>
          <w:rFonts w:hint="default" w:ascii="Times New Roman" w:hAnsi="Times New Roman" w:cs="Times New Roman"/>
          <w:sz w:val="24"/>
          <w:szCs w:val="24"/>
        </w:rPr>
        <w:t>. [online] Unesco.org. Available at: https://unesdoc.unesco.org/ark:/48223/pf0000245656.</w:t>
      </w:r>
    </w:p>
    <w:p w14:paraId="09E1B3A8">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Valderrama-Hernández, R., Sánchez-Carracedo, F., Alcántara Rubio, L. and Limón-Domínguez, D. (2019). Methodology to Analyze the Effectiveness of ESD in a Higher Degree in Education. A Case Study. </w:t>
      </w:r>
      <w:r>
        <w:rPr>
          <w:rFonts w:hint="default" w:ascii="Times New Roman" w:hAnsi="Times New Roman" w:cs="Times New Roman"/>
          <w:i/>
          <w:iCs/>
          <w:sz w:val="24"/>
          <w:szCs w:val="24"/>
        </w:rPr>
        <w:t>Sustainability</w:t>
      </w:r>
      <w:r>
        <w:rPr>
          <w:rFonts w:hint="default" w:ascii="Times New Roman" w:hAnsi="Times New Roman" w:cs="Times New Roman"/>
          <w:sz w:val="24"/>
          <w:szCs w:val="24"/>
        </w:rPr>
        <w:t>, 12(1), p.222. doi:https://doi.org/10.3390/su12010222.</w:t>
      </w:r>
    </w:p>
    <w:p w14:paraId="18BC1243">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Vare, P., Lausselet, N. and Rieckmann, M. (2022). </w:t>
      </w:r>
      <w:r>
        <w:rPr>
          <w:rFonts w:hint="default" w:ascii="Times New Roman" w:hAnsi="Times New Roman" w:cs="Times New Roman"/>
          <w:i/>
          <w:iCs/>
          <w:sz w:val="24"/>
          <w:szCs w:val="24"/>
        </w:rPr>
        <w:t>Competences in education for sustainable development : critical perspectives</w:t>
      </w:r>
      <w:r>
        <w:rPr>
          <w:rFonts w:hint="default" w:ascii="Times New Roman" w:hAnsi="Times New Roman" w:cs="Times New Roman"/>
          <w:sz w:val="24"/>
          <w:szCs w:val="24"/>
        </w:rPr>
        <w:t>. Cham: Springer.</w:t>
      </w:r>
    </w:p>
    <w:p w14:paraId="599E4334">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Velez, A.-L., Hall, R.P. and Lewis, S.N. (2021). Designing transdisciplinarity: Exploring institutional drivers and barriers to collaborative transdisciplinary teaching. </w:t>
      </w:r>
      <w:r>
        <w:rPr>
          <w:rFonts w:hint="default" w:ascii="Times New Roman" w:hAnsi="Times New Roman" w:cs="Times New Roman"/>
          <w:i/>
          <w:iCs/>
          <w:sz w:val="24"/>
          <w:szCs w:val="24"/>
        </w:rPr>
        <w:t>Journal of Public Affairs Education</w:t>
      </w:r>
      <w:r>
        <w:rPr>
          <w:rFonts w:hint="default" w:ascii="Times New Roman" w:hAnsi="Times New Roman" w:cs="Times New Roman"/>
          <w:sz w:val="24"/>
          <w:szCs w:val="24"/>
        </w:rPr>
        <w:t>, pp.1–18. doi:https://doi.org/10.1080/15236803.2021.1992196.</w:t>
      </w:r>
    </w:p>
    <w:p w14:paraId="79C1524B">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Vickery, J. (2016). Globalization, culture, and development: the UNESCO convention on cultural diversity. </w:t>
      </w:r>
      <w:r>
        <w:rPr>
          <w:rFonts w:hint="default" w:ascii="Times New Roman" w:hAnsi="Times New Roman" w:cs="Times New Roman"/>
          <w:i/>
          <w:iCs/>
          <w:sz w:val="24"/>
          <w:szCs w:val="24"/>
        </w:rPr>
        <w:t>Cultural Trends</w:t>
      </w:r>
      <w:r>
        <w:rPr>
          <w:rFonts w:hint="default" w:ascii="Times New Roman" w:hAnsi="Times New Roman" w:cs="Times New Roman"/>
          <w:sz w:val="24"/>
          <w:szCs w:val="24"/>
        </w:rPr>
        <w:t>, 25(2), pp.145–147. doi:https://doi.org/10.1080/09548963.2016.1170916.</w:t>
      </w:r>
    </w:p>
    <w:p w14:paraId="2581C68D">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Wang, X., Song, C., Cheng, C., Ye, S. and Shen, S. (2021). Cross-national Perspectives on Using Sustainable Development Goals (SDGs) Indicators for Monitoring Sustainable Development: A Database and Analysis. </w:t>
      </w:r>
      <w:r>
        <w:rPr>
          <w:rFonts w:hint="default" w:ascii="Times New Roman" w:hAnsi="Times New Roman" w:cs="Times New Roman"/>
          <w:i/>
          <w:iCs/>
          <w:sz w:val="24"/>
          <w:szCs w:val="24"/>
        </w:rPr>
        <w:t>Chinese Geographical Science</w:t>
      </w:r>
      <w:r>
        <w:rPr>
          <w:rFonts w:hint="default" w:ascii="Times New Roman" w:hAnsi="Times New Roman" w:cs="Times New Roman"/>
          <w:sz w:val="24"/>
          <w:szCs w:val="24"/>
        </w:rPr>
        <w:t>, 31(4), pp.600–610. doi:https://doi.org/10.1007/s11769-021-1213-9.</w:t>
      </w:r>
    </w:p>
    <w:p w14:paraId="4A3A6B11">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William Edwards Deming (2018). </w:t>
      </w:r>
      <w:r>
        <w:rPr>
          <w:rFonts w:hint="default" w:ascii="Times New Roman" w:hAnsi="Times New Roman" w:cs="Times New Roman"/>
          <w:i/>
          <w:iCs/>
          <w:sz w:val="24"/>
          <w:szCs w:val="24"/>
        </w:rPr>
        <w:t>The new economics for industry, government, education</w:t>
      </w:r>
      <w:r>
        <w:rPr>
          <w:rFonts w:hint="default" w:ascii="Times New Roman" w:hAnsi="Times New Roman" w:cs="Times New Roman"/>
          <w:sz w:val="24"/>
          <w:szCs w:val="24"/>
        </w:rPr>
        <w:t>. 3rd ed. Cambridge, Massachusetts Mit Press.</w:t>
      </w:r>
    </w:p>
    <w:p w14:paraId="06F39AA8">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Wilson, B.G. (1996). </w:t>
      </w:r>
      <w:r>
        <w:rPr>
          <w:rFonts w:hint="default" w:ascii="Times New Roman" w:hAnsi="Times New Roman" w:cs="Times New Roman"/>
          <w:i/>
          <w:iCs/>
          <w:sz w:val="24"/>
          <w:szCs w:val="24"/>
        </w:rPr>
        <w:t>Constructivist Learning Environments : Case Studies in Instructional Design</w:t>
      </w:r>
      <w:r>
        <w:rPr>
          <w:rFonts w:hint="default" w:ascii="Times New Roman" w:hAnsi="Times New Roman" w:cs="Times New Roman"/>
          <w:sz w:val="24"/>
          <w:szCs w:val="24"/>
        </w:rPr>
        <w:t>. Englewood Cliffs, N.J: Educational Technology Publications, pp.11–24.</w:t>
      </w:r>
    </w:p>
    <w:p w14:paraId="77ECCD5A">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You, J. (2013). Confronting Challenges to the Liberal Arts Curriculum: Perspectives of Developing and Transitional Countries. Patti McGill Peterson (Ed). London and New York: Routledge, 2012. 248 pp. $47.95. ISBN: 9780415506069. </w:t>
      </w:r>
      <w:r>
        <w:rPr>
          <w:rFonts w:hint="default" w:ascii="Times New Roman" w:hAnsi="Times New Roman" w:cs="Times New Roman"/>
          <w:i/>
          <w:iCs/>
          <w:sz w:val="24"/>
          <w:szCs w:val="24"/>
        </w:rPr>
        <w:t>Frontiers of Education in China</w:t>
      </w:r>
      <w:r>
        <w:rPr>
          <w:rFonts w:hint="default" w:ascii="Times New Roman" w:hAnsi="Times New Roman" w:cs="Times New Roman"/>
          <w:sz w:val="24"/>
          <w:szCs w:val="24"/>
        </w:rPr>
        <w:t>, 8(2), pp.326–329. doi:https://doi.org/10.3868/s110-002-013-0022-6.</w:t>
      </w:r>
    </w:p>
    <w:p w14:paraId="2029EC1D">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Zint, M., Michel, J.O., Valentine, T. and Collins, S. (2023). Collaborating with Students to Advance Climate Change Education at the University of Michigan (USA): Insights and Recommendations. pp.1–28. doi:https://doi.org/10.1007/978-3-031-25960-9_91-1.</w:t>
      </w:r>
    </w:p>
    <w:p w14:paraId="60892C2C">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eastAsia="zh-CN"/>
        </w:rPr>
      </w:pPr>
    </w:p>
    <w:sectPr>
      <w:pgSz w:w="11906" w:h="16838"/>
      <w:pgMar w:top="1440" w:right="1440" w:bottom="1440" w:left="1440"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E7BFC5"/>
    <w:multiLevelType w:val="singleLevel"/>
    <w:tmpl w:val="81E7BFC5"/>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C90112F"/>
    <w:rsid w:val="02954528"/>
    <w:rsid w:val="054B35C3"/>
    <w:rsid w:val="06A12682"/>
    <w:rsid w:val="06EC184A"/>
    <w:rsid w:val="072B545A"/>
    <w:rsid w:val="072E6CF9"/>
    <w:rsid w:val="093A1985"/>
    <w:rsid w:val="09B73407"/>
    <w:rsid w:val="0B032C32"/>
    <w:rsid w:val="0EE02FCE"/>
    <w:rsid w:val="1001144E"/>
    <w:rsid w:val="10345380"/>
    <w:rsid w:val="133B4C77"/>
    <w:rsid w:val="133D279D"/>
    <w:rsid w:val="138959E3"/>
    <w:rsid w:val="14097956"/>
    <w:rsid w:val="14634486"/>
    <w:rsid w:val="15E62F1F"/>
    <w:rsid w:val="183A54FD"/>
    <w:rsid w:val="19B412DF"/>
    <w:rsid w:val="19DB2D10"/>
    <w:rsid w:val="1A5F124B"/>
    <w:rsid w:val="1B26620D"/>
    <w:rsid w:val="1D1502E7"/>
    <w:rsid w:val="1D540E0F"/>
    <w:rsid w:val="1D7F1C04"/>
    <w:rsid w:val="1E5F5CBE"/>
    <w:rsid w:val="20450EE3"/>
    <w:rsid w:val="209E23A2"/>
    <w:rsid w:val="22C95DFC"/>
    <w:rsid w:val="230E380E"/>
    <w:rsid w:val="234B53FD"/>
    <w:rsid w:val="2729330D"/>
    <w:rsid w:val="27BB7CDD"/>
    <w:rsid w:val="292C01C0"/>
    <w:rsid w:val="29AB6FA1"/>
    <w:rsid w:val="2A9C5BA4"/>
    <w:rsid w:val="2B942D1F"/>
    <w:rsid w:val="2C506C46"/>
    <w:rsid w:val="2D6A1F89"/>
    <w:rsid w:val="2DB70322"/>
    <w:rsid w:val="2F305B32"/>
    <w:rsid w:val="2F5051AF"/>
    <w:rsid w:val="2F725125"/>
    <w:rsid w:val="2FB85935"/>
    <w:rsid w:val="2FEF6776"/>
    <w:rsid w:val="30A12166"/>
    <w:rsid w:val="312132A7"/>
    <w:rsid w:val="32290665"/>
    <w:rsid w:val="3264169D"/>
    <w:rsid w:val="32894C60"/>
    <w:rsid w:val="32D743D7"/>
    <w:rsid w:val="342F7A89"/>
    <w:rsid w:val="347B0F20"/>
    <w:rsid w:val="34FB796B"/>
    <w:rsid w:val="35704203"/>
    <w:rsid w:val="37364881"/>
    <w:rsid w:val="37A4078E"/>
    <w:rsid w:val="37B668C1"/>
    <w:rsid w:val="38417D8A"/>
    <w:rsid w:val="39363667"/>
    <w:rsid w:val="39864889"/>
    <w:rsid w:val="3AD247ED"/>
    <w:rsid w:val="3CC66AB0"/>
    <w:rsid w:val="3CD64F45"/>
    <w:rsid w:val="3CE05DC4"/>
    <w:rsid w:val="3F1735F3"/>
    <w:rsid w:val="42593669"/>
    <w:rsid w:val="4269685C"/>
    <w:rsid w:val="42A15E69"/>
    <w:rsid w:val="44095C00"/>
    <w:rsid w:val="444272B8"/>
    <w:rsid w:val="458961BC"/>
    <w:rsid w:val="4698326B"/>
    <w:rsid w:val="475E44B5"/>
    <w:rsid w:val="489F7706"/>
    <w:rsid w:val="49107A31"/>
    <w:rsid w:val="4F9842DC"/>
    <w:rsid w:val="5232580E"/>
    <w:rsid w:val="54482775"/>
    <w:rsid w:val="55570796"/>
    <w:rsid w:val="558C4C9C"/>
    <w:rsid w:val="55CF657E"/>
    <w:rsid w:val="55EE30DE"/>
    <w:rsid w:val="57A37CC2"/>
    <w:rsid w:val="588E271E"/>
    <w:rsid w:val="58CB5722"/>
    <w:rsid w:val="5AB53F94"/>
    <w:rsid w:val="5AD236A4"/>
    <w:rsid w:val="5C675762"/>
    <w:rsid w:val="5C90112F"/>
    <w:rsid w:val="5D775E79"/>
    <w:rsid w:val="5E287173"/>
    <w:rsid w:val="5EA66A16"/>
    <w:rsid w:val="60397460"/>
    <w:rsid w:val="603B13E0"/>
    <w:rsid w:val="60F575AC"/>
    <w:rsid w:val="61771B10"/>
    <w:rsid w:val="619C7C5C"/>
    <w:rsid w:val="620852F1"/>
    <w:rsid w:val="629A0792"/>
    <w:rsid w:val="62C84A81"/>
    <w:rsid w:val="62F85366"/>
    <w:rsid w:val="65752C9E"/>
    <w:rsid w:val="66CF4630"/>
    <w:rsid w:val="691B3B5C"/>
    <w:rsid w:val="6990454A"/>
    <w:rsid w:val="69C35C6A"/>
    <w:rsid w:val="69CA640A"/>
    <w:rsid w:val="69FD3262"/>
    <w:rsid w:val="6A892D47"/>
    <w:rsid w:val="6AD77F57"/>
    <w:rsid w:val="6B79100E"/>
    <w:rsid w:val="6BBD0EFB"/>
    <w:rsid w:val="6CDC7AA6"/>
    <w:rsid w:val="6ED0093A"/>
    <w:rsid w:val="7056191E"/>
    <w:rsid w:val="71155335"/>
    <w:rsid w:val="71632544"/>
    <w:rsid w:val="72255A4C"/>
    <w:rsid w:val="72395053"/>
    <w:rsid w:val="730E64E0"/>
    <w:rsid w:val="73353A6C"/>
    <w:rsid w:val="741A4440"/>
    <w:rsid w:val="74827185"/>
    <w:rsid w:val="75A650F5"/>
    <w:rsid w:val="75EE3190"/>
    <w:rsid w:val="76393874"/>
    <w:rsid w:val="7720089E"/>
    <w:rsid w:val="776963DA"/>
    <w:rsid w:val="79872B48"/>
    <w:rsid w:val="7A7C36FB"/>
    <w:rsid w:val="7A9319BA"/>
    <w:rsid w:val="7BF344C5"/>
    <w:rsid w:val="7BFD5343"/>
    <w:rsid w:val="7D013FCD"/>
    <w:rsid w:val="7D893333"/>
    <w:rsid w:val="7E4454AB"/>
    <w:rsid w:val="7E7C4C45"/>
    <w:rsid w:val="7EE822DB"/>
    <w:rsid w:val="7F00649F"/>
    <w:rsid w:val="7FAF2DF8"/>
    <w:rsid w:val="7FC818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6">
    <w:name w:val="Default Paragraph Font"/>
    <w:semiHidden/>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table" w:styleId="5">
    <w:name w:val="Table Grid"/>
    <w:basedOn w:val="4"/>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30</Pages>
  <Words>1870</Words>
  <Characters>11123</Characters>
  <Lines>0</Lines>
  <Paragraphs>0</Paragraphs>
  <TotalTime>0</TotalTime>
  <ScaleCrop>false</ScaleCrop>
  <LinksUpToDate>false</LinksUpToDate>
  <CharactersWithSpaces>12955</CharactersWithSpaces>
  <Application>WPS Office_12.1.0.21171_F1E327BC-269C-435d-A152-05C5408002CA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2025-05-12T20:47:00Z</dcterms:created>
  <dc:creator>抗寒的珠峰草本</dc:creator>
  <cp:lastModifiedBy>抗寒的珠峰草本</cp:lastModifiedBy>
  <dcterms:modified xsi:type="dcterms:W3CDTF">2025-05-15T19:25:21Z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2052-12.1.0.21171</vt:lpwstr>
  </property>
  <property fmtid="{D5CDD505-2E9C-101B-9397-08002B2CF9AE}" pid="3" name="ICV">
    <vt:lpwstr>4535DB5A4E544C83B43823CCA7A415C2_11</vt:lpwstr>
  </property>
  <property fmtid="{D5CDD505-2E9C-101B-9397-08002B2CF9AE}" pid="4" name="KSOTemplateDocerSaveRecord">
    <vt:lpwstr>eyJoZGlkIjoiNmU0YmNmMGUwMzkxZTMwMTcyNzNlODk2YzYxNDhmMzEiLCJ1c2VySWQiOiI2NzAwNTE1MzkifQ==</vt:lpwstr>
  </property>
</Properties>
</file>