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FD35903" w14:textId="0E9D31B8" w:rsidR="000639D8" w:rsidRDefault="000639D8" w:rsidP="000639D8">
      <w:pPr>
        <w:jc w:val="center"/>
        <w:rPr>
          <w:rFonts w:ascii="Arial" w:hAnsi="Arial" w:cs="Arial"/>
        </w:rPr>
      </w:pPr>
      <w:r w:rsidRPr="000639D8">
        <w:rPr>
          <w:rFonts w:ascii="Arial" w:hAnsi="Arial" w:cs="Arial"/>
        </w:rPr>
        <w:t>Muhamma</w:t>
      </w:r>
      <w:r>
        <w:rPr>
          <w:rFonts w:ascii="Arial" w:hAnsi="Arial" w:cs="Arial"/>
        </w:rPr>
        <w:t>d Shabbir</w:t>
      </w:r>
    </w:p>
    <w:p w14:paraId="3F89095B" w14:textId="16104540" w:rsidR="000639D8" w:rsidRDefault="00E277B2" w:rsidP="000639D8">
      <w:pPr>
        <w:jc w:val="center"/>
        <w:rPr>
          <w:rFonts w:ascii="Arial" w:hAnsi="Arial" w:cs="Arial"/>
        </w:rPr>
      </w:pPr>
      <w:r>
        <w:rPr>
          <w:rFonts w:ascii="Arial" w:hAnsi="Arial" w:cs="Arial"/>
        </w:rPr>
        <w:t>2127503</w:t>
      </w:r>
    </w:p>
    <w:p w14:paraId="093D6B2A" w14:textId="29D56DA9" w:rsidR="00E277B2" w:rsidRDefault="00E277B2" w:rsidP="000639D8">
      <w:pPr>
        <w:jc w:val="center"/>
        <w:rPr>
          <w:rFonts w:ascii="Arial" w:hAnsi="Arial" w:cs="Arial"/>
        </w:rPr>
      </w:pPr>
      <w:r>
        <w:rPr>
          <w:rFonts w:ascii="Arial" w:hAnsi="Arial" w:cs="Arial"/>
        </w:rPr>
        <w:t>BMSW4001 – Academic and Employability Skills</w:t>
      </w:r>
    </w:p>
    <w:p w14:paraId="7BDCBC91" w14:textId="4F3A2827" w:rsidR="00E277B2" w:rsidRDefault="001E203E" w:rsidP="000639D8">
      <w:pPr>
        <w:jc w:val="center"/>
        <w:rPr>
          <w:rFonts w:ascii="Arial" w:hAnsi="Arial" w:cs="Arial"/>
        </w:rPr>
      </w:pPr>
      <w:r>
        <w:rPr>
          <w:rFonts w:ascii="Arial" w:hAnsi="Arial" w:cs="Arial"/>
        </w:rPr>
        <w:t>Lecturer</w:t>
      </w:r>
      <w:r w:rsidR="00FA6944">
        <w:rPr>
          <w:rFonts w:ascii="Arial" w:hAnsi="Arial" w:cs="Arial"/>
        </w:rPr>
        <w:t>:</w:t>
      </w:r>
      <w:r w:rsidR="00E453D7">
        <w:rPr>
          <w:rFonts w:ascii="Arial" w:hAnsi="Arial" w:cs="Arial"/>
        </w:rPr>
        <w:t xml:space="preserve"> D</w:t>
      </w:r>
      <w:r w:rsidR="00A744F9">
        <w:rPr>
          <w:rFonts w:ascii="Arial" w:hAnsi="Arial" w:cs="Arial"/>
        </w:rPr>
        <w:t xml:space="preserve">r Doreen </w:t>
      </w:r>
      <w:proofErr w:type="spellStart"/>
      <w:r w:rsidR="00A744F9">
        <w:rPr>
          <w:rFonts w:ascii="Arial" w:hAnsi="Arial" w:cs="Arial"/>
        </w:rPr>
        <w:t>Nyaa</w:t>
      </w:r>
      <w:proofErr w:type="spellEnd"/>
      <w:r w:rsidR="00A744F9">
        <w:rPr>
          <w:rFonts w:ascii="Arial" w:hAnsi="Arial" w:cs="Arial"/>
        </w:rPr>
        <w:t xml:space="preserve"> </w:t>
      </w:r>
      <w:proofErr w:type="spellStart"/>
      <w:r w:rsidR="00A744F9">
        <w:rPr>
          <w:rFonts w:ascii="Arial" w:hAnsi="Arial" w:cs="Arial"/>
        </w:rPr>
        <w:t>Amundam</w:t>
      </w:r>
      <w:proofErr w:type="spellEnd"/>
    </w:p>
    <w:p w14:paraId="15CF222A" w14:textId="7C872C55" w:rsidR="00E277B2" w:rsidRDefault="00E277B2" w:rsidP="000639D8">
      <w:pPr>
        <w:jc w:val="center"/>
        <w:rPr>
          <w:rFonts w:ascii="Arial" w:hAnsi="Arial" w:cs="Arial"/>
        </w:rPr>
      </w:pPr>
      <w:r>
        <w:rPr>
          <w:rFonts w:ascii="Arial" w:hAnsi="Arial" w:cs="Arial"/>
        </w:rPr>
        <w:t>Title – Academic Report</w:t>
      </w:r>
    </w:p>
    <w:p w14:paraId="68BCAF0A" w14:textId="2993FDB5" w:rsidR="00E277B2" w:rsidRDefault="00E277B2" w:rsidP="000639D8">
      <w:pPr>
        <w:jc w:val="center"/>
        <w:rPr>
          <w:rFonts w:ascii="Arial" w:hAnsi="Arial" w:cs="Arial"/>
        </w:rPr>
      </w:pPr>
    </w:p>
    <w:p w14:paraId="03FECF0F" w14:textId="4DC5E08E" w:rsidR="00E80020" w:rsidRPr="0025379E" w:rsidRDefault="00E80020" w:rsidP="00E80020">
      <w:pPr>
        <w:spacing w:line="360" w:lineRule="auto"/>
        <w:rPr>
          <w:rFonts w:ascii="Arial" w:hAnsi="Arial" w:cs="Arial"/>
        </w:rPr>
      </w:pPr>
      <w:r w:rsidRPr="00173AB4">
        <w:rPr>
          <w:rFonts w:ascii="Arial" w:hAnsi="Arial" w:cs="Arial"/>
          <w:u w:val="single"/>
        </w:rPr>
        <w:t>Introduction</w:t>
      </w:r>
      <w:r w:rsidRPr="0025379E">
        <w:rPr>
          <w:rFonts w:ascii="Arial" w:hAnsi="Arial" w:cs="Arial"/>
        </w:rPr>
        <w:br/>
        <w:t>Motivating staff is crucial for organizations to attain their objectives, especially in the healthcare sector. The National Health Service (NHS) has faced challenges in motivating its employees, which have resulted in low morale and job satisfaction. However, there are lessons that the NHS can learn from other industries such as retail, hospitality, and event catering. This report examines three articles that provide insights into staff motivation and proposes ten steps to enhancing employee motivation.</w:t>
      </w:r>
      <w:r w:rsidRPr="0025379E">
        <w:rPr>
          <w:rFonts w:ascii="Arial" w:hAnsi="Arial" w:cs="Arial"/>
        </w:rPr>
        <w:br/>
      </w:r>
      <w:r w:rsidRPr="0025379E">
        <w:rPr>
          <w:rFonts w:ascii="Arial" w:hAnsi="Arial" w:cs="Arial"/>
        </w:rPr>
        <w:br/>
      </w:r>
      <w:r w:rsidRPr="00E80020">
        <w:rPr>
          <w:rFonts w:ascii="Arial" w:hAnsi="Arial" w:cs="Arial"/>
          <w:u w:val="single"/>
        </w:rPr>
        <w:t>Article 1: Lessons for Staff Motivation from John Lewis</w:t>
      </w:r>
      <w:r w:rsidRPr="0025379E">
        <w:rPr>
          <w:rFonts w:ascii="Arial" w:hAnsi="Arial" w:cs="Arial"/>
        </w:rPr>
        <w:br/>
        <w:t>The Nuffield Trust, a prominent research organization, has meticulously scrutinized the methodologies adopted by John Lewis to invigorate its employees. The outcome of their study could potentially be utilitarian for the National Health Service (NHS). In an effort to understand the key drivers behind the motivation of employees at John Lewis, it was discovered that this company places significant emphasis on investing in training and development programs that are specifically designed for its workforce. Such initiatives result in empowering employees to make autonomous decisions, which enhances their sense of ownership and accountability towards their work. Notably, John Lewis also incentivizes its staff members through bonuses based on the overall performance of the company. This business strategy is pivotal in fostering a strong culture of teamwork among the personnel while instilling a deep sense of camaraderie amongst them. According to data released by the Nuffield Trust in 2015, these factors have contributed significantly towards making John Lewis one of the most successful retail brands in recent times.</w:t>
      </w:r>
      <w:r w:rsidRPr="0025379E">
        <w:rPr>
          <w:rFonts w:ascii="Arial" w:hAnsi="Arial" w:cs="Arial"/>
        </w:rPr>
        <w:br/>
      </w:r>
      <w:r w:rsidRPr="0025379E">
        <w:rPr>
          <w:rFonts w:ascii="Arial" w:hAnsi="Arial" w:cs="Arial"/>
        </w:rPr>
        <w:br/>
      </w:r>
      <w:r w:rsidRPr="00E80020">
        <w:rPr>
          <w:rFonts w:ascii="Arial" w:hAnsi="Arial" w:cs="Arial"/>
          <w:u w:val="single"/>
        </w:rPr>
        <w:t>Article 2: Zero Hours Contracts and Job Motivation of Event Catering Staff</w:t>
      </w:r>
      <w:r>
        <w:rPr>
          <w:rFonts w:ascii="Arial" w:hAnsi="Arial" w:cs="Arial"/>
        </w:rPr>
        <w:t xml:space="preserve">                        </w:t>
      </w:r>
      <w:r w:rsidRPr="0025379E">
        <w:rPr>
          <w:rFonts w:ascii="Arial" w:hAnsi="Arial" w:cs="Arial"/>
        </w:rPr>
        <w:t>Zero hours contracts have become increasingly common in the UK in recent years</w:t>
      </w:r>
      <w:r>
        <w:rPr>
          <w:rFonts w:ascii="Arial" w:hAnsi="Arial" w:cs="Arial"/>
        </w:rPr>
        <w:t xml:space="preserve"> </w:t>
      </w:r>
      <w:r w:rsidRPr="0025379E">
        <w:rPr>
          <w:rFonts w:ascii="Arial" w:hAnsi="Arial" w:cs="Arial"/>
        </w:rPr>
        <w:t>(</w:t>
      </w:r>
      <w:proofErr w:type="spellStart"/>
      <w:r w:rsidRPr="0025379E">
        <w:rPr>
          <w:rFonts w:ascii="Arial" w:hAnsi="Arial" w:cs="Arial"/>
        </w:rPr>
        <w:t>Filimonau</w:t>
      </w:r>
      <w:proofErr w:type="spellEnd"/>
      <w:r w:rsidRPr="0025379E">
        <w:rPr>
          <w:rFonts w:ascii="Arial" w:hAnsi="Arial" w:cs="Arial"/>
        </w:rPr>
        <w:t xml:space="preserve"> &amp; </w:t>
      </w:r>
      <w:proofErr w:type="spellStart"/>
      <w:r w:rsidRPr="0025379E">
        <w:rPr>
          <w:rFonts w:ascii="Arial" w:hAnsi="Arial" w:cs="Arial"/>
        </w:rPr>
        <w:t>Corradini</w:t>
      </w:r>
      <w:proofErr w:type="spellEnd"/>
      <w:r w:rsidRPr="0025379E">
        <w:rPr>
          <w:rFonts w:ascii="Arial" w:hAnsi="Arial" w:cs="Arial"/>
        </w:rPr>
        <w:t>, 2020).</w:t>
      </w:r>
      <w:r>
        <w:rPr>
          <w:rFonts w:ascii="Arial" w:hAnsi="Arial" w:cs="Arial"/>
        </w:rPr>
        <w:t xml:space="preserve"> </w:t>
      </w:r>
      <w:r w:rsidRPr="0025379E">
        <w:rPr>
          <w:rFonts w:ascii="Arial" w:hAnsi="Arial" w:cs="Arial"/>
        </w:rPr>
        <w:t xml:space="preserve">They are short-term contracts that provide no guarantee of work and pay only for the hours worked. Although such contracts provide flexibility to employers, they can have a negative impact on employees' motivation levels. Research by </w:t>
      </w:r>
      <w:proofErr w:type="spellStart"/>
      <w:r w:rsidRPr="0025379E">
        <w:rPr>
          <w:rFonts w:ascii="Arial" w:hAnsi="Arial" w:cs="Arial"/>
        </w:rPr>
        <w:t>Deery</w:t>
      </w:r>
      <w:proofErr w:type="spellEnd"/>
      <w:r w:rsidRPr="0025379E">
        <w:rPr>
          <w:rFonts w:ascii="Arial" w:hAnsi="Arial" w:cs="Arial"/>
        </w:rPr>
        <w:t xml:space="preserve"> et al. (2015) showed that the use of zero hours contracts has a negative impact on job </w:t>
      </w:r>
      <w:r w:rsidRPr="0025379E">
        <w:rPr>
          <w:rFonts w:ascii="Arial" w:hAnsi="Arial" w:cs="Arial"/>
        </w:rPr>
        <w:lastRenderedPageBreak/>
        <w:t>motivation levels, resulting in higher levels of stress, dissatisfaction, and job insecurity among employees.</w:t>
      </w:r>
    </w:p>
    <w:p w14:paraId="615A24A6" w14:textId="77777777" w:rsidR="00E80020" w:rsidRDefault="00E80020" w:rsidP="00E80020">
      <w:pPr>
        <w:spacing w:line="360" w:lineRule="auto"/>
        <w:rPr>
          <w:rFonts w:ascii="Arial" w:hAnsi="Arial" w:cs="Arial"/>
        </w:rPr>
      </w:pPr>
      <w:r w:rsidRPr="0025379E">
        <w:rPr>
          <w:rFonts w:ascii="Arial" w:hAnsi="Arial" w:cs="Arial"/>
        </w:rPr>
        <w:t>The impact of zero hours contracts on motivation can be attributed to the uncertainty of work, lack of job security, and inadequate pay. These factors can lead to low morale, reduced productivity, and an increase in staff turnover rates. Therefore, it is important for employers to ensure job security, fair pay, and opportunities for career development to maintain motivation levels among employees.</w:t>
      </w:r>
    </w:p>
    <w:p w14:paraId="6DC244D0" w14:textId="7369AFFB" w:rsidR="00E80020" w:rsidRPr="00E80020" w:rsidRDefault="00E80020" w:rsidP="00E80020">
      <w:pPr>
        <w:spacing w:line="360" w:lineRule="auto"/>
        <w:rPr>
          <w:rFonts w:ascii="Arial" w:hAnsi="Arial" w:cs="Arial"/>
          <w:u w:val="single"/>
        </w:rPr>
      </w:pPr>
      <w:r w:rsidRPr="00E80020">
        <w:rPr>
          <w:rFonts w:ascii="Arial" w:hAnsi="Arial" w:cs="Arial"/>
          <w:u w:val="single"/>
        </w:rPr>
        <w:t>Article 3: Ten Steps to Staff Motivation by Chris Pearce</w:t>
      </w:r>
      <w:r>
        <w:rPr>
          <w:rFonts w:ascii="Arial" w:hAnsi="Arial" w:cs="Arial"/>
        </w:rPr>
        <w:t xml:space="preserve">                                              P</w:t>
      </w:r>
      <w:r w:rsidRPr="0025379E">
        <w:rPr>
          <w:rFonts w:ascii="Arial" w:hAnsi="Arial" w:cs="Arial"/>
        </w:rPr>
        <w:t>earce's (2020) ten-step approach to staff motivation provides a useful framework for organizations seeking to boost employee engagement and productivity. The first step he suggests is setting achievable goals with clear expectations and providing feedback regularly. This can help employees understand what is expected of them and feel that their work is meaningful. It also enables managers to provide guidance and support when needed, and to recognize when employees are performing well. Regular feedback can also help employees stay on track and feel valued, which in turn can boost their motivation.</w:t>
      </w:r>
    </w:p>
    <w:p w14:paraId="50D6CDC8" w14:textId="77777777" w:rsidR="00E80020" w:rsidRPr="0025379E" w:rsidRDefault="00E80020" w:rsidP="00E80020">
      <w:pPr>
        <w:spacing w:line="360" w:lineRule="auto"/>
        <w:rPr>
          <w:rFonts w:ascii="Arial" w:hAnsi="Arial" w:cs="Arial"/>
        </w:rPr>
      </w:pPr>
      <w:r w:rsidRPr="0025379E">
        <w:rPr>
          <w:rFonts w:ascii="Arial" w:hAnsi="Arial" w:cs="Arial"/>
        </w:rPr>
        <w:t>The second step is recognizing good performance through rewards or promotions. When employees feel that their hard work is being recognized and rewarded, they are more likely to stay engaged and motivated. This can take the form of bonuses, promotions, or even simple recognition from managers or peers. It is important, however, that rewards are meaningful and relevant to the employee's work, as this helps to reinforce their sense of purpose and contribution.</w:t>
      </w:r>
    </w:p>
    <w:p w14:paraId="5BA152FD" w14:textId="77777777" w:rsidR="00E80020" w:rsidRPr="0025379E" w:rsidRDefault="00E80020" w:rsidP="00E80020">
      <w:pPr>
        <w:spacing w:line="360" w:lineRule="auto"/>
        <w:rPr>
          <w:rFonts w:ascii="Arial" w:hAnsi="Arial" w:cs="Arial"/>
        </w:rPr>
      </w:pPr>
      <w:r w:rsidRPr="0025379E">
        <w:rPr>
          <w:rFonts w:ascii="Arial" w:hAnsi="Arial" w:cs="Arial"/>
        </w:rPr>
        <w:t>Thirdly, offering opportunities for learning and career progression is key to keeping employees engaged and motivated over the long term. When employees feel that they have opportunities to develop new skills and advance in their careers, they are more likely to feel invested in the organization's success. This can take the form of training programs, mentoring, or coaching, or even job shadowing opportunities. It is important that employees are supported in their efforts to develop new skills, as this can help to build their confidence and sense of competence.</w:t>
      </w:r>
    </w:p>
    <w:p w14:paraId="56F98BE0" w14:textId="77777777" w:rsidR="00E80020" w:rsidRDefault="00E80020" w:rsidP="00E80020">
      <w:pPr>
        <w:pStyle w:val="NormalWeb"/>
        <w:spacing w:line="360" w:lineRule="auto"/>
        <w:rPr>
          <w:rFonts w:ascii="Arial" w:hAnsi="Arial" w:cs="Arial"/>
          <w:sz w:val="22"/>
          <w:szCs w:val="22"/>
        </w:rPr>
      </w:pPr>
      <w:r w:rsidRPr="0025379E">
        <w:rPr>
          <w:rFonts w:ascii="Arial" w:hAnsi="Arial" w:cs="Arial"/>
          <w:sz w:val="22"/>
          <w:szCs w:val="22"/>
        </w:rPr>
        <w:t>Overall, Pearce's ten-step approach provides a valuable framework for organization</w:t>
      </w:r>
      <w:r>
        <w:rPr>
          <w:rFonts w:ascii="Arial" w:hAnsi="Arial" w:cs="Arial"/>
          <w:sz w:val="22"/>
          <w:szCs w:val="22"/>
        </w:rPr>
        <w:t xml:space="preserve">s </w:t>
      </w:r>
      <w:r w:rsidRPr="0025379E">
        <w:rPr>
          <w:rFonts w:ascii="Arial" w:hAnsi="Arial" w:cs="Arial"/>
          <w:sz w:val="22"/>
          <w:szCs w:val="22"/>
        </w:rPr>
        <w:t>seeking to motivate their staff effectively. By setting clear goals, recognizing good performance, and offering opportunities for learning and career progression, organizations can help their employees stay engaged and motivated, ultimately leading to greater productivity and success.</w:t>
      </w:r>
      <w:r>
        <w:rPr>
          <w:rFonts w:ascii="Arial" w:hAnsi="Arial" w:cs="Arial"/>
          <w:sz w:val="22"/>
          <w:szCs w:val="22"/>
        </w:rPr>
        <w:t xml:space="preserve"> </w:t>
      </w:r>
    </w:p>
    <w:p w14:paraId="25B8ECC9" w14:textId="2B04E001" w:rsidR="00173AB4" w:rsidRDefault="00E80020" w:rsidP="00173AB4">
      <w:pPr>
        <w:pStyle w:val="NormalWeb"/>
        <w:spacing w:line="360" w:lineRule="auto"/>
        <w:rPr>
          <w:rFonts w:ascii="Arial" w:hAnsi="Arial" w:cs="Arial"/>
          <w:sz w:val="22"/>
          <w:szCs w:val="22"/>
        </w:rPr>
      </w:pPr>
      <w:r w:rsidRPr="00E80020">
        <w:rPr>
          <w:rFonts w:ascii="Arial" w:hAnsi="Arial" w:cs="Arial"/>
          <w:sz w:val="22"/>
          <w:szCs w:val="22"/>
          <w:u w:val="single"/>
        </w:rPr>
        <w:lastRenderedPageBreak/>
        <w:t>Article 4: Employee Engagement Strategies by Kevin Kruse</w:t>
      </w:r>
      <w:r>
        <w:rPr>
          <w:rFonts w:ascii="Arial" w:hAnsi="Arial" w:cs="Arial"/>
          <w:sz w:val="22"/>
          <w:szCs w:val="22"/>
        </w:rPr>
        <w:t xml:space="preserve">                                         K</w:t>
      </w:r>
      <w:r w:rsidRPr="0025379E">
        <w:rPr>
          <w:rFonts w:ascii="Arial" w:hAnsi="Arial" w:cs="Arial"/>
          <w:sz w:val="22"/>
          <w:szCs w:val="22"/>
        </w:rPr>
        <w:t>ruse's (2012) emphasis on employee engagement as a critical factor in staff motivation is supported by several strategies that organizations can implement to improve engagement levels. Open communication channels can create an environment where employees feel valued and heard, which can lead to increased job satisfaction and motivation. Promoting work-life balance can also increase engagement levels by demonstrating that the organization values the well-being of its employees. Involving employees in decision-making processes can also contribute to increased engagement as it provides a sense of ownership and empowerment. Finally, Kruse highlights the importance of recognizing and rewarding good performance as a way to motivate employees and increase engagement levels.</w:t>
      </w:r>
    </w:p>
    <w:p w14:paraId="583BD386" w14:textId="191B3C5A" w:rsidR="007C7622" w:rsidRPr="007C7622" w:rsidRDefault="007C7622" w:rsidP="007C7622">
      <w:pPr>
        <w:pStyle w:val="NormalWeb"/>
        <w:spacing w:line="360" w:lineRule="auto"/>
        <w:rPr>
          <w:rFonts w:ascii="Arial" w:hAnsi="Arial" w:cs="Arial"/>
          <w:sz w:val="22"/>
          <w:szCs w:val="22"/>
        </w:rPr>
      </w:pPr>
      <w:r w:rsidRPr="007C7622">
        <w:rPr>
          <w:rFonts w:ascii="Arial" w:hAnsi="Arial" w:cs="Arial"/>
          <w:sz w:val="22"/>
          <w:szCs w:val="22"/>
        </w:rPr>
        <w:t>To further elaborate on the strategies proposed by Kruse (2012) to improve employee engagement and motivation, open communication channels can promote transparency, trust, and mutual respect between employers and employees. When employees are given a platform to voice their opinions and concerns, they feel more involved in the organization's decision-making processes, which can contribute to higher motivation levels. Organizations can also improve work-life balance by offering flexible working arrangements and support services to help employees manage their personal and professional responsibilities.</w:t>
      </w:r>
    </w:p>
    <w:p w14:paraId="7C644038" w14:textId="70B7946C" w:rsidR="00E80020" w:rsidRPr="00173AB4" w:rsidRDefault="00E80020" w:rsidP="00173AB4">
      <w:pPr>
        <w:pStyle w:val="NormalWeb"/>
        <w:spacing w:line="360" w:lineRule="auto"/>
        <w:rPr>
          <w:rFonts w:ascii="Arial" w:hAnsi="Arial" w:cs="Arial"/>
          <w:sz w:val="22"/>
          <w:szCs w:val="22"/>
          <w:u w:val="single"/>
        </w:rPr>
      </w:pPr>
      <w:r w:rsidRPr="00E80020">
        <w:rPr>
          <w:rFonts w:ascii="Arial" w:hAnsi="Arial" w:cs="Arial"/>
          <w:sz w:val="22"/>
          <w:szCs w:val="22"/>
          <w:u w:val="single"/>
        </w:rPr>
        <w:t>Conclusion</w:t>
      </w:r>
      <w:r w:rsidR="00173AB4">
        <w:rPr>
          <w:rFonts w:ascii="Arial" w:hAnsi="Arial" w:cs="Arial"/>
          <w:sz w:val="22"/>
          <w:szCs w:val="22"/>
        </w:rPr>
        <w:t xml:space="preserve">                                                                                                                               I</w:t>
      </w:r>
      <w:r w:rsidRPr="0025379E">
        <w:rPr>
          <w:rFonts w:ascii="Arial" w:hAnsi="Arial" w:cs="Arial"/>
          <w:sz w:val="22"/>
          <w:szCs w:val="22"/>
        </w:rPr>
        <w:t>n conclusion, this report has examined how organizations can motivate their staff effectively.</w:t>
      </w:r>
      <w:r>
        <w:rPr>
          <w:rFonts w:ascii="Arial" w:hAnsi="Arial" w:cs="Arial"/>
          <w:sz w:val="22"/>
          <w:szCs w:val="22"/>
        </w:rPr>
        <w:t xml:space="preserve"> </w:t>
      </w:r>
      <w:r w:rsidRPr="0025379E">
        <w:rPr>
          <w:rFonts w:ascii="Arial" w:hAnsi="Arial" w:cs="Arial"/>
          <w:sz w:val="22"/>
          <w:szCs w:val="22"/>
        </w:rPr>
        <w:t>The NHS could learn from other industries such as retail and hospitality by investing in training and development programs for its employees. Furthermore, zero-hours contracts may have a negative impact on employee motivation due to lack of job security. Pearce's ten steps provide insight into motivating staff through goal setting, recognition of good performance, and opportunities for learning and career progression. Finally, Kruse's strategies highlight the importance of employee engagement through open communication channels and rewards for excellent performance.</w:t>
      </w:r>
    </w:p>
    <w:p w14:paraId="2D00A719" w14:textId="33F57F9B" w:rsidR="00E80020" w:rsidRPr="00E80020" w:rsidRDefault="00E80020" w:rsidP="00E80020">
      <w:pPr>
        <w:pStyle w:val="NormalWeb"/>
        <w:spacing w:line="360" w:lineRule="auto"/>
        <w:ind w:left="567" w:hanging="567"/>
        <w:rPr>
          <w:rFonts w:ascii="Arial" w:hAnsi="Arial" w:cs="Arial"/>
          <w:sz w:val="22"/>
          <w:szCs w:val="22"/>
          <w:u w:val="single"/>
        </w:rPr>
      </w:pPr>
      <w:r w:rsidRPr="00E80020">
        <w:rPr>
          <w:rFonts w:ascii="Arial" w:hAnsi="Arial" w:cs="Arial"/>
          <w:sz w:val="22"/>
          <w:szCs w:val="22"/>
          <w:u w:val="single"/>
        </w:rPr>
        <w:t>References</w:t>
      </w:r>
    </w:p>
    <w:p w14:paraId="0D173324" w14:textId="77777777" w:rsidR="00E80020" w:rsidRDefault="00E80020" w:rsidP="00E80020">
      <w:pPr>
        <w:pStyle w:val="NormalWeb"/>
        <w:spacing w:line="360" w:lineRule="auto"/>
        <w:rPr>
          <w:rFonts w:ascii="Arial" w:hAnsi="Arial" w:cs="Arial"/>
          <w:sz w:val="22"/>
          <w:szCs w:val="22"/>
        </w:rPr>
      </w:pPr>
      <w:proofErr w:type="spellStart"/>
      <w:r w:rsidRPr="0025379E">
        <w:rPr>
          <w:rFonts w:ascii="Arial" w:hAnsi="Arial" w:cs="Arial"/>
          <w:sz w:val="22"/>
          <w:szCs w:val="22"/>
        </w:rPr>
        <w:t>Deery</w:t>
      </w:r>
      <w:proofErr w:type="spellEnd"/>
      <w:r w:rsidRPr="0025379E">
        <w:rPr>
          <w:rFonts w:ascii="Arial" w:hAnsi="Arial" w:cs="Arial"/>
          <w:sz w:val="22"/>
          <w:szCs w:val="22"/>
        </w:rPr>
        <w:t xml:space="preserve">, M., </w:t>
      </w:r>
      <w:proofErr w:type="spellStart"/>
      <w:r w:rsidRPr="0025379E">
        <w:rPr>
          <w:rFonts w:ascii="Arial" w:hAnsi="Arial" w:cs="Arial"/>
          <w:sz w:val="22"/>
          <w:szCs w:val="22"/>
        </w:rPr>
        <w:t>Kinnie</w:t>
      </w:r>
      <w:proofErr w:type="spellEnd"/>
      <w:r w:rsidRPr="0025379E">
        <w:rPr>
          <w:rFonts w:ascii="Arial" w:hAnsi="Arial" w:cs="Arial"/>
          <w:sz w:val="22"/>
          <w:szCs w:val="22"/>
        </w:rPr>
        <w:t xml:space="preserve">, N., &amp; Flanders, C. (2015). Outsourcing and offshoring: Implications for employee attitudes and behaviours. International Journal of Human Resource Management, 26(5), 569-585. </w:t>
      </w:r>
      <w:proofErr w:type="spellStart"/>
      <w:r w:rsidRPr="0025379E">
        <w:rPr>
          <w:rFonts w:ascii="Arial" w:hAnsi="Arial" w:cs="Arial"/>
          <w:sz w:val="22"/>
          <w:szCs w:val="22"/>
        </w:rPr>
        <w:t>doi</w:t>
      </w:r>
      <w:proofErr w:type="spellEnd"/>
      <w:r w:rsidRPr="0025379E">
        <w:rPr>
          <w:rFonts w:ascii="Arial" w:hAnsi="Arial" w:cs="Arial"/>
          <w:sz w:val="22"/>
          <w:szCs w:val="22"/>
        </w:rPr>
        <w:t>: 10.1080/09585192.2014.964237</w:t>
      </w:r>
      <w:r w:rsidRPr="0025379E">
        <w:rPr>
          <w:rFonts w:ascii="Arial" w:hAnsi="Arial" w:cs="Arial"/>
          <w:sz w:val="22"/>
          <w:szCs w:val="22"/>
        </w:rPr>
        <w:br/>
        <w:t>Kruse, K. (2012). Employee Engagement Strategies: How to Energize Your People to Achieve High Performance. McGraw Hill Professional.</w:t>
      </w:r>
      <w:r w:rsidRPr="0025379E">
        <w:rPr>
          <w:rFonts w:ascii="Arial" w:hAnsi="Arial" w:cs="Arial"/>
          <w:sz w:val="22"/>
          <w:szCs w:val="22"/>
        </w:rPr>
        <w:br/>
        <w:t>Nuffield Trust (2015). Lessons for Staff Motivation from John Lewis: A Case Study at an NHS Hospital Trust. https://www.nuffieldtrust.org.uk/resource/lessons-for-staff-motivation-</w:t>
      </w:r>
      <w:r w:rsidRPr="0025379E">
        <w:rPr>
          <w:rFonts w:ascii="Arial" w:hAnsi="Arial" w:cs="Arial"/>
          <w:sz w:val="22"/>
          <w:szCs w:val="22"/>
        </w:rPr>
        <w:lastRenderedPageBreak/>
        <w:t>from-john-lewis-a-case-study-at-an-nhs-hospital-trust</w:t>
      </w:r>
      <w:r w:rsidRPr="0025379E">
        <w:rPr>
          <w:rFonts w:ascii="Arial" w:hAnsi="Arial" w:cs="Arial"/>
          <w:sz w:val="22"/>
          <w:szCs w:val="22"/>
        </w:rPr>
        <w:br/>
        <w:t>Pearce, C. (2014). Ten steps to staff motivation. Nursing Standard, 29(8), 44-48.</w:t>
      </w:r>
      <w:r w:rsidRPr="0025379E">
        <w:rPr>
          <w:rFonts w:ascii="Arial" w:hAnsi="Arial" w:cs="Arial"/>
          <w:sz w:val="22"/>
          <w:szCs w:val="22"/>
        </w:rPr>
        <w:br/>
      </w:r>
      <w:proofErr w:type="spellStart"/>
      <w:r w:rsidRPr="0025379E">
        <w:rPr>
          <w:rFonts w:ascii="Arial" w:hAnsi="Arial" w:cs="Arial"/>
          <w:sz w:val="22"/>
          <w:szCs w:val="22"/>
        </w:rPr>
        <w:t>Filimonau</w:t>
      </w:r>
      <w:proofErr w:type="spellEnd"/>
      <w:r w:rsidRPr="0025379E">
        <w:rPr>
          <w:rFonts w:ascii="Arial" w:hAnsi="Arial" w:cs="Arial"/>
          <w:sz w:val="22"/>
          <w:szCs w:val="22"/>
        </w:rPr>
        <w:t xml:space="preserve">, V. and </w:t>
      </w:r>
      <w:proofErr w:type="spellStart"/>
      <w:r w:rsidRPr="0025379E">
        <w:rPr>
          <w:rFonts w:ascii="Arial" w:hAnsi="Arial" w:cs="Arial"/>
          <w:sz w:val="22"/>
          <w:szCs w:val="22"/>
        </w:rPr>
        <w:t>Corradini</w:t>
      </w:r>
      <w:proofErr w:type="spellEnd"/>
      <w:r w:rsidRPr="0025379E">
        <w:rPr>
          <w:rFonts w:ascii="Arial" w:hAnsi="Arial" w:cs="Arial"/>
          <w:sz w:val="22"/>
          <w:szCs w:val="22"/>
        </w:rPr>
        <w:t xml:space="preserve">, S. (2020) “Zero hours contracts and their perceived impact on job motivation of Event Catering Staff,” </w:t>
      </w:r>
      <w:r w:rsidRPr="0025379E">
        <w:rPr>
          <w:rFonts w:ascii="Arial" w:hAnsi="Arial" w:cs="Arial"/>
          <w:i/>
          <w:iCs/>
          <w:sz w:val="22"/>
          <w:szCs w:val="22"/>
        </w:rPr>
        <w:t>Event Management</w:t>
      </w:r>
      <w:r w:rsidRPr="0025379E">
        <w:rPr>
          <w:rFonts w:ascii="Arial" w:hAnsi="Arial" w:cs="Arial"/>
          <w:sz w:val="22"/>
          <w:szCs w:val="22"/>
        </w:rPr>
        <w:t xml:space="preserve">, 24(6), pp. 735–752. Available at: https://doi.org/10.3727/152599519x15506259855869. </w:t>
      </w:r>
      <w:r>
        <w:rPr>
          <w:rFonts w:ascii="Arial" w:hAnsi="Arial" w:cs="Arial"/>
          <w:sz w:val="22"/>
          <w:szCs w:val="22"/>
        </w:rPr>
        <w:t xml:space="preserve">             </w:t>
      </w:r>
    </w:p>
    <w:p w14:paraId="613FB4FA" w14:textId="6751F17A" w:rsidR="0003342A" w:rsidRPr="0003342A" w:rsidRDefault="0003342A" w:rsidP="0003342A">
      <w:pPr>
        <w:rPr>
          <w:rFonts w:ascii="Arial" w:hAnsi="Arial" w:cs="Arial"/>
        </w:rPr>
      </w:pPr>
    </w:p>
    <w:sectPr w:rsidR="0003342A" w:rsidRPr="0003342A">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88F715A" w14:textId="77777777" w:rsidR="004B35AD" w:rsidRDefault="004B35AD" w:rsidP="004B35AD">
      <w:pPr>
        <w:spacing w:after="0" w:line="240" w:lineRule="auto"/>
      </w:pPr>
      <w:r>
        <w:separator/>
      </w:r>
    </w:p>
  </w:endnote>
  <w:endnote w:type="continuationSeparator" w:id="0">
    <w:p w14:paraId="71B8DC18" w14:textId="77777777" w:rsidR="004B35AD" w:rsidRDefault="004B35AD" w:rsidP="004B35A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446378581"/>
      <w:docPartObj>
        <w:docPartGallery w:val="Page Numbers (Bottom of Page)"/>
        <w:docPartUnique/>
      </w:docPartObj>
    </w:sdtPr>
    <w:sdtContent>
      <w:sdt>
        <w:sdtPr>
          <w:id w:val="1728636285"/>
          <w:docPartObj>
            <w:docPartGallery w:val="Page Numbers (Top of Page)"/>
            <w:docPartUnique/>
          </w:docPartObj>
        </w:sdtPr>
        <w:sdtContent>
          <w:p w14:paraId="5349FEDD" w14:textId="7B06F4AC" w:rsidR="004B35AD" w:rsidRDefault="004B35A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52E0159F" w14:textId="77777777" w:rsidR="004B35AD" w:rsidRDefault="004B35A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52F674" w14:textId="77777777" w:rsidR="004B35AD" w:rsidRDefault="004B35AD" w:rsidP="004B35AD">
      <w:pPr>
        <w:spacing w:after="0" w:line="240" w:lineRule="auto"/>
      </w:pPr>
      <w:r>
        <w:separator/>
      </w:r>
    </w:p>
  </w:footnote>
  <w:footnote w:type="continuationSeparator" w:id="0">
    <w:p w14:paraId="2B8C5815" w14:textId="77777777" w:rsidR="004B35AD" w:rsidRDefault="004B35AD" w:rsidP="004B35A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CF419A1"/>
    <w:multiLevelType w:val="hybridMultilevel"/>
    <w:tmpl w:val="D19E2C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3206740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3"/>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39D8"/>
    <w:rsid w:val="000240BF"/>
    <w:rsid w:val="0003342A"/>
    <w:rsid w:val="000639D8"/>
    <w:rsid w:val="00096A76"/>
    <w:rsid w:val="00173AB4"/>
    <w:rsid w:val="001E203E"/>
    <w:rsid w:val="004B35AD"/>
    <w:rsid w:val="007C7622"/>
    <w:rsid w:val="008D6B03"/>
    <w:rsid w:val="0096379A"/>
    <w:rsid w:val="00A744F9"/>
    <w:rsid w:val="00AB0F9A"/>
    <w:rsid w:val="00AC73AB"/>
    <w:rsid w:val="00B07300"/>
    <w:rsid w:val="00D5277D"/>
    <w:rsid w:val="00D61F44"/>
    <w:rsid w:val="00E277B2"/>
    <w:rsid w:val="00E453D7"/>
    <w:rsid w:val="00E80020"/>
    <w:rsid w:val="00FA69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22D373"/>
  <w15:chartTrackingRefBased/>
  <w15:docId w15:val="{63F10ED8-E945-406E-B4EB-3A64AFFE738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1F44"/>
    <w:pPr>
      <w:ind w:left="720"/>
      <w:contextualSpacing/>
    </w:pPr>
  </w:style>
  <w:style w:type="paragraph" w:styleId="NormalWeb">
    <w:name w:val="Normal (Web)"/>
    <w:basedOn w:val="Normal"/>
    <w:uiPriority w:val="99"/>
    <w:semiHidden/>
    <w:unhideWhenUsed/>
    <w:rsid w:val="00E80020"/>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4B35AD"/>
    <w:pPr>
      <w:tabs>
        <w:tab w:val="center" w:pos="4513"/>
        <w:tab w:val="right" w:pos="9026"/>
      </w:tabs>
      <w:spacing w:after="0" w:line="240" w:lineRule="auto"/>
    </w:pPr>
  </w:style>
  <w:style w:type="character" w:customStyle="1" w:styleId="HeaderChar">
    <w:name w:val="Header Char"/>
    <w:basedOn w:val="DefaultParagraphFont"/>
    <w:link w:val="Header"/>
    <w:uiPriority w:val="99"/>
    <w:rsid w:val="004B35AD"/>
  </w:style>
  <w:style w:type="paragraph" w:styleId="Footer">
    <w:name w:val="footer"/>
    <w:basedOn w:val="Normal"/>
    <w:link w:val="FooterChar"/>
    <w:uiPriority w:val="99"/>
    <w:unhideWhenUsed/>
    <w:rsid w:val="004B35AD"/>
    <w:pPr>
      <w:tabs>
        <w:tab w:val="center" w:pos="4513"/>
        <w:tab w:val="right" w:pos="9026"/>
      </w:tabs>
      <w:spacing w:after="0" w:line="240" w:lineRule="auto"/>
    </w:pPr>
  </w:style>
  <w:style w:type="character" w:customStyle="1" w:styleId="FooterChar">
    <w:name w:val="Footer Char"/>
    <w:basedOn w:val="DefaultParagraphFont"/>
    <w:link w:val="Footer"/>
    <w:uiPriority w:val="99"/>
    <w:rsid w:val="004B35A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30569582">
      <w:bodyDiv w:val="1"/>
      <w:marLeft w:val="0"/>
      <w:marRight w:val="0"/>
      <w:marTop w:val="0"/>
      <w:marBottom w:val="0"/>
      <w:divBdr>
        <w:top w:val="none" w:sz="0" w:space="0" w:color="auto"/>
        <w:left w:val="none" w:sz="0" w:space="0" w:color="auto"/>
        <w:bottom w:val="none" w:sz="0" w:space="0" w:color="auto"/>
        <w:right w:val="none" w:sz="0" w:space="0" w:color="auto"/>
      </w:divBdr>
    </w:div>
    <w:div w:id="354696587">
      <w:bodyDiv w:val="1"/>
      <w:marLeft w:val="0"/>
      <w:marRight w:val="0"/>
      <w:marTop w:val="0"/>
      <w:marBottom w:val="0"/>
      <w:divBdr>
        <w:top w:val="none" w:sz="0" w:space="0" w:color="auto"/>
        <w:left w:val="none" w:sz="0" w:space="0" w:color="auto"/>
        <w:bottom w:val="none" w:sz="0" w:space="0" w:color="auto"/>
        <w:right w:val="none" w:sz="0" w:space="0" w:color="auto"/>
      </w:divBdr>
    </w:div>
    <w:div w:id="622424236">
      <w:bodyDiv w:val="1"/>
      <w:marLeft w:val="0"/>
      <w:marRight w:val="0"/>
      <w:marTop w:val="0"/>
      <w:marBottom w:val="0"/>
      <w:divBdr>
        <w:top w:val="none" w:sz="0" w:space="0" w:color="auto"/>
        <w:left w:val="none" w:sz="0" w:space="0" w:color="auto"/>
        <w:bottom w:val="none" w:sz="0" w:space="0" w:color="auto"/>
        <w:right w:val="none" w:sz="0" w:space="0" w:color="auto"/>
      </w:divBdr>
    </w:div>
    <w:div w:id="886137165">
      <w:bodyDiv w:val="1"/>
      <w:marLeft w:val="0"/>
      <w:marRight w:val="0"/>
      <w:marTop w:val="0"/>
      <w:marBottom w:val="0"/>
      <w:divBdr>
        <w:top w:val="none" w:sz="0" w:space="0" w:color="auto"/>
        <w:left w:val="none" w:sz="0" w:space="0" w:color="auto"/>
        <w:bottom w:val="none" w:sz="0" w:space="0" w:color="auto"/>
        <w:right w:val="none" w:sz="0" w:space="0" w:color="auto"/>
      </w:divBdr>
    </w:div>
    <w:div w:id="1031952026">
      <w:bodyDiv w:val="1"/>
      <w:marLeft w:val="0"/>
      <w:marRight w:val="0"/>
      <w:marTop w:val="0"/>
      <w:marBottom w:val="0"/>
      <w:divBdr>
        <w:top w:val="none" w:sz="0" w:space="0" w:color="auto"/>
        <w:left w:val="none" w:sz="0" w:space="0" w:color="auto"/>
        <w:bottom w:val="none" w:sz="0" w:space="0" w:color="auto"/>
        <w:right w:val="none" w:sz="0" w:space="0" w:color="auto"/>
      </w:divBdr>
    </w:div>
    <w:div w:id="1220902557">
      <w:bodyDiv w:val="1"/>
      <w:marLeft w:val="0"/>
      <w:marRight w:val="0"/>
      <w:marTop w:val="0"/>
      <w:marBottom w:val="0"/>
      <w:divBdr>
        <w:top w:val="none" w:sz="0" w:space="0" w:color="auto"/>
        <w:left w:val="none" w:sz="0" w:space="0" w:color="auto"/>
        <w:bottom w:val="none" w:sz="0" w:space="0" w:color="auto"/>
        <w:right w:val="none" w:sz="0" w:space="0" w:color="auto"/>
      </w:divBdr>
    </w:div>
    <w:div w:id="16016005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A24A6659-3A51-481E-B56D-9D42AFB3D88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247</TotalTime>
  <Pages>4</Pages>
  <Words>1226</Words>
  <Characters>6991</Characters>
  <Application>Microsoft Office Word</Application>
  <DocSecurity>0</DocSecurity>
  <Lines>58</Lines>
  <Paragraphs>16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8201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Adeeba Shabbir (Student)</dc:creator>
  <cp:keywords/>
  <dc:description/>
  <cp:lastModifiedBy>deebs shabs</cp:lastModifiedBy>
  <cp:revision>12</cp:revision>
  <dcterms:created xsi:type="dcterms:W3CDTF">2023-03-31T14:07:00Z</dcterms:created>
  <dcterms:modified xsi:type="dcterms:W3CDTF">2023-04-01T15:04:00Z</dcterms:modified>
</cp:coreProperties>
</file>