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70AD0" w14:textId="541466CD" w:rsidR="009F00A6" w:rsidRPr="009F00A6" w:rsidRDefault="009F00A6" w:rsidP="009F00A6">
      <w:pPr>
        <w:spacing w:line="360" w:lineRule="auto"/>
        <w:jc w:val="both"/>
        <w:rPr>
          <w:rStyle w:val="nlmlpage"/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Style w:val="nlmlpage"/>
          <w:rFonts w:ascii="Arial" w:hAnsi="Arial" w:cs="Arial"/>
          <w:color w:val="000000" w:themeColor="text1"/>
          <w:sz w:val="24"/>
          <w:szCs w:val="24"/>
          <w:u w:val="single"/>
        </w:rPr>
        <w:t>References:</w:t>
      </w:r>
    </w:p>
    <w:p w14:paraId="40787370" w14:textId="57178646" w:rsidR="009F00A6" w:rsidRPr="00372CE2" w:rsidRDefault="009F00A6" w:rsidP="009F00A6">
      <w:pPr>
        <w:spacing w:line="360" w:lineRule="auto"/>
        <w:jc w:val="both"/>
        <w:rPr>
          <w:rStyle w:val="nlmlpage"/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Baker, C. (2011) </w:t>
      </w:r>
      <w:r w:rsidRPr="00372CE2">
        <w:rPr>
          <w:rStyle w:val="nlmlpage"/>
          <w:rFonts w:ascii="Arial" w:hAnsi="Arial" w:cs="Arial"/>
          <w:i/>
          <w:iCs/>
          <w:color w:val="000000" w:themeColor="text1"/>
          <w:sz w:val="24"/>
          <w:szCs w:val="24"/>
        </w:rPr>
        <w:t xml:space="preserve">Foundations of bilingual education and bilingualism. 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5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 Ed.</w:t>
      </w:r>
      <w:r w:rsidRPr="00372CE2">
        <w:rPr>
          <w:rStyle w:val="nlmlpage"/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Bristol: Multilingual Matters</w:t>
      </w:r>
      <w:r>
        <w:rPr>
          <w:rStyle w:val="nlmlpage"/>
          <w:rFonts w:ascii="Arial" w:hAnsi="Arial" w:cs="Arial"/>
          <w:color w:val="000000" w:themeColor="text1"/>
          <w:sz w:val="24"/>
          <w:szCs w:val="24"/>
        </w:rPr>
        <w:t>.</w:t>
      </w:r>
    </w:p>
    <w:p w14:paraId="3302B65F" w14:textId="4E91D174" w:rsidR="009F00A6" w:rsidRPr="00372CE2" w:rsidRDefault="009F00A6" w:rsidP="009F00A6">
      <w:pPr>
        <w:spacing w:line="360" w:lineRule="auto"/>
        <w:jc w:val="both"/>
        <w:rPr>
          <w:rStyle w:val="balloon"/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Bialystok, E. (</w:t>
      </w:r>
      <w:r w:rsidRPr="00372CE2">
        <w:rPr>
          <w:rStyle w:val="nlmyear"/>
          <w:rFonts w:ascii="Arial" w:hAnsi="Arial" w:cs="Arial"/>
          <w:color w:val="000000" w:themeColor="text1"/>
          <w:sz w:val="24"/>
          <w:szCs w:val="24"/>
        </w:rPr>
        <w:t>1999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) ‘</w:t>
      </w:r>
      <w:r w:rsidRPr="00372CE2">
        <w:rPr>
          <w:rStyle w:val="nlmarticle-title"/>
          <w:rFonts w:ascii="Arial" w:hAnsi="Arial" w:cs="Arial"/>
          <w:color w:val="000000" w:themeColor="text1"/>
          <w:sz w:val="24"/>
          <w:szCs w:val="24"/>
        </w:rPr>
        <w:t>Cognitive complexity and attentional control in the bilingual mind’</w:t>
      </w:r>
      <w:r w:rsidRPr="00372CE2">
        <w:rPr>
          <w:rStyle w:val="balloon"/>
          <w:rFonts w:ascii="Arial" w:hAnsi="Arial" w:cs="Arial"/>
          <w:i/>
          <w:iCs/>
          <w:color w:val="000000" w:themeColor="text1"/>
          <w:sz w:val="24"/>
          <w:szCs w:val="24"/>
        </w:rPr>
        <w:t>, Child Development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, 70(3), pp. </w:t>
      </w:r>
      <w:r w:rsidRPr="00372CE2">
        <w:rPr>
          <w:rStyle w:val="nlmfpage"/>
          <w:rFonts w:ascii="Arial" w:hAnsi="Arial" w:cs="Arial"/>
          <w:color w:val="000000" w:themeColor="text1"/>
          <w:sz w:val="24"/>
          <w:szCs w:val="24"/>
        </w:rPr>
        <w:t>636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–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644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. Available at: https://srcd.onlinelibrary.wiley.com/doi/abs/10.1111/1467-8624.00046?casa_token=UQz_wQ78TKAAAAAA%3APegmSTEbWQ7v3dFb_g2G1BviHDu917Plr-eiVV8x--BGq6zWoOh9xW8x-_4FokHaAFcTN97SUMRRnw (Accessed: 10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balloon"/>
          <w:rFonts w:ascii="Arial" w:hAnsi="Arial" w:cs="Arial"/>
          <w:color w:val="000000" w:themeColor="text1"/>
          <w:sz w:val="24"/>
          <w:szCs w:val="24"/>
        </w:rPr>
        <w:t>.</w:t>
      </w:r>
    </w:p>
    <w:p w14:paraId="0A1B2ECF" w14:textId="77777777" w:rsidR="009F00A6" w:rsidRPr="00372CE2" w:rsidRDefault="009F00A6" w:rsidP="009F00A6">
      <w:pPr>
        <w:spacing w:line="360" w:lineRule="auto"/>
        <w:jc w:val="both"/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</w:rPr>
      </w:pPr>
      <w:r w:rsidRPr="00372CE2"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</w:rPr>
        <w:t xml:space="preserve">Bloom, L. (1993) </w:t>
      </w:r>
      <w:r w:rsidRPr="00372CE2">
        <w:rPr>
          <w:rStyle w:val="Emphasis"/>
          <w:rFonts w:ascii="Arial" w:hAnsi="Arial" w:cs="Arial"/>
          <w:color w:val="000000" w:themeColor="text1"/>
          <w:sz w:val="24"/>
          <w:szCs w:val="24"/>
        </w:rPr>
        <w:t>The transition from infancy to language: Acquiring the power of expression</w:t>
      </w:r>
      <w:r w:rsidRPr="00372CE2"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</w:rPr>
        <w:t>. New York, NY: Cambridge University Press.</w:t>
      </w:r>
    </w:p>
    <w:p w14:paraId="4FDF7BF0" w14:textId="4B1D2AED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Butzkamm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, W. (2015)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Sandwich-Technique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[Video].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Available at: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https://www.youtube.com/watch?v=0fuf6jycrAQ (Accessed:14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BA27DA1" w14:textId="3904B37E" w:rsidR="009F00A6" w:rsidRPr="00372CE2" w:rsidRDefault="009F00A6" w:rsidP="009F00A6">
      <w:pPr>
        <w:spacing w:line="360" w:lineRule="auto"/>
        <w:jc w:val="both"/>
        <w:rPr>
          <w:rStyle w:val="citation"/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Style w:val="citation"/>
          <w:rFonts w:ascii="Arial" w:hAnsi="Arial" w:cs="Arial"/>
          <w:color w:val="000000" w:themeColor="text1"/>
          <w:sz w:val="24"/>
          <w:szCs w:val="24"/>
        </w:rPr>
        <w:t xml:space="preserve">Carlson, S. &amp; Meltzoff, A. (2008) ‘Bilingual experience and executive functioning in young children’, </w:t>
      </w:r>
      <w:r w:rsidRPr="00372CE2">
        <w:rPr>
          <w:rStyle w:val="ref-journal"/>
          <w:rFonts w:ascii="Arial" w:hAnsi="Arial" w:cs="Arial"/>
          <w:i/>
          <w:iCs/>
          <w:color w:val="000000" w:themeColor="text1"/>
          <w:sz w:val="24"/>
          <w:szCs w:val="24"/>
        </w:rPr>
        <w:t>Developmental Science</w:t>
      </w:r>
      <w:r w:rsidRPr="00372CE2">
        <w:rPr>
          <w:rStyle w:val="ref-journal"/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372CE2">
        <w:rPr>
          <w:rStyle w:val="ref-vol"/>
          <w:rFonts w:ascii="Arial" w:hAnsi="Arial" w:cs="Arial"/>
          <w:color w:val="000000" w:themeColor="text1"/>
          <w:sz w:val="24"/>
          <w:szCs w:val="24"/>
        </w:rPr>
        <w:t>11(2)</w:t>
      </w:r>
      <w:r w:rsidRPr="00372CE2">
        <w:rPr>
          <w:rStyle w:val="citation"/>
          <w:rFonts w:ascii="Arial" w:hAnsi="Arial" w:cs="Arial"/>
          <w:color w:val="000000" w:themeColor="text1"/>
          <w:sz w:val="24"/>
          <w:szCs w:val="24"/>
        </w:rPr>
        <w:t>, pp. 282–298. Available at: https://onlinelibrary.wiley.com/doi/abs/10.1111/j.1467-7687.2008.00675.x (Accessed: 12</w:t>
      </w:r>
      <w:r w:rsidRPr="00372CE2">
        <w:rPr>
          <w:rStyle w:val="citation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citation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citation"/>
          <w:rFonts w:ascii="Arial" w:hAnsi="Arial" w:cs="Arial"/>
          <w:color w:val="000000" w:themeColor="text1"/>
          <w:sz w:val="24"/>
          <w:szCs w:val="24"/>
        </w:rPr>
        <w:t>.</w:t>
      </w:r>
    </w:p>
    <w:p w14:paraId="33BA625B" w14:textId="766445C5" w:rsidR="009F00A6" w:rsidRPr="00372CE2" w:rsidRDefault="009F00A6" w:rsidP="009F00A6">
      <w:pPr>
        <w:spacing w:line="360" w:lineRule="auto"/>
        <w:jc w:val="both"/>
        <w:rPr>
          <w:rStyle w:val="nlmlpage"/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Crisp, R. &amp; Turner, R. (</w:t>
      </w:r>
      <w:r w:rsidRPr="00372CE2">
        <w:rPr>
          <w:rStyle w:val="nlmyear"/>
          <w:rFonts w:ascii="Arial" w:hAnsi="Arial" w:cs="Arial"/>
          <w:color w:val="000000" w:themeColor="text1"/>
          <w:sz w:val="24"/>
          <w:szCs w:val="24"/>
        </w:rPr>
        <w:t>2011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) ‘</w:t>
      </w:r>
      <w:r w:rsidRPr="00372CE2">
        <w:rPr>
          <w:rStyle w:val="nlmarticle-title"/>
          <w:rFonts w:ascii="Arial" w:hAnsi="Arial" w:cs="Arial"/>
          <w:color w:val="000000" w:themeColor="text1"/>
          <w:sz w:val="24"/>
          <w:szCs w:val="24"/>
        </w:rPr>
        <w:t>Cognitive adaptation to the experience of social and cultural diversity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’, </w:t>
      </w:r>
      <w:r w:rsidRPr="00372CE2">
        <w:rPr>
          <w:rStyle w:val="balloon"/>
          <w:rFonts w:ascii="Arial" w:hAnsi="Arial" w:cs="Arial"/>
          <w:i/>
          <w:iCs/>
          <w:color w:val="000000" w:themeColor="text1"/>
          <w:sz w:val="24"/>
          <w:szCs w:val="24"/>
        </w:rPr>
        <w:t>Psychological Bulletin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. 137(2), pp. </w:t>
      </w:r>
      <w:r w:rsidRPr="00372CE2">
        <w:rPr>
          <w:rStyle w:val="nlmfpage"/>
          <w:rFonts w:ascii="Arial" w:hAnsi="Arial" w:cs="Arial"/>
          <w:color w:val="000000" w:themeColor="text1"/>
          <w:sz w:val="24"/>
          <w:szCs w:val="24"/>
        </w:rPr>
        <w:t>242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-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266. Available at: https://www.ncbi.nlm.nih.gov/pubmed/21142349 (Accessed: 12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nlmlpage"/>
          <w:rFonts w:ascii="Arial" w:hAnsi="Arial" w:cs="Arial"/>
          <w:color w:val="000000" w:themeColor="text1"/>
          <w:sz w:val="24"/>
          <w:szCs w:val="24"/>
        </w:rPr>
        <w:t>.</w:t>
      </w:r>
    </w:p>
    <w:p w14:paraId="105C00DF" w14:textId="28F203D6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Diamond, J. (2010) ‘The Benefits of Multilingualism’,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Science.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330(6002), pp. 332-333. Available at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: </w:t>
      </w:r>
      <w:r w:rsidR="00D32E95" w:rsidRPr="00D32E95">
        <w:rPr>
          <w:rFonts w:ascii="Arial" w:hAnsi="Arial" w:cs="Arial"/>
          <w:i/>
          <w:iCs/>
          <w:color w:val="000000" w:themeColor="text1"/>
          <w:sz w:val="24"/>
          <w:szCs w:val="24"/>
        </w:rPr>
        <w:t>https://science.sciencemag.org/content/330/6002/332.summary</w:t>
      </w:r>
      <w:r w:rsidR="00D32E95" w:rsidRPr="00D32E9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(Accessed: 14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49A2D40" w14:textId="77777777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Ellis, G., &amp; Brewster, J. (2002)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Tell it again: The new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storytelling handbook for primary teachers.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United Kingdom: Pearson Education.     </w:t>
      </w:r>
    </w:p>
    <w:p w14:paraId="19C6B99C" w14:textId="41700505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Froebel, F. (1826)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On the Education of Man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. Leipzig: </w:t>
      </w: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Weinbach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7CB427A" w14:textId="017D5CB9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Kharkhurin</w:t>
      </w:r>
      <w:proofErr w:type="spellEnd"/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, A (2010) ‘</w:t>
      </w:r>
      <w:r w:rsidRPr="00372CE2">
        <w:rPr>
          <w:rStyle w:val="ref-title"/>
          <w:rFonts w:ascii="Arial" w:hAnsi="Arial" w:cs="Arial"/>
          <w:color w:val="000000" w:themeColor="text1"/>
          <w:sz w:val="24"/>
          <w:szCs w:val="24"/>
        </w:rPr>
        <w:t xml:space="preserve">Bilingual verbal and nonverbal creative </w:t>
      </w:r>
      <w:proofErr w:type="spellStart"/>
      <w:r w:rsidRPr="00372CE2">
        <w:rPr>
          <w:rStyle w:val="ref-title"/>
          <w:rFonts w:ascii="Arial" w:hAnsi="Arial" w:cs="Arial"/>
          <w:color w:val="000000" w:themeColor="text1"/>
          <w:sz w:val="24"/>
          <w:szCs w:val="24"/>
        </w:rPr>
        <w:t>behavior</w:t>
      </w:r>
      <w:proofErr w:type="spellEnd"/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 xml:space="preserve">’, </w:t>
      </w:r>
      <w:r w:rsidRPr="00372CE2">
        <w:rPr>
          <w:rStyle w:val="mixed-citation"/>
          <w:rFonts w:ascii="Arial" w:hAnsi="Arial" w:cs="Arial"/>
          <w:i/>
          <w:iCs/>
          <w:color w:val="000000" w:themeColor="text1"/>
          <w:sz w:val="24"/>
          <w:szCs w:val="24"/>
        </w:rPr>
        <w:t>International Journal of Bilingualism</w:t>
      </w:r>
      <w:r w:rsidRPr="00372CE2">
        <w:rPr>
          <w:rStyle w:val="ref-journal"/>
          <w:rFonts w:ascii="Arial" w:hAnsi="Arial" w:cs="Arial"/>
          <w:color w:val="000000" w:themeColor="text1"/>
          <w:sz w:val="24"/>
          <w:szCs w:val="24"/>
        </w:rPr>
        <w:t>.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2CE2">
        <w:rPr>
          <w:rStyle w:val="ref-vol"/>
          <w:rFonts w:ascii="Arial" w:hAnsi="Arial" w:cs="Arial"/>
          <w:color w:val="000000" w:themeColor="text1"/>
          <w:sz w:val="24"/>
          <w:szCs w:val="24"/>
        </w:rPr>
        <w:t>14(2)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, pp. 211–226. Available at: https://www.researchgate.net/publication/249840286_Bilingual_verbal_and_nonverbal_creative_behavior (Accessed: 14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mixed-citation"/>
          <w:rFonts w:ascii="Arial" w:hAnsi="Arial" w:cs="Arial"/>
          <w:color w:val="000000" w:themeColor="text1"/>
          <w:sz w:val="24"/>
          <w:szCs w:val="24"/>
        </w:rPr>
        <w:t>.</w:t>
      </w:r>
    </w:p>
    <w:p w14:paraId="4BC233FC" w14:textId="3BF956A2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lastRenderedPageBreak/>
        <w:t>Kozhevnikova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>, E. (2019) ‘The Impact of Language Exposure and Artificial Linguistic Environment on Students’ Vocabulary Acquisition’, PEOPLE: International Journal of Social Sciences.  5(1), pp. 430-439. Available at: https://www.researchgate.net/publication/332301758_THE_IMPACT_OF_LANGUAGE_EXPOSURE_AND_ARTIFICIAL_LINGUISTIC_ENVIRONMENT_ON_STUDENTS_VOCABULARY_ACQUISITION (Accessed: 11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4513983" w14:textId="77777777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Kuhl, P. (2011) ‘Brain Mechanisms in Early Language Acquisition’,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Neuron.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67(5), pp. 713-727. Available at: </w:t>
      </w:r>
      <w:hyperlink r:id="rId4" w:history="1">
        <w:r w:rsidRPr="00372CE2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https://www.ncbi.nlm.nih.gov/pmc/articles/PMC2947444/</w:t>
        </w:r>
      </w:hyperlink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(Accessed: 13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2020).</w:t>
      </w:r>
    </w:p>
    <w:p w14:paraId="1FD4DAC6" w14:textId="77777777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Lightbown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, P., &amp; N. Spada. (1999)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How Languages are Learned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. 2nd ed. Oxford: Oxford University Press.</w:t>
      </w:r>
    </w:p>
    <w:p w14:paraId="43D9A2CA" w14:textId="4CC3BF35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Marian, V. &amp; Shook, A. (2012) ‘The Cognitive Benefits of Being Bilingual’,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Cerebrum.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13. Available at: https://www.ncbi.nlm.nih.gov/pmc/articles/PMC3583091/ (Accessed: 11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F46F674" w14:textId="77777777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>Murphey, T. (1992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</w:t>
      </w:r>
      <w:r w:rsidRPr="00372CE2">
        <w:rPr>
          <w:rStyle w:val="ff5"/>
          <w:rFonts w:ascii="Arial" w:hAnsi="Arial" w:cs="Arial"/>
          <w:i/>
          <w:iCs/>
          <w:color w:val="000000" w:themeColor="text1"/>
          <w:sz w:val="24"/>
          <w:szCs w:val="24"/>
        </w:rPr>
        <w:t>Music and Song</w:t>
      </w:r>
      <w:r w:rsidRPr="00372CE2">
        <w:rPr>
          <w:rStyle w:val="ff5"/>
          <w:rFonts w:ascii="Arial" w:hAnsi="Arial" w:cs="Arial"/>
          <w:color w:val="000000" w:themeColor="text1"/>
          <w:sz w:val="24"/>
          <w:szCs w:val="24"/>
        </w:rPr>
        <w:t>.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Oxford: Oxford University Press.</w:t>
      </w:r>
    </w:p>
    <w:p w14:paraId="3069762A" w14:textId="0C8B44F3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>Ofsted (2015) Teaching and play in the early years –a balancing act? Available at: https://assets.publishing.service.gov.uk/government/uploads/system/uploads/attachment_data/file/444147/Teaching-and-play-in-the-early-years-a-balancing-act.pdf (Accessed: 12th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8E701AC" w14:textId="55E0D8F2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Okal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, B. (2014) ‘Benefits of Multilingualism in Education’,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Universal Journal of Educational Research.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2(3), pp. 223-229. Available at: https://eric.ed.gov/?id=EJ1053855 (Accessed: 12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1380A36" w14:textId="70E145A9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Perani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et al. (2017) ‘The impact of bilingualism on brain reserve and metabolic connectivity in Alzheimer’s dementia’,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Proceedings of the National Academy of Sciences of the United States of America.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114(7), pp. 1690 – 1695. Available at: </w:t>
      </w:r>
      <w:r w:rsidR="00D32E95" w:rsidRPr="00D32E95">
        <w:rPr>
          <w:rFonts w:ascii="Arial" w:hAnsi="Arial" w:cs="Arial"/>
          <w:color w:val="000000" w:themeColor="text1"/>
          <w:sz w:val="24"/>
          <w:szCs w:val="24"/>
        </w:rPr>
        <w:t>https://www.researchgate.net/publication/313088401_The_impact_of_bilingualism_on_brain_reserve_and_metabolic_connectivity_in_Alzheimer's_dementia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(Accessed: 12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DEC9494" w14:textId="264162EC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lastRenderedPageBreak/>
        <w:t>Petitto</w:t>
      </w:r>
      <w:proofErr w:type="spellEnd"/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, L. &amp; </w:t>
      </w:r>
      <w:proofErr w:type="spellStart"/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Marentette</w:t>
      </w:r>
      <w:proofErr w:type="spellEnd"/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, P. (1991) ‘Babbling in the manual mode: evidence for the ontogeny of language’, </w:t>
      </w:r>
      <w:r w:rsidRPr="00372CE2">
        <w:rPr>
          <w:rStyle w:val="nlmlpage"/>
          <w:rFonts w:ascii="Arial" w:hAnsi="Arial" w:cs="Arial"/>
          <w:i/>
          <w:iCs/>
          <w:color w:val="000000" w:themeColor="text1"/>
          <w:sz w:val="24"/>
          <w:szCs w:val="24"/>
        </w:rPr>
        <w:t xml:space="preserve">Science. 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25(5000), pp. 1493-1496. Available at: </w:t>
      </w:r>
      <w:hyperlink r:id="rId5" w:history="1">
        <w:r w:rsidRPr="00372CE2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https://www.ncbi.nlm.nih.gov/pubmed/2006424</w:t>
        </w:r>
      </w:hyperlink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 (Accessed: 12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nlmlpage"/>
          <w:rFonts w:ascii="Arial" w:hAnsi="Arial" w:cs="Arial"/>
          <w:color w:val="000000" w:themeColor="text1"/>
          <w:sz w:val="24"/>
          <w:szCs w:val="24"/>
        </w:rPr>
        <w:t>.</w:t>
      </w:r>
    </w:p>
    <w:p w14:paraId="080CDF3D" w14:textId="357CC9DB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Prior, A. &amp; </w:t>
      </w: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MacWhinney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, B. (2009) ‘A bilingual advantage in task switching’,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Cambridge University Press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. 13(2), pp. 253-262 Available at: https://www.cambridge.org/core/journals/bilingualism-language-and-cognition/article/bilingual-advantage-in-task-switching/CC68F518019E8D5471D0B0381AC945E7 (Accessed: 13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0DCE918" w14:textId="0F58B366" w:rsidR="009F00A6" w:rsidRPr="00372CE2" w:rsidRDefault="009F00A6" w:rsidP="009F00A6">
      <w:pPr>
        <w:spacing w:line="360" w:lineRule="auto"/>
        <w:jc w:val="both"/>
        <w:rPr>
          <w:rStyle w:val="nowrap"/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Ricciardelli</w:t>
      </w:r>
      <w:proofErr w:type="spellEnd"/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, L.  (1992) ‘</w:t>
      </w:r>
      <w:r w:rsidRPr="00372CE2">
        <w:rPr>
          <w:rStyle w:val="ref-title"/>
          <w:rFonts w:ascii="Arial" w:hAnsi="Arial" w:cs="Arial"/>
          <w:color w:val="000000" w:themeColor="text1"/>
          <w:sz w:val="24"/>
          <w:szCs w:val="24"/>
        </w:rPr>
        <w:t xml:space="preserve">Creativity and bilingualism’, </w:t>
      </w:r>
      <w:r w:rsidRPr="00372CE2">
        <w:rPr>
          <w:rStyle w:val="ref-title"/>
          <w:rFonts w:ascii="Arial" w:hAnsi="Arial" w:cs="Arial"/>
          <w:i/>
          <w:iCs/>
          <w:color w:val="000000" w:themeColor="text1"/>
          <w:sz w:val="24"/>
          <w:szCs w:val="24"/>
        </w:rPr>
        <w:t>Journal of Creative Behaviour</w:t>
      </w:r>
      <w:r w:rsidRPr="00372CE2">
        <w:rPr>
          <w:rStyle w:val="ref-journal"/>
          <w:rFonts w:ascii="Arial" w:hAnsi="Arial" w:cs="Arial"/>
          <w:color w:val="000000" w:themeColor="text1"/>
          <w:sz w:val="24"/>
          <w:szCs w:val="24"/>
        </w:rPr>
        <w:t>.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2CE2">
        <w:rPr>
          <w:rStyle w:val="ref-vol"/>
          <w:rFonts w:ascii="Arial" w:hAnsi="Arial" w:cs="Arial"/>
          <w:color w:val="000000" w:themeColor="text1"/>
          <w:sz w:val="24"/>
          <w:szCs w:val="24"/>
        </w:rPr>
        <w:t>26(4)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, pp. 242–254</w:t>
      </w:r>
      <w:r w:rsidRPr="00372CE2">
        <w:rPr>
          <w:rStyle w:val="nowrap"/>
          <w:rFonts w:ascii="Arial" w:hAnsi="Arial" w:cs="Arial"/>
          <w:color w:val="000000" w:themeColor="text1"/>
          <w:sz w:val="24"/>
          <w:szCs w:val="24"/>
        </w:rPr>
        <w:t>. Available at: https://onlinelibrary.wiley.com/doi/abs/10.1002/j.2162-6057.1992.tb01183.x (Accessed:15th March 2020)</w:t>
      </w:r>
      <w:r>
        <w:rPr>
          <w:rStyle w:val="nowrap"/>
          <w:rFonts w:ascii="Arial" w:hAnsi="Arial" w:cs="Arial"/>
          <w:color w:val="000000" w:themeColor="text1"/>
          <w:sz w:val="24"/>
          <w:szCs w:val="24"/>
        </w:rPr>
        <w:t>.</w:t>
      </w:r>
    </w:p>
    <w:p w14:paraId="65E737ED" w14:textId="58E7058D" w:rsidR="009F00A6" w:rsidRPr="00372CE2" w:rsidRDefault="009F00A6" w:rsidP="009F00A6">
      <w:pPr>
        <w:spacing w:line="360" w:lineRule="auto"/>
        <w:jc w:val="both"/>
        <w:rPr>
          <w:rStyle w:val="balloon"/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Rokeach</w:t>
      </w:r>
      <w:proofErr w:type="spellEnd"/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, M. (</w:t>
      </w:r>
      <w:r w:rsidRPr="00372CE2">
        <w:rPr>
          <w:rStyle w:val="nlmyear"/>
          <w:rFonts w:ascii="Arial" w:hAnsi="Arial" w:cs="Arial"/>
          <w:color w:val="000000" w:themeColor="text1"/>
          <w:sz w:val="24"/>
          <w:szCs w:val="24"/>
        </w:rPr>
        <w:t>1948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) ‘</w:t>
      </w:r>
      <w:r w:rsidRPr="00372CE2">
        <w:rPr>
          <w:rStyle w:val="nlmarticle-title"/>
          <w:rFonts w:ascii="Arial" w:hAnsi="Arial" w:cs="Arial"/>
          <w:color w:val="000000" w:themeColor="text1"/>
          <w:sz w:val="24"/>
          <w:szCs w:val="24"/>
        </w:rPr>
        <w:t>Generalized mental rigidity as a factor in ethnocentrism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’, </w:t>
      </w:r>
      <w:r w:rsidRPr="00372CE2">
        <w:rPr>
          <w:rStyle w:val="balloon"/>
          <w:rFonts w:ascii="Arial" w:hAnsi="Arial" w:cs="Arial"/>
          <w:i/>
          <w:iCs/>
          <w:color w:val="000000" w:themeColor="text1"/>
          <w:sz w:val="24"/>
          <w:szCs w:val="24"/>
        </w:rPr>
        <w:t>Journal of Abnormal and Social Psychology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, 43(3), pp. </w:t>
      </w:r>
      <w:r w:rsidRPr="00372CE2">
        <w:rPr>
          <w:rStyle w:val="nlmfpage"/>
          <w:rFonts w:ascii="Arial" w:hAnsi="Arial" w:cs="Arial"/>
          <w:color w:val="000000" w:themeColor="text1"/>
          <w:sz w:val="24"/>
          <w:szCs w:val="24"/>
        </w:rPr>
        <w:t>259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-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278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. Available at: https://psycnet.apa.org/doiLanding?doi=10.1037%2Fh0056134 (Accessed: 11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balloon"/>
          <w:rFonts w:ascii="Arial" w:hAnsi="Arial" w:cs="Arial"/>
          <w:color w:val="000000" w:themeColor="text1"/>
          <w:sz w:val="24"/>
          <w:szCs w:val="24"/>
        </w:rPr>
        <w:t>.</w:t>
      </w:r>
    </w:p>
    <w:p w14:paraId="725962D3" w14:textId="1CB6E5B5" w:rsidR="009F00A6" w:rsidRDefault="009F00A6" w:rsidP="009F00A6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372CE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Shin, J. (2006) ‘Ten Helpful Ideas for Teaching English to Young Learners’, </w:t>
      </w:r>
      <w:r w:rsidRPr="00372C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English Teaching Forum</w:t>
      </w:r>
      <w:r w:rsidRPr="00372CE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 44(2), pp. 2-7. Available at: https://www.researchgate.net/publication/285295236_Ten_helpful_ideas_for_teaching_English_to_young_learners (Accessed: 13</w:t>
      </w:r>
      <w:r w:rsidRPr="00372CE2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Pr="00372CE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March 2020)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</w:p>
    <w:p w14:paraId="2F9702BB" w14:textId="77777777" w:rsidR="009F00A6" w:rsidRPr="00372CE2" w:rsidRDefault="009F00A6" w:rsidP="009F00A6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A312FC9" w14:textId="4F509FB1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Tsiplakides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, I. (2009) ‘Helping Students Overcome Foreign Language Speaking Anxiety in the English Classroom: Theoretical Issues and Practical Recommendations’,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International Education Studies.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2(4), pp. 39-44. Available at: https://files.eric.ed.gov/fulltext/EJ1065743.pdf</w:t>
      </w:r>
      <w:r w:rsidRPr="00372CE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(Accessed: 11</w:t>
      </w:r>
      <w:r w:rsidRPr="00372CE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372CE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March 2020)</w:t>
      </w: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.</w:t>
      </w:r>
    </w:p>
    <w:p w14:paraId="7C032B06" w14:textId="630B2862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Vince, G. (2016) The amazing benefits of being bilingual’,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BBC Future.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Available at: https://www.bbc.com/future/article/20160811-the-amazing-benefits-of-being-bilingual (Accessed: 9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09692CC" w14:textId="77777777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Welsh Government (2008)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Welsh Language Development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w:history="1">
        <w:r w:rsidRPr="00372CE2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</w:t>
        </w:r>
      </w:hyperlink>
      <w:hyperlink r:id="rId6" w:history="1">
        <w:r w:rsidRPr="00372CE2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gov.wales/docs/dcells/publications/141111-welsh-language-development-en.pdf</w:t>
        </w:r>
      </w:hyperlink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(Accessed: 14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2020).</w:t>
      </w:r>
    </w:p>
    <w:p w14:paraId="4B8A5B46" w14:textId="0496B5D1" w:rsidR="009F00A6" w:rsidRPr="00372CE2" w:rsidRDefault="009F00A6" w:rsidP="009F00A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Welsh Government (2019)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Draft Curriculum for Wales 2022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. Available at: https://hwb.gov.wales/curriculum-for-wales/introduction/ (Accessed: 1</w:t>
      </w:r>
      <w:r>
        <w:rPr>
          <w:rFonts w:ascii="Arial" w:hAnsi="Arial" w:cs="Arial"/>
          <w:color w:val="000000" w:themeColor="text1"/>
          <w:sz w:val="24"/>
          <w:szCs w:val="24"/>
        </w:rPr>
        <w:t>3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March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2020)</w:t>
      </w:r>
      <w:r w:rsidR="007D1A02">
        <w:rPr>
          <w:rFonts w:ascii="Arial" w:hAnsi="Arial" w:cs="Arial"/>
          <w:color w:val="000000" w:themeColor="text1"/>
          <w:sz w:val="24"/>
          <w:szCs w:val="24"/>
        </w:rPr>
        <w:t>.</w:t>
      </w:r>
      <w:bookmarkStart w:id="0" w:name="_GoBack"/>
      <w:bookmarkEnd w:id="0"/>
    </w:p>
    <w:sectPr w:rsidR="009F00A6" w:rsidRPr="00372C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0A6"/>
    <w:rsid w:val="007D1A02"/>
    <w:rsid w:val="009F00A6"/>
    <w:rsid w:val="00D32E95"/>
    <w:rsid w:val="00E8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D28F2"/>
  <w15:chartTrackingRefBased/>
  <w15:docId w15:val="{C9342010-AB09-41E1-8E94-EF04D44DB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F00A6"/>
    <w:rPr>
      <w:i/>
      <w:iCs/>
    </w:rPr>
  </w:style>
  <w:style w:type="character" w:styleId="Hyperlink">
    <w:name w:val="Hyperlink"/>
    <w:basedOn w:val="DefaultParagraphFont"/>
    <w:uiPriority w:val="99"/>
    <w:unhideWhenUsed/>
    <w:rsid w:val="009F00A6"/>
    <w:rPr>
      <w:color w:val="0000FF"/>
      <w:u w:val="single"/>
    </w:rPr>
  </w:style>
  <w:style w:type="character" w:customStyle="1" w:styleId="citation">
    <w:name w:val="citation"/>
    <w:basedOn w:val="DefaultParagraphFont"/>
    <w:rsid w:val="009F00A6"/>
  </w:style>
  <w:style w:type="character" w:customStyle="1" w:styleId="ref-journal">
    <w:name w:val="ref-journal"/>
    <w:basedOn w:val="DefaultParagraphFont"/>
    <w:rsid w:val="009F00A6"/>
  </w:style>
  <w:style w:type="character" w:customStyle="1" w:styleId="ref-vol">
    <w:name w:val="ref-vol"/>
    <w:basedOn w:val="DefaultParagraphFont"/>
    <w:rsid w:val="009F00A6"/>
  </w:style>
  <w:style w:type="character" w:customStyle="1" w:styleId="balloon">
    <w:name w:val="balloon"/>
    <w:basedOn w:val="DefaultParagraphFont"/>
    <w:rsid w:val="009F00A6"/>
  </w:style>
  <w:style w:type="character" w:customStyle="1" w:styleId="nlmyear">
    <w:name w:val="nlm_year"/>
    <w:basedOn w:val="DefaultParagraphFont"/>
    <w:rsid w:val="009F00A6"/>
  </w:style>
  <w:style w:type="character" w:customStyle="1" w:styleId="nlmarticle-title">
    <w:name w:val="nlm_article-title"/>
    <w:basedOn w:val="DefaultParagraphFont"/>
    <w:rsid w:val="009F00A6"/>
  </w:style>
  <w:style w:type="character" w:customStyle="1" w:styleId="nlmfpage">
    <w:name w:val="nlm_fpage"/>
    <w:basedOn w:val="DefaultParagraphFont"/>
    <w:rsid w:val="009F00A6"/>
  </w:style>
  <w:style w:type="character" w:customStyle="1" w:styleId="nlmlpage">
    <w:name w:val="nlm_lpage"/>
    <w:basedOn w:val="DefaultParagraphFont"/>
    <w:rsid w:val="009F00A6"/>
  </w:style>
  <w:style w:type="character" w:customStyle="1" w:styleId="ff5">
    <w:name w:val="ff5"/>
    <w:basedOn w:val="DefaultParagraphFont"/>
    <w:rsid w:val="009F00A6"/>
  </w:style>
  <w:style w:type="paragraph" w:styleId="ListParagraph">
    <w:name w:val="List Paragraph"/>
    <w:basedOn w:val="Normal"/>
    <w:uiPriority w:val="34"/>
    <w:qFormat/>
    <w:rsid w:val="009F00A6"/>
    <w:pPr>
      <w:ind w:left="720"/>
      <w:contextualSpacing/>
    </w:pPr>
  </w:style>
  <w:style w:type="character" w:customStyle="1" w:styleId="mixed-citation">
    <w:name w:val="mixed-citation"/>
    <w:basedOn w:val="DefaultParagraphFont"/>
    <w:rsid w:val="009F00A6"/>
  </w:style>
  <w:style w:type="character" w:customStyle="1" w:styleId="ref-title">
    <w:name w:val="ref-title"/>
    <w:basedOn w:val="DefaultParagraphFont"/>
    <w:rsid w:val="009F00A6"/>
  </w:style>
  <w:style w:type="character" w:customStyle="1" w:styleId="nowrap">
    <w:name w:val="nowrap"/>
    <w:basedOn w:val="DefaultParagraphFont"/>
    <w:rsid w:val="009F0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v.wales/docs/dcells/publications/141111-welsh-language-development-en.pdf" TargetMode="External"/><Relationship Id="rId5" Type="http://schemas.openxmlformats.org/officeDocument/2006/relationships/hyperlink" Target="https://www.ncbi.nlm.nih.gov/pubmed/2006424" TargetMode="External"/><Relationship Id="rId4" Type="http://schemas.openxmlformats.org/officeDocument/2006/relationships/hyperlink" Target="https://www.ncbi.nlm.nih.gov/pmc/articles/PMC294744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911</Words>
  <Characters>5193</Characters>
  <Application>Microsoft Office Word</Application>
  <DocSecurity>0</DocSecurity>
  <Lines>43</Lines>
  <Paragraphs>12</Paragraphs>
  <ScaleCrop>false</ScaleCrop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Daly</dc:creator>
  <cp:keywords/>
  <dc:description/>
  <cp:lastModifiedBy>Hannah Daly</cp:lastModifiedBy>
  <cp:revision>4</cp:revision>
  <dcterms:created xsi:type="dcterms:W3CDTF">2020-03-22T15:37:00Z</dcterms:created>
  <dcterms:modified xsi:type="dcterms:W3CDTF">2020-03-22T15:47:00Z</dcterms:modified>
</cp:coreProperties>
</file>