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pPr>
      <w:r>
        <w:rPr>
          <w:b w:val="1"/>
          <w:bCs w:val="1"/>
          <w:i w:val="1"/>
          <w:iCs w:val="1"/>
          <w:u w:val="single"/>
          <w:rtl w:val="0"/>
          <w:lang w:val="fr-FR"/>
        </w:rPr>
        <w:t>Do Ancient Greco-Roman Werewolf Myths Derive from Ritual Activity.</w:t>
      </w:r>
    </w:p>
    <w:p>
      <w:pPr>
        <w:pStyle w:val="Body"/>
        <w:spacing w:line="360" w:lineRule="auto"/>
        <w:jc w:val="center"/>
      </w:pPr>
    </w:p>
    <w:p>
      <w:pPr>
        <w:pStyle w:val="Body"/>
        <w:spacing w:line="360" w:lineRule="auto"/>
        <w:jc w:val="left"/>
      </w:pPr>
      <w:r>
        <w:rPr>
          <w:rtl w:val="0"/>
          <w:lang w:val="fr-FR"/>
        </w:rPr>
        <w:t>Wolves and man have been natural enemies since the very beginning. Because of this, it is not surprising to find stories of men turning into wolves, changing their nature to that of a beast. The first evidence we have of this happening is found on a clay tablet from around 1700BC by a poet named Sin-lege-unninni</w:t>
      </w:r>
      <w:r>
        <w:rPr>
          <w:vertAlign w:val="superscript"/>
          <w:rtl w:val="0"/>
          <w:lang w:val="fr-FR"/>
        </w:rPr>
        <w:t>1</w:t>
      </w:r>
      <w:r>
        <w:rPr>
          <w:rtl w:val="0"/>
          <w:lang w:val="fr-FR"/>
        </w:rPr>
        <w:t>. This shows that the Greek and Roman myths were not the first to use the man vs wolf in their culture. However, did the werewolf come before or after the rituals themselves?</w:t>
      </w:r>
    </w:p>
    <w:p>
      <w:pPr>
        <w:pStyle w:val="Body"/>
        <w:spacing w:line="360" w:lineRule="auto"/>
        <w:jc w:val="left"/>
      </w:pPr>
    </w:p>
    <w:p>
      <w:pPr>
        <w:pStyle w:val="Body"/>
        <w:spacing w:line="360" w:lineRule="auto"/>
        <w:jc w:val="left"/>
      </w:pPr>
      <w:r>
        <w:rPr>
          <w:rtl w:val="0"/>
          <w:lang w:val="fr-FR"/>
        </w:rPr>
        <w:t>In Greek and Roman mythology, we can find many aspects that relate to or are the same as many rituals that took place at this time. The werewolf was used by Herodotus as a way of describing people he had never met in Sycthia, the Neurians. He states that they changed into a wolf once a year for a few days before changing back</w:t>
      </w:r>
      <w:r>
        <w:rPr>
          <w:vertAlign w:val="superscript"/>
          <w:rtl w:val="0"/>
          <w:lang w:val="fr-FR"/>
        </w:rPr>
        <w:t>2</w:t>
      </w:r>
      <w:r>
        <w:rPr>
          <w:rtl w:val="0"/>
          <w:lang w:val="fr-FR"/>
        </w:rPr>
        <w:t xml:space="preserve">. What is important about this piece of text, and how it differs to a lot of the other sources, is that he says that he does not believe in this. In this case, the myth of the werewolf is not related to any ritual activity and is just a story that he has been told about these people. </w:t>
      </w:r>
    </w:p>
    <w:p>
      <w:pPr>
        <w:pStyle w:val="Body"/>
        <w:spacing w:line="360" w:lineRule="auto"/>
        <w:jc w:val="left"/>
      </w:pPr>
    </w:p>
    <w:p>
      <w:pPr>
        <w:pStyle w:val="Body"/>
        <w:spacing w:line="360" w:lineRule="auto"/>
        <w:jc w:val="left"/>
      </w:pPr>
      <w:r>
        <w:rPr>
          <w:rtl w:val="0"/>
          <w:lang w:val="fr-FR"/>
        </w:rPr>
        <w:t>However, this section does have similarities to other ancient authors who wrote about the werewolf. The first is that the person who is changed remains a wolf for a certain time period. In the case of Herodotus, a couple of days seems very little when compared to the nine and ten years we find in Pliny</w:t>
      </w:r>
      <w:r>
        <w:rPr>
          <w:rtl w:val="0"/>
          <w:lang w:val="fr-FR"/>
        </w:rPr>
        <w:t>’</w:t>
      </w:r>
      <w:r>
        <w:rPr>
          <w:rtl w:val="0"/>
          <w:lang w:val="fr-FR"/>
        </w:rPr>
        <w:t>s</w:t>
      </w:r>
      <w:r>
        <w:rPr>
          <w:vertAlign w:val="superscript"/>
          <w:rtl w:val="0"/>
          <w:lang w:val="fr-FR"/>
        </w:rPr>
        <w:t>3</w:t>
      </w:r>
      <w:r>
        <w:rPr>
          <w:rtl w:val="0"/>
          <w:lang w:val="fr-FR"/>
        </w:rPr>
        <w:t xml:space="preserve"> and Augustines</w:t>
      </w:r>
      <w:r>
        <w:rPr>
          <w:vertAlign w:val="superscript"/>
          <w:rtl w:val="0"/>
          <w:lang w:val="fr-FR"/>
        </w:rPr>
        <w:t xml:space="preserve">4 </w:t>
      </w:r>
      <w:r>
        <w:rPr>
          <w:rtl w:val="0"/>
          <w:lang w:val="fr-FR"/>
        </w:rPr>
        <w:t xml:space="preserve">accounts. Pliny however, also agrees with Herodotus by stating </w:t>
      </w:r>
      <w:r>
        <w:rPr>
          <w:rtl w:val="0"/>
          <w:lang w:val="fr-FR"/>
        </w:rPr>
        <w:t>“</w:t>
      </w:r>
      <w:r>
        <w:rPr>
          <w:rtl w:val="0"/>
          <w:lang w:val="fr-FR"/>
        </w:rPr>
        <w:t>we must confidently look upon as untrue.</w:t>
      </w:r>
      <w:r>
        <w:rPr>
          <w:rtl w:val="0"/>
          <w:lang w:val="fr-FR"/>
        </w:rPr>
        <w:t>”</w:t>
      </w:r>
      <w:r>
        <w:rPr>
          <w:vertAlign w:val="superscript"/>
          <w:rtl w:val="0"/>
          <w:lang w:val="fr-FR"/>
        </w:rPr>
        <w:t>5</w:t>
      </w:r>
      <w:r>
        <w:rPr>
          <w:rtl w:val="0"/>
          <w:lang w:val="fr-FR"/>
        </w:rPr>
        <w:t xml:space="preserve"> This is important because this helps to prove that they are based off of rituals rather then just the myth themselves, because these two authors, Herodotus and Pliny the Elder, both tell them as stories rather than as fact.</w:t>
      </w:r>
    </w:p>
    <w:p>
      <w:pPr>
        <w:pStyle w:val="Body"/>
        <w:spacing w:line="360" w:lineRule="auto"/>
        <w:jc w:val="left"/>
      </w:pPr>
    </w:p>
    <w:p>
      <w:pPr>
        <w:pStyle w:val="Body"/>
        <w:spacing w:line="360" w:lineRule="auto"/>
        <w:jc w:val="left"/>
        <w:sectPr>
          <w:headerReference w:type="default" r:id="rId4"/>
          <w:footerReference w:type="default" r:id="rId5"/>
          <w:pgSz w:w="11906" w:h="16838" w:orient="portrait"/>
          <w:pgMar w:top="1134" w:right="1134" w:bottom="1134" w:left="1134" w:header="709" w:footer="850"/>
          <w:bidi w:val="0"/>
        </w:sectPr>
      </w:pPr>
      <w:r>
        <w:rPr>
          <w:rtl w:val="0"/>
          <w:lang w:val="fr-FR"/>
        </w:rPr>
        <w:t xml:space="preserve">Both Pliny the Elder and Augustine mention the same tales, that of Demaenetus and a ritual of the Arcadians. This provides us with the first connection to rituals found in these myths. Demaenetus is transformed into the wolf for the longest period of time that we find, ten years. The reason for his transformation, as stated by Augustine, is that he </w:t>
      </w:r>
      <w:r>
        <w:rPr>
          <w:rtl w:val="0"/>
          <w:lang w:val="fr-FR"/>
        </w:rPr>
        <w:t>“</w:t>
      </w:r>
      <w:r>
        <w:rPr>
          <w:rtl w:val="0"/>
          <w:lang w:val="en-US"/>
        </w:rPr>
        <w:t>tasted the sacrifice that the Arcadians regularly offered to their god Lycaeus by the immolation of a boy</w:t>
      </w:r>
      <w:r>
        <w:rPr>
          <w:rtl w:val="0"/>
          <w:lang w:val="fr-FR"/>
        </w:rPr>
        <w:t>”</w:t>
      </w:r>
      <w:r>
        <w:rPr>
          <w:vertAlign w:val="superscript"/>
          <w:rtl w:val="0"/>
          <w:lang w:val="fr-FR"/>
        </w:rPr>
        <w:t>6</w:t>
      </w:r>
      <w:r>
        <w:rPr>
          <w:rtl w:val="0"/>
          <w:lang w:val="fr-FR"/>
        </w:rPr>
        <w:t>. The fact that he ate a human sacrifice went against everything the Greeks stood for, they were against human sacrifice</w:t>
      </w:r>
      <w:r>
        <w:rPr>
          <w:vertAlign w:val="superscript"/>
          <w:rtl w:val="0"/>
          <w:lang w:val="fr-FR"/>
        </w:rPr>
        <w:t>7</w:t>
      </w:r>
      <w:r>
        <w:rPr>
          <w:rtl w:val="0"/>
          <w:lang w:val="fr-FR"/>
        </w:rPr>
        <w:t>. This ritual of sacrifice to the gods appears in all versions of this story and of Lycaon the King of Arcadia, which will be mentioned later on. We can clearly see that in this version of the werewolf myth Demaenetus went against the Greek gods and religion, something that always ends in a disaster</w:t>
      </w:r>
      <w:r>
        <w:rPr>
          <w:vertAlign w:val="superscript"/>
          <w:rtl w:val="0"/>
          <w:lang w:val="fr-FR"/>
        </w:rPr>
        <w:t>8</w:t>
      </w:r>
      <w:r>
        <w:rPr>
          <w:rtl w:val="0"/>
          <w:lang w:val="fr-FR"/>
        </w:rPr>
        <w:t>.</w:t>
      </w:r>
    </w:p>
    <w:p>
      <w:pPr>
        <w:pStyle w:val="Body"/>
        <w:spacing w:line="360" w:lineRule="auto"/>
        <w:jc w:val="left"/>
      </w:pPr>
      <w:r>
        <w:rPr>
          <w:rtl w:val="0"/>
          <w:lang w:val="fr-FR"/>
        </w:rPr>
        <w:t>The other myth mentioned by Pliny the Elder and Augustine is that of, either someone from the Anthus family, according to Pliny, or just an Arcadian chosen at random, according to Augustine, having to hang their clothes up on a oak tree and swim across a certain lake, transforming into a wolf in the process. Then the myth continues in that they have to avoid eating any human flesh for nine years, when they are allowed to swim back across the lake, redress and become human again. The reason this can be seen as a ritual is mostly down to the swimming across the lake. This is because in both Greek and Roman society, bathing is of great importance. For the Greeks in particular, bathing is used as a way of transitioning from one state to another, for example after someone has died, been born or even before a wedding ceremony</w:t>
      </w:r>
      <w:r>
        <w:rPr>
          <w:vertAlign w:val="superscript"/>
          <w:rtl w:val="0"/>
          <w:lang w:val="fr-FR"/>
        </w:rPr>
        <w:t>9</w:t>
      </w:r>
      <w:r>
        <w:rPr>
          <w:rtl w:val="0"/>
          <w:lang w:val="fr-FR"/>
        </w:rPr>
        <w:t>. Therefore it is clear to see that, by using the lake as a means for the person to transform, it is using the water much like the everyday ritual taken by the Romans and the Greeks.</w:t>
      </w:r>
    </w:p>
    <w:p>
      <w:pPr>
        <w:pStyle w:val="Body"/>
        <w:spacing w:line="360" w:lineRule="auto"/>
        <w:jc w:val="left"/>
      </w:pPr>
    </w:p>
    <w:p>
      <w:pPr>
        <w:pStyle w:val="Body"/>
        <w:spacing w:line="360" w:lineRule="auto"/>
        <w:jc w:val="left"/>
      </w:pPr>
      <w:r>
        <w:rPr>
          <w:rtl w:val="0"/>
          <w:lang w:val="fr-FR"/>
        </w:rPr>
        <w:t>The second part of this myth that can be related to a ritual is that of a rite of passage. In certain cultures, such as those of Athens and Sparta, and even those of Arcadian society, it is not uncommon for boys of a certain age to be sent out of society and return in a certain time frame to be reintegrated back in</w:t>
      </w:r>
      <w:r>
        <w:rPr>
          <w:vertAlign w:val="superscript"/>
          <w:rtl w:val="0"/>
          <w:lang w:val="fr-FR"/>
        </w:rPr>
        <w:t>10</w:t>
      </w:r>
      <w:r>
        <w:rPr>
          <w:rtl w:val="0"/>
          <w:lang w:val="fr-FR"/>
        </w:rPr>
        <w:t>. This stage of their lives can also be seen in this particular myth. However the difference ends there as nine years is most likely too long for the men to be sent away for and especially in Pliny, it is only one member of the family that is chosen, whereas in these societies, it was usually a large group of people that went out together</w:t>
      </w:r>
      <w:r>
        <w:rPr>
          <w:vertAlign w:val="superscript"/>
          <w:rtl w:val="0"/>
          <w:lang w:val="fr-FR"/>
        </w:rPr>
        <w:t>11</w:t>
      </w:r>
      <w:r>
        <w:rPr>
          <w:rtl w:val="0"/>
          <w:lang w:val="fr-FR"/>
        </w:rPr>
        <w:t xml:space="preserve">. The Arcadian societies take it one step more, further proving a link between the ritual and the myth. Pausainus in his </w:t>
      </w:r>
      <w:r>
        <w:rPr>
          <w:i w:val="1"/>
          <w:iCs w:val="1"/>
          <w:rtl w:val="0"/>
          <w:lang w:val="fr-FR"/>
        </w:rPr>
        <w:t>Description of Greece</w:t>
      </w:r>
      <w:r>
        <w:rPr>
          <w:rtl w:val="0"/>
          <w:lang w:val="fr-FR"/>
        </w:rPr>
        <w:t>, tells us that the warriors wear two animal skins, the bear, their national animal, and the wolf</w:t>
      </w:r>
      <w:r>
        <w:rPr>
          <w:vertAlign w:val="superscript"/>
          <w:rtl w:val="0"/>
          <w:lang w:val="fr-FR"/>
        </w:rPr>
        <w:t>12</w:t>
      </w:r>
      <w:r>
        <w:rPr>
          <w:rtl w:val="0"/>
          <w:lang w:val="fr-FR"/>
        </w:rPr>
        <w:t>. This could be important because it shows that the men have overcome their trial of being separated from society- the wolf, and have become the bear</w:t>
      </w:r>
      <w:r>
        <w:rPr>
          <w:vertAlign w:val="superscript"/>
          <w:rtl w:val="0"/>
          <w:lang w:val="fr-FR"/>
        </w:rPr>
        <w:t>13</w:t>
      </w:r>
      <w:r>
        <w:rPr>
          <w:rtl w:val="0"/>
          <w:lang w:val="fr-FR"/>
        </w:rPr>
        <w:t>, much like the man in the myth when he is allowed to transform back into a human after enduring his trial.</w:t>
      </w:r>
    </w:p>
    <w:p>
      <w:pPr>
        <w:pStyle w:val="Body"/>
        <w:spacing w:line="360" w:lineRule="auto"/>
        <w:jc w:val="left"/>
      </w:pPr>
    </w:p>
    <w:p>
      <w:pPr>
        <w:pStyle w:val="Body"/>
        <w:spacing w:line="360" w:lineRule="auto"/>
        <w:jc w:val="left"/>
        <w:sectPr>
          <w:headerReference w:type="default" r:id="rId6"/>
          <w:footerReference w:type="default" r:id="rId7"/>
          <w:pgSz w:w="11906" w:h="16838" w:orient="portrait"/>
          <w:pgMar w:top="1134" w:right="1134" w:bottom="1134" w:left="1134" w:header="709" w:footer="850"/>
          <w:bidi w:val="0"/>
        </w:sectPr>
      </w:pPr>
      <w:r>
        <w:rPr>
          <w:rtl w:val="0"/>
          <w:lang w:val="fr-FR"/>
        </w:rPr>
        <w:t>The third part of this myth that could relate back to ritual is that of the clothes. As found in both Pliny the Elder</w:t>
      </w:r>
      <w:r>
        <w:rPr>
          <w:rtl w:val="0"/>
          <w:lang w:val="fr-FR"/>
        </w:rPr>
        <w:t>’</w:t>
      </w:r>
      <w:r>
        <w:rPr>
          <w:rtl w:val="0"/>
          <w:lang w:val="fr-FR"/>
        </w:rPr>
        <w:t xml:space="preserve">s account and Augustine, both mention the fact that the clothes are put back on. Pliny comments that </w:t>
      </w:r>
      <w:r>
        <w:rPr>
          <w:rtl w:val="0"/>
          <w:lang w:val="fr-FR"/>
        </w:rPr>
        <w:t>“</w:t>
      </w:r>
      <w:r>
        <w:rPr>
          <w:rtl w:val="0"/>
          <w:lang w:val="en-US"/>
        </w:rPr>
        <w:t>It is really wonderful to what a length the credulity of the Greeks will go!</w:t>
      </w:r>
      <w:r>
        <w:rPr>
          <w:rtl w:val="0"/>
          <w:lang w:val="fr-FR"/>
        </w:rPr>
        <w:t>”</w:t>
      </w:r>
      <w:r>
        <w:rPr>
          <w:rtl w:val="0"/>
          <w:lang w:val="fr-FR"/>
        </w:rPr>
        <w:t>14, but this is actually an important part of the myth in relation to the ritual. Even in modern day retellings of werewolves, you will find that it is normal for clothes to be removed before the transformation. This is because the clothes can be the seen as the symbol for humanity- something that no other animal uses</w:t>
      </w:r>
      <w:r>
        <w:rPr>
          <w:vertAlign w:val="superscript"/>
          <w:rtl w:val="0"/>
          <w:lang w:val="fr-FR"/>
        </w:rPr>
        <w:t>15</w:t>
      </w:r>
      <w:r>
        <w:rPr>
          <w:rtl w:val="0"/>
          <w:lang w:val="fr-FR"/>
        </w:rPr>
        <w:t xml:space="preserve">. Petronius in his </w:t>
      </w:r>
      <w:r>
        <w:rPr>
          <w:i w:val="1"/>
          <w:iCs w:val="1"/>
          <w:rtl w:val="0"/>
          <w:lang w:val="fr-FR"/>
        </w:rPr>
        <w:t>Satyricon</w:t>
      </w:r>
      <w:r>
        <w:rPr>
          <w:rtl w:val="0"/>
          <w:lang w:val="fr-FR"/>
        </w:rPr>
        <w:t>, also uses this part of the myth when he is having Nicero retell the story of his experience with werewolves. In this version, the</w:t>
      </w:r>
    </w:p>
    <w:p>
      <w:pPr>
        <w:pStyle w:val="Body"/>
        <w:spacing w:line="360" w:lineRule="auto"/>
        <w:jc w:val="left"/>
      </w:pPr>
      <w:r>
        <w:rPr>
          <w:rtl w:val="0"/>
          <w:lang w:val="fr-FR"/>
        </w:rPr>
        <w:t xml:space="preserve">soldier </w:t>
      </w:r>
      <w:r>
        <w:rPr>
          <w:rtl w:val="0"/>
          <w:lang w:val="fr-FR"/>
        </w:rPr>
        <w:t>“</w:t>
      </w:r>
      <w:r>
        <w:rPr>
          <w:rtl w:val="0"/>
          <w:lang w:val="en-US"/>
        </w:rPr>
        <w:t>stripped himself and put all his clothes by the roadside</w:t>
      </w:r>
      <w:r>
        <w:rPr>
          <w:rtl w:val="0"/>
          <w:lang w:val="fr-FR"/>
        </w:rPr>
        <w:t>…</w:t>
      </w:r>
      <w:r>
        <w:rPr>
          <w:rtl w:val="0"/>
          <w:lang w:val="en-US"/>
        </w:rPr>
        <w:t>He made a ring of water round his clothes and suddenly turned into a wolf</w:t>
      </w:r>
      <w:r>
        <w:rPr>
          <w:rtl w:val="0"/>
          <w:lang w:val="fr-FR"/>
        </w:rPr>
        <w:t>”</w:t>
      </w:r>
      <w:r>
        <w:rPr>
          <w:vertAlign w:val="superscript"/>
          <w:rtl w:val="0"/>
          <w:lang w:val="fr-FR"/>
        </w:rPr>
        <w:t>16</w:t>
      </w:r>
      <w:r>
        <w:rPr>
          <w:rtl w:val="0"/>
          <w:lang w:val="fr-FR"/>
        </w:rPr>
        <w:t>. This description of the transformation is important because it is obvious that the soldier had no warning as to when he was going to change, and yet found time to remove his clothes and protect them by turning them to stone, showing us they must be needed in order for him to change back</w:t>
      </w:r>
      <w:r>
        <w:rPr>
          <w:vertAlign w:val="superscript"/>
          <w:rtl w:val="0"/>
          <w:lang w:val="fr-FR"/>
        </w:rPr>
        <w:t>17</w:t>
      </w:r>
      <w:r>
        <w:rPr>
          <w:rtl w:val="0"/>
          <w:lang w:val="fr-FR"/>
        </w:rPr>
        <w:t>. This, like bathing, is also a particularly important part of a rite of passage, due to the fact that after bathing, a change of clothes normally follows</w:t>
      </w:r>
      <w:r>
        <w:rPr>
          <w:vertAlign w:val="superscript"/>
          <w:rtl w:val="0"/>
          <w:lang w:val="fr-FR"/>
        </w:rPr>
        <w:t>18</w:t>
      </w:r>
      <w:r>
        <w:rPr>
          <w:rtl w:val="0"/>
          <w:lang w:val="fr-FR"/>
        </w:rPr>
        <w:t>.</w:t>
      </w:r>
    </w:p>
    <w:p>
      <w:pPr>
        <w:pStyle w:val="Body"/>
        <w:spacing w:line="360" w:lineRule="auto"/>
        <w:jc w:val="left"/>
      </w:pPr>
    </w:p>
    <w:p>
      <w:pPr>
        <w:pStyle w:val="Body"/>
        <w:spacing w:line="360" w:lineRule="auto"/>
        <w:jc w:val="left"/>
      </w:pPr>
      <w:r>
        <w:rPr>
          <w:rtl w:val="0"/>
          <w:lang w:val="fr-FR"/>
        </w:rPr>
        <w:t>What is also important about Petronius</w:t>
      </w:r>
      <w:r>
        <w:rPr>
          <w:rtl w:val="0"/>
          <w:lang w:val="fr-FR"/>
        </w:rPr>
        <w:t xml:space="preserve">’ </w:t>
      </w:r>
      <w:r>
        <w:rPr>
          <w:i w:val="1"/>
          <w:iCs w:val="1"/>
          <w:rtl w:val="0"/>
          <w:lang w:val="fr-FR"/>
        </w:rPr>
        <w:t>Satyricon</w:t>
      </w:r>
      <w:r>
        <w:rPr>
          <w:rtl w:val="0"/>
          <w:lang w:val="fr-FR"/>
        </w:rPr>
        <w:t>, in relation to the werewolf myth, is that we hear the account from the mouth of a bystander who constantly refers back to how scared he was. This is important because, although we have to be wary of this piece as it has been written as a satire, we still very rarely in these type of sources, get such an account. Especially where the wolf eats the sheep and is hunted down by the farmer. This is significant as it relates back to the constant theme running through these myths of man vs beast, especially in Greek culture, where the Athenians could hunt down the wolves for money, five drachmas if it was an adult wolf and one for a pup, according to Plutarch</w:t>
      </w:r>
      <w:r>
        <w:rPr>
          <w:vertAlign w:val="superscript"/>
          <w:rtl w:val="0"/>
          <w:lang w:val="fr-FR"/>
        </w:rPr>
        <w:t>19</w:t>
      </w:r>
      <w:r>
        <w:rPr>
          <w:rtl w:val="0"/>
          <w:lang w:val="fr-FR"/>
        </w:rPr>
        <w:t xml:space="preserve">. </w:t>
      </w:r>
    </w:p>
    <w:p>
      <w:pPr>
        <w:pStyle w:val="Body"/>
        <w:spacing w:line="360" w:lineRule="auto"/>
        <w:jc w:val="left"/>
      </w:pPr>
    </w:p>
    <w:p>
      <w:pPr>
        <w:pStyle w:val="Body"/>
        <w:spacing w:line="360" w:lineRule="auto"/>
        <w:jc w:val="left"/>
      </w:pPr>
      <w:r>
        <w:rPr>
          <w:rtl w:val="0"/>
          <w:lang w:val="fr-FR"/>
        </w:rPr>
        <w:t>As mentioned above, another myth that shows the repercussions of going against the gods is that of Lycaon, the Arcadian king. As Burkert mentions in his book, there is a very fine line between what the gods will tolerate and what they will not, something that this myth heavily focuses on</w:t>
      </w:r>
      <w:r>
        <w:rPr>
          <w:vertAlign w:val="superscript"/>
          <w:rtl w:val="0"/>
          <w:lang w:val="fr-FR"/>
        </w:rPr>
        <w:t>20</w:t>
      </w:r>
      <w:r>
        <w:rPr>
          <w:rtl w:val="0"/>
          <w:lang w:val="fr-FR"/>
        </w:rPr>
        <w:t xml:space="preserve">. In this myth, as told by Ovid in his </w:t>
      </w:r>
      <w:r>
        <w:rPr>
          <w:i w:val="1"/>
          <w:iCs w:val="1"/>
          <w:rtl w:val="0"/>
          <w:lang w:val="fr-FR"/>
        </w:rPr>
        <w:t xml:space="preserve">Metamorphoses, </w:t>
      </w:r>
      <w:r>
        <w:rPr>
          <w:rtl w:val="0"/>
          <w:lang w:val="fr-FR"/>
        </w:rPr>
        <w:t xml:space="preserve">Apollodorus in his library and by Pausanius in his </w:t>
      </w:r>
      <w:r>
        <w:rPr>
          <w:i w:val="1"/>
          <w:iCs w:val="1"/>
          <w:rtl w:val="0"/>
          <w:lang w:val="fr-FR"/>
        </w:rPr>
        <w:t>Description of Greece</w:t>
      </w:r>
      <w:r>
        <w:rPr>
          <w:rtl w:val="0"/>
          <w:lang w:val="fr-FR"/>
        </w:rPr>
        <w:t>, Lycaon sacrificed a human to the god Zeus. However there are differences between these three descriptions of the events. In Ovid</w:t>
      </w:r>
      <w:r>
        <w:rPr>
          <w:rtl w:val="0"/>
          <w:lang w:val="fr-FR"/>
        </w:rPr>
        <w:t>’</w:t>
      </w:r>
      <w:r>
        <w:rPr>
          <w:rtl w:val="0"/>
          <w:lang w:val="fr-FR"/>
        </w:rPr>
        <w:t xml:space="preserve">s description all he states is that the sacrifice is a </w:t>
      </w:r>
      <w:r>
        <w:rPr>
          <w:rtl w:val="0"/>
          <w:lang w:val="fr-FR"/>
        </w:rPr>
        <w:t>“</w:t>
      </w:r>
      <w:r>
        <w:rPr>
          <w:rtl w:val="0"/>
          <w:lang w:val="fr-FR"/>
        </w:rPr>
        <w:t>human hostage</w:t>
      </w:r>
      <w:r>
        <w:rPr>
          <w:rtl w:val="0"/>
          <w:lang w:val="fr-FR"/>
        </w:rPr>
        <w:t>”</w:t>
      </w:r>
      <w:r>
        <w:rPr>
          <w:vertAlign w:val="superscript"/>
          <w:rtl w:val="0"/>
          <w:lang w:val="fr-FR"/>
        </w:rPr>
        <w:t>21</w:t>
      </w:r>
      <w:r>
        <w:rPr>
          <w:rtl w:val="0"/>
          <w:lang w:val="fr-FR"/>
        </w:rPr>
        <w:t>, whereas in both Apollodorus and Pausanius you have the sacrifice of a child</w:t>
      </w:r>
      <w:r>
        <w:rPr>
          <w:vertAlign w:val="superscript"/>
          <w:rtl w:val="0"/>
          <w:lang w:val="fr-FR"/>
        </w:rPr>
        <w:t>22</w:t>
      </w:r>
      <w:r>
        <w:rPr>
          <w:rtl w:val="0"/>
          <w:lang w:val="fr-FR"/>
        </w:rPr>
        <w:t xml:space="preserve"> and a baby</w:t>
      </w:r>
      <w:r>
        <w:rPr>
          <w:vertAlign w:val="superscript"/>
          <w:rtl w:val="0"/>
          <w:lang w:val="fr-FR"/>
        </w:rPr>
        <w:t xml:space="preserve">23 </w:t>
      </w:r>
      <w:r>
        <w:rPr>
          <w:rtl w:val="0"/>
          <w:lang w:val="fr-FR"/>
        </w:rPr>
        <w:t>making the sacrifice seem even more inhumane.</w:t>
      </w:r>
    </w:p>
    <w:p>
      <w:pPr>
        <w:pStyle w:val="Body"/>
        <w:spacing w:line="360" w:lineRule="auto"/>
        <w:jc w:val="left"/>
      </w:pPr>
    </w:p>
    <w:p>
      <w:pPr>
        <w:pStyle w:val="Body"/>
        <w:spacing w:line="360" w:lineRule="auto"/>
        <w:jc w:val="left"/>
        <w:sectPr>
          <w:headerReference w:type="default" r:id="rId8"/>
          <w:footerReference w:type="default" r:id="rId9"/>
          <w:pgSz w:w="11906" w:h="16838" w:orient="portrait"/>
          <w:pgMar w:top="1134" w:right="1134" w:bottom="1134" w:left="1134" w:header="709" w:footer="850"/>
          <w:bidi w:val="0"/>
        </w:sectPr>
      </w:pPr>
      <w:r>
        <w:rPr>
          <w:rtl w:val="0"/>
          <w:lang w:val="fr-FR"/>
        </w:rPr>
        <w:t xml:space="preserve">This particular myth plays a large part in ritual because it is believed that on Mount Lycaeon human sacrifices did happen. This is important because what happened on this site remained a secret to outsiders which would have led to the spreading of rumours, even Pausanius refuses to talk about it, </w:t>
      </w:r>
      <w:r>
        <w:rPr>
          <w:rtl w:val="0"/>
          <w:lang w:val="fr-FR"/>
        </w:rPr>
        <w:t>“</w:t>
      </w:r>
      <w:r>
        <w:rPr>
          <w:rtl w:val="0"/>
          <w:lang w:val="en-US"/>
        </w:rPr>
        <w:t>I was reluctant to pry into the details of the sacrifice; let them be as they are and were from the beginning</w:t>
      </w:r>
      <w:r>
        <w:rPr>
          <w:rtl w:val="0"/>
          <w:lang w:val="fr-FR"/>
        </w:rPr>
        <w:t>”</w:t>
      </w:r>
      <w:r>
        <w:rPr>
          <w:vertAlign w:val="superscript"/>
          <w:rtl w:val="0"/>
          <w:lang w:val="fr-FR"/>
        </w:rPr>
        <w:t>24</w:t>
      </w:r>
      <w:r>
        <w:rPr>
          <w:rtl w:val="0"/>
          <w:lang w:val="fr-FR"/>
        </w:rPr>
        <w:t>. No archaeological evidence has been found to suggest that human sacrifices did happen but rituals did take place here which could have helped to influence the myth of the Arcadian King</w:t>
      </w:r>
      <w:r>
        <w:rPr>
          <w:vertAlign w:val="superscript"/>
          <w:rtl w:val="0"/>
          <w:lang w:val="fr-FR"/>
        </w:rPr>
        <w:t>25</w:t>
      </w:r>
      <w:r>
        <w:rPr>
          <w:rtl w:val="0"/>
          <w:lang w:val="fr-FR"/>
        </w:rPr>
        <w:t>.</w:t>
      </w:r>
    </w:p>
    <w:p>
      <w:pPr>
        <w:pStyle w:val="Body"/>
        <w:spacing w:line="360" w:lineRule="auto"/>
        <w:jc w:val="left"/>
      </w:pPr>
      <w:r>
        <w:rPr>
          <w:rtl w:val="0"/>
          <w:lang w:val="fr-FR"/>
        </w:rPr>
        <w:t>This myth is also important because there is one thing that differs from the other werewolf myths. The King, Lycaon, can not change back into human form, he is forever stuck as a wolf. This is significant because Ovid brings up his character as being not too different from that of a wolf</w:t>
      </w:r>
      <w:r>
        <w:rPr>
          <w:vertAlign w:val="superscript"/>
          <w:rtl w:val="0"/>
          <w:lang w:val="fr-FR"/>
        </w:rPr>
        <w:t>26</w:t>
      </w:r>
      <w:r>
        <w:rPr>
          <w:rtl w:val="0"/>
          <w:lang w:val="fr-FR"/>
        </w:rPr>
        <w:t>, which can tell us that this particular transformation is just Lycaon</w:t>
      </w:r>
      <w:r>
        <w:rPr>
          <w:rtl w:val="0"/>
          <w:lang w:val="fr-FR"/>
        </w:rPr>
        <w:t>’</w:t>
      </w:r>
      <w:r>
        <w:rPr>
          <w:rtl w:val="0"/>
          <w:lang w:val="fr-FR"/>
        </w:rPr>
        <w:t>s character in physical from, a monster</w:t>
      </w:r>
      <w:r>
        <w:rPr>
          <w:vertAlign w:val="superscript"/>
          <w:rtl w:val="0"/>
          <w:lang w:val="fr-FR"/>
        </w:rPr>
        <w:t>27</w:t>
      </w:r>
      <w:r>
        <w:rPr>
          <w:rtl w:val="0"/>
          <w:lang w:val="fr-FR"/>
        </w:rPr>
        <w:t>. This is important because it continues on the theme of man vs beast, in which Zeus has shown that the King was more beast then man, something which would have been shocking to a lot of people at the time, due to the hatred of the animal.</w:t>
      </w:r>
    </w:p>
    <w:p>
      <w:pPr>
        <w:pStyle w:val="Body"/>
        <w:spacing w:line="360" w:lineRule="auto"/>
        <w:jc w:val="left"/>
      </w:pPr>
    </w:p>
    <w:p>
      <w:pPr>
        <w:pStyle w:val="Body"/>
        <w:spacing w:line="360" w:lineRule="auto"/>
        <w:jc w:val="left"/>
      </w:pPr>
      <w:r>
        <w:rPr>
          <w:rtl w:val="0"/>
          <w:lang w:val="fr-FR"/>
        </w:rPr>
        <w:t>Furthermore there are other subtle differences in the many versions of this myth. Apollodorus is the most different as he fails to mention what happens after the lightening bolt has struck the king. This is important as there is no mention of the wolf at all, meaning that we do not know the fate of the king and the repercussions of going against the gods. Moreover, Apollodorus mentions a list of fifty sons who are apparently also to blame for angering Zeus and are also punished</w:t>
      </w:r>
      <w:r>
        <w:rPr>
          <w:vertAlign w:val="superscript"/>
          <w:rtl w:val="0"/>
          <w:lang w:val="fr-FR"/>
        </w:rPr>
        <w:t>28</w:t>
      </w:r>
      <w:r>
        <w:rPr>
          <w:rtl w:val="0"/>
          <w:lang w:val="fr-FR"/>
        </w:rPr>
        <w:t>.</w:t>
      </w:r>
    </w:p>
    <w:p>
      <w:pPr>
        <w:pStyle w:val="Body"/>
        <w:spacing w:line="360" w:lineRule="auto"/>
        <w:jc w:val="left"/>
      </w:pPr>
    </w:p>
    <w:p>
      <w:pPr>
        <w:pStyle w:val="Body"/>
        <w:spacing w:line="360" w:lineRule="auto"/>
        <w:jc w:val="left"/>
      </w:pPr>
      <w:r>
        <w:rPr>
          <w:rtl w:val="0"/>
          <w:lang w:val="fr-FR"/>
        </w:rPr>
        <w:t>In a way, this myth can not be seen as having been derived from a ritual but more of a lesson for those who do not appease the gods. This would be significant in this respect because it is a warning to stay away from mysterious cults</w:t>
      </w:r>
      <w:r>
        <w:rPr>
          <w:vertAlign w:val="superscript"/>
          <w:rtl w:val="0"/>
          <w:lang w:val="fr-FR"/>
        </w:rPr>
        <w:t>29</w:t>
      </w:r>
      <w:r>
        <w:rPr>
          <w:rtl w:val="0"/>
          <w:lang w:val="fr-FR"/>
        </w:rPr>
        <w:t>.</w:t>
      </w:r>
    </w:p>
    <w:p>
      <w:pPr>
        <w:pStyle w:val="Body"/>
        <w:spacing w:line="360" w:lineRule="auto"/>
        <w:jc w:val="left"/>
      </w:pPr>
    </w:p>
    <w:p>
      <w:pPr>
        <w:pStyle w:val="Body"/>
        <w:spacing w:line="360" w:lineRule="auto"/>
        <w:jc w:val="left"/>
        <w:sectPr>
          <w:headerReference w:type="default" r:id="rId10"/>
          <w:footerReference w:type="default" r:id="rId11"/>
          <w:pgSz w:w="11906" w:h="16838" w:orient="portrait"/>
          <w:pgMar w:top="1134" w:right="1134" w:bottom="1134" w:left="1134" w:header="709" w:footer="850"/>
          <w:bidi w:val="0"/>
        </w:sectPr>
      </w:pPr>
      <w:r>
        <w:rPr>
          <w:rtl w:val="0"/>
          <w:lang w:val="fr-FR"/>
        </w:rPr>
        <w:t>In conclusion we can see that Greco-Roman werewolf myths could quite easily derive from Ritual activity. The first example of this is the idea of a ritual sacrifice to a god. In the first example of Demaenetus, this goes wrong and he eats a piece of human flesh, which turns him into a wolf for ten years</w:t>
      </w:r>
      <w:r>
        <w:rPr>
          <w:vertAlign w:val="superscript"/>
          <w:rtl w:val="0"/>
          <w:lang w:val="fr-FR"/>
        </w:rPr>
        <w:t>30</w:t>
      </w:r>
      <w:r>
        <w:rPr>
          <w:rtl w:val="0"/>
          <w:lang w:val="fr-FR"/>
        </w:rPr>
        <w:t>. The second example is that of the person swimming across the lake</w:t>
      </w:r>
      <w:r>
        <w:rPr>
          <w:vertAlign w:val="superscript"/>
          <w:rtl w:val="0"/>
          <w:lang w:val="fr-FR"/>
        </w:rPr>
        <w:t>31</w:t>
      </w:r>
      <w:r>
        <w:rPr>
          <w:rtl w:val="0"/>
          <w:lang w:val="fr-FR"/>
        </w:rPr>
        <w:t>. This has multiple evidence of rituals, for example the first being that of the bathing. This was very important in both Roman and Greek society and was normally used to show the beginning of a new stage in life, such as death, birth and marriage</w:t>
      </w:r>
      <w:r>
        <w:rPr>
          <w:vertAlign w:val="superscript"/>
          <w:rtl w:val="0"/>
          <w:lang w:val="fr-FR"/>
        </w:rPr>
        <w:t>32</w:t>
      </w:r>
      <w:r>
        <w:rPr>
          <w:rtl w:val="0"/>
          <w:lang w:val="fr-FR"/>
        </w:rPr>
        <w:t>. The second important part in this myth is the idea of being sent away from society for a period of time before being accepted back in. This can be seen in Athenian, Spartan and Arcadian society, however certain aspects are changed for the myth, such as the long period of time and the number of people going at a time</w:t>
      </w:r>
      <w:r>
        <w:rPr>
          <w:vertAlign w:val="superscript"/>
          <w:rtl w:val="0"/>
          <w:lang w:val="fr-FR"/>
        </w:rPr>
        <w:t>33</w:t>
      </w:r>
      <w:r>
        <w:rPr>
          <w:rtl w:val="0"/>
          <w:lang w:val="fr-FR"/>
        </w:rPr>
        <w:t>. Finally the last aspect of ritual in this myth is the idea of taking ones clothes off. This is also a rite of passage ritual common in these societies but it also demonstrates the difference between man and beast</w:t>
      </w:r>
      <w:r>
        <w:rPr>
          <w:vertAlign w:val="superscript"/>
          <w:rtl w:val="0"/>
          <w:lang w:val="fr-FR"/>
        </w:rPr>
        <w:t>34</w:t>
      </w:r>
      <w:r>
        <w:rPr>
          <w:rtl w:val="0"/>
          <w:lang w:val="fr-FR"/>
        </w:rPr>
        <w:t>, as they are used to represent humanity, which is why in Petronius</w:t>
      </w:r>
      <w:r>
        <w:rPr>
          <w:rtl w:val="0"/>
          <w:lang w:val="fr-FR"/>
        </w:rPr>
        <w:t xml:space="preserve">’ </w:t>
      </w:r>
      <w:r>
        <w:rPr>
          <w:i w:val="1"/>
          <w:iCs w:val="1"/>
          <w:rtl w:val="0"/>
          <w:lang w:val="fr-FR"/>
        </w:rPr>
        <w:t>Satyricon</w:t>
      </w:r>
      <w:r>
        <w:rPr>
          <w:rtl w:val="0"/>
          <w:lang w:val="fr-FR"/>
        </w:rPr>
        <w:t>, the solider makes sure to protect his clothes before transforming as they are the bridge back to his human form</w:t>
      </w:r>
      <w:r>
        <w:rPr>
          <w:vertAlign w:val="superscript"/>
          <w:rtl w:val="0"/>
          <w:lang w:val="fr-FR"/>
        </w:rPr>
        <w:t>35</w:t>
      </w:r>
      <w:r>
        <w:rPr>
          <w:rtl w:val="0"/>
          <w:lang w:val="fr-FR"/>
        </w:rPr>
        <w:t>.</w:t>
      </w:r>
    </w:p>
    <w:p>
      <w:pPr>
        <w:pStyle w:val="Body"/>
        <w:spacing w:line="360" w:lineRule="auto"/>
        <w:jc w:val="left"/>
        <w:sectPr>
          <w:headerReference w:type="default" r:id="rId12"/>
          <w:footerReference w:type="default" r:id="rId13"/>
          <w:pgSz w:w="11906" w:h="16838" w:orient="portrait"/>
          <w:pgMar w:top="1134" w:right="1134" w:bottom="1134" w:left="1134" w:header="709" w:footer="850"/>
          <w:bidi w:val="0"/>
        </w:sectPr>
      </w:pPr>
      <w:r>
        <w:rPr>
          <w:rtl w:val="0"/>
          <w:lang w:val="fr-FR"/>
        </w:rPr>
        <w:t>The other myth about the King Lycaon can be shown to both support the idea of myths and rituals being combined because he too goes against the gods with a human sacrifice and is therefore punished</w:t>
      </w:r>
      <w:r>
        <w:rPr>
          <w:vertAlign w:val="superscript"/>
          <w:rtl w:val="0"/>
          <w:lang w:val="fr-FR"/>
        </w:rPr>
        <w:t>36</w:t>
      </w:r>
      <w:r>
        <w:rPr>
          <w:rtl w:val="0"/>
          <w:lang w:val="fr-FR"/>
        </w:rPr>
        <w:t>. However this can also be seen as a way in which the authors have used the well known enemy, the wolf, to scare people into appeasing the gods</w:t>
      </w:r>
      <w:r>
        <w:rPr>
          <w:vertAlign w:val="superscript"/>
          <w:rtl w:val="0"/>
          <w:lang w:val="fr-FR"/>
        </w:rPr>
        <w:t>37</w:t>
      </w:r>
      <w:r>
        <w:rPr>
          <w:rtl w:val="0"/>
          <w:lang w:val="fr-FR"/>
        </w:rPr>
        <w:t>. So we can see that there are many similarities between myths and rituals but this does not include all myths</w:t>
      </w:r>
      <w:r>
        <w:rPr>
          <w:vertAlign w:val="superscript"/>
          <w:rtl w:val="0"/>
          <w:lang w:val="fr-FR"/>
        </w:rPr>
        <w:t>38</w:t>
      </w:r>
      <w:r>
        <w:rPr>
          <w:rtl w:val="0"/>
          <w:lang w:val="fr-FR"/>
        </w:rPr>
        <w:t>.</w:t>
      </w:r>
    </w:p>
    <w:p>
      <w:pPr>
        <w:pStyle w:val="Body"/>
        <w:spacing w:line="360" w:lineRule="auto"/>
        <w:jc w:val="center"/>
      </w:pPr>
      <w:r>
        <w:rPr>
          <w:b w:val="1"/>
          <w:bCs w:val="1"/>
          <w:i w:val="1"/>
          <w:iCs w:val="1"/>
          <w:u w:val="single"/>
          <w:rtl w:val="0"/>
          <w:lang w:val="fr-FR"/>
        </w:rPr>
        <w:t>Bibliography</w:t>
      </w:r>
    </w:p>
    <w:p>
      <w:pPr>
        <w:pStyle w:val="Body"/>
        <w:spacing w:line="360" w:lineRule="auto"/>
      </w:pPr>
    </w:p>
    <w:p>
      <w:pPr>
        <w:pStyle w:val="Body"/>
        <w:spacing w:line="360" w:lineRule="auto"/>
      </w:pPr>
      <w:r>
        <w:rPr>
          <w:i w:val="1"/>
          <w:iCs w:val="1"/>
          <w:u w:val="single"/>
          <w:rtl w:val="0"/>
          <w:lang w:val="en-US"/>
        </w:rPr>
        <w:t>Modern Scholarship</w:t>
      </w:r>
    </w:p>
    <w:p>
      <w:pPr>
        <w:pStyle w:val="Body"/>
        <w:spacing w:line="360" w:lineRule="auto"/>
      </w:pPr>
    </w:p>
    <w:p>
      <w:pPr>
        <w:pStyle w:val="Body"/>
        <w:numPr>
          <w:ilvl w:val="0"/>
          <w:numId w:val="3"/>
        </w:numPr>
        <w:spacing w:line="360" w:lineRule="auto"/>
        <w:rPr>
          <w:lang w:val="nl-NL"/>
        </w:rPr>
      </w:pPr>
      <w:r>
        <w:rPr>
          <w:rtl w:val="0"/>
          <w:lang w:val="nl-NL"/>
        </w:rPr>
        <w:t xml:space="preserve">Burkert, W. 1994.  </w:t>
      </w:r>
      <w:r>
        <w:rPr>
          <w:i w:val="1"/>
          <w:iCs w:val="1"/>
          <w:rtl w:val="0"/>
        </w:rPr>
        <w:t xml:space="preserve">Greek Religion. </w:t>
      </w:r>
      <w:r>
        <w:rPr>
          <w:rtl w:val="0"/>
          <w:lang w:val="en-US"/>
        </w:rPr>
        <w:t>Cambridge: Harvard University Press.</w:t>
      </w:r>
    </w:p>
    <w:p>
      <w:pPr>
        <w:pStyle w:val="Body"/>
        <w:numPr>
          <w:ilvl w:val="0"/>
          <w:numId w:val="3"/>
        </w:numPr>
        <w:spacing w:line="360" w:lineRule="auto"/>
      </w:pPr>
      <w:r>
        <w:rPr>
          <w:rtl w:val="0"/>
        </w:rPr>
        <w:t xml:space="preserve">Buxton, R. 1994. </w:t>
      </w:r>
      <w:r>
        <w:rPr>
          <w:rtl w:val="0"/>
        </w:rPr>
        <w:t>‘</w:t>
      </w:r>
      <w:r>
        <w:rPr>
          <w:rtl w:val="0"/>
          <w:lang w:val="en-US"/>
        </w:rPr>
        <w:t>Wolves and Werewolves in Greek Thought</w:t>
      </w:r>
      <w:r>
        <w:rPr>
          <w:rtl w:val="0"/>
        </w:rPr>
        <w:t>’</w:t>
      </w:r>
      <w:r>
        <w:rPr>
          <w:rtl w:val="0"/>
          <w:lang w:val="nl-NL"/>
        </w:rPr>
        <w:t xml:space="preserve">., in Bremmer, J. (ed), </w:t>
      </w:r>
      <w:r>
        <w:rPr>
          <w:i w:val="1"/>
          <w:iCs w:val="1"/>
          <w:rtl w:val="0"/>
          <w:lang w:val="en-US"/>
        </w:rPr>
        <w:t xml:space="preserve">Interpretations of Greek Mythology. </w:t>
      </w:r>
      <w:r>
        <w:rPr>
          <w:rtl w:val="0"/>
          <w:lang w:val="en-US"/>
        </w:rPr>
        <w:t>London: Routledge, 60-79.</w:t>
      </w:r>
    </w:p>
    <w:p>
      <w:pPr>
        <w:pStyle w:val="Body"/>
        <w:numPr>
          <w:ilvl w:val="0"/>
          <w:numId w:val="3"/>
        </w:numPr>
        <w:spacing w:line="360" w:lineRule="auto"/>
        <w:rPr>
          <w:lang w:val="pt-PT"/>
        </w:rPr>
      </w:pPr>
      <w:r>
        <w:rPr>
          <w:rtl w:val="0"/>
          <w:lang w:val="pt-PT"/>
        </w:rPr>
        <w:t>Buxton, R. 2013</w:t>
      </w:r>
      <w:r>
        <w:rPr>
          <w:rtl w:val="0"/>
          <w:lang w:val="en-US"/>
        </w:rPr>
        <w:t>. Myths and Tragedies in their Ancient Greek Contexts</w:t>
      </w:r>
      <w:r>
        <w:rPr>
          <w:rtl w:val="0"/>
        </w:rPr>
        <w:t>. Oxford: Oxford University Press.</w:t>
      </w:r>
    </w:p>
    <w:p>
      <w:pPr>
        <w:pStyle w:val="Body"/>
        <w:numPr>
          <w:ilvl w:val="0"/>
          <w:numId w:val="3"/>
        </w:numPr>
        <w:spacing w:line="360" w:lineRule="auto"/>
        <w:rPr>
          <w:lang w:val="it-IT"/>
        </w:rPr>
      </w:pPr>
      <w:r>
        <w:rPr>
          <w:rtl w:val="0"/>
          <w:lang w:val="it-IT"/>
        </w:rPr>
        <w:t xml:space="preserve">Csapo, E. 2005. </w:t>
      </w:r>
      <w:r>
        <w:rPr>
          <w:rtl w:val="0"/>
          <w:lang w:val="en-US"/>
        </w:rPr>
        <w:t xml:space="preserve">Theories of Mythology. </w:t>
      </w:r>
      <w:r>
        <w:rPr>
          <w:rtl w:val="0"/>
        </w:rPr>
        <w:t>Oxford:</w:t>
      </w:r>
      <w:r>
        <w:rPr>
          <w:rtl w:val="0"/>
        </w:rPr>
        <w:t xml:space="preserve"> </w:t>
      </w:r>
      <w:r>
        <w:rPr>
          <w:rtl w:val="0"/>
          <w:lang w:val="en-US"/>
        </w:rPr>
        <w:t>Blackwell Publishing.</w:t>
      </w:r>
    </w:p>
    <w:p>
      <w:pPr>
        <w:pStyle w:val="Body"/>
        <w:numPr>
          <w:ilvl w:val="0"/>
          <w:numId w:val="3"/>
        </w:numPr>
        <w:spacing w:line="360" w:lineRule="auto"/>
      </w:pPr>
      <w:r>
        <w:rPr>
          <w:rtl w:val="0"/>
        </w:rPr>
        <w:t>Forbes Irving, P.M.C. 1992.</w:t>
      </w:r>
      <w:r>
        <w:rPr>
          <w:rtl w:val="0"/>
        </w:rPr>
        <w:t> </w:t>
      </w:r>
      <w:r>
        <w:rPr>
          <w:i w:val="1"/>
          <w:iCs w:val="1"/>
          <w:rtl w:val="0"/>
          <w:lang w:val="en-US"/>
        </w:rPr>
        <w:t>Metamorphosis in Greek Myths</w:t>
      </w:r>
      <w:r>
        <w:rPr>
          <w:rtl w:val="0"/>
        </w:rPr>
        <w:t>.</w:t>
      </w:r>
      <w:r>
        <w:rPr>
          <w:rtl w:val="0"/>
        </w:rPr>
        <w:t> </w:t>
      </w:r>
      <w:r>
        <w:rPr>
          <w:rtl w:val="0"/>
          <w:lang w:val="it-IT"/>
        </w:rPr>
        <w:t>Oxford: Clarendon Press.</w:t>
      </w:r>
    </w:p>
    <w:p>
      <w:pPr>
        <w:pStyle w:val="Body"/>
        <w:numPr>
          <w:ilvl w:val="0"/>
          <w:numId w:val="3"/>
        </w:numPr>
        <w:spacing w:line="360" w:lineRule="auto"/>
      </w:pPr>
      <w:r>
        <w:rPr>
          <w:rtl w:val="0"/>
        </w:rPr>
        <w:t xml:space="preserve">Lowe, D. 2015. </w:t>
      </w:r>
      <w:r>
        <w:rPr>
          <w:i w:val="1"/>
          <w:iCs w:val="1"/>
          <w:rtl w:val="0"/>
          <w:lang w:val="en-US"/>
        </w:rPr>
        <w:t xml:space="preserve">Monsters and Monstrosity in Augustan Poetry. </w:t>
      </w:r>
      <w:r>
        <w:rPr>
          <w:rtl w:val="0"/>
          <w:lang w:val="en-US"/>
        </w:rPr>
        <w:t>United States of America: University of Michigan Press.</w:t>
      </w:r>
    </w:p>
    <w:p>
      <w:pPr>
        <w:pStyle w:val="Body"/>
        <w:numPr>
          <w:ilvl w:val="0"/>
          <w:numId w:val="3"/>
        </w:numPr>
        <w:spacing w:line="360" w:lineRule="auto"/>
      </w:pPr>
      <w:r>
        <w:rPr>
          <w:rtl w:val="0"/>
        </w:rPr>
        <w:t>Ogden, D. 2002.</w:t>
      </w:r>
      <w:r>
        <w:rPr>
          <w:rtl w:val="0"/>
        </w:rPr>
        <w:t> </w:t>
      </w:r>
      <w:r>
        <w:rPr>
          <w:rtl w:val="0"/>
          <w:lang w:val="en-US"/>
        </w:rPr>
        <w:t>Magic, Witchcraft, and Ghosts in the Greek and Roman Worlds A Sourcebook</w:t>
      </w:r>
      <w:r>
        <w:rPr>
          <w:rtl w:val="0"/>
          <w:lang w:val="en-US"/>
        </w:rPr>
        <w:t>. Oxford: Oxford University Press, USA.</w:t>
      </w:r>
    </w:p>
    <w:p>
      <w:pPr>
        <w:pStyle w:val="Body"/>
        <w:numPr>
          <w:ilvl w:val="0"/>
          <w:numId w:val="3"/>
        </w:numPr>
        <w:spacing w:line="360" w:lineRule="auto"/>
        <w:rPr>
          <w:lang w:val="it-IT"/>
        </w:rPr>
      </w:pPr>
      <w:r>
        <w:rPr>
          <w:rtl w:val="0"/>
          <w:lang w:val="it-IT"/>
        </w:rPr>
        <w:t xml:space="preserve">Sconduto, L.A. 2008. </w:t>
      </w:r>
      <w:r>
        <w:rPr>
          <w:rtl w:val="0"/>
          <w:lang w:val="en-US"/>
        </w:rPr>
        <w:t xml:space="preserve">Metamorphoses of the Werewolf: A Literary Study from Antiquity through the Renaissance. </w:t>
      </w:r>
      <w:r>
        <w:rPr>
          <w:rtl w:val="0"/>
          <w:lang w:val="en-US"/>
        </w:rPr>
        <w:t>London: McFarland &amp; Company, Inc., Publishers.</w:t>
      </w:r>
    </w:p>
    <w:p>
      <w:pPr>
        <w:pStyle w:val="Body"/>
        <w:spacing w:line="360" w:lineRule="auto"/>
      </w:pPr>
    </w:p>
    <w:p>
      <w:pPr>
        <w:pStyle w:val="Body"/>
        <w:spacing w:line="360" w:lineRule="auto"/>
      </w:pPr>
      <w:r>
        <w:rPr>
          <w:i w:val="1"/>
          <w:iCs w:val="1"/>
          <w:u w:val="single"/>
          <w:rtl w:val="0"/>
          <w:lang w:val="en-US"/>
        </w:rPr>
        <w:t>Ancient Scholarship</w:t>
      </w:r>
    </w:p>
    <w:p>
      <w:pPr>
        <w:pStyle w:val="Body"/>
        <w:spacing w:line="360" w:lineRule="auto"/>
      </w:pPr>
    </w:p>
    <w:p>
      <w:pPr>
        <w:pStyle w:val="Body"/>
        <w:numPr>
          <w:ilvl w:val="0"/>
          <w:numId w:val="4"/>
        </w:numPr>
        <w:spacing w:line="360" w:lineRule="auto"/>
        <w:rPr>
          <w:lang w:val="it-IT"/>
        </w:rPr>
      </w:pPr>
      <w:r>
        <w:rPr>
          <w:rtl w:val="0"/>
          <w:lang w:val="it-IT"/>
        </w:rPr>
        <w:t xml:space="preserve">Apollodorus, </w:t>
      </w:r>
      <w:r>
        <w:rPr>
          <w:i w:val="1"/>
          <w:iCs w:val="1"/>
          <w:rtl w:val="0"/>
          <w:lang w:val="en-US"/>
        </w:rPr>
        <w:t xml:space="preserve">The Library of Greek Mythology. </w:t>
      </w:r>
      <w:r>
        <w:rPr>
          <w:rtl w:val="0"/>
        </w:rPr>
        <w:t>Hard. R (trans.). 2008. Oxford: Oxford University Press.</w:t>
      </w:r>
    </w:p>
    <w:p>
      <w:pPr>
        <w:pStyle w:val="Body"/>
        <w:numPr>
          <w:ilvl w:val="0"/>
          <w:numId w:val="3"/>
        </w:numPr>
        <w:spacing w:line="360" w:lineRule="auto"/>
      </w:pPr>
      <w:r>
        <w:rPr>
          <w:rtl w:val="0"/>
        </w:rPr>
        <w:t xml:space="preserve">Augustine, </w:t>
      </w:r>
      <w:r>
        <w:rPr>
          <w:i w:val="1"/>
          <w:iCs w:val="1"/>
          <w:rtl w:val="0"/>
          <w:lang w:val="en-US"/>
        </w:rPr>
        <w:t xml:space="preserve">The City of God Against the Pagans. </w:t>
      </w:r>
      <w:r>
        <w:rPr>
          <w:rtl w:val="0"/>
          <w:lang w:val="en-US"/>
        </w:rPr>
        <w:t>Sanford, E.M., and Green, W.M (trans.). 1965. Harvard: Harvard University Press (Loeb).</w:t>
      </w:r>
    </w:p>
    <w:p>
      <w:pPr>
        <w:pStyle w:val="Body"/>
        <w:numPr>
          <w:ilvl w:val="0"/>
          <w:numId w:val="3"/>
        </w:numPr>
        <w:spacing w:line="360" w:lineRule="auto"/>
      </w:pPr>
      <w:r>
        <w:rPr>
          <w:rtl w:val="0"/>
        </w:rPr>
        <w:t xml:space="preserve">Herodotus, </w:t>
      </w:r>
      <w:r>
        <w:rPr>
          <w:i w:val="1"/>
          <w:iCs w:val="1"/>
          <w:rtl w:val="0"/>
          <w:lang w:val="pt-PT"/>
        </w:rPr>
        <w:t xml:space="preserve">Histories. </w:t>
      </w:r>
      <w:r>
        <w:rPr>
          <w:rtl w:val="0"/>
          <w:lang w:val="it-IT"/>
        </w:rPr>
        <w:t>Purvis, A.L (trans.). 2009. New York: Anchor Books.</w:t>
      </w:r>
    </w:p>
    <w:p>
      <w:pPr>
        <w:pStyle w:val="Body"/>
        <w:numPr>
          <w:ilvl w:val="0"/>
          <w:numId w:val="3"/>
        </w:numPr>
        <w:spacing w:line="360" w:lineRule="auto"/>
      </w:pPr>
      <w:r>
        <w:rPr>
          <w:rtl w:val="0"/>
        </w:rPr>
        <w:t xml:space="preserve">Ovid, </w:t>
      </w:r>
      <w:r>
        <w:rPr>
          <w:i w:val="1"/>
          <w:iCs w:val="1"/>
          <w:rtl w:val="0"/>
          <w:lang w:val="fr-FR"/>
        </w:rPr>
        <w:t xml:space="preserve">Metamorphoses. </w:t>
      </w:r>
      <w:r>
        <w:rPr>
          <w:rtl w:val="0"/>
          <w:lang w:val="en-US"/>
        </w:rPr>
        <w:t>Millerm F.J (trans.). 1916. Harvard: Harvard University Press (Loeb).</w:t>
      </w:r>
    </w:p>
    <w:p>
      <w:pPr>
        <w:pStyle w:val="Body"/>
        <w:numPr>
          <w:ilvl w:val="0"/>
          <w:numId w:val="3"/>
        </w:numPr>
        <w:spacing w:line="360" w:lineRule="auto"/>
      </w:pPr>
      <w:r>
        <w:rPr>
          <w:rtl w:val="0"/>
        </w:rPr>
        <w:t xml:space="preserve">Pausanius, </w:t>
      </w:r>
      <w:r>
        <w:rPr>
          <w:i w:val="1"/>
          <w:iCs w:val="1"/>
          <w:rtl w:val="0"/>
          <w:lang w:val="en-US"/>
        </w:rPr>
        <w:t>Description of Greece.</w:t>
      </w:r>
      <w:r>
        <w:rPr>
          <w:rtl w:val="0"/>
          <w:lang w:val="en-US"/>
        </w:rPr>
        <w:t xml:space="preserve"> Jones, W.H.S (trans.). 1918. Cambridge</w:t>
      </w:r>
      <w:r>
        <w:rPr>
          <w:rtl w:val="0"/>
        </w:rPr>
        <w:t> </w:t>
      </w:r>
      <w:r>
        <w:rPr>
          <w:rtl w:val="0"/>
          <w:lang w:val="en-US"/>
        </w:rPr>
        <w:t xml:space="preserve">: Harvard University Press. </w:t>
      </w:r>
    </w:p>
    <w:p>
      <w:pPr>
        <w:pStyle w:val="Body"/>
        <w:numPr>
          <w:ilvl w:val="0"/>
          <w:numId w:val="3"/>
        </w:numPr>
        <w:spacing w:line="360" w:lineRule="auto"/>
      </w:pPr>
      <w:r>
        <w:rPr>
          <w:rtl w:val="0"/>
        </w:rPr>
        <w:t xml:space="preserve">Petronius, </w:t>
      </w:r>
      <w:r>
        <w:rPr>
          <w:i w:val="1"/>
          <w:iCs w:val="1"/>
          <w:rtl w:val="0"/>
          <w:lang w:val="it-IT"/>
        </w:rPr>
        <w:t xml:space="preserve">Satyricon. </w:t>
      </w:r>
      <w:r>
        <w:rPr>
          <w:rtl w:val="0"/>
          <w:lang w:val="de-DE"/>
        </w:rPr>
        <w:t>Heseltine. M (trans). 1913. London: William Heinemann.</w:t>
      </w:r>
    </w:p>
    <w:p>
      <w:pPr>
        <w:pStyle w:val="Body"/>
        <w:numPr>
          <w:ilvl w:val="0"/>
          <w:numId w:val="3"/>
        </w:numPr>
        <w:spacing w:line="360" w:lineRule="auto"/>
        <w:rPr>
          <w:lang w:val="it-IT"/>
        </w:rPr>
      </w:pPr>
      <w:r>
        <w:rPr>
          <w:rtl w:val="0"/>
          <w:lang w:val="it-IT"/>
        </w:rPr>
        <w:t xml:space="preserve">Plato, </w:t>
      </w:r>
      <w:r>
        <w:rPr>
          <w:i w:val="1"/>
          <w:iCs w:val="1"/>
          <w:rtl w:val="0"/>
        </w:rPr>
        <w:t xml:space="preserve">Republic. </w:t>
      </w:r>
      <w:r>
        <w:rPr>
          <w:rtl w:val="0"/>
          <w:lang w:val="en-US"/>
        </w:rPr>
        <w:t>Shorey, P (trans.). 1969. Cambridge</w:t>
      </w:r>
      <w:r>
        <w:rPr>
          <w:rtl w:val="0"/>
        </w:rPr>
        <w:t> </w:t>
      </w:r>
      <w:r>
        <w:rPr>
          <w:rtl w:val="0"/>
          <w:lang w:val="en-US"/>
        </w:rPr>
        <w:t>: Harvard University Press.</w:t>
      </w:r>
    </w:p>
    <w:p>
      <w:pPr>
        <w:pStyle w:val="Body"/>
        <w:numPr>
          <w:ilvl w:val="0"/>
          <w:numId w:val="3"/>
        </w:numPr>
        <w:spacing w:line="360" w:lineRule="auto"/>
        <w:rPr>
          <w:lang w:val="en-US"/>
        </w:rPr>
      </w:pPr>
      <w:r>
        <w:rPr>
          <w:rtl w:val="0"/>
          <w:lang w:val="en-US"/>
        </w:rPr>
        <w:t xml:space="preserve">Pliny the Elder, </w:t>
      </w:r>
      <w:r>
        <w:rPr>
          <w:i w:val="1"/>
          <w:iCs w:val="1"/>
          <w:rtl w:val="0"/>
        </w:rPr>
        <w:t xml:space="preserve">Natural History. </w:t>
      </w:r>
      <w:r>
        <w:rPr>
          <w:rtl w:val="0"/>
          <w:lang w:val="en-US"/>
        </w:rPr>
        <w:t>Rostock, J. and Riley, H.T (trans.). 1855. London: Taylor and Francis.</w:t>
      </w:r>
    </w:p>
    <w:p>
      <w:pPr>
        <w:pStyle w:val="Body"/>
        <w:numPr>
          <w:ilvl w:val="0"/>
          <w:numId w:val="3"/>
        </w:numPr>
        <w:spacing w:line="360" w:lineRule="auto"/>
        <w:rPr>
          <w:lang w:val="pt-PT"/>
        </w:rPr>
      </w:pPr>
      <w:r>
        <w:rPr>
          <w:rtl w:val="0"/>
          <w:lang w:val="pt-PT"/>
        </w:rPr>
        <w:t xml:space="preserve">Plutarch, </w:t>
      </w:r>
      <w:r>
        <w:rPr>
          <w:i w:val="1"/>
          <w:iCs w:val="1"/>
          <w:rtl w:val="0"/>
          <w:lang w:val="it-IT"/>
        </w:rPr>
        <w:t>Solon</w:t>
      </w:r>
      <w:r>
        <w:rPr>
          <w:rtl w:val="0"/>
          <w:lang w:val="de-DE"/>
        </w:rPr>
        <w:t>. Perrin, B (trans.). 1914. London: William Heinemann Ltd.</w:t>
      </w:r>
    </w:p>
    <w:sectPr>
      <w:headerReference w:type="default" r:id="rId14"/>
      <w:footerReference w:type="default" r:id="rId1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numPr>
        <w:ilvl w:val="0"/>
        <w:numId w:val="1"/>
      </w:numPr>
      <w:jc w:val="left"/>
      <w:rPr>
        <w:lang w:val="fr-FR"/>
      </w:rPr>
    </w:pPr>
    <w:r>
      <w:rPr>
        <w:rtl w:val="0"/>
        <w:lang w:val="fr-FR"/>
      </w:rPr>
      <w:t>Sconduto 2008: 7</w:t>
    </w:r>
  </w:p>
  <w:p>
    <w:pPr>
      <w:pStyle w:val="Header &amp; Footer"/>
      <w:numPr>
        <w:ilvl w:val="0"/>
        <w:numId w:val="1"/>
      </w:numPr>
      <w:jc w:val="left"/>
      <w:rPr>
        <w:lang w:val="fr-FR"/>
      </w:rPr>
    </w:pPr>
    <w:r>
      <w:rPr>
        <w:rtl w:val="0"/>
        <w:lang w:val="fr-FR"/>
      </w:rPr>
      <w:t xml:space="preserve">Herodotus, </w:t>
    </w:r>
    <w:r>
      <w:rPr>
        <w:i w:val="1"/>
        <w:iCs w:val="1"/>
        <w:rtl w:val="0"/>
        <w:lang w:val="fr-FR"/>
      </w:rPr>
      <w:t xml:space="preserve">Histories, </w:t>
    </w:r>
    <w:r>
      <w:rPr>
        <w:rtl w:val="0"/>
        <w:lang w:val="fr-FR"/>
      </w:rPr>
      <w:t>4.105</w:t>
    </w:r>
  </w:p>
  <w:p>
    <w:pPr>
      <w:pStyle w:val="Header &amp; Footer"/>
      <w:numPr>
        <w:ilvl w:val="0"/>
        <w:numId w:val="1"/>
      </w:numPr>
      <w:jc w:val="left"/>
      <w:rPr>
        <w:lang w:val="fr-FR"/>
      </w:rPr>
    </w:pPr>
    <w:r>
      <w:rPr>
        <w:rtl w:val="0"/>
        <w:lang w:val="fr-FR"/>
      </w:rPr>
      <w:t xml:space="preserve">Pliny, </w:t>
    </w:r>
    <w:r>
      <w:rPr>
        <w:i w:val="1"/>
        <w:iCs w:val="1"/>
        <w:rtl w:val="0"/>
        <w:lang w:val="fr-FR"/>
      </w:rPr>
      <w:t>Natural History,</w:t>
    </w:r>
    <w:r>
      <w:rPr>
        <w:rtl w:val="0"/>
        <w:lang w:val="fr-FR"/>
      </w:rPr>
      <w:t xml:space="preserve"> 8.34</w:t>
    </w:r>
  </w:p>
  <w:p>
    <w:pPr>
      <w:pStyle w:val="Header &amp; Footer"/>
      <w:numPr>
        <w:ilvl w:val="0"/>
        <w:numId w:val="1"/>
      </w:numPr>
      <w:jc w:val="left"/>
      <w:rPr>
        <w:lang w:val="fr-FR"/>
      </w:rPr>
    </w:pPr>
    <w:r>
      <w:rPr>
        <w:rtl w:val="0"/>
        <w:lang w:val="fr-FR"/>
      </w:rPr>
      <w:t xml:space="preserve">Augustine, </w:t>
    </w:r>
    <w:r>
      <w:rPr>
        <w:i w:val="1"/>
        <w:iCs w:val="1"/>
        <w:rtl w:val="0"/>
        <w:lang w:val="en-US"/>
      </w:rPr>
      <w:t>The City of God Against the Pagans</w:t>
    </w:r>
    <w:r>
      <w:rPr>
        <w:i w:val="1"/>
        <w:iCs w:val="1"/>
        <w:rtl w:val="0"/>
        <w:lang w:val="fr-FR"/>
      </w:rPr>
      <w:t>,</w:t>
    </w:r>
    <w:r>
      <w:rPr>
        <w:rtl w:val="0"/>
        <w:lang w:val="fr-FR"/>
      </w:rPr>
      <w:t xml:space="preserve"> 18</w:t>
    </w:r>
  </w:p>
  <w:p>
    <w:pPr>
      <w:pStyle w:val="Header &amp; Footer"/>
      <w:numPr>
        <w:ilvl w:val="0"/>
        <w:numId w:val="1"/>
      </w:numPr>
      <w:jc w:val="left"/>
      <w:rPr>
        <w:lang w:val="fr-FR"/>
      </w:rPr>
    </w:pPr>
    <w:r>
      <w:rPr>
        <w:rtl w:val="0"/>
        <w:lang w:val="fr-FR"/>
      </w:rPr>
      <w:t xml:space="preserve">Pliny, </w:t>
    </w:r>
    <w:r>
      <w:rPr>
        <w:i w:val="1"/>
        <w:iCs w:val="1"/>
        <w:rtl w:val="0"/>
        <w:lang w:val="fr-FR"/>
      </w:rPr>
      <w:t>Natural History,</w:t>
    </w:r>
    <w:r>
      <w:rPr>
        <w:rtl w:val="0"/>
        <w:lang w:val="fr-FR"/>
      </w:rPr>
      <w:t xml:space="preserve"> 8.34</w:t>
    </w:r>
  </w:p>
  <w:p>
    <w:pPr>
      <w:pStyle w:val="Header &amp; Footer"/>
      <w:numPr>
        <w:ilvl w:val="0"/>
        <w:numId w:val="1"/>
      </w:numPr>
      <w:jc w:val="left"/>
      <w:rPr>
        <w:lang w:val="fr-FR"/>
      </w:rPr>
    </w:pPr>
    <w:r>
      <w:rPr>
        <w:rtl w:val="0"/>
        <w:lang w:val="fr-FR"/>
      </w:rPr>
      <w:t xml:space="preserve">Augustine, </w:t>
    </w:r>
    <w:r>
      <w:rPr>
        <w:i w:val="1"/>
        <w:iCs w:val="1"/>
        <w:rtl w:val="0"/>
        <w:lang w:val="en-US"/>
      </w:rPr>
      <w:t>The City of God Against the Pagans</w:t>
    </w:r>
    <w:r>
      <w:rPr>
        <w:i w:val="1"/>
        <w:iCs w:val="1"/>
        <w:rtl w:val="0"/>
        <w:lang w:val="fr-FR"/>
      </w:rPr>
      <w:t>,</w:t>
    </w:r>
    <w:r>
      <w:rPr>
        <w:rtl w:val="0"/>
        <w:lang w:val="fr-FR"/>
      </w:rPr>
      <w:t xml:space="preserve"> 18</w:t>
    </w:r>
  </w:p>
  <w:p>
    <w:pPr>
      <w:pStyle w:val="Header &amp; Footer"/>
      <w:numPr>
        <w:ilvl w:val="0"/>
        <w:numId w:val="1"/>
      </w:numPr>
      <w:jc w:val="left"/>
      <w:rPr>
        <w:lang w:val="fr-FR"/>
      </w:rPr>
    </w:pPr>
    <w:r>
      <w:rPr>
        <w:rtl w:val="0"/>
        <w:lang w:val="fr-FR"/>
      </w:rPr>
      <w:t>Burkert 1994: 59</w:t>
    </w:r>
  </w:p>
  <w:p>
    <w:pPr>
      <w:pStyle w:val="Header &amp; Footer"/>
      <w:numPr>
        <w:ilvl w:val="0"/>
        <w:numId w:val="1"/>
      </w:numPr>
      <w:jc w:val="left"/>
      <w:rPr>
        <w:lang w:val="fr-FR"/>
      </w:rPr>
    </w:pPr>
    <w:r>
      <w:rPr>
        <w:rtl w:val="0"/>
        <w:lang w:val="fr-FR"/>
      </w:rPr>
      <w:t>Buxton 2013: 48</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fr-FR"/>
      </w:rPr>
      <w:t>9. Buxton 2013: 45</w:t>
    </w:r>
  </w:p>
  <w:p>
    <w:pPr>
      <w:pStyle w:val="Header &amp; Footer"/>
      <w:tabs>
        <w:tab w:val="center" w:pos="4819"/>
        <w:tab w:val="right" w:pos="9638"/>
        <w:tab w:val="clear" w:pos="9020"/>
      </w:tabs>
      <w:jc w:val="left"/>
    </w:pPr>
    <w:r>
      <w:rPr>
        <w:rtl w:val="0"/>
        <w:lang w:val="fr-FR"/>
      </w:rPr>
      <w:t>10. Forbes 1992: 51</w:t>
    </w:r>
  </w:p>
  <w:p>
    <w:pPr>
      <w:pStyle w:val="Header &amp; Footer"/>
      <w:tabs>
        <w:tab w:val="center" w:pos="4819"/>
        <w:tab w:val="right" w:pos="9638"/>
        <w:tab w:val="clear" w:pos="9020"/>
      </w:tabs>
      <w:jc w:val="left"/>
    </w:pPr>
    <w:r>
      <w:rPr>
        <w:rtl w:val="0"/>
        <w:lang w:val="fr-FR"/>
      </w:rPr>
      <w:t>11. Ogden 2002: 178</w:t>
    </w:r>
  </w:p>
  <w:p>
    <w:pPr>
      <w:pStyle w:val="Header &amp; Footer"/>
      <w:tabs>
        <w:tab w:val="center" w:pos="4819"/>
        <w:tab w:val="right" w:pos="9638"/>
        <w:tab w:val="clear" w:pos="9020"/>
      </w:tabs>
      <w:jc w:val="left"/>
    </w:pPr>
    <w:r>
      <w:rPr>
        <w:rtl w:val="0"/>
        <w:lang w:val="fr-FR"/>
      </w:rPr>
      <w:t xml:space="preserve">12. Pausanius, </w:t>
    </w:r>
    <w:r>
      <w:rPr>
        <w:i w:val="1"/>
        <w:iCs w:val="1"/>
        <w:rtl w:val="0"/>
        <w:lang w:val="fr-FR"/>
      </w:rPr>
      <w:t>Descriptions of Greece</w:t>
    </w:r>
    <w:r>
      <w:rPr>
        <w:rtl w:val="0"/>
        <w:lang w:val="fr-FR"/>
      </w:rPr>
      <w:t xml:space="preserve"> 4.11.3</w:t>
    </w:r>
  </w:p>
  <w:p>
    <w:pPr>
      <w:pStyle w:val="Header &amp; Footer"/>
      <w:tabs>
        <w:tab w:val="center" w:pos="4819"/>
        <w:tab w:val="right" w:pos="9638"/>
        <w:tab w:val="clear" w:pos="9020"/>
      </w:tabs>
      <w:jc w:val="left"/>
    </w:pPr>
    <w:r>
      <w:rPr>
        <w:rtl w:val="0"/>
        <w:lang w:val="fr-FR"/>
      </w:rPr>
      <w:t>13. Buxton 2013: 46</w:t>
    </w:r>
  </w:p>
  <w:p>
    <w:pPr>
      <w:pStyle w:val="Header &amp; Footer"/>
      <w:tabs>
        <w:tab w:val="center" w:pos="4819"/>
        <w:tab w:val="right" w:pos="9638"/>
        <w:tab w:val="clear" w:pos="9020"/>
      </w:tabs>
      <w:jc w:val="left"/>
    </w:pPr>
    <w:r>
      <w:rPr>
        <w:rtl w:val="0"/>
        <w:lang w:val="fr-FR"/>
      </w:rPr>
      <w:t xml:space="preserve">14. Pliny, </w:t>
    </w:r>
    <w:r>
      <w:rPr>
        <w:i w:val="1"/>
        <w:iCs w:val="1"/>
        <w:rtl w:val="0"/>
        <w:lang w:val="fr-FR"/>
      </w:rPr>
      <w:t>Natural History,</w:t>
    </w:r>
    <w:r>
      <w:rPr>
        <w:rtl w:val="0"/>
        <w:lang w:val="fr-FR"/>
      </w:rPr>
      <w:t xml:space="preserve"> 8.34</w:t>
    </w:r>
  </w:p>
  <w:p>
    <w:pPr>
      <w:pStyle w:val="Header &amp; Footer"/>
      <w:tabs>
        <w:tab w:val="center" w:pos="4819"/>
        <w:tab w:val="right" w:pos="9638"/>
        <w:tab w:val="clear" w:pos="9020"/>
      </w:tabs>
      <w:jc w:val="left"/>
    </w:pPr>
    <w:r>
      <w:rPr>
        <w:rtl w:val="0"/>
        <w:lang w:val="fr-FR"/>
      </w:rPr>
      <w:t>15. Ogden 2002: 177</w:t>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fr-FR"/>
      </w:rPr>
      <w:t xml:space="preserve">16. Petronius, </w:t>
    </w:r>
    <w:r>
      <w:rPr>
        <w:i w:val="1"/>
        <w:iCs w:val="1"/>
        <w:rtl w:val="0"/>
        <w:lang w:val="fr-FR"/>
      </w:rPr>
      <w:t>Satyricon</w:t>
    </w:r>
    <w:r>
      <w:rPr>
        <w:rtl w:val="0"/>
        <w:lang w:val="fr-FR"/>
      </w:rPr>
      <w:t>, 62</w:t>
    </w:r>
  </w:p>
  <w:p>
    <w:pPr>
      <w:pStyle w:val="Header &amp; Footer"/>
      <w:tabs>
        <w:tab w:val="center" w:pos="4819"/>
        <w:tab w:val="right" w:pos="9638"/>
        <w:tab w:val="clear" w:pos="9020"/>
      </w:tabs>
      <w:jc w:val="left"/>
    </w:pPr>
    <w:r>
      <w:rPr>
        <w:rtl w:val="0"/>
        <w:lang w:val="fr-FR"/>
      </w:rPr>
      <w:t>17. Ogden 2002: 177</w:t>
    </w:r>
  </w:p>
  <w:p>
    <w:pPr>
      <w:pStyle w:val="Header &amp; Footer"/>
      <w:tabs>
        <w:tab w:val="center" w:pos="4819"/>
        <w:tab w:val="right" w:pos="9638"/>
        <w:tab w:val="clear" w:pos="9020"/>
      </w:tabs>
      <w:jc w:val="left"/>
    </w:pPr>
    <w:r>
      <w:rPr>
        <w:rtl w:val="0"/>
        <w:lang w:val="fr-FR"/>
      </w:rPr>
      <w:t>18. Buxton 1994: 69</w:t>
    </w:r>
  </w:p>
  <w:p>
    <w:pPr>
      <w:pStyle w:val="Header &amp; Footer"/>
      <w:tabs>
        <w:tab w:val="center" w:pos="4819"/>
        <w:tab w:val="right" w:pos="9638"/>
        <w:tab w:val="clear" w:pos="9020"/>
      </w:tabs>
      <w:jc w:val="left"/>
    </w:pPr>
    <w:r>
      <w:rPr>
        <w:rtl w:val="0"/>
        <w:lang w:val="fr-FR"/>
      </w:rPr>
      <w:t xml:space="preserve">19. Plutarch, </w:t>
    </w:r>
    <w:r>
      <w:rPr>
        <w:i w:val="1"/>
        <w:iCs w:val="1"/>
        <w:rtl w:val="0"/>
        <w:lang w:val="fr-FR"/>
      </w:rPr>
      <w:t>Solon</w:t>
    </w:r>
    <w:r>
      <w:rPr>
        <w:rtl w:val="0"/>
        <w:lang w:val="fr-FR"/>
      </w:rPr>
      <w:t>, 23.3</w:t>
    </w:r>
  </w:p>
  <w:p>
    <w:pPr>
      <w:pStyle w:val="Header &amp; Footer"/>
      <w:tabs>
        <w:tab w:val="center" w:pos="4819"/>
        <w:tab w:val="right" w:pos="9638"/>
        <w:tab w:val="clear" w:pos="9020"/>
      </w:tabs>
      <w:jc w:val="left"/>
    </w:pPr>
    <w:r>
      <w:rPr>
        <w:rtl w:val="0"/>
        <w:lang w:val="fr-FR"/>
      </w:rPr>
      <w:t>20. Burkert 1994: 248-249</w:t>
    </w:r>
  </w:p>
  <w:p>
    <w:pPr>
      <w:pStyle w:val="Header &amp; Footer"/>
      <w:tabs>
        <w:tab w:val="center" w:pos="4819"/>
        <w:tab w:val="right" w:pos="9638"/>
        <w:tab w:val="clear" w:pos="9020"/>
      </w:tabs>
      <w:jc w:val="left"/>
    </w:pPr>
    <w:r>
      <w:rPr>
        <w:rtl w:val="0"/>
        <w:lang w:val="fr-FR"/>
      </w:rPr>
      <w:t xml:space="preserve">21. Ovid, </w:t>
    </w:r>
    <w:r>
      <w:rPr>
        <w:i w:val="1"/>
        <w:iCs w:val="1"/>
        <w:rtl w:val="0"/>
        <w:lang w:val="fr-FR"/>
      </w:rPr>
      <w:t xml:space="preserve">Metamorphoses, </w:t>
    </w:r>
    <w:r>
      <w:rPr>
        <w:rtl w:val="0"/>
        <w:lang w:val="fr-FR"/>
      </w:rPr>
      <w:t>227</w:t>
    </w:r>
  </w:p>
  <w:p>
    <w:pPr>
      <w:pStyle w:val="Header &amp; Footer"/>
      <w:tabs>
        <w:tab w:val="center" w:pos="4819"/>
        <w:tab w:val="right" w:pos="9638"/>
        <w:tab w:val="clear" w:pos="9020"/>
      </w:tabs>
      <w:jc w:val="left"/>
    </w:pPr>
    <w:r>
      <w:rPr>
        <w:rtl w:val="0"/>
        <w:lang w:val="fr-FR"/>
      </w:rPr>
      <w:t xml:space="preserve">22. Apollodorus, </w:t>
    </w:r>
    <w:r>
      <w:rPr>
        <w:i w:val="1"/>
        <w:iCs w:val="1"/>
        <w:rtl w:val="0"/>
        <w:lang w:val="fr-FR"/>
      </w:rPr>
      <w:t>Library</w:t>
    </w:r>
    <w:r>
      <w:rPr>
        <w:rtl w:val="0"/>
        <w:lang w:val="fr-FR"/>
      </w:rPr>
      <w:t>, 3.8</w:t>
    </w:r>
  </w:p>
  <w:p>
    <w:pPr>
      <w:pStyle w:val="Header &amp; Footer"/>
      <w:tabs>
        <w:tab w:val="center" w:pos="4819"/>
        <w:tab w:val="right" w:pos="9638"/>
        <w:tab w:val="clear" w:pos="9020"/>
      </w:tabs>
      <w:jc w:val="left"/>
    </w:pPr>
    <w:r>
      <w:rPr>
        <w:rtl w:val="0"/>
        <w:lang w:val="fr-FR"/>
      </w:rPr>
      <w:t xml:space="preserve">23. Pausanius, </w:t>
    </w:r>
    <w:r>
      <w:rPr>
        <w:i w:val="1"/>
        <w:iCs w:val="1"/>
        <w:rtl w:val="0"/>
        <w:lang w:val="fr-FR"/>
      </w:rPr>
      <w:t xml:space="preserve">Descriptions of Greece, </w:t>
    </w:r>
    <w:r>
      <w:rPr>
        <w:rtl w:val="0"/>
        <w:lang w:val="fr-FR"/>
      </w:rPr>
      <w:t xml:space="preserve">8.2.3 </w:t>
    </w:r>
  </w:p>
  <w:p>
    <w:pPr>
      <w:pStyle w:val="Header &amp; Footer"/>
      <w:tabs>
        <w:tab w:val="center" w:pos="4819"/>
        <w:tab w:val="right" w:pos="9638"/>
        <w:tab w:val="clear" w:pos="9020"/>
      </w:tabs>
      <w:jc w:val="left"/>
    </w:pPr>
    <w:r>
      <w:rPr>
        <w:rtl w:val="0"/>
        <w:lang w:val="fr-FR"/>
      </w:rPr>
      <w:t xml:space="preserve">24. Pausanius, </w:t>
    </w:r>
    <w:r>
      <w:rPr>
        <w:i w:val="1"/>
        <w:iCs w:val="1"/>
        <w:rtl w:val="0"/>
        <w:lang w:val="fr-FR"/>
      </w:rPr>
      <w:t xml:space="preserve">Descriptions of Greece, </w:t>
    </w:r>
    <w:r>
      <w:rPr>
        <w:rtl w:val="0"/>
        <w:lang w:val="fr-FR"/>
      </w:rPr>
      <w:t>8. 38.7</w:t>
    </w:r>
  </w:p>
  <w:p>
    <w:pPr>
      <w:pStyle w:val="Header &amp; Footer"/>
      <w:tabs>
        <w:tab w:val="center" w:pos="4819"/>
        <w:tab w:val="right" w:pos="9638"/>
        <w:tab w:val="clear" w:pos="9020"/>
      </w:tabs>
      <w:jc w:val="left"/>
    </w:pPr>
    <w:r>
      <w:rPr>
        <w:rtl w:val="0"/>
        <w:lang w:val="fr-FR"/>
      </w:rPr>
      <w:t>25. Forbes 1992: 56</w:t>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fr-FR"/>
      </w:rPr>
      <w:t xml:space="preserve">26. Ovid, </w:t>
    </w:r>
    <w:r>
      <w:rPr>
        <w:i w:val="1"/>
        <w:iCs w:val="1"/>
        <w:rtl w:val="0"/>
        <w:lang w:val="fr-FR"/>
      </w:rPr>
      <w:t xml:space="preserve">Metamorphoses, </w:t>
    </w:r>
    <w:r>
      <w:rPr>
        <w:rtl w:val="0"/>
        <w:lang w:val="fr-FR"/>
      </w:rPr>
      <w:t>230-40</w:t>
    </w:r>
  </w:p>
  <w:p>
    <w:pPr>
      <w:pStyle w:val="Header &amp; Footer"/>
      <w:tabs>
        <w:tab w:val="center" w:pos="4819"/>
        <w:tab w:val="right" w:pos="9638"/>
        <w:tab w:val="clear" w:pos="9020"/>
      </w:tabs>
      <w:jc w:val="left"/>
    </w:pPr>
    <w:r>
      <w:rPr>
        <w:rtl w:val="0"/>
        <w:lang w:val="fr-FR"/>
      </w:rPr>
      <w:t>27. Sconduto 2008: 10</w:t>
    </w:r>
  </w:p>
  <w:p>
    <w:pPr>
      <w:pStyle w:val="Header &amp; Footer"/>
      <w:tabs>
        <w:tab w:val="center" w:pos="4819"/>
        <w:tab w:val="right" w:pos="9638"/>
        <w:tab w:val="clear" w:pos="9020"/>
      </w:tabs>
      <w:jc w:val="left"/>
    </w:pPr>
    <w:r>
      <w:rPr>
        <w:rtl w:val="0"/>
        <w:lang w:val="fr-FR"/>
      </w:rPr>
      <w:t xml:space="preserve">28. Apollodorus, </w:t>
    </w:r>
    <w:r>
      <w:rPr>
        <w:i w:val="1"/>
        <w:iCs w:val="1"/>
        <w:rtl w:val="0"/>
        <w:lang w:val="fr-FR"/>
      </w:rPr>
      <w:t>Library</w:t>
    </w:r>
    <w:r>
      <w:rPr>
        <w:rtl w:val="0"/>
        <w:lang w:val="fr-FR"/>
      </w:rPr>
      <w:t>, 3.8</w:t>
    </w:r>
  </w:p>
  <w:p>
    <w:pPr>
      <w:pStyle w:val="Header &amp; Footer"/>
      <w:tabs>
        <w:tab w:val="center" w:pos="4819"/>
        <w:tab w:val="right" w:pos="9638"/>
        <w:tab w:val="clear" w:pos="9020"/>
      </w:tabs>
      <w:jc w:val="left"/>
    </w:pPr>
    <w:r>
      <w:rPr>
        <w:rtl w:val="0"/>
        <w:lang w:val="fr-FR"/>
      </w:rPr>
      <w:t>29. Forbes 1992: 56</w:t>
    </w:r>
  </w:p>
  <w:p>
    <w:pPr>
      <w:pStyle w:val="Header &amp; Footer"/>
      <w:tabs>
        <w:tab w:val="center" w:pos="4819"/>
        <w:tab w:val="right" w:pos="9638"/>
        <w:tab w:val="clear" w:pos="9020"/>
      </w:tabs>
      <w:jc w:val="left"/>
    </w:pPr>
    <w:r>
      <w:rPr>
        <w:rtl w:val="0"/>
        <w:lang w:val="fr-FR"/>
      </w:rPr>
      <w:t xml:space="preserve">30. Pliny, </w:t>
    </w:r>
    <w:r>
      <w:rPr>
        <w:i w:val="1"/>
        <w:iCs w:val="1"/>
        <w:rtl w:val="0"/>
        <w:lang w:val="fr-FR"/>
      </w:rPr>
      <w:t>Natural History,</w:t>
    </w:r>
    <w:r>
      <w:rPr>
        <w:rtl w:val="0"/>
        <w:lang w:val="fr-FR"/>
      </w:rPr>
      <w:t xml:space="preserve"> 8.34</w:t>
    </w:r>
  </w:p>
  <w:p>
    <w:pPr>
      <w:pStyle w:val="Header &amp; Footer"/>
      <w:tabs>
        <w:tab w:val="center" w:pos="4819"/>
        <w:tab w:val="right" w:pos="9638"/>
        <w:tab w:val="clear" w:pos="9020"/>
      </w:tabs>
      <w:jc w:val="left"/>
    </w:pPr>
    <w:r>
      <w:rPr>
        <w:rtl w:val="0"/>
        <w:lang w:val="fr-FR"/>
      </w:rPr>
      <w:t xml:space="preserve">31. Augustine, </w:t>
    </w:r>
    <w:r>
      <w:rPr>
        <w:i w:val="1"/>
        <w:iCs w:val="1"/>
        <w:rtl w:val="0"/>
        <w:lang w:val="en-US"/>
      </w:rPr>
      <w:t>The City of God Against the Pagans</w:t>
    </w:r>
    <w:r>
      <w:rPr>
        <w:i w:val="1"/>
        <w:iCs w:val="1"/>
        <w:rtl w:val="0"/>
        <w:lang w:val="fr-FR"/>
      </w:rPr>
      <w:t>,</w:t>
    </w:r>
    <w:r>
      <w:rPr>
        <w:rtl w:val="0"/>
        <w:lang w:val="fr-FR"/>
      </w:rPr>
      <w:t xml:space="preserve"> 18</w:t>
    </w:r>
  </w:p>
  <w:p>
    <w:pPr>
      <w:pStyle w:val="Header &amp; Footer"/>
      <w:tabs>
        <w:tab w:val="center" w:pos="4819"/>
        <w:tab w:val="right" w:pos="9638"/>
        <w:tab w:val="clear" w:pos="9020"/>
      </w:tabs>
      <w:jc w:val="left"/>
    </w:pPr>
    <w:r>
      <w:rPr>
        <w:rtl w:val="0"/>
        <w:lang w:val="fr-FR"/>
      </w:rPr>
      <w:t xml:space="preserve">32. </w:t>
    </w:r>
    <w:r>
      <w:rPr>
        <w:rtl w:val="0"/>
        <w:lang w:val="en-US"/>
      </w:rPr>
      <w:t>Buxton 2013: 45</w:t>
    </w:r>
  </w:p>
  <w:p>
    <w:pPr>
      <w:pStyle w:val="Header &amp; Footer"/>
      <w:tabs>
        <w:tab w:val="center" w:pos="4819"/>
        <w:tab w:val="right" w:pos="9638"/>
        <w:tab w:val="clear" w:pos="9020"/>
      </w:tabs>
      <w:jc w:val="left"/>
    </w:pPr>
    <w:r>
      <w:rPr>
        <w:rtl w:val="0"/>
        <w:lang w:val="fr-FR"/>
      </w:rPr>
      <w:t xml:space="preserve">33. </w:t>
    </w:r>
    <w:r>
      <w:rPr>
        <w:rtl w:val="0"/>
        <w:lang w:val="de-DE"/>
      </w:rPr>
      <w:t>Forbes 1992: 51</w:t>
    </w:r>
  </w:p>
  <w:p>
    <w:pPr>
      <w:pStyle w:val="Header &amp; Footer"/>
      <w:tabs>
        <w:tab w:val="center" w:pos="4819"/>
        <w:tab w:val="right" w:pos="9638"/>
        <w:tab w:val="clear" w:pos="9020"/>
      </w:tabs>
      <w:jc w:val="left"/>
    </w:pPr>
    <w:r>
      <w:rPr>
        <w:rtl w:val="0"/>
        <w:lang w:val="fr-FR"/>
      </w:rPr>
      <w:t xml:space="preserve">34. </w:t>
    </w:r>
    <w:r>
      <w:rPr>
        <w:rtl w:val="0"/>
      </w:rPr>
      <w:t>Ogden 2002: 177</w:t>
    </w:r>
  </w:p>
  <w:p>
    <w:pPr>
      <w:pStyle w:val="Header &amp; Footer"/>
      <w:tabs>
        <w:tab w:val="center" w:pos="4819"/>
        <w:tab w:val="right" w:pos="9638"/>
        <w:tab w:val="clear" w:pos="9020"/>
      </w:tabs>
      <w:jc w:val="left"/>
    </w:pPr>
    <w:r>
      <w:rPr>
        <w:rtl w:val="0"/>
        <w:lang w:val="fr-FR"/>
      </w:rPr>
      <w:t xml:space="preserve">35. Petronius, </w:t>
    </w:r>
    <w:r>
      <w:rPr>
        <w:i w:val="1"/>
        <w:iCs w:val="1"/>
        <w:rtl w:val="0"/>
        <w:lang w:val="fr-FR"/>
      </w:rPr>
      <w:t>Satyricon</w:t>
    </w:r>
    <w:r>
      <w:rPr>
        <w:rtl w:val="0"/>
        <w:lang w:val="fr-FR"/>
      </w:rPr>
      <w:t>, 62</w:t>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fr-FR"/>
      </w:rPr>
      <w:t xml:space="preserve">36. Pausanius, </w:t>
    </w:r>
    <w:r>
      <w:rPr>
        <w:i w:val="1"/>
        <w:iCs w:val="1"/>
        <w:rtl w:val="0"/>
        <w:lang w:val="fr-FR"/>
      </w:rPr>
      <w:t xml:space="preserve">Descriptions of Greece, </w:t>
    </w:r>
    <w:r>
      <w:rPr>
        <w:rtl w:val="0"/>
        <w:lang w:val="fr-FR"/>
      </w:rPr>
      <w:t xml:space="preserve">8.2.3 </w:t>
    </w:r>
  </w:p>
  <w:p>
    <w:pPr>
      <w:pStyle w:val="Header &amp; Footer"/>
      <w:tabs>
        <w:tab w:val="center" w:pos="4819"/>
        <w:tab w:val="right" w:pos="9638"/>
        <w:tab w:val="clear" w:pos="9020"/>
      </w:tabs>
      <w:jc w:val="left"/>
    </w:pPr>
    <w:r>
      <w:rPr>
        <w:rtl w:val="0"/>
        <w:lang w:val="fr-FR"/>
      </w:rPr>
      <w:t xml:space="preserve">37. </w:t>
    </w:r>
    <w:r>
      <w:rPr>
        <w:rtl w:val="0"/>
        <w:lang w:val="de-DE"/>
      </w:rPr>
      <w:t>Forbes 1992: 56</w:t>
    </w:r>
  </w:p>
  <w:p>
    <w:pPr>
      <w:pStyle w:val="Header &amp; Footer"/>
      <w:tabs>
        <w:tab w:val="center" w:pos="4819"/>
        <w:tab w:val="right" w:pos="9638"/>
        <w:tab w:val="clear" w:pos="9020"/>
      </w:tabs>
      <w:jc w:val="left"/>
    </w:pPr>
    <w:r>
      <w:rPr>
        <w:rtl w:val="0"/>
        <w:lang w:val="fr-FR"/>
      </w:rPr>
      <w:t>38. Csapo 2005: 145</w:t>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tabs>
          <w:tab w:val="center" w:pos="4819"/>
          <w:tab w:val="right" w:pos="9638"/>
          <w:tab w:val="clear" w:pos="9020"/>
        </w:tabs>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center" w:pos="4819"/>
          <w:tab w:val="right" w:pos="9638"/>
          <w:tab w:val="clear" w:pos="9020"/>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center" w:pos="4819"/>
          <w:tab w:val="right" w:pos="9638"/>
          <w:tab w:val="clear" w:pos="9020"/>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center" w:pos="4819"/>
          <w:tab w:val="right" w:pos="9638"/>
          <w:tab w:val="clear" w:pos="9020"/>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center" w:pos="4819"/>
          <w:tab w:val="right" w:pos="9638"/>
          <w:tab w:val="clear" w:pos="9020"/>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center" w:pos="4819"/>
          <w:tab w:val="right" w:pos="9638"/>
          <w:tab w:val="clear" w:pos="9020"/>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center" w:pos="4819"/>
          <w:tab w:val="right" w:pos="9638"/>
          <w:tab w:val="clear" w:pos="9020"/>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center" w:pos="4819"/>
          <w:tab w:val="right" w:pos="9638"/>
          <w:tab w:val="clear" w:pos="9020"/>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center" w:pos="4819"/>
          <w:tab w:val="right" w:pos="9638"/>
          <w:tab w:val="clear" w:pos="9020"/>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Numbered"/>
  </w:abstractNum>
  <w:abstractNum w:abstractNumId="2">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fr-FR"/>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fr-FR"/>
    </w:rPr>
  </w:style>
  <w:style w:type="numbering" w:styleId="Numbered">
    <w:name w:val="Numbered"/>
    <w:pPr>
      <w:numPr>
        <w:numId w:val="2"/>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footer" Target="footer3.xml"/><Relationship Id="rId10" Type="http://schemas.openxmlformats.org/officeDocument/2006/relationships/header" Target="header4.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footer" Target="footer5.xml"/><Relationship Id="rId14" Type="http://schemas.openxmlformats.org/officeDocument/2006/relationships/header" Target="header6.xml"/><Relationship Id="rId15" Type="http://schemas.openxmlformats.org/officeDocument/2006/relationships/footer" Target="footer6.xml"/><Relationship Id="rId16" Type="http://schemas.openxmlformats.org/officeDocument/2006/relationships/numbering" Target="numbering.xml"/><Relationship Id="rId1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