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EA6803" w14:textId="690F26FA" w:rsidR="000243EC" w:rsidRDefault="002E1C34" w:rsidP="002E1C34">
      <w:pPr>
        <w:tabs>
          <w:tab w:val="left" w:pos="480"/>
        </w:tabs>
        <w:jc w:val="center"/>
        <w:rPr>
          <w:rFonts w:ascii="Arial" w:hAnsi="Arial" w:cs="Arial"/>
        </w:rPr>
      </w:pPr>
      <w:r w:rsidRPr="003602B6">
        <w:rPr>
          <w:noProof/>
          <w:lang w:val="en-IN" w:eastAsia="en-IN"/>
        </w:rPr>
        <w:drawing>
          <wp:inline distT="114300" distB="114300" distL="114300" distR="114300" wp14:anchorId="0557324B" wp14:editId="7D31292E">
            <wp:extent cx="3581400" cy="1390650"/>
            <wp:effectExtent l="0" t="0" r="0" b="0"/>
            <wp:docPr id="7" name="image1.png" descr="A close-up of a logo&#10;&#10;AI-generated content may be incorrect."/>
            <wp:cNvGraphicFramePr/>
            <a:graphic xmlns:a="http://schemas.openxmlformats.org/drawingml/2006/main">
              <a:graphicData uri="http://schemas.openxmlformats.org/drawingml/2006/picture">
                <pic:pic xmlns:pic="http://schemas.openxmlformats.org/drawingml/2006/picture">
                  <pic:nvPicPr>
                    <pic:cNvPr id="7" name="image1.png" descr="A close-up of a logo&#10;&#10;AI-generated content may be incorrect."/>
                    <pic:cNvPicPr/>
                  </pic:nvPicPr>
                  <pic:blipFill>
                    <a:blip r:embed="rId5"/>
                    <a:srcRect t="26780" r="39743" b="31623"/>
                    <a:stretch>
                      <a:fillRect/>
                    </a:stretch>
                  </pic:blipFill>
                  <pic:spPr>
                    <a:xfrm>
                      <a:off x="0" y="0"/>
                      <a:ext cx="3581400" cy="1390650"/>
                    </a:xfrm>
                    <a:prstGeom prst="rect">
                      <a:avLst/>
                    </a:prstGeom>
                  </pic:spPr>
                </pic:pic>
              </a:graphicData>
            </a:graphic>
          </wp:inline>
        </w:drawing>
      </w:r>
    </w:p>
    <w:p w14:paraId="0B8F006E" w14:textId="46B96C7A" w:rsidR="002E1C34" w:rsidRPr="007C775B" w:rsidRDefault="002E1C34" w:rsidP="007C775B">
      <w:pPr>
        <w:spacing w:before="200" w:after="200" w:line="360" w:lineRule="auto"/>
        <w:jc w:val="center"/>
        <w:rPr>
          <w:rFonts w:ascii="Times New Roman" w:eastAsia="Times New Roman" w:hAnsi="Times New Roman" w:cs="Times New Roman"/>
          <w:b/>
          <w:bCs/>
          <w:sz w:val="26"/>
          <w:szCs w:val="26"/>
        </w:rPr>
      </w:pPr>
    </w:p>
    <w:p w14:paraId="2C80D7BC" w14:textId="77777777" w:rsidR="00521E3C" w:rsidRDefault="00521E3C" w:rsidP="004B6C66">
      <w:pPr>
        <w:spacing w:before="200" w:after="200" w:line="360" w:lineRule="auto"/>
        <w:jc w:val="center"/>
        <w:rPr>
          <w:rFonts w:ascii="Times New Roman" w:eastAsia="Times New Roman" w:hAnsi="Times New Roman" w:cs="Times New Roman"/>
          <w:b/>
          <w:bCs/>
          <w:sz w:val="40"/>
          <w:szCs w:val="40"/>
        </w:rPr>
      </w:pPr>
    </w:p>
    <w:p w14:paraId="5A64C2E3" w14:textId="697D6B6C" w:rsidR="004B6C66" w:rsidRPr="00521E3C" w:rsidRDefault="004B6C66" w:rsidP="004B6C66">
      <w:pPr>
        <w:spacing w:before="200" w:after="200" w:line="360" w:lineRule="auto"/>
        <w:jc w:val="center"/>
        <w:rPr>
          <w:rFonts w:ascii="Arial" w:eastAsia="Times New Roman" w:hAnsi="Arial" w:cs="Arial"/>
          <w:b/>
          <w:bCs/>
          <w:sz w:val="40"/>
          <w:szCs w:val="40"/>
        </w:rPr>
      </w:pPr>
      <w:r w:rsidRPr="00521E3C">
        <w:rPr>
          <w:rFonts w:ascii="Arial" w:eastAsia="Times New Roman" w:hAnsi="Arial" w:cs="Arial"/>
          <w:b/>
          <w:bCs/>
          <w:sz w:val="40"/>
          <w:szCs w:val="40"/>
        </w:rPr>
        <w:t>Independent Project</w:t>
      </w:r>
    </w:p>
    <w:p w14:paraId="3608A2B0" w14:textId="77777777" w:rsidR="00D97256" w:rsidRDefault="00D97256" w:rsidP="004B6C66">
      <w:pPr>
        <w:spacing w:before="200" w:after="200" w:line="360" w:lineRule="auto"/>
        <w:rPr>
          <w:rFonts w:ascii="Times New Roman" w:eastAsia="Times New Roman" w:hAnsi="Times New Roman" w:cs="Times New Roman"/>
          <w:b/>
          <w:bCs/>
          <w:sz w:val="26"/>
          <w:szCs w:val="26"/>
        </w:rPr>
      </w:pPr>
    </w:p>
    <w:p w14:paraId="758C4799" w14:textId="77777777" w:rsidR="00D97256" w:rsidRDefault="00D97256" w:rsidP="004B6C66">
      <w:pPr>
        <w:spacing w:before="200" w:after="200" w:line="360" w:lineRule="auto"/>
        <w:rPr>
          <w:rFonts w:ascii="Times New Roman" w:eastAsia="Times New Roman" w:hAnsi="Times New Roman" w:cs="Times New Roman"/>
          <w:b/>
          <w:bCs/>
          <w:sz w:val="26"/>
          <w:szCs w:val="26"/>
        </w:rPr>
      </w:pPr>
    </w:p>
    <w:p w14:paraId="6C214C72" w14:textId="77777777" w:rsidR="0086400F" w:rsidRPr="002E1C34" w:rsidRDefault="0086400F" w:rsidP="0086400F">
      <w:pPr>
        <w:rPr>
          <w:rFonts w:ascii="Arial" w:eastAsia="Times New Roman" w:hAnsi="Arial" w:cs="Arial"/>
          <w:i/>
          <w:iCs/>
          <w:color w:val="000000"/>
        </w:rPr>
      </w:pPr>
      <w:r w:rsidRPr="002E1C34">
        <w:rPr>
          <w:rFonts w:ascii="Arial" w:eastAsia="Times New Roman" w:hAnsi="Arial" w:cs="Arial"/>
          <w:i/>
          <w:iCs/>
          <w:color w:val="000000"/>
        </w:rPr>
        <w:t>Student Name: Ciprian Grosu</w:t>
      </w:r>
    </w:p>
    <w:p w14:paraId="547E9A17" w14:textId="77777777" w:rsidR="0086400F" w:rsidRPr="002E1C34" w:rsidRDefault="0086400F" w:rsidP="0086400F">
      <w:pPr>
        <w:rPr>
          <w:rFonts w:ascii="Arial" w:eastAsia="Times New Roman" w:hAnsi="Arial" w:cs="Arial"/>
          <w:i/>
          <w:iCs/>
          <w:color w:val="000000"/>
        </w:rPr>
      </w:pPr>
      <w:r w:rsidRPr="002E1C34">
        <w:rPr>
          <w:rFonts w:ascii="Arial" w:eastAsia="Times New Roman" w:hAnsi="Arial" w:cs="Arial"/>
          <w:i/>
          <w:iCs/>
          <w:color w:val="000000"/>
        </w:rPr>
        <w:t>Student Number: 2209375</w:t>
      </w:r>
    </w:p>
    <w:p w14:paraId="0EF6A622" w14:textId="6B38DCC6" w:rsidR="0086400F" w:rsidRPr="002E1C34" w:rsidRDefault="0086400F" w:rsidP="0086400F">
      <w:pPr>
        <w:rPr>
          <w:rFonts w:ascii="Arial" w:eastAsia="Times New Roman" w:hAnsi="Arial" w:cs="Arial"/>
          <w:i/>
          <w:iCs/>
          <w:color w:val="000000"/>
        </w:rPr>
      </w:pPr>
      <w:r w:rsidRPr="002E1C34">
        <w:rPr>
          <w:rFonts w:ascii="Arial" w:eastAsia="Times New Roman" w:hAnsi="Arial" w:cs="Arial"/>
          <w:i/>
          <w:iCs/>
          <w:color w:val="000000"/>
        </w:rPr>
        <w:t>Degree: BA Developing Leadership and Management</w:t>
      </w:r>
    </w:p>
    <w:p w14:paraId="27502DE9" w14:textId="0BB8AC32" w:rsidR="0086400F" w:rsidRPr="002E1C34" w:rsidRDefault="0086400F" w:rsidP="0086400F">
      <w:pPr>
        <w:rPr>
          <w:rFonts w:ascii="Arial" w:eastAsia="Times New Roman" w:hAnsi="Arial" w:cs="Arial"/>
          <w:i/>
          <w:iCs/>
          <w:color w:val="000000"/>
        </w:rPr>
      </w:pPr>
      <w:r w:rsidRPr="002E1C34">
        <w:rPr>
          <w:rFonts w:ascii="Arial" w:eastAsia="Times New Roman" w:hAnsi="Arial" w:cs="Arial"/>
          <w:i/>
          <w:iCs/>
          <w:color w:val="000000"/>
        </w:rPr>
        <w:t>Module Code: BMSW6009</w:t>
      </w:r>
    </w:p>
    <w:p w14:paraId="311D1EBC" w14:textId="77777777" w:rsidR="002E1C34" w:rsidRPr="002E1C34" w:rsidRDefault="0086400F" w:rsidP="002E1C34">
      <w:pPr>
        <w:pStyle w:val="p1"/>
        <w:rPr>
          <w:i/>
          <w:iCs/>
          <w:sz w:val="22"/>
          <w:szCs w:val="22"/>
        </w:rPr>
      </w:pPr>
      <w:r w:rsidRPr="002E1C34">
        <w:rPr>
          <w:i/>
          <w:iCs/>
          <w:sz w:val="22"/>
          <w:szCs w:val="22"/>
        </w:rPr>
        <w:t xml:space="preserve">Module Leader: </w:t>
      </w:r>
      <w:r w:rsidR="002E1C34" w:rsidRPr="002E1C34">
        <w:rPr>
          <w:i/>
          <w:iCs/>
          <w:sz w:val="22"/>
          <w:szCs w:val="22"/>
        </w:rPr>
        <w:t>Jaliya de Silva</w:t>
      </w:r>
      <w:r w:rsidR="002E1C34" w:rsidRPr="002E1C34">
        <w:rPr>
          <w:rStyle w:val="apple-converted-space"/>
          <w:rFonts w:eastAsiaTheme="majorEastAsia"/>
          <w:i/>
          <w:iCs/>
          <w:sz w:val="22"/>
          <w:szCs w:val="22"/>
        </w:rPr>
        <w:t> </w:t>
      </w:r>
    </w:p>
    <w:p w14:paraId="22143BD6" w14:textId="4530E8C4" w:rsidR="00D97256" w:rsidRDefault="00D97256" w:rsidP="0086400F">
      <w:pPr>
        <w:spacing w:before="200" w:after="200" w:line="360" w:lineRule="auto"/>
        <w:rPr>
          <w:rFonts w:ascii="Times New Roman" w:eastAsia="Times New Roman" w:hAnsi="Times New Roman" w:cs="Times New Roman"/>
          <w:b/>
          <w:bCs/>
          <w:sz w:val="26"/>
          <w:szCs w:val="26"/>
        </w:rPr>
      </w:pPr>
    </w:p>
    <w:p w14:paraId="66177AF9" w14:textId="77777777" w:rsidR="00D97256" w:rsidRPr="00521E3C" w:rsidRDefault="00D97256" w:rsidP="00D97256">
      <w:pPr>
        <w:spacing w:before="200" w:after="200" w:line="360" w:lineRule="auto"/>
        <w:jc w:val="center"/>
        <w:rPr>
          <w:rFonts w:ascii="Arial" w:eastAsia="Times New Roman" w:hAnsi="Arial" w:cs="Arial"/>
          <w:b/>
          <w:bCs/>
          <w:sz w:val="32"/>
          <w:szCs w:val="32"/>
        </w:rPr>
      </w:pPr>
      <w:r w:rsidRPr="00521E3C">
        <w:rPr>
          <w:rFonts w:ascii="Arial" w:eastAsia="Times New Roman" w:hAnsi="Arial" w:cs="Arial"/>
          <w:b/>
          <w:bCs/>
          <w:sz w:val="32"/>
          <w:szCs w:val="32"/>
        </w:rPr>
        <w:t>Project Proposal and Plan</w:t>
      </w:r>
    </w:p>
    <w:p w14:paraId="587D9DB1" w14:textId="77777777" w:rsidR="00D97256" w:rsidRDefault="00D97256" w:rsidP="004B6C66">
      <w:pPr>
        <w:spacing w:before="200" w:after="200" w:line="360" w:lineRule="auto"/>
        <w:rPr>
          <w:rFonts w:ascii="Times New Roman" w:eastAsia="Times New Roman" w:hAnsi="Times New Roman" w:cs="Times New Roman"/>
          <w:b/>
          <w:bCs/>
          <w:sz w:val="26"/>
          <w:szCs w:val="26"/>
        </w:rPr>
      </w:pPr>
    </w:p>
    <w:p w14:paraId="6EAD5901" w14:textId="1AF6B157" w:rsidR="004B6C66" w:rsidRPr="00521E3C" w:rsidRDefault="004B6C66" w:rsidP="00D97256">
      <w:pPr>
        <w:spacing w:before="200" w:after="200" w:line="360" w:lineRule="auto"/>
        <w:jc w:val="both"/>
        <w:rPr>
          <w:rFonts w:ascii="Arial" w:eastAsia="Times New Roman" w:hAnsi="Arial" w:cs="Arial"/>
          <w:sz w:val="28"/>
          <w:szCs w:val="28"/>
        </w:rPr>
      </w:pPr>
      <w:r w:rsidRPr="00521E3C">
        <w:rPr>
          <w:rFonts w:ascii="Arial" w:eastAsia="Times New Roman" w:hAnsi="Arial" w:cs="Arial"/>
          <w:b/>
          <w:bCs/>
          <w:sz w:val="28"/>
          <w:szCs w:val="28"/>
        </w:rPr>
        <w:t xml:space="preserve">Table of contents </w:t>
      </w:r>
    </w:p>
    <w:sdt>
      <w:sdtPr>
        <w:rPr>
          <w:rFonts w:ascii="Arial" w:hAnsi="Arial" w:cs="Arial"/>
        </w:rPr>
        <w:id w:val="-547825648"/>
        <w:docPartObj>
          <w:docPartGallery w:val="Table of Contents"/>
          <w:docPartUnique/>
        </w:docPartObj>
      </w:sdtPr>
      <w:sdtContent>
        <w:p w14:paraId="0B3C7846" w14:textId="77777777" w:rsidR="004B6C66" w:rsidRPr="00521E3C" w:rsidRDefault="004B6C66" w:rsidP="004B6C66">
          <w:pPr>
            <w:pBdr>
              <w:top w:val="nil"/>
              <w:left w:val="nil"/>
              <w:bottom w:val="nil"/>
              <w:right w:val="nil"/>
              <w:between w:val="nil"/>
            </w:pBdr>
            <w:tabs>
              <w:tab w:val="right" w:pos="9016"/>
            </w:tabs>
            <w:spacing w:after="100" w:line="360" w:lineRule="auto"/>
            <w:jc w:val="both"/>
            <w:rPr>
              <w:rFonts w:ascii="Arial" w:eastAsia="Times New Roman" w:hAnsi="Arial" w:cs="Arial"/>
              <w:color w:val="000000"/>
              <w:sz w:val="24"/>
              <w:szCs w:val="24"/>
            </w:rPr>
          </w:pPr>
          <w:r w:rsidRPr="00521E3C">
            <w:rPr>
              <w:rFonts w:ascii="Arial" w:hAnsi="Arial" w:cs="Arial"/>
            </w:rPr>
            <w:fldChar w:fldCharType="begin"/>
          </w:r>
          <w:r w:rsidRPr="00521E3C">
            <w:rPr>
              <w:rFonts w:ascii="Arial" w:hAnsi="Arial" w:cs="Arial"/>
            </w:rPr>
            <w:instrText xml:space="preserve"> TOC \h \u \z \t "Heading 1,1,Heading 2,2,Heading 3,3,Heading 4,4,Heading 5,5,Heading 6,6,"</w:instrText>
          </w:r>
          <w:r w:rsidRPr="00521E3C">
            <w:rPr>
              <w:rFonts w:ascii="Arial" w:hAnsi="Arial" w:cs="Arial"/>
            </w:rPr>
            <w:fldChar w:fldCharType="separate"/>
          </w:r>
          <w:hyperlink w:anchor="_heading=h.gpfoh3wc87zy">
            <w:r w:rsidRPr="00521E3C">
              <w:rPr>
                <w:rFonts w:ascii="Arial" w:eastAsia="Times New Roman" w:hAnsi="Arial" w:cs="Arial"/>
                <w:color w:val="000000"/>
                <w:sz w:val="24"/>
                <w:szCs w:val="24"/>
              </w:rPr>
              <w:t>1.0 Introd</w:t>
            </w:r>
            <w:r w:rsidRPr="00521E3C">
              <w:rPr>
                <w:rFonts w:ascii="Arial" w:eastAsia="Times New Roman" w:hAnsi="Arial" w:cs="Arial"/>
                <w:color w:val="000000"/>
                <w:sz w:val="24"/>
                <w:szCs w:val="24"/>
              </w:rPr>
              <w:t>u</w:t>
            </w:r>
            <w:r w:rsidRPr="00521E3C">
              <w:rPr>
                <w:rFonts w:ascii="Arial" w:eastAsia="Times New Roman" w:hAnsi="Arial" w:cs="Arial"/>
                <w:color w:val="000000"/>
                <w:sz w:val="24"/>
                <w:szCs w:val="24"/>
              </w:rPr>
              <w:t>ction</w:t>
            </w:r>
            <w:r w:rsidRPr="00521E3C">
              <w:rPr>
                <w:rFonts w:ascii="Arial" w:eastAsia="Times New Roman" w:hAnsi="Arial" w:cs="Arial"/>
                <w:color w:val="000000"/>
                <w:sz w:val="24"/>
                <w:szCs w:val="24"/>
              </w:rPr>
              <w:tab/>
              <w:t>3</w:t>
            </w:r>
          </w:hyperlink>
        </w:p>
        <w:p w14:paraId="29DEC11D" w14:textId="77777777" w:rsidR="004B6C66" w:rsidRPr="00521E3C" w:rsidRDefault="004B6C66" w:rsidP="004B6C66">
          <w:pPr>
            <w:pBdr>
              <w:top w:val="nil"/>
              <w:left w:val="nil"/>
              <w:bottom w:val="nil"/>
              <w:right w:val="nil"/>
              <w:between w:val="nil"/>
            </w:pBdr>
            <w:tabs>
              <w:tab w:val="right" w:pos="9016"/>
            </w:tabs>
            <w:spacing w:after="100" w:line="360" w:lineRule="auto"/>
            <w:jc w:val="both"/>
            <w:rPr>
              <w:rFonts w:ascii="Arial" w:eastAsia="Times New Roman" w:hAnsi="Arial" w:cs="Arial"/>
              <w:color w:val="000000"/>
              <w:sz w:val="24"/>
              <w:szCs w:val="24"/>
            </w:rPr>
          </w:pPr>
          <w:hyperlink w:anchor="_heading=h.r676zhd1k3f1">
            <w:r w:rsidRPr="00521E3C">
              <w:rPr>
                <w:rFonts w:ascii="Arial" w:eastAsia="Times New Roman" w:hAnsi="Arial" w:cs="Arial"/>
                <w:color w:val="000000"/>
                <w:sz w:val="24"/>
                <w:szCs w:val="24"/>
              </w:rPr>
              <w:t>2.0 Aim and Objectives</w:t>
            </w:r>
            <w:r w:rsidRPr="00521E3C">
              <w:rPr>
                <w:rFonts w:ascii="Arial" w:eastAsia="Times New Roman" w:hAnsi="Arial" w:cs="Arial"/>
                <w:color w:val="000000"/>
                <w:sz w:val="24"/>
                <w:szCs w:val="24"/>
              </w:rPr>
              <w:tab/>
              <w:t>3</w:t>
            </w:r>
          </w:hyperlink>
        </w:p>
        <w:p w14:paraId="61A34B67" w14:textId="77777777" w:rsidR="004B6C66" w:rsidRPr="00521E3C" w:rsidRDefault="004B6C66" w:rsidP="004B6C66">
          <w:pPr>
            <w:pBdr>
              <w:top w:val="nil"/>
              <w:left w:val="nil"/>
              <w:bottom w:val="nil"/>
              <w:right w:val="nil"/>
              <w:between w:val="nil"/>
            </w:pBdr>
            <w:tabs>
              <w:tab w:val="right" w:pos="9016"/>
            </w:tabs>
            <w:spacing w:after="100" w:line="360" w:lineRule="auto"/>
            <w:jc w:val="both"/>
            <w:rPr>
              <w:rFonts w:ascii="Arial" w:eastAsia="Times New Roman" w:hAnsi="Arial" w:cs="Arial"/>
              <w:color w:val="000000"/>
              <w:sz w:val="24"/>
              <w:szCs w:val="24"/>
            </w:rPr>
          </w:pPr>
          <w:hyperlink w:anchor="_heading=h.egpxa52rrzwp">
            <w:r w:rsidRPr="00521E3C">
              <w:rPr>
                <w:rFonts w:ascii="Arial" w:eastAsia="Times New Roman" w:hAnsi="Arial" w:cs="Arial"/>
                <w:color w:val="000000"/>
                <w:sz w:val="24"/>
                <w:szCs w:val="24"/>
              </w:rPr>
              <w:t>3.0 Discussion on relevant existing literature</w:t>
            </w:r>
            <w:r w:rsidRPr="00521E3C">
              <w:rPr>
                <w:rFonts w:ascii="Arial" w:eastAsia="Times New Roman" w:hAnsi="Arial" w:cs="Arial"/>
                <w:color w:val="000000"/>
                <w:sz w:val="24"/>
                <w:szCs w:val="24"/>
              </w:rPr>
              <w:tab/>
              <w:t>3</w:t>
            </w:r>
          </w:hyperlink>
        </w:p>
        <w:p w14:paraId="50908E67" w14:textId="77777777" w:rsidR="004B6C66" w:rsidRPr="00521E3C" w:rsidRDefault="004B6C66" w:rsidP="004B6C66">
          <w:pPr>
            <w:pBdr>
              <w:top w:val="nil"/>
              <w:left w:val="nil"/>
              <w:bottom w:val="nil"/>
              <w:right w:val="nil"/>
              <w:between w:val="nil"/>
            </w:pBdr>
            <w:tabs>
              <w:tab w:val="right" w:pos="9016"/>
            </w:tabs>
            <w:spacing w:after="100" w:line="360" w:lineRule="auto"/>
            <w:jc w:val="both"/>
            <w:rPr>
              <w:rFonts w:ascii="Arial" w:eastAsia="Times New Roman" w:hAnsi="Arial" w:cs="Arial"/>
              <w:color w:val="000000"/>
              <w:sz w:val="24"/>
              <w:szCs w:val="24"/>
            </w:rPr>
          </w:pPr>
          <w:hyperlink w:anchor="_heading=h.3oaxl60sgvo">
            <w:r w:rsidRPr="00521E3C">
              <w:rPr>
                <w:rFonts w:ascii="Arial" w:eastAsia="Times New Roman" w:hAnsi="Arial" w:cs="Arial"/>
                <w:color w:val="000000"/>
                <w:sz w:val="24"/>
                <w:szCs w:val="24"/>
              </w:rPr>
              <w:t>4.0 Methodology and Sampling Technique</w:t>
            </w:r>
            <w:r w:rsidRPr="00521E3C">
              <w:rPr>
                <w:rFonts w:ascii="Arial" w:eastAsia="Times New Roman" w:hAnsi="Arial" w:cs="Arial"/>
                <w:color w:val="000000"/>
                <w:sz w:val="24"/>
                <w:szCs w:val="24"/>
              </w:rPr>
              <w:tab/>
              <w:t>6</w:t>
            </w:r>
          </w:hyperlink>
        </w:p>
        <w:p w14:paraId="54B3D30B" w14:textId="77777777" w:rsidR="004B6C66" w:rsidRPr="00521E3C" w:rsidRDefault="004B6C66" w:rsidP="004B6C66">
          <w:pPr>
            <w:pBdr>
              <w:top w:val="nil"/>
              <w:left w:val="nil"/>
              <w:bottom w:val="nil"/>
              <w:right w:val="nil"/>
              <w:between w:val="nil"/>
            </w:pBdr>
            <w:tabs>
              <w:tab w:val="right" w:pos="9016"/>
            </w:tabs>
            <w:spacing w:after="100" w:line="360" w:lineRule="auto"/>
            <w:jc w:val="both"/>
            <w:rPr>
              <w:rFonts w:ascii="Arial" w:eastAsia="Times New Roman" w:hAnsi="Arial" w:cs="Arial"/>
              <w:color w:val="000000"/>
              <w:sz w:val="24"/>
              <w:szCs w:val="24"/>
            </w:rPr>
          </w:pPr>
          <w:hyperlink w:anchor="_heading=h.1twk8zzeiob5">
            <w:r w:rsidRPr="00521E3C">
              <w:rPr>
                <w:rFonts w:ascii="Arial" w:eastAsia="Times New Roman" w:hAnsi="Arial" w:cs="Arial"/>
                <w:color w:val="000000"/>
                <w:sz w:val="24"/>
                <w:szCs w:val="24"/>
              </w:rPr>
              <w:t>5.0 Conclusion</w:t>
            </w:r>
            <w:r w:rsidRPr="00521E3C">
              <w:rPr>
                <w:rFonts w:ascii="Arial" w:eastAsia="Times New Roman" w:hAnsi="Arial" w:cs="Arial"/>
                <w:color w:val="000000"/>
                <w:sz w:val="24"/>
                <w:szCs w:val="24"/>
              </w:rPr>
              <w:tab/>
              <w:t>7</w:t>
            </w:r>
          </w:hyperlink>
        </w:p>
        <w:p w14:paraId="11B42DBB" w14:textId="77777777" w:rsidR="004B6C66" w:rsidRPr="00521E3C" w:rsidRDefault="004B6C66" w:rsidP="004B6C66">
          <w:pPr>
            <w:pBdr>
              <w:top w:val="nil"/>
              <w:left w:val="nil"/>
              <w:bottom w:val="nil"/>
              <w:right w:val="nil"/>
              <w:between w:val="nil"/>
            </w:pBdr>
            <w:tabs>
              <w:tab w:val="right" w:pos="9016"/>
            </w:tabs>
            <w:spacing w:after="100" w:line="360" w:lineRule="auto"/>
            <w:jc w:val="both"/>
            <w:rPr>
              <w:rFonts w:ascii="Arial" w:eastAsia="Times New Roman" w:hAnsi="Arial" w:cs="Arial"/>
              <w:color w:val="000000"/>
              <w:sz w:val="24"/>
              <w:szCs w:val="24"/>
            </w:rPr>
          </w:pPr>
          <w:hyperlink w:anchor="_heading=h.jaitmh5z5zfa">
            <w:r w:rsidRPr="00521E3C">
              <w:rPr>
                <w:rFonts w:ascii="Arial" w:eastAsia="Times New Roman" w:hAnsi="Arial" w:cs="Arial"/>
                <w:color w:val="000000"/>
                <w:sz w:val="24"/>
                <w:szCs w:val="24"/>
              </w:rPr>
              <w:t>Reference List</w:t>
            </w:r>
            <w:r w:rsidRPr="00521E3C">
              <w:rPr>
                <w:rFonts w:ascii="Arial" w:eastAsia="Times New Roman" w:hAnsi="Arial" w:cs="Arial"/>
                <w:color w:val="000000"/>
                <w:sz w:val="24"/>
                <w:szCs w:val="24"/>
              </w:rPr>
              <w:tab/>
              <w:t>8</w:t>
            </w:r>
          </w:hyperlink>
        </w:p>
        <w:p w14:paraId="484B2584" w14:textId="77777777" w:rsidR="004B6C66" w:rsidRDefault="004B6C66" w:rsidP="004B6C66">
          <w:pPr>
            <w:widowControl w:val="0"/>
            <w:tabs>
              <w:tab w:val="right" w:pos="12000"/>
            </w:tabs>
            <w:spacing w:before="200" w:after="200" w:line="360" w:lineRule="auto"/>
            <w:jc w:val="both"/>
            <w:rPr>
              <w:rFonts w:ascii="Times New Roman" w:eastAsia="Times New Roman" w:hAnsi="Times New Roman" w:cs="Times New Roman"/>
              <w:b/>
              <w:bCs/>
              <w:color w:val="000000"/>
              <w:sz w:val="24"/>
              <w:szCs w:val="24"/>
            </w:rPr>
          </w:pPr>
          <w:r w:rsidRPr="00521E3C">
            <w:rPr>
              <w:rFonts w:ascii="Arial" w:hAnsi="Arial" w:cs="Arial"/>
            </w:rPr>
            <w:lastRenderedPageBreak/>
            <w:fldChar w:fldCharType="end"/>
          </w:r>
        </w:p>
      </w:sdtContent>
    </w:sdt>
    <w:p w14:paraId="05EB16D8" w14:textId="77777777" w:rsidR="004B6C66" w:rsidRDefault="004B6C66" w:rsidP="004B6C66">
      <w:pPr>
        <w:spacing w:before="200" w:after="200" w:line="360" w:lineRule="auto"/>
        <w:jc w:val="center"/>
        <w:rPr>
          <w:rFonts w:ascii="Times New Roman" w:eastAsia="Times New Roman" w:hAnsi="Times New Roman" w:cs="Times New Roman"/>
          <w:b/>
          <w:bCs/>
          <w:sz w:val="24"/>
          <w:szCs w:val="24"/>
        </w:rPr>
      </w:pPr>
    </w:p>
    <w:p w14:paraId="4795835B" w14:textId="02EB1EEE" w:rsidR="004B6C66" w:rsidRPr="00521E3C" w:rsidRDefault="004B6C66" w:rsidP="00521E3C">
      <w:pPr>
        <w:spacing w:before="200" w:after="200" w:line="360" w:lineRule="auto"/>
        <w:rPr>
          <w:rFonts w:ascii="Arial" w:eastAsia="Times New Roman" w:hAnsi="Arial" w:cs="Arial"/>
          <w:sz w:val="24"/>
          <w:szCs w:val="24"/>
        </w:rPr>
      </w:pPr>
      <w:bookmarkStart w:id="0" w:name="_heading=h.ox6n0i4b4feu" w:colFirst="0" w:colLast="0"/>
      <w:bookmarkEnd w:id="0"/>
      <w:r w:rsidRPr="00521E3C">
        <w:rPr>
          <w:rFonts w:ascii="Arial" w:eastAsia="Times New Roman" w:hAnsi="Arial" w:cs="Arial"/>
          <w:color w:val="000000" w:themeColor="text1"/>
          <w:sz w:val="32"/>
          <w:szCs w:val="32"/>
        </w:rPr>
        <w:t xml:space="preserve">Title: The Role of Communication and Leadership in Shaping Team Culture and Resistance During Organisational Change in a Leisure </w:t>
      </w:r>
      <w:r w:rsidR="00EB67EB" w:rsidRPr="00521E3C">
        <w:rPr>
          <w:rFonts w:ascii="Arial" w:eastAsia="Times New Roman" w:hAnsi="Arial" w:cs="Arial"/>
          <w:color w:val="000000" w:themeColor="text1"/>
          <w:sz w:val="32"/>
          <w:szCs w:val="32"/>
        </w:rPr>
        <w:t>Sector</w:t>
      </w:r>
    </w:p>
    <w:p w14:paraId="4063FBCB" w14:textId="77777777" w:rsidR="00D97256" w:rsidRPr="00D97256" w:rsidRDefault="00D97256" w:rsidP="00D97256"/>
    <w:p w14:paraId="4DDD1C84" w14:textId="77777777" w:rsidR="004B6C66" w:rsidRPr="00521E3C" w:rsidRDefault="004B6C66" w:rsidP="00521E3C">
      <w:pPr>
        <w:pStyle w:val="Heading1"/>
        <w:spacing w:before="200" w:after="200"/>
        <w:rPr>
          <w:rFonts w:ascii="Arial" w:eastAsia="Times New Roman" w:hAnsi="Arial" w:cs="Arial"/>
          <w:sz w:val="28"/>
          <w:szCs w:val="28"/>
        </w:rPr>
      </w:pPr>
      <w:bookmarkStart w:id="1" w:name="_heading=h.gpfoh3wc87zy" w:colFirst="0" w:colLast="0"/>
      <w:bookmarkEnd w:id="1"/>
      <w:r w:rsidRPr="00521E3C">
        <w:rPr>
          <w:rFonts w:ascii="Arial" w:eastAsia="Times New Roman" w:hAnsi="Arial" w:cs="Arial"/>
          <w:sz w:val="28"/>
          <w:szCs w:val="28"/>
        </w:rPr>
        <w:t>1.0 Introduction</w:t>
      </w:r>
    </w:p>
    <w:p w14:paraId="369BC15B" w14:textId="107DD6A8" w:rsidR="004B6C66" w:rsidRPr="00521E3C" w:rsidRDefault="004B6C66" w:rsidP="00521E3C">
      <w:pPr>
        <w:spacing w:before="200" w:after="200" w:line="360" w:lineRule="auto"/>
        <w:rPr>
          <w:rFonts w:ascii="Arial" w:eastAsia="Times New Roman" w:hAnsi="Arial" w:cs="Arial"/>
        </w:rPr>
      </w:pPr>
      <w:r w:rsidRPr="00521E3C">
        <w:rPr>
          <w:rFonts w:ascii="Arial" w:eastAsia="Times New Roman" w:hAnsi="Arial" w:cs="Arial"/>
        </w:rPr>
        <w:t xml:space="preserve">The leisure sector can be seen as an umbrella term for services provided by organisations related to hospitality, tourism, hospitality or recreational experiences (Indeed, 2025). In other words, the leisure sector can be treated as a sub-sector of the hospitality industry. In contemporary times, like any other industry, organisational change can be studied as initiatives taken to restructure existing systems. Change in the leisure context can encompass many things, such as, as stressed by </w:t>
      </w:r>
      <w:proofErr w:type="spellStart"/>
      <w:r w:rsidRPr="00521E3C">
        <w:rPr>
          <w:rFonts w:ascii="Arial" w:eastAsia="Times New Roman" w:hAnsi="Arial" w:cs="Arial"/>
        </w:rPr>
        <w:t>Barykin</w:t>
      </w:r>
      <w:proofErr w:type="spellEnd"/>
      <w:r w:rsidRPr="00521E3C">
        <w:rPr>
          <w:rFonts w:ascii="Arial" w:eastAsia="Times New Roman" w:hAnsi="Arial" w:cs="Arial"/>
        </w:rPr>
        <w:t xml:space="preserve"> </w:t>
      </w:r>
      <w:r w:rsidRPr="00521E3C">
        <w:rPr>
          <w:rFonts w:ascii="Arial" w:eastAsia="Times New Roman" w:hAnsi="Arial" w:cs="Arial"/>
          <w:i/>
          <w:iCs/>
        </w:rPr>
        <w:t>et al</w:t>
      </w:r>
      <w:r w:rsidRPr="00521E3C">
        <w:rPr>
          <w:rFonts w:ascii="Arial" w:eastAsia="Times New Roman" w:hAnsi="Arial" w:cs="Arial"/>
        </w:rPr>
        <w:t xml:space="preserve">. (2021), digital transformation, along with attempts made to optimise expenditure or reposition brands culturally. In any case, communication plays a key role essentially in terms of making the employees of the leisure realise the urgency of conducting this change. On the same note, responsibilities of the leaders become vital, as they are mainly responsible for creating a vision surrounding the need for organisational change while inspiring employees to contribute </w:t>
      </w:r>
      <w:r w:rsidR="0086400F" w:rsidRPr="00521E3C">
        <w:rPr>
          <w:rFonts w:ascii="Arial" w:eastAsia="Times New Roman" w:hAnsi="Arial" w:cs="Arial"/>
        </w:rPr>
        <w:t>to</w:t>
      </w:r>
      <w:r w:rsidRPr="00521E3C">
        <w:rPr>
          <w:rFonts w:ascii="Arial" w:eastAsia="Times New Roman" w:hAnsi="Arial" w:cs="Arial"/>
        </w:rPr>
        <w:t xml:space="preserve"> materialising the change successfully. </w:t>
      </w:r>
    </w:p>
    <w:p w14:paraId="10558BE4" w14:textId="77777777" w:rsidR="004B6C66" w:rsidRPr="00521E3C" w:rsidRDefault="004B6C66" w:rsidP="00521E3C">
      <w:pPr>
        <w:pStyle w:val="Heading1"/>
        <w:spacing w:before="200" w:after="200"/>
        <w:rPr>
          <w:rFonts w:ascii="Arial" w:eastAsia="Times New Roman" w:hAnsi="Arial" w:cs="Arial"/>
          <w:sz w:val="28"/>
          <w:szCs w:val="28"/>
        </w:rPr>
      </w:pPr>
      <w:bookmarkStart w:id="2" w:name="_heading=h.r676zhd1k3f1" w:colFirst="0" w:colLast="0"/>
      <w:bookmarkEnd w:id="2"/>
      <w:r w:rsidRPr="00521E3C">
        <w:rPr>
          <w:rFonts w:ascii="Arial" w:eastAsia="Times New Roman" w:hAnsi="Arial" w:cs="Arial"/>
          <w:sz w:val="28"/>
          <w:szCs w:val="28"/>
        </w:rPr>
        <w:t xml:space="preserve">2.0 Aim and Objectives </w:t>
      </w:r>
    </w:p>
    <w:p w14:paraId="1AF983A7" w14:textId="77777777" w:rsidR="00D97256" w:rsidRPr="00521E3C" w:rsidRDefault="00D97256" w:rsidP="00521E3C">
      <w:pPr>
        <w:rPr>
          <w:rFonts w:ascii="Arial" w:hAnsi="Arial" w:cs="Arial"/>
        </w:rPr>
      </w:pPr>
    </w:p>
    <w:p w14:paraId="3CE45669" w14:textId="704B9546" w:rsidR="004B6C66" w:rsidRPr="00521E3C" w:rsidRDefault="004B6C66" w:rsidP="00521E3C">
      <w:pPr>
        <w:spacing w:before="200" w:after="200" w:line="360" w:lineRule="auto"/>
        <w:rPr>
          <w:rFonts w:ascii="Arial" w:eastAsia="Times New Roman" w:hAnsi="Arial" w:cs="Arial"/>
        </w:rPr>
      </w:pPr>
      <w:r w:rsidRPr="00521E3C">
        <w:rPr>
          <w:rFonts w:ascii="Arial" w:eastAsia="Times New Roman" w:hAnsi="Arial" w:cs="Arial"/>
        </w:rPr>
        <w:t xml:space="preserve">This research aims to examine the role of communication and leadership in shaping team culture and resistance during organisational change </w:t>
      </w:r>
      <w:r w:rsidR="0086400F" w:rsidRPr="00521E3C">
        <w:rPr>
          <w:rFonts w:ascii="Arial" w:eastAsia="Times New Roman" w:hAnsi="Arial" w:cs="Arial"/>
        </w:rPr>
        <w:t>in the</w:t>
      </w:r>
      <w:r w:rsidRPr="00521E3C">
        <w:rPr>
          <w:rFonts w:ascii="Arial" w:eastAsia="Times New Roman" w:hAnsi="Arial" w:cs="Arial"/>
        </w:rPr>
        <w:t xml:space="preserve"> leisure sector of the UK</w:t>
      </w:r>
    </w:p>
    <w:p w14:paraId="1ED3D6E8" w14:textId="77777777" w:rsidR="004B6C66" w:rsidRPr="00521E3C" w:rsidRDefault="004B6C66" w:rsidP="00521E3C">
      <w:pPr>
        <w:spacing w:before="200" w:after="200" w:line="360" w:lineRule="auto"/>
        <w:rPr>
          <w:rFonts w:ascii="Arial" w:eastAsia="Times New Roman" w:hAnsi="Arial" w:cs="Arial"/>
        </w:rPr>
      </w:pPr>
      <w:r w:rsidRPr="00521E3C">
        <w:rPr>
          <w:rFonts w:ascii="Arial" w:eastAsia="Times New Roman" w:hAnsi="Arial" w:cs="Arial"/>
        </w:rPr>
        <w:t>The following are the objectives of the research:</w:t>
      </w:r>
    </w:p>
    <w:p w14:paraId="3FE8572D" w14:textId="77777777" w:rsidR="004B6C66" w:rsidRPr="00521E3C" w:rsidRDefault="004B6C66" w:rsidP="00521E3C">
      <w:pPr>
        <w:numPr>
          <w:ilvl w:val="0"/>
          <w:numId w:val="1"/>
        </w:numPr>
        <w:spacing w:before="200" w:after="200" w:line="360" w:lineRule="auto"/>
        <w:rPr>
          <w:rFonts w:ascii="Arial" w:eastAsia="Times New Roman" w:hAnsi="Arial" w:cs="Arial"/>
        </w:rPr>
      </w:pPr>
      <w:r w:rsidRPr="00521E3C">
        <w:rPr>
          <w:rFonts w:ascii="Arial" w:eastAsia="Times New Roman" w:hAnsi="Arial" w:cs="Arial"/>
        </w:rPr>
        <w:t>To explore the different styles of leadership affecting the culture of a team and the morale of employees in times of change in the leisure sector of the UK</w:t>
      </w:r>
    </w:p>
    <w:p w14:paraId="4F652B78" w14:textId="77777777" w:rsidR="004B6C66" w:rsidRPr="00521E3C" w:rsidRDefault="004B6C66" w:rsidP="00521E3C">
      <w:pPr>
        <w:numPr>
          <w:ilvl w:val="0"/>
          <w:numId w:val="1"/>
        </w:numPr>
        <w:spacing w:before="200" w:after="200" w:line="360" w:lineRule="auto"/>
        <w:rPr>
          <w:rFonts w:ascii="Arial" w:eastAsia="Times New Roman" w:hAnsi="Arial" w:cs="Arial"/>
        </w:rPr>
      </w:pPr>
      <w:r w:rsidRPr="00521E3C">
        <w:rPr>
          <w:rFonts w:ascii="Arial" w:eastAsia="Times New Roman" w:hAnsi="Arial" w:cs="Arial"/>
        </w:rPr>
        <w:t xml:space="preserve">To investigate the ways in which internal communication affects how engaged staff are and how much they trust each other during the mobilisation processes in the leisure sector of the UK </w:t>
      </w:r>
    </w:p>
    <w:p w14:paraId="7741776D" w14:textId="77777777" w:rsidR="004B6C66" w:rsidRPr="00521E3C" w:rsidRDefault="004B6C66" w:rsidP="00521E3C">
      <w:pPr>
        <w:numPr>
          <w:ilvl w:val="0"/>
          <w:numId w:val="1"/>
        </w:numPr>
        <w:spacing w:before="200" w:after="200" w:line="360" w:lineRule="auto"/>
        <w:rPr>
          <w:rFonts w:ascii="Arial" w:eastAsia="Times New Roman" w:hAnsi="Arial" w:cs="Arial"/>
        </w:rPr>
      </w:pPr>
      <w:r w:rsidRPr="00521E3C">
        <w:rPr>
          <w:rFonts w:ascii="Arial" w:eastAsia="Times New Roman" w:hAnsi="Arial" w:cs="Arial"/>
        </w:rPr>
        <w:lastRenderedPageBreak/>
        <w:t>To identify reasons why teams in the UK leisure sector adapt well to change while others resist it, especially in times of financial constraints and uncertainty.</w:t>
      </w:r>
    </w:p>
    <w:p w14:paraId="258F92D3" w14:textId="77777777" w:rsidR="004B6C66" w:rsidRPr="00521E3C" w:rsidRDefault="004B6C66" w:rsidP="004B6C66">
      <w:pPr>
        <w:numPr>
          <w:ilvl w:val="0"/>
          <w:numId w:val="1"/>
        </w:numPr>
        <w:spacing w:before="200" w:after="200" w:line="360" w:lineRule="auto"/>
        <w:jc w:val="both"/>
        <w:rPr>
          <w:rFonts w:ascii="Arial" w:eastAsia="Times New Roman" w:hAnsi="Arial" w:cs="Arial"/>
        </w:rPr>
      </w:pPr>
      <w:r w:rsidRPr="00521E3C">
        <w:rPr>
          <w:rFonts w:ascii="Arial" w:eastAsia="Times New Roman" w:hAnsi="Arial" w:cs="Arial"/>
        </w:rPr>
        <w:t xml:space="preserve">To analyse how employees feel about the effectiveness of leadership and the openness of communication during big changes in the leisure sector of the UK  </w:t>
      </w:r>
    </w:p>
    <w:p w14:paraId="100076CE" w14:textId="77777777" w:rsidR="004B6C66" w:rsidRPr="00521E3C" w:rsidRDefault="004B6C66" w:rsidP="004B6C66">
      <w:pPr>
        <w:spacing w:before="200" w:after="200" w:line="360" w:lineRule="auto"/>
        <w:jc w:val="both"/>
        <w:rPr>
          <w:rFonts w:ascii="Arial" w:eastAsia="Times New Roman" w:hAnsi="Arial" w:cs="Arial"/>
          <w:color w:val="000000" w:themeColor="text1"/>
          <w:sz w:val="28"/>
          <w:szCs w:val="28"/>
        </w:rPr>
      </w:pPr>
      <w:r w:rsidRPr="00521E3C">
        <w:rPr>
          <w:rFonts w:ascii="Arial" w:eastAsia="Times New Roman" w:hAnsi="Arial" w:cs="Arial"/>
          <w:color w:val="000000" w:themeColor="text1"/>
          <w:sz w:val="28"/>
          <w:szCs w:val="28"/>
        </w:rPr>
        <w:t>Questions:</w:t>
      </w:r>
    </w:p>
    <w:p w14:paraId="7CDA819E" w14:textId="77777777" w:rsidR="004B6C66" w:rsidRPr="00521E3C" w:rsidRDefault="004B6C66" w:rsidP="004B6C66">
      <w:pPr>
        <w:spacing w:before="200" w:after="200" w:line="360" w:lineRule="auto"/>
        <w:jc w:val="both"/>
        <w:rPr>
          <w:rFonts w:ascii="Arial" w:eastAsia="Times New Roman" w:hAnsi="Arial" w:cs="Arial"/>
          <w:color w:val="000000" w:themeColor="text1"/>
        </w:rPr>
      </w:pPr>
      <w:r w:rsidRPr="00521E3C">
        <w:rPr>
          <w:rFonts w:ascii="Arial" w:eastAsia="Times New Roman" w:hAnsi="Arial" w:cs="Arial"/>
          <w:color w:val="000000" w:themeColor="text1"/>
        </w:rPr>
        <w:t>1.</w:t>
      </w:r>
      <w:r w:rsidRPr="00521E3C">
        <w:rPr>
          <w:rFonts w:ascii="Segoe UI Symbol" w:eastAsia="Times New Roman" w:hAnsi="Segoe UI Symbol" w:cs="Segoe UI Symbol"/>
          <w:color w:val="000000" w:themeColor="text1"/>
        </w:rPr>
        <w:t>⁠</w:t>
      </w:r>
      <w:r w:rsidRPr="00521E3C">
        <w:rPr>
          <w:rFonts w:ascii="Arial" w:eastAsia="Times New Roman" w:hAnsi="Arial" w:cs="Arial"/>
          <w:color w:val="000000" w:themeColor="text1"/>
        </w:rPr>
        <w:t xml:space="preserve"> </w:t>
      </w:r>
      <w:r w:rsidRPr="00521E3C">
        <w:rPr>
          <w:rFonts w:ascii="Segoe UI Symbol" w:eastAsia="Times New Roman" w:hAnsi="Segoe UI Symbol" w:cs="Segoe UI Symbol"/>
          <w:color w:val="000000" w:themeColor="text1"/>
        </w:rPr>
        <w:t>⁠</w:t>
      </w:r>
      <w:r w:rsidRPr="00521E3C">
        <w:rPr>
          <w:rFonts w:ascii="Arial" w:eastAsia="Times New Roman" w:hAnsi="Arial" w:cs="Arial"/>
          <w:color w:val="000000" w:themeColor="text1"/>
        </w:rPr>
        <w:t xml:space="preserve">How do different styles of leadership affect the culture of a team and the morale of employees when a leisure organisation is going through changes? </w:t>
      </w:r>
    </w:p>
    <w:p w14:paraId="65AB80DC" w14:textId="77777777" w:rsidR="004B6C66" w:rsidRPr="00521E3C" w:rsidRDefault="004B6C66" w:rsidP="004B6C66">
      <w:pPr>
        <w:spacing w:before="200" w:after="200" w:line="360" w:lineRule="auto"/>
        <w:jc w:val="both"/>
        <w:rPr>
          <w:rFonts w:ascii="Arial" w:eastAsia="Times New Roman" w:hAnsi="Arial" w:cs="Arial"/>
          <w:color w:val="000000" w:themeColor="text1"/>
        </w:rPr>
      </w:pPr>
      <w:r w:rsidRPr="00521E3C">
        <w:rPr>
          <w:rFonts w:ascii="Arial" w:eastAsia="Times New Roman" w:hAnsi="Arial" w:cs="Arial"/>
          <w:color w:val="000000" w:themeColor="text1"/>
        </w:rPr>
        <w:t xml:space="preserve">2. How does internal communication affect how engaged staff are and how much they trust each other during the mobilisation processes at sites? </w:t>
      </w:r>
    </w:p>
    <w:p w14:paraId="7F7B5880" w14:textId="77777777" w:rsidR="004B6C66" w:rsidRPr="00521E3C" w:rsidRDefault="004B6C66" w:rsidP="004B6C66">
      <w:pPr>
        <w:spacing w:before="200" w:after="200" w:line="360" w:lineRule="auto"/>
        <w:jc w:val="both"/>
        <w:rPr>
          <w:rFonts w:ascii="Arial" w:eastAsia="Times New Roman" w:hAnsi="Arial" w:cs="Arial"/>
          <w:color w:val="000000" w:themeColor="text1"/>
        </w:rPr>
      </w:pPr>
      <w:r w:rsidRPr="00521E3C">
        <w:rPr>
          <w:rFonts w:ascii="Arial" w:eastAsia="Times New Roman" w:hAnsi="Arial" w:cs="Arial"/>
          <w:color w:val="000000" w:themeColor="text1"/>
        </w:rPr>
        <w:t>3. Why do some teams in the organisation adapt well to change while others resist it, especially when money is tight and things are uncertain?</w:t>
      </w:r>
    </w:p>
    <w:p w14:paraId="39FF2BE0" w14:textId="77777777" w:rsidR="004B6C66" w:rsidRPr="00521E3C" w:rsidRDefault="004B6C66" w:rsidP="004B6C66">
      <w:pPr>
        <w:spacing w:before="200" w:after="200" w:line="360" w:lineRule="auto"/>
        <w:jc w:val="both"/>
        <w:rPr>
          <w:rFonts w:ascii="Arial" w:eastAsia="Times New Roman" w:hAnsi="Arial" w:cs="Arial"/>
          <w:color w:val="000000" w:themeColor="text1"/>
        </w:rPr>
      </w:pPr>
      <w:r w:rsidRPr="00521E3C">
        <w:rPr>
          <w:rFonts w:ascii="Arial" w:eastAsia="Times New Roman" w:hAnsi="Arial" w:cs="Arial"/>
          <w:color w:val="000000" w:themeColor="text1"/>
        </w:rPr>
        <w:t xml:space="preserve">4. How do employees feel about the effectiveness of leadership and the openness of communication during big changes in the organisation? </w:t>
      </w:r>
    </w:p>
    <w:p w14:paraId="0D42F024" w14:textId="77777777" w:rsidR="004B6C66" w:rsidRPr="00521E3C" w:rsidRDefault="004B6C66" w:rsidP="004B6C66">
      <w:pPr>
        <w:pStyle w:val="Heading1"/>
        <w:spacing w:before="200" w:after="200"/>
        <w:rPr>
          <w:rFonts w:ascii="Arial" w:eastAsia="Times New Roman" w:hAnsi="Arial" w:cs="Arial"/>
          <w:sz w:val="28"/>
          <w:szCs w:val="28"/>
        </w:rPr>
      </w:pPr>
      <w:bookmarkStart w:id="3" w:name="_heading=h.egpxa52rrzwp" w:colFirst="0" w:colLast="0"/>
      <w:bookmarkEnd w:id="3"/>
      <w:r w:rsidRPr="00521E3C">
        <w:rPr>
          <w:rFonts w:ascii="Arial" w:eastAsia="Times New Roman" w:hAnsi="Arial" w:cs="Arial"/>
          <w:sz w:val="28"/>
          <w:szCs w:val="28"/>
        </w:rPr>
        <w:t xml:space="preserve">3.0 Discussion on relevant existing literature </w:t>
      </w:r>
    </w:p>
    <w:p w14:paraId="288301AF" w14:textId="77777777" w:rsidR="00D97256" w:rsidRPr="00D97256" w:rsidRDefault="00D97256" w:rsidP="00D97256"/>
    <w:p w14:paraId="5C035EA8" w14:textId="77777777" w:rsidR="004B6C66" w:rsidRPr="00521E3C" w:rsidRDefault="004B6C66" w:rsidP="00521E3C">
      <w:pPr>
        <w:spacing w:before="200" w:after="200" w:line="360" w:lineRule="auto"/>
        <w:rPr>
          <w:rFonts w:ascii="Arial" w:eastAsia="Times New Roman" w:hAnsi="Arial" w:cs="Arial"/>
          <w:i/>
          <w:iCs/>
          <w:sz w:val="24"/>
          <w:szCs w:val="24"/>
        </w:rPr>
      </w:pPr>
      <w:r w:rsidRPr="00521E3C">
        <w:rPr>
          <w:rFonts w:ascii="Arial" w:eastAsia="Times New Roman" w:hAnsi="Arial" w:cs="Arial"/>
          <w:i/>
          <w:iCs/>
          <w:sz w:val="24"/>
          <w:szCs w:val="24"/>
        </w:rPr>
        <w:t>3.1 Theoretical underpinnings</w:t>
      </w:r>
    </w:p>
    <w:p w14:paraId="08533B1C" w14:textId="16DCD04C" w:rsidR="004B6C66" w:rsidRPr="00521E3C" w:rsidRDefault="004B6C66" w:rsidP="00521E3C">
      <w:pPr>
        <w:spacing w:before="200" w:after="200" w:line="360" w:lineRule="auto"/>
        <w:rPr>
          <w:rFonts w:ascii="Arial" w:eastAsia="Times New Roman" w:hAnsi="Arial" w:cs="Arial"/>
        </w:rPr>
      </w:pPr>
      <w:r w:rsidRPr="00521E3C">
        <w:rPr>
          <w:rFonts w:ascii="Arial" w:eastAsia="Times New Roman" w:hAnsi="Arial" w:cs="Arial"/>
        </w:rPr>
        <w:t xml:space="preserve">Since this study revolves around organisational change, models related to change/change management can inform the theoretical foundation of this study. For example, one can refer to Lewin’s three-step model that essentially divides the change process into three stages - 1) unfreeze (i.e., overcoming the inertia and preparing employees for the change), 2) change (i.e., implementing the new processes/behaviours) and 3) refreeze (i.e., reinforcing the new processes/behaviours by cultural adaptation) (Burnes, 2020). Interestingly, communication, one of the key variables of the study, is crucial in the ‘unfreeze’ stage, especially to make subordinates understand the urgency and necessity of the change. </w:t>
      </w:r>
    </w:p>
    <w:p w14:paraId="7C0F601C" w14:textId="77777777" w:rsidR="004B6C66" w:rsidRDefault="004B6C66" w:rsidP="004B6C66">
      <w:pPr>
        <w:spacing w:before="200"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2AA15E60" wp14:editId="46EF7DA1">
            <wp:extent cx="4453467" cy="2848147"/>
            <wp:effectExtent l="0" t="0" r="0" b="0"/>
            <wp:docPr id="5" name="image2.png" descr="A diagram of a change model&#10;&#10;AI-generated content may be incorrect."/>
            <wp:cNvGraphicFramePr/>
            <a:graphic xmlns:a="http://schemas.openxmlformats.org/drawingml/2006/main">
              <a:graphicData uri="http://schemas.openxmlformats.org/drawingml/2006/picture">
                <pic:pic xmlns:pic="http://schemas.openxmlformats.org/drawingml/2006/picture">
                  <pic:nvPicPr>
                    <pic:cNvPr id="5" name="image2.png" descr="A diagram of a change model&#10;&#10;AI-generated content may be incorrect."/>
                    <pic:cNvPicPr preferRelativeResize="0"/>
                  </pic:nvPicPr>
                  <pic:blipFill>
                    <a:blip r:embed="rId6"/>
                    <a:srcRect/>
                    <a:stretch>
                      <a:fillRect/>
                    </a:stretch>
                  </pic:blipFill>
                  <pic:spPr>
                    <a:xfrm>
                      <a:off x="0" y="0"/>
                      <a:ext cx="4453467" cy="2848147"/>
                    </a:xfrm>
                    <a:prstGeom prst="rect">
                      <a:avLst/>
                    </a:prstGeom>
                    <a:ln/>
                  </pic:spPr>
                </pic:pic>
              </a:graphicData>
            </a:graphic>
          </wp:inline>
        </w:drawing>
      </w:r>
    </w:p>
    <w:p w14:paraId="74E70230" w14:textId="77777777" w:rsidR="004B6C66" w:rsidRPr="00521E3C" w:rsidRDefault="004B6C66" w:rsidP="004B6C66">
      <w:pPr>
        <w:spacing w:before="200" w:after="200" w:line="360" w:lineRule="auto"/>
        <w:jc w:val="center"/>
        <w:rPr>
          <w:rFonts w:ascii="Arial" w:eastAsia="Times New Roman" w:hAnsi="Arial" w:cs="Arial"/>
          <w:b/>
          <w:bCs/>
          <w:sz w:val="24"/>
          <w:szCs w:val="24"/>
        </w:rPr>
      </w:pPr>
      <w:r w:rsidRPr="00521E3C">
        <w:rPr>
          <w:rFonts w:ascii="Arial" w:eastAsia="Times New Roman" w:hAnsi="Arial" w:cs="Arial"/>
          <w:b/>
          <w:bCs/>
          <w:sz w:val="24"/>
          <w:szCs w:val="24"/>
        </w:rPr>
        <w:t xml:space="preserve">Figure 3.1: Key dimensions of Kotter’s change model </w:t>
      </w:r>
    </w:p>
    <w:p w14:paraId="5D4BDA8E" w14:textId="77777777" w:rsidR="004B6C66" w:rsidRPr="00521E3C" w:rsidRDefault="004B6C66" w:rsidP="004B6C66">
      <w:pPr>
        <w:spacing w:before="200" w:after="200" w:line="360" w:lineRule="auto"/>
        <w:jc w:val="center"/>
        <w:rPr>
          <w:rFonts w:ascii="Arial" w:eastAsia="Times New Roman" w:hAnsi="Arial" w:cs="Arial"/>
        </w:rPr>
      </w:pPr>
      <w:r w:rsidRPr="00521E3C">
        <w:rPr>
          <w:rFonts w:ascii="Arial" w:eastAsia="Times New Roman" w:hAnsi="Arial" w:cs="Arial"/>
        </w:rPr>
        <w:t xml:space="preserve">(Source: </w:t>
      </w:r>
      <w:proofErr w:type="spellStart"/>
      <w:r w:rsidRPr="00521E3C">
        <w:rPr>
          <w:rFonts w:ascii="Arial" w:eastAsia="Times New Roman" w:hAnsi="Arial" w:cs="Arial"/>
        </w:rPr>
        <w:t>Mutomorro</w:t>
      </w:r>
      <w:proofErr w:type="spellEnd"/>
      <w:r w:rsidRPr="00521E3C">
        <w:rPr>
          <w:rFonts w:ascii="Arial" w:eastAsia="Times New Roman" w:hAnsi="Arial" w:cs="Arial"/>
        </w:rPr>
        <w:t>, 2026)</w:t>
      </w:r>
    </w:p>
    <w:p w14:paraId="420C61D0" w14:textId="7F62DE0C" w:rsidR="004B6C66" w:rsidRPr="00521E3C" w:rsidRDefault="004B6C66" w:rsidP="00521E3C">
      <w:pPr>
        <w:spacing w:before="200" w:after="200" w:line="360" w:lineRule="auto"/>
        <w:rPr>
          <w:rFonts w:ascii="Arial" w:eastAsia="Times New Roman" w:hAnsi="Arial" w:cs="Arial"/>
        </w:rPr>
      </w:pPr>
      <w:r w:rsidRPr="00521E3C">
        <w:rPr>
          <w:rFonts w:ascii="Arial" w:eastAsia="Times New Roman" w:hAnsi="Arial" w:cs="Arial"/>
        </w:rPr>
        <w:t>One can also highlight the 8-step change model of Kotter, especially for its structured approach in unfolding all the major dimensions related to change management (see Figure 3.1</w:t>
      </w:r>
      <w:r w:rsidR="00B6139C" w:rsidRPr="00521E3C">
        <w:rPr>
          <w:rFonts w:ascii="Arial" w:eastAsia="Times New Roman" w:hAnsi="Arial" w:cs="Arial"/>
        </w:rPr>
        <w:t>) Here</w:t>
      </w:r>
      <w:r w:rsidRPr="00521E3C">
        <w:rPr>
          <w:rFonts w:ascii="Arial" w:eastAsia="Times New Roman" w:hAnsi="Arial" w:cs="Arial"/>
        </w:rPr>
        <w:t xml:space="preserve"> as well, the first stage - often called ‘Creating Sense of Urgency’ - shows the importance of communication in the change process (</w:t>
      </w:r>
      <w:proofErr w:type="gramStart"/>
      <w:r w:rsidRPr="00521E3C">
        <w:rPr>
          <w:rFonts w:ascii="Arial" w:eastAsia="Times New Roman" w:hAnsi="Arial" w:cs="Arial"/>
        </w:rPr>
        <w:t>similar to</w:t>
      </w:r>
      <w:proofErr w:type="gramEnd"/>
      <w:r w:rsidRPr="00521E3C">
        <w:rPr>
          <w:rFonts w:ascii="Arial" w:eastAsia="Times New Roman" w:hAnsi="Arial" w:cs="Arial"/>
        </w:rPr>
        <w:t xml:space="preserve"> Lewin’s ‘Unfreeze’)</w:t>
      </w:r>
    </w:p>
    <w:p w14:paraId="70113570" w14:textId="77777777" w:rsidR="004B6C66" w:rsidRPr="00521E3C" w:rsidRDefault="004B6C66" w:rsidP="00521E3C">
      <w:pPr>
        <w:spacing w:before="200" w:after="200" w:line="360" w:lineRule="auto"/>
        <w:rPr>
          <w:rFonts w:ascii="Arial" w:eastAsia="Times New Roman" w:hAnsi="Arial" w:cs="Arial"/>
          <w:i/>
          <w:iCs/>
          <w:sz w:val="28"/>
          <w:szCs w:val="28"/>
        </w:rPr>
      </w:pPr>
      <w:r w:rsidRPr="00521E3C">
        <w:rPr>
          <w:rFonts w:ascii="Arial" w:eastAsia="Times New Roman" w:hAnsi="Arial" w:cs="Arial"/>
          <w:i/>
          <w:iCs/>
          <w:sz w:val="28"/>
          <w:szCs w:val="28"/>
        </w:rPr>
        <w:t xml:space="preserve">3.2 Communication and Team Culture during Organisational Change </w:t>
      </w:r>
    </w:p>
    <w:p w14:paraId="5F3BF176" w14:textId="77777777" w:rsidR="004B6C66" w:rsidRPr="00521E3C" w:rsidRDefault="004B6C66" w:rsidP="00521E3C">
      <w:pPr>
        <w:spacing w:before="200" w:after="200" w:line="360" w:lineRule="auto"/>
        <w:rPr>
          <w:rFonts w:ascii="Arial" w:eastAsia="Times New Roman" w:hAnsi="Arial" w:cs="Arial"/>
        </w:rPr>
      </w:pPr>
      <w:r w:rsidRPr="00521E3C">
        <w:rPr>
          <w:rFonts w:ascii="Arial" w:eastAsia="Times New Roman" w:hAnsi="Arial" w:cs="Arial"/>
        </w:rPr>
        <w:t xml:space="preserve">It is already highlighted above that communication is crucial in the change process essentially in terms of creating a sense of urgency. Scholars like Sun </w:t>
      </w:r>
      <w:r w:rsidRPr="00521E3C">
        <w:rPr>
          <w:rFonts w:ascii="Arial" w:eastAsia="Times New Roman" w:hAnsi="Arial" w:cs="Arial"/>
          <w:i/>
          <w:iCs/>
        </w:rPr>
        <w:t>et al</w:t>
      </w:r>
      <w:r w:rsidRPr="00521E3C">
        <w:rPr>
          <w:rFonts w:ascii="Arial" w:eastAsia="Times New Roman" w:hAnsi="Arial" w:cs="Arial"/>
        </w:rPr>
        <w:t xml:space="preserve">. (2023) have shown, as the change process indeed creates an ambience of uncertainty, subordinates rely on transparent communication to cope with that. However, it is ideal, as per the existing literature, if this communication can incorporate two-way traffic. In other words, it is crucial to know whether the culture allows open communication, as it is related to another key variable of this study - resistance. </w:t>
      </w:r>
      <w:proofErr w:type="spellStart"/>
      <w:r w:rsidRPr="00521E3C">
        <w:rPr>
          <w:rFonts w:ascii="Arial" w:eastAsia="Times New Roman" w:hAnsi="Arial" w:cs="Arial"/>
        </w:rPr>
        <w:t>Șomlea</w:t>
      </w:r>
      <w:proofErr w:type="spellEnd"/>
      <w:r w:rsidRPr="00521E3C">
        <w:rPr>
          <w:rFonts w:ascii="Arial" w:eastAsia="Times New Roman" w:hAnsi="Arial" w:cs="Arial"/>
        </w:rPr>
        <w:t xml:space="preserve"> (2023) have shown, for example, in the case of an organisation that follows a top-down communication path, resistance to change is likely, as employees increasingly feel that their concerns relevant to the change are being ignored by the top management. In this regard, organisations nowadays strive for a participatory communication culture where, briefly put, employees are rendered major parties in change-related decision-making. It is, furthermore, consistent with an adaptive team culture. </w:t>
      </w:r>
    </w:p>
    <w:p w14:paraId="2EA233F0" w14:textId="77777777" w:rsidR="00CE757D" w:rsidRPr="00521E3C" w:rsidRDefault="004B6C66" w:rsidP="00521E3C">
      <w:pPr>
        <w:spacing w:before="200" w:after="200" w:line="360" w:lineRule="auto"/>
        <w:rPr>
          <w:rFonts w:ascii="Arial" w:eastAsia="Times New Roman" w:hAnsi="Arial" w:cs="Arial"/>
          <w:i/>
          <w:iCs/>
          <w:sz w:val="28"/>
          <w:szCs w:val="28"/>
        </w:rPr>
      </w:pPr>
      <w:r w:rsidRPr="00521E3C">
        <w:rPr>
          <w:rFonts w:ascii="Arial" w:eastAsia="Times New Roman" w:hAnsi="Arial" w:cs="Arial"/>
          <w:i/>
          <w:iCs/>
          <w:sz w:val="28"/>
          <w:szCs w:val="28"/>
        </w:rPr>
        <w:t>3.3 Leadership and change resistance</w:t>
      </w:r>
    </w:p>
    <w:p w14:paraId="6677283A" w14:textId="77777777" w:rsidR="0057097A" w:rsidRPr="0057097A" w:rsidRDefault="0057097A" w:rsidP="0057097A">
      <w:pPr>
        <w:spacing w:before="200" w:after="200" w:line="360" w:lineRule="auto"/>
        <w:rPr>
          <w:rFonts w:ascii="Arial" w:eastAsia="Times New Roman" w:hAnsi="Arial" w:cs="Arial"/>
          <w:i/>
          <w:iCs/>
        </w:rPr>
      </w:pPr>
      <w:r w:rsidRPr="0057097A">
        <w:rPr>
          <w:rFonts w:ascii="Arial" w:eastAsia="Times New Roman" w:hAnsi="Arial" w:cs="Arial"/>
        </w:rPr>
        <w:lastRenderedPageBreak/>
        <w:t xml:space="preserve">Different leadership styles exhibit different rapports with change. For successful change management, the transformational leadership style is deemed suitable (Bagga, Gera and Haque, 2023) It is essentially because transformational leaders are the more competent ones in shaping a compelling vision surrounding change, which is ideal for persuading the subordinates to subscribe to the idea of change and participating in it organically. However, one can also argue that the servant leadership style is also of importance in the context of change since, as per Cao and Le (2024), building trust of the subordinates is crucial to ensure that they participate in the change process optimally. Briefly put, as servant leaders are bothered about every concern of the employees, the latter reciprocates to it by lending themselves in the change process fully. Interestingly, the logic that top-down communication increases possibilities of resistance is true in this context as well. One must understand first that this logic resembles the autocratic leadership style, which can indeed invoke collective resistance. In other words, as per the existing literature, to carry out the change process successfully, the leadership must be able to empower the subordinates to make them own the change. Nevertheless, the situation becomes complex when swift decisions are to be taken, as change is essentially about uncertainties. </w:t>
      </w:r>
    </w:p>
    <w:p w14:paraId="2C17D4D8" w14:textId="77777777" w:rsidR="004B6C66" w:rsidRDefault="004B6C66" w:rsidP="00521E3C">
      <w:pPr>
        <w:spacing w:before="200" w:after="200" w:line="360" w:lineRule="auto"/>
        <w:rPr>
          <w:rFonts w:ascii="Arial" w:eastAsia="Times New Roman" w:hAnsi="Arial" w:cs="Arial"/>
          <w:i/>
          <w:iCs/>
          <w:sz w:val="28"/>
          <w:szCs w:val="28"/>
        </w:rPr>
      </w:pPr>
      <w:r w:rsidRPr="00521E3C">
        <w:rPr>
          <w:rFonts w:ascii="Arial" w:eastAsia="Times New Roman" w:hAnsi="Arial" w:cs="Arial"/>
          <w:i/>
          <w:iCs/>
          <w:sz w:val="28"/>
          <w:szCs w:val="28"/>
        </w:rPr>
        <w:t>3.4 Gaps in existing literature</w:t>
      </w:r>
    </w:p>
    <w:p w14:paraId="2C0F9066" w14:textId="77777777" w:rsidR="0057097A" w:rsidRDefault="0057097A" w:rsidP="0057097A">
      <w:pPr>
        <w:spacing w:before="200" w:after="200" w:line="360" w:lineRule="auto"/>
        <w:rPr>
          <w:rFonts w:ascii="Arial" w:eastAsia="Times New Roman" w:hAnsi="Arial" w:cs="Arial"/>
        </w:rPr>
      </w:pPr>
      <w:r w:rsidRPr="0057097A">
        <w:rPr>
          <w:rFonts w:ascii="Arial" w:eastAsia="Times New Roman" w:hAnsi="Arial" w:cs="Arial"/>
        </w:rPr>
        <w:t xml:space="preserve">The major gap in existing literature is the lack of insights specific to the UK’s leisure sector. For example, though Bagga, Gera and Haque (2023) indeed highlighted how leadership and organisational culture determines relative success of change management, they focused on the Indian context and considered virtual teams that hardly resonate with the reality of the UK’s leisure industry. Furthermore, though the work by Sun et al. (2023) contributed to the relationship between leadership, communication and change management at the theoretical level, here as well, contextual mismatch prevents insights specific to the sector or department.  </w:t>
      </w:r>
    </w:p>
    <w:p w14:paraId="3B438979" w14:textId="77777777" w:rsidR="007C775B" w:rsidRDefault="007C775B" w:rsidP="007C775B">
      <w:pPr>
        <w:pStyle w:val="Heading1"/>
        <w:spacing w:before="200" w:after="200"/>
        <w:rPr>
          <w:rFonts w:ascii="Arial" w:eastAsia="Times New Roman" w:hAnsi="Arial" w:cs="Arial"/>
          <w:color w:val="000000"/>
          <w:sz w:val="32"/>
          <w:szCs w:val="32"/>
        </w:rPr>
      </w:pPr>
      <w:r w:rsidRPr="00521E3C">
        <w:rPr>
          <w:rFonts w:ascii="Arial" w:eastAsia="Times New Roman" w:hAnsi="Arial" w:cs="Arial"/>
          <w:color w:val="000000"/>
          <w:sz w:val="32"/>
          <w:szCs w:val="32"/>
        </w:rPr>
        <w:t xml:space="preserve">4.0 Methodology and Sampling Technique </w:t>
      </w:r>
    </w:p>
    <w:p w14:paraId="08302D39" w14:textId="77777777" w:rsidR="007C775B" w:rsidRDefault="007C775B" w:rsidP="0057097A">
      <w:pPr>
        <w:spacing w:before="200" w:after="200" w:line="360" w:lineRule="auto"/>
        <w:rPr>
          <w:rFonts w:ascii="Arial" w:eastAsia="Times New Roman" w:hAnsi="Arial" w:cs="Arial"/>
        </w:rPr>
      </w:pPr>
    </w:p>
    <w:p w14:paraId="1371F2F7" w14:textId="77777777" w:rsidR="0057097A" w:rsidRPr="007C775B" w:rsidRDefault="0057097A" w:rsidP="007C775B">
      <w:pPr>
        <w:spacing w:before="200" w:after="200" w:line="360" w:lineRule="auto"/>
        <w:rPr>
          <w:rFonts w:ascii="Arial" w:eastAsia="Times New Roman" w:hAnsi="Arial" w:cs="Arial"/>
        </w:rPr>
      </w:pPr>
      <w:r w:rsidRPr="007C775B">
        <w:rPr>
          <w:rFonts w:ascii="Arial" w:eastAsia="Times New Roman" w:hAnsi="Arial" w:cs="Arial"/>
        </w:rPr>
        <w:t xml:space="preserve">A primary qualitative data collection method will be adopted. This is in line with the interpretivist philosophy adopted by the researcher </w:t>
      </w:r>
      <w:proofErr w:type="gramStart"/>
      <w:r w:rsidRPr="007C775B">
        <w:rPr>
          <w:rFonts w:ascii="Arial" w:eastAsia="Times New Roman" w:hAnsi="Arial" w:cs="Arial"/>
        </w:rPr>
        <w:t>As</w:t>
      </w:r>
      <w:proofErr w:type="gramEnd"/>
      <w:r w:rsidRPr="007C775B">
        <w:rPr>
          <w:rFonts w:ascii="Arial" w:eastAsia="Times New Roman" w:hAnsi="Arial" w:cs="Arial"/>
        </w:rPr>
        <w:t xml:space="preserve"> per such philosophy, the researcher believes that reality is constructed by society, and human experiences are essential to understand those realities. Thus, the researcher was interested in understanding how the human subjective experience and understanding through communication and leadership shape team culture and resistance for the UK leisure organisation. In accordance with the type of research question which is interested in asking ‘how’ and ‘why', this approach is </w:t>
      </w:r>
      <w:r w:rsidRPr="007C775B">
        <w:rPr>
          <w:rFonts w:ascii="Arial" w:eastAsia="Times New Roman" w:hAnsi="Arial" w:cs="Arial"/>
        </w:rPr>
        <w:lastRenderedPageBreak/>
        <w:t xml:space="preserve">suitable (Taherdoost, 2021). Therefore, with a qualitative data collection method, the researcher will tap into the human behaviour, ideas, opinions and experiences which quantitative methodology will not be able to give. The quantitative methods are objective in nature, hence, shape the understanding of realities in such a manner that may not be sufficient to understand this study better (Sardana </w:t>
      </w:r>
      <w:r w:rsidRPr="007C775B">
        <w:rPr>
          <w:rFonts w:ascii="Arial" w:eastAsia="Times New Roman" w:hAnsi="Arial" w:cs="Arial"/>
          <w:i/>
          <w:iCs/>
        </w:rPr>
        <w:t>et al.</w:t>
      </w:r>
      <w:r w:rsidRPr="007C775B">
        <w:rPr>
          <w:rFonts w:ascii="Arial" w:eastAsia="Times New Roman" w:hAnsi="Arial" w:cs="Arial"/>
        </w:rPr>
        <w:t xml:space="preserve">, 2023) As compared to a secondary qualitative research method, a primary data collection method will be adopted. The reason why a secondary method was not preferred over a primary method was </w:t>
      </w:r>
      <w:proofErr w:type="gramStart"/>
      <w:r w:rsidRPr="007C775B">
        <w:rPr>
          <w:rFonts w:ascii="Arial" w:eastAsia="Times New Roman" w:hAnsi="Arial" w:cs="Arial"/>
        </w:rPr>
        <w:t>due to the fact that</w:t>
      </w:r>
      <w:proofErr w:type="gramEnd"/>
      <w:r w:rsidRPr="007C775B">
        <w:rPr>
          <w:rFonts w:ascii="Arial" w:eastAsia="Times New Roman" w:hAnsi="Arial" w:cs="Arial"/>
        </w:rPr>
        <w:t xml:space="preserve"> the former gives access to large data sets regardless of the location and budgetary constraints (Cheong </w:t>
      </w:r>
      <w:r w:rsidRPr="007C775B">
        <w:rPr>
          <w:rFonts w:ascii="Arial" w:eastAsia="Times New Roman" w:hAnsi="Arial" w:cs="Arial"/>
          <w:i/>
          <w:iCs/>
        </w:rPr>
        <w:t>et al.</w:t>
      </w:r>
      <w:r w:rsidRPr="007C775B">
        <w:rPr>
          <w:rFonts w:ascii="Arial" w:eastAsia="Times New Roman" w:hAnsi="Arial" w:cs="Arial"/>
        </w:rPr>
        <w:t xml:space="preserve">, 2023); however, they are not original as they just refer to the pre-existing data. Thus, a more comprehensive, up-to-date, relevant and original data collection would be preferred that would give detailed lived experiences and ideas involving human participants. </w:t>
      </w:r>
    </w:p>
    <w:p w14:paraId="1582AF72" w14:textId="77777777" w:rsidR="0057097A" w:rsidRPr="007C775B" w:rsidRDefault="0057097A" w:rsidP="007C775B">
      <w:pPr>
        <w:spacing w:before="200" w:after="200" w:line="360" w:lineRule="auto"/>
        <w:rPr>
          <w:rFonts w:ascii="Arial" w:eastAsia="Times New Roman" w:hAnsi="Arial" w:cs="Arial"/>
        </w:rPr>
      </w:pPr>
      <w:r w:rsidRPr="007C775B">
        <w:rPr>
          <w:rFonts w:ascii="Arial" w:eastAsia="Times New Roman" w:hAnsi="Arial" w:cs="Arial"/>
        </w:rPr>
        <w:t>The best way to gather in-depth data around human subjects for answering questions around the role of communication and leadership in shaping team culture and resistance in the leisure sector of the UK would be a primary qualitative method. The tool that will be used is a semi-structured interview. The participants who will be recruited for an open ended semi structured interview are the managers from the UK leisure sector. Therefore, a purposive sampling strategy will be adopted such that only the managers with 2 years plus experience in the sector will be interviewed. Other inclusion criteria include managers who can speak in English, while exclusion criteria were managers form non leisure industry, and who could not speak in English. The number of participants would be around 10 in number, who would be recruited via personal contacts, professional networks, through social media or face-to-face interactions. The interview may take place face-to-face or through video conferencing and may last 30 minutes. Post data collection, they will be analysed through thematic analysis adopting an inductive coding approach. For the data, recurring patterns will be searched for, resulting in emerging terms which will be aligned with the research objectives. This is how the methodology will take place, with outcomes attached to the objectives.</w:t>
      </w:r>
    </w:p>
    <w:p w14:paraId="5191675A" w14:textId="77777777" w:rsidR="007C775B" w:rsidRPr="007C775B" w:rsidRDefault="007C775B" w:rsidP="007C775B">
      <w:pPr>
        <w:spacing w:before="200" w:after="200" w:line="360" w:lineRule="auto"/>
        <w:rPr>
          <w:rFonts w:ascii="Arial" w:eastAsia="Times New Roman" w:hAnsi="Arial" w:cs="Arial"/>
        </w:rPr>
      </w:pPr>
    </w:p>
    <w:p w14:paraId="2999A7AE" w14:textId="77777777" w:rsidR="0057097A" w:rsidRPr="0057097A" w:rsidRDefault="0057097A" w:rsidP="0057097A">
      <w:pPr>
        <w:spacing w:before="200" w:after="200" w:line="360" w:lineRule="auto"/>
        <w:rPr>
          <w:rFonts w:ascii="Arial" w:eastAsia="Times New Roman" w:hAnsi="Arial" w:cs="Arial"/>
        </w:rPr>
      </w:pPr>
    </w:p>
    <w:p w14:paraId="72893861" w14:textId="77777777" w:rsidR="0057097A" w:rsidRPr="00521E3C" w:rsidRDefault="0057097A" w:rsidP="00521E3C">
      <w:pPr>
        <w:spacing w:before="200" w:after="200" w:line="360" w:lineRule="auto"/>
        <w:rPr>
          <w:rFonts w:ascii="Arial" w:eastAsia="Times New Roman" w:hAnsi="Arial" w:cs="Arial"/>
          <w:i/>
          <w:iCs/>
          <w:sz w:val="28"/>
          <w:szCs w:val="28"/>
        </w:rPr>
      </w:pPr>
    </w:p>
    <w:p w14:paraId="5A1BF2E2" w14:textId="77777777" w:rsidR="00D97256" w:rsidRPr="00521E3C" w:rsidRDefault="00D97256" w:rsidP="00D97256">
      <w:pPr>
        <w:rPr>
          <w:rFonts w:ascii="Arial" w:hAnsi="Arial" w:cs="Arial"/>
        </w:rPr>
      </w:pPr>
      <w:bookmarkStart w:id="4" w:name="_heading=h.3oaxl60sgvo" w:colFirst="0" w:colLast="0"/>
      <w:bookmarkEnd w:id="4"/>
    </w:p>
    <w:p w14:paraId="0C08E456" w14:textId="46026AFB" w:rsidR="004B6C66" w:rsidRPr="00521E3C" w:rsidRDefault="004B6C66" w:rsidP="0057097A">
      <w:pPr>
        <w:rPr>
          <w:rFonts w:ascii="Arial" w:hAnsi="Arial" w:cs="Arial"/>
        </w:rPr>
      </w:pPr>
    </w:p>
    <w:tbl>
      <w:tblPr>
        <w:tblStyle w:val="TableGrid"/>
        <w:tblW w:w="0" w:type="auto"/>
        <w:jc w:val="center"/>
        <w:tblLook w:val="04A0" w:firstRow="1" w:lastRow="0" w:firstColumn="1" w:lastColumn="0" w:noHBand="0" w:noVBand="1"/>
      </w:tblPr>
      <w:tblGrid>
        <w:gridCol w:w="2263"/>
        <w:gridCol w:w="709"/>
        <w:gridCol w:w="709"/>
        <w:gridCol w:w="850"/>
        <w:gridCol w:w="851"/>
        <w:gridCol w:w="709"/>
        <w:gridCol w:w="708"/>
      </w:tblGrid>
      <w:tr w:rsidR="006460EF" w:rsidRPr="006460EF" w14:paraId="78DFC079" w14:textId="77777777" w:rsidTr="00E64A85">
        <w:trPr>
          <w:jc w:val="center"/>
        </w:trPr>
        <w:tc>
          <w:tcPr>
            <w:tcW w:w="2263" w:type="dxa"/>
            <w:shd w:val="clear" w:color="auto" w:fill="D9D9D9" w:themeFill="background1" w:themeFillShade="D9"/>
          </w:tcPr>
          <w:p w14:paraId="60B9E399" w14:textId="4CA2341E"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r w:rsidRPr="006460EF">
              <w:rPr>
                <w:rFonts w:ascii="Times New Roman" w:eastAsia="Times New Roman" w:hAnsi="Times New Roman" w:cs="Times New Roman"/>
                <w:b/>
                <w:bCs/>
                <w:sz w:val="13"/>
                <w:szCs w:val="13"/>
              </w:rPr>
              <w:lastRenderedPageBreak/>
              <w:t>Task</w:t>
            </w:r>
          </w:p>
        </w:tc>
        <w:tc>
          <w:tcPr>
            <w:tcW w:w="709" w:type="dxa"/>
            <w:shd w:val="clear" w:color="auto" w:fill="D9D9D9" w:themeFill="background1" w:themeFillShade="D9"/>
          </w:tcPr>
          <w:p w14:paraId="565D5187" w14:textId="1329B4F8" w:rsidR="00D80A17" w:rsidRPr="006460EF" w:rsidRDefault="006460EF" w:rsidP="004B6C66">
            <w:pPr>
              <w:spacing w:before="200" w:after="200" w:line="360" w:lineRule="auto"/>
              <w:jc w:val="both"/>
              <w:rPr>
                <w:rFonts w:ascii="Times New Roman" w:eastAsia="Times New Roman" w:hAnsi="Times New Roman" w:cs="Times New Roman"/>
                <w:b/>
                <w:bCs/>
                <w:sz w:val="13"/>
                <w:szCs w:val="13"/>
              </w:rPr>
            </w:pPr>
            <w:r w:rsidRPr="006460EF">
              <w:rPr>
                <w:rFonts w:ascii="Times New Roman" w:eastAsia="Times New Roman" w:hAnsi="Times New Roman" w:cs="Times New Roman"/>
                <w:b/>
                <w:bCs/>
                <w:sz w:val="13"/>
                <w:szCs w:val="13"/>
              </w:rPr>
              <w:t>Feb-26</w:t>
            </w:r>
          </w:p>
        </w:tc>
        <w:tc>
          <w:tcPr>
            <w:tcW w:w="709" w:type="dxa"/>
            <w:shd w:val="clear" w:color="auto" w:fill="D9D9D9" w:themeFill="background1" w:themeFillShade="D9"/>
          </w:tcPr>
          <w:p w14:paraId="550D85ED" w14:textId="5699C9EB" w:rsidR="00D80A17" w:rsidRPr="006460EF" w:rsidRDefault="006460EF" w:rsidP="004B6C66">
            <w:pPr>
              <w:spacing w:before="200" w:after="200" w:line="360" w:lineRule="auto"/>
              <w:jc w:val="both"/>
              <w:rPr>
                <w:rFonts w:ascii="Times New Roman" w:eastAsia="Times New Roman" w:hAnsi="Times New Roman" w:cs="Times New Roman"/>
                <w:b/>
                <w:bCs/>
                <w:sz w:val="13"/>
                <w:szCs w:val="13"/>
              </w:rPr>
            </w:pPr>
            <w:r w:rsidRPr="006460EF">
              <w:rPr>
                <w:rFonts w:ascii="Times New Roman" w:eastAsia="Times New Roman" w:hAnsi="Times New Roman" w:cs="Times New Roman"/>
                <w:b/>
                <w:bCs/>
                <w:sz w:val="13"/>
                <w:szCs w:val="13"/>
              </w:rPr>
              <w:t>Mar-26</w:t>
            </w:r>
          </w:p>
        </w:tc>
        <w:tc>
          <w:tcPr>
            <w:tcW w:w="850" w:type="dxa"/>
            <w:shd w:val="clear" w:color="auto" w:fill="D9D9D9" w:themeFill="background1" w:themeFillShade="D9"/>
          </w:tcPr>
          <w:p w14:paraId="02D7C5CB" w14:textId="193078FE" w:rsidR="00D80A17" w:rsidRPr="006460EF" w:rsidRDefault="006460EF" w:rsidP="004B6C66">
            <w:pPr>
              <w:spacing w:before="200" w:after="200" w:line="360" w:lineRule="auto"/>
              <w:jc w:val="both"/>
              <w:rPr>
                <w:rFonts w:ascii="Times New Roman" w:eastAsia="Times New Roman" w:hAnsi="Times New Roman" w:cs="Times New Roman"/>
                <w:b/>
                <w:bCs/>
                <w:sz w:val="13"/>
                <w:szCs w:val="13"/>
              </w:rPr>
            </w:pPr>
            <w:r w:rsidRPr="006460EF">
              <w:rPr>
                <w:rFonts w:ascii="Times New Roman" w:eastAsia="Times New Roman" w:hAnsi="Times New Roman" w:cs="Times New Roman"/>
                <w:b/>
                <w:bCs/>
                <w:sz w:val="13"/>
                <w:szCs w:val="13"/>
              </w:rPr>
              <w:t>Apr-26</w:t>
            </w:r>
          </w:p>
        </w:tc>
        <w:tc>
          <w:tcPr>
            <w:tcW w:w="851" w:type="dxa"/>
            <w:shd w:val="clear" w:color="auto" w:fill="D9D9D9" w:themeFill="background1" w:themeFillShade="D9"/>
          </w:tcPr>
          <w:p w14:paraId="2ACBB76B" w14:textId="06034255" w:rsidR="00D80A17" w:rsidRPr="006460EF" w:rsidRDefault="006460EF" w:rsidP="004B6C66">
            <w:pPr>
              <w:spacing w:before="200" w:after="200" w:line="360" w:lineRule="auto"/>
              <w:jc w:val="both"/>
              <w:rPr>
                <w:rFonts w:ascii="Times New Roman" w:eastAsia="Times New Roman" w:hAnsi="Times New Roman" w:cs="Times New Roman"/>
                <w:b/>
                <w:bCs/>
                <w:sz w:val="13"/>
                <w:szCs w:val="13"/>
              </w:rPr>
            </w:pPr>
            <w:r w:rsidRPr="006460EF">
              <w:rPr>
                <w:rFonts w:ascii="Times New Roman" w:eastAsia="Times New Roman" w:hAnsi="Times New Roman" w:cs="Times New Roman"/>
                <w:b/>
                <w:bCs/>
                <w:sz w:val="13"/>
                <w:szCs w:val="13"/>
              </w:rPr>
              <w:t>May-26</w:t>
            </w:r>
          </w:p>
        </w:tc>
        <w:tc>
          <w:tcPr>
            <w:tcW w:w="709" w:type="dxa"/>
            <w:shd w:val="clear" w:color="auto" w:fill="D9D9D9" w:themeFill="background1" w:themeFillShade="D9"/>
          </w:tcPr>
          <w:p w14:paraId="64483FF7" w14:textId="7EE2511C" w:rsidR="00D80A17" w:rsidRPr="006460EF" w:rsidRDefault="006460EF" w:rsidP="004B6C66">
            <w:pPr>
              <w:spacing w:before="200" w:after="200" w:line="360" w:lineRule="auto"/>
              <w:jc w:val="both"/>
              <w:rPr>
                <w:rFonts w:ascii="Times New Roman" w:eastAsia="Times New Roman" w:hAnsi="Times New Roman" w:cs="Times New Roman"/>
                <w:b/>
                <w:bCs/>
                <w:sz w:val="13"/>
                <w:szCs w:val="13"/>
              </w:rPr>
            </w:pPr>
            <w:r w:rsidRPr="006460EF">
              <w:rPr>
                <w:rFonts w:ascii="Times New Roman" w:eastAsia="Times New Roman" w:hAnsi="Times New Roman" w:cs="Times New Roman"/>
                <w:b/>
                <w:bCs/>
                <w:sz w:val="13"/>
                <w:szCs w:val="13"/>
              </w:rPr>
              <w:t>Jun-26</w:t>
            </w:r>
          </w:p>
        </w:tc>
        <w:tc>
          <w:tcPr>
            <w:tcW w:w="708" w:type="dxa"/>
            <w:shd w:val="clear" w:color="auto" w:fill="D9D9D9" w:themeFill="background1" w:themeFillShade="D9"/>
          </w:tcPr>
          <w:p w14:paraId="42CACB22" w14:textId="58FA7DAE" w:rsidR="00D80A17" w:rsidRPr="006460EF" w:rsidRDefault="006460EF" w:rsidP="004B6C66">
            <w:pPr>
              <w:spacing w:before="200" w:after="200" w:line="360" w:lineRule="auto"/>
              <w:jc w:val="both"/>
              <w:rPr>
                <w:rFonts w:ascii="Times New Roman" w:eastAsia="Times New Roman" w:hAnsi="Times New Roman" w:cs="Times New Roman"/>
                <w:b/>
                <w:bCs/>
                <w:sz w:val="13"/>
                <w:szCs w:val="13"/>
              </w:rPr>
            </w:pPr>
            <w:r w:rsidRPr="006460EF">
              <w:rPr>
                <w:rFonts w:ascii="Times New Roman" w:eastAsia="Times New Roman" w:hAnsi="Times New Roman" w:cs="Times New Roman"/>
                <w:b/>
                <w:bCs/>
                <w:sz w:val="13"/>
                <w:szCs w:val="13"/>
              </w:rPr>
              <w:t>Jul-10</w:t>
            </w:r>
          </w:p>
        </w:tc>
      </w:tr>
      <w:tr w:rsidR="006460EF" w:rsidRPr="006460EF" w14:paraId="2A022A40" w14:textId="77777777" w:rsidTr="00E64A85">
        <w:trPr>
          <w:trHeight w:val="511"/>
          <w:jc w:val="center"/>
        </w:trPr>
        <w:tc>
          <w:tcPr>
            <w:tcW w:w="2263" w:type="dxa"/>
            <w:shd w:val="clear" w:color="auto" w:fill="D9D9D9" w:themeFill="background1" w:themeFillShade="D9"/>
          </w:tcPr>
          <w:p w14:paraId="3AE7DC17" w14:textId="14BBE740" w:rsidR="00D80A17" w:rsidRPr="006460EF" w:rsidRDefault="00933658" w:rsidP="004B6C66">
            <w:pPr>
              <w:spacing w:before="200" w:after="200" w:line="360" w:lineRule="auto"/>
              <w:jc w:val="both"/>
              <w:rPr>
                <w:rFonts w:ascii="Times New Roman" w:eastAsia="Times New Roman" w:hAnsi="Times New Roman" w:cs="Times New Roman"/>
                <w:b/>
                <w:bCs/>
                <w:sz w:val="13"/>
                <w:szCs w:val="13"/>
              </w:rPr>
            </w:pPr>
            <w:r w:rsidRPr="006460EF">
              <w:rPr>
                <w:rFonts w:ascii="Times New Roman" w:eastAsia="Times New Roman" w:hAnsi="Times New Roman" w:cs="Times New Roman"/>
                <w:b/>
                <w:bCs/>
                <w:sz w:val="13"/>
                <w:szCs w:val="13"/>
              </w:rPr>
              <w:t>Proposal &amp; project planning</w:t>
            </w:r>
          </w:p>
        </w:tc>
        <w:tc>
          <w:tcPr>
            <w:tcW w:w="709" w:type="dxa"/>
            <w:shd w:val="clear" w:color="auto" w:fill="FFFF00"/>
          </w:tcPr>
          <w:p w14:paraId="6BF33B30"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9" w:type="dxa"/>
          </w:tcPr>
          <w:p w14:paraId="6D32A2A9"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850" w:type="dxa"/>
          </w:tcPr>
          <w:p w14:paraId="4A9721E8"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851" w:type="dxa"/>
          </w:tcPr>
          <w:p w14:paraId="22FCAC81"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9" w:type="dxa"/>
          </w:tcPr>
          <w:p w14:paraId="5272A7EE"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8" w:type="dxa"/>
          </w:tcPr>
          <w:p w14:paraId="13A131DA"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r>
      <w:tr w:rsidR="006460EF" w:rsidRPr="006460EF" w14:paraId="62284D70" w14:textId="77777777" w:rsidTr="00E64A85">
        <w:trPr>
          <w:jc w:val="center"/>
        </w:trPr>
        <w:tc>
          <w:tcPr>
            <w:tcW w:w="2263" w:type="dxa"/>
            <w:shd w:val="clear" w:color="auto" w:fill="D9D9D9" w:themeFill="background1" w:themeFillShade="D9"/>
          </w:tcPr>
          <w:p w14:paraId="7FD2736A" w14:textId="77777777" w:rsidR="00D80A17" w:rsidRPr="006460EF" w:rsidRDefault="00933658" w:rsidP="004B6C66">
            <w:pPr>
              <w:spacing w:before="200" w:after="200" w:line="360" w:lineRule="auto"/>
              <w:jc w:val="both"/>
              <w:rPr>
                <w:rFonts w:ascii="Times New Roman" w:eastAsia="Times New Roman" w:hAnsi="Times New Roman" w:cs="Times New Roman"/>
                <w:b/>
                <w:bCs/>
                <w:sz w:val="13"/>
                <w:szCs w:val="13"/>
              </w:rPr>
            </w:pPr>
            <w:r w:rsidRPr="006460EF">
              <w:rPr>
                <w:rFonts w:ascii="Times New Roman" w:eastAsia="Times New Roman" w:hAnsi="Times New Roman" w:cs="Times New Roman"/>
                <w:b/>
                <w:bCs/>
                <w:sz w:val="13"/>
                <w:szCs w:val="13"/>
              </w:rPr>
              <w:t>Literature review/Background</w:t>
            </w:r>
          </w:p>
          <w:p w14:paraId="301B999D" w14:textId="0ED8B355" w:rsidR="00933658" w:rsidRPr="006460EF" w:rsidRDefault="00933658" w:rsidP="004B6C66">
            <w:pPr>
              <w:spacing w:before="200" w:after="200" w:line="360" w:lineRule="auto"/>
              <w:jc w:val="both"/>
              <w:rPr>
                <w:rFonts w:ascii="Times New Roman" w:eastAsia="Times New Roman" w:hAnsi="Times New Roman" w:cs="Times New Roman"/>
                <w:b/>
                <w:bCs/>
                <w:sz w:val="13"/>
                <w:szCs w:val="13"/>
              </w:rPr>
            </w:pPr>
            <w:r w:rsidRPr="006460EF">
              <w:rPr>
                <w:rFonts w:ascii="Times New Roman" w:eastAsia="Times New Roman" w:hAnsi="Times New Roman" w:cs="Times New Roman"/>
                <w:b/>
                <w:bCs/>
                <w:sz w:val="13"/>
                <w:szCs w:val="13"/>
              </w:rPr>
              <w:t>Research</w:t>
            </w:r>
          </w:p>
        </w:tc>
        <w:tc>
          <w:tcPr>
            <w:tcW w:w="709" w:type="dxa"/>
            <w:shd w:val="clear" w:color="auto" w:fill="FFFF00"/>
          </w:tcPr>
          <w:p w14:paraId="2DE0F700"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9" w:type="dxa"/>
            <w:shd w:val="clear" w:color="auto" w:fill="FFFF00"/>
          </w:tcPr>
          <w:p w14:paraId="2A70821C"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850" w:type="dxa"/>
          </w:tcPr>
          <w:p w14:paraId="393C2E1C"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851" w:type="dxa"/>
          </w:tcPr>
          <w:p w14:paraId="54C1BC04"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9" w:type="dxa"/>
          </w:tcPr>
          <w:p w14:paraId="2756C91C"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8" w:type="dxa"/>
          </w:tcPr>
          <w:p w14:paraId="476E00FA"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r>
      <w:tr w:rsidR="006460EF" w:rsidRPr="006460EF" w14:paraId="179A7D68" w14:textId="77777777" w:rsidTr="00E64A85">
        <w:trPr>
          <w:jc w:val="center"/>
        </w:trPr>
        <w:tc>
          <w:tcPr>
            <w:tcW w:w="2263" w:type="dxa"/>
            <w:shd w:val="clear" w:color="auto" w:fill="D9D9D9" w:themeFill="background1" w:themeFillShade="D9"/>
          </w:tcPr>
          <w:p w14:paraId="3F2F9AA1" w14:textId="27666164" w:rsidR="00D80A17" w:rsidRPr="006460EF" w:rsidRDefault="00933658" w:rsidP="004B6C66">
            <w:pPr>
              <w:spacing w:before="200" w:after="200" w:line="360" w:lineRule="auto"/>
              <w:jc w:val="both"/>
              <w:rPr>
                <w:rFonts w:ascii="Times New Roman" w:eastAsia="Times New Roman" w:hAnsi="Times New Roman" w:cs="Times New Roman"/>
                <w:b/>
                <w:bCs/>
                <w:sz w:val="13"/>
                <w:szCs w:val="13"/>
              </w:rPr>
            </w:pPr>
            <w:r w:rsidRPr="006460EF">
              <w:rPr>
                <w:rFonts w:ascii="Times New Roman" w:eastAsia="Times New Roman" w:hAnsi="Times New Roman" w:cs="Times New Roman"/>
                <w:b/>
                <w:bCs/>
                <w:sz w:val="13"/>
                <w:szCs w:val="13"/>
              </w:rPr>
              <w:t>Methodology design</w:t>
            </w:r>
          </w:p>
        </w:tc>
        <w:tc>
          <w:tcPr>
            <w:tcW w:w="709" w:type="dxa"/>
          </w:tcPr>
          <w:p w14:paraId="204BDD45"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9" w:type="dxa"/>
            <w:shd w:val="clear" w:color="auto" w:fill="EE8A89"/>
          </w:tcPr>
          <w:p w14:paraId="19745E2F"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850" w:type="dxa"/>
            <w:shd w:val="clear" w:color="auto" w:fill="EE8A89"/>
          </w:tcPr>
          <w:p w14:paraId="204DFACE"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851" w:type="dxa"/>
          </w:tcPr>
          <w:p w14:paraId="6A9B807C"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9" w:type="dxa"/>
          </w:tcPr>
          <w:p w14:paraId="6A9CF21B"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8" w:type="dxa"/>
          </w:tcPr>
          <w:p w14:paraId="2200E694"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r>
      <w:tr w:rsidR="006460EF" w:rsidRPr="006460EF" w14:paraId="3B12F16F" w14:textId="77777777" w:rsidTr="00E64A85">
        <w:trPr>
          <w:jc w:val="center"/>
        </w:trPr>
        <w:tc>
          <w:tcPr>
            <w:tcW w:w="2263" w:type="dxa"/>
            <w:shd w:val="clear" w:color="auto" w:fill="D9D9D9" w:themeFill="background1" w:themeFillShade="D9"/>
          </w:tcPr>
          <w:p w14:paraId="1CC9B6C1" w14:textId="33AE7380" w:rsidR="00D80A17" w:rsidRPr="006460EF" w:rsidRDefault="00933658" w:rsidP="004B6C66">
            <w:pPr>
              <w:spacing w:before="200" w:after="200" w:line="360" w:lineRule="auto"/>
              <w:jc w:val="both"/>
              <w:rPr>
                <w:rFonts w:ascii="Times New Roman" w:eastAsia="Times New Roman" w:hAnsi="Times New Roman" w:cs="Times New Roman"/>
                <w:b/>
                <w:bCs/>
                <w:sz w:val="13"/>
                <w:szCs w:val="13"/>
              </w:rPr>
            </w:pPr>
            <w:r w:rsidRPr="006460EF">
              <w:rPr>
                <w:rFonts w:ascii="Times New Roman" w:eastAsia="Times New Roman" w:hAnsi="Times New Roman" w:cs="Times New Roman"/>
                <w:b/>
                <w:bCs/>
                <w:sz w:val="13"/>
                <w:szCs w:val="13"/>
              </w:rPr>
              <w:t>Data collection/Project Development</w:t>
            </w:r>
          </w:p>
        </w:tc>
        <w:tc>
          <w:tcPr>
            <w:tcW w:w="709" w:type="dxa"/>
          </w:tcPr>
          <w:p w14:paraId="0174D7E5"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9" w:type="dxa"/>
          </w:tcPr>
          <w:p w14:paraId="7A8B0E21"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850" w:type="dxa"/>
            <w:shd w:val="clear" w:color="auto" w:fill="EE8A89"/>
          </w:tcPr>
          <w:p w14:paraId="43AA130E"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851" w:type="dxa"/>
            <w:shd w:val="clear" w:color="auto" w:fill="EE8A89"/>
          </w:tcPr>
          <w:p w14:paraId="6EA9EA42"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9" w:type="dxa"/>
          </w:tcPr>
          <w:p w14:paraId="078CCE95"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8" w:type="dxa"/>
          </w:tcPr>
          <w:p w14:paraId="3FDDCD1F"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r>
      <w:tr w:rsidR="006460EF" w:rsidRPr="006460EF" w14:paraId="0BADB024" w14:textId="77777777" w:rsidTr="00E64A85">
        <w:trPr>
          <w:jc w:val="center"/>
        </w:trPr>
        <w:tc>
          <w:tcPr>
            <w:tcW w:w="2263" w:type="dxa"/>
            <w:shd w:val="clear" w:color="auto" w:fill="D9D9D9" w:themeFill="background1" w:themeFillShade="D9"/>
          </w:tcPr>
          <w:p w14:paraId="60C4FAA0" w14:textId="476EEF4C" w:rsidR="00D80A17" w:rsidRPr="006460EF" w:rsidRDefault="00933658" w:rsidP="004B6C66">
            <w:pPr>
              <w:spacing w:before="200" w:after="200" w:line="360" w:lineRule="auto"/>
              <w:jc w:val="both"/>
              <w:rPr>
                <w:rFonts w:ascii="Times New Roman" w:eastAsia="Times New Roman" w:hAnsi="Times New Roman" w:cs="Times New Roman"/>
                <w:b/>
                <w:bCs/>
                <w:sz w:val="13"/>
                <w:szCs w:val="13"/>
              </w:rPr>
            </w:pPr>
            <w:r w:rsidRPr="006460EF">
              <w:rPr>
                <w:rFonts w:ascii="Times New Roman" w:eastAsia="Times New Roman" w:hAnsi="Times New Roman" w:cs="Times New Roman"/>
                <w:b/>
                <w:bCs/>
                <w:sz w:val="13"/>
                <w:szCs w:val="13"/>
              </w:rPr>
              <w:t>Data analysis/testing</w:t>
            </w:r>
          </w:p>
        </w:tc>
        <w:tc>
          <w:tcPr>
            <w:tcW w:w="709" w:type="dxa"/>
          </w:tcPr>
          <w:p w14:paraId="7FCFBB04"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9" w:type="dxa"/>
          </w:tcPr>
          <w:p w14:paraId="5F46820F"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850" w:type="dxa"/>
          </w:tcPr>
          <w:p w14:paraId="2EF87229"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851" w:type="dxa"/>
            <w:shd w:val="clear" w:color="auto" w:fill="83CAEB" w:themeFill="accent1" w:themeFillTint="66"/>
          </w:tcPr>
          <w:p w14:paraId="0C405A47"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9" w:type="dxa"/>
            <w:shd w:val="clear" w:color="auto" w:fill="83CAEB" w:themeFill="accent1" w:themeFillTint="66"/>
          </w:tcPr>
          <w:p w14:paraId="1BD3FEEE"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8" w:type="dxa"/>
          </w:tcPr>
          <w:p w14:paraId="2EE7BF96"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r>
      <w:tr w:rsidR="006460EF" w:rsidRPr="006460EF" w14:paraId="3DB19C4A" w14:textId="77777777" w:rsidTr="00E64A85">
        <w:trPr>
          <w:jc w:val="center"/>
        </w:trPr>
        <w:tc>
          <w:tcPr>
            <w:tcW w:w="2263" w:type="dxa"/>
            <w:shd w:val="clear" w:color="auto" w:fill="D9D9D9" w:themeFill="background1" w:themeFillShade="D9"/>
          </w:tcPr>
          <w:p w14:paraId="214B15F8" w14:textId="758FA2E4" w:rsidR="00D80A17" w:rsidRPr="006460EF" w:rsidRDefault="00933658" w:rsidP="004B6C66">
            <w:pPr>
              <w:spacing w:before="200" w:after="200" w:line="360" w:lineRule="auto"/>
              <w:jc w:val="both"/>
              <w:rPr>
                <w:rFonts w:ascii="Times New Roman" w:eastAsia="Times New Roman" w:hAnsi="Times New Roman" w:cs="Times New Roman"/>
                <w:b/>
                <w:bCs/>
                <w:sz w:val="13"/>
                <w:szCs w:val="13"/>
              </w:rPr>
            </w:pPr>
            <w:r w:rsidRPr="006460EF">
              <w:rPr>
                <w:rFonts w:ascii="Times New Roman" w:eastAsia="Times New Roman" w:hAnsi="Times New Roman" w:cs="Times New Roman"/>
                <w:b/>
                <w:bCs/>
                <w:sz w:val="13"/>
                <w:szCs w:val="13"/>
              </w:rPr>
              <w:t>Drafting Final Project/Report</w:t>
            </w:r>
          </w:p>
        </w:tc>
        <w:tc>
          <w:tcPr>
            <w:tcW w:w="709" w:type="dxa"/>
          </w:tcPr>
          <w:p w14:paraId="58968A1B"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9" w:type="dxa"/>
          </w:tcPr>
          <w:p w14:paraId="223D24CC"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850" w:type="dxa"/>
          </w:tcPr>
          <w:p w14:paraId="1EB96AAC"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851" w:type="dxa"/>
            <w:shd w:val="clear" w:color="auto" w:fill="83CAEB" w:themeFill="accent1" w:themeFillTint="66"/>
          </w:tcPr>
          <w:p w14:paraId="4A3E03AD"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9" w:type="dxa"/>
            <w:shd w:val="clear" w:color="auto" w:fill="83CAEB" w:themeFill="accent1" w:themeFillTint="66"/>
          </w:tcPr>
          <w:p w14:paraId="481FF0B8"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8" w:type="dxa"/>
          </w:tcPr>
          <w:p w14:paraId="0C6299C4"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r>
      <w:tr w:rsidR="006460EF" w:rsidRPr="006460EF" w14:paraId="06959796" w14:textId="77777777" w:rsidTr="00E64A85">
        <w:trPr>
          <w:jc w:val="center"/>
        </w:trPr>
        <w:tc>
          <w:tcPr>
            <w:tcW w:w="2263" w:type="dxa"/>
            <w:shd w:val="clear" w:color="auto" w:fill="D9D9D9" w:themeFill="background1" w:themeFillShade="D9"/>
          </w:tcPr>
          <w:p w14:paraId="61C5A38A" w14:textId="1532B7F8" w:rsidR="00D80A17" w:rsidRPr="006460EF" w:rsidRDefault="006460EF" w:rsidP="004B6C66">
            <w:pPr>
              <w:spacing w:before="200" w:after="200" w:line="360" w:lineRule="auto"/>
              <w:jc w:val="both"/>
              <w:rPr>
                <w:rFonts w:ascii="Times New Roman" w:eastAsia="Times New Roman" w:hAnsi="Times New Roman" w:cs="Times New Roman"/>
                <w:b/>
                <w:bCs/>
                <w:sz w:val="13"/>
                <w:szCs w:val="13"/>
              </w:rPr>
            </w:pPr>
            <w:r w:rsidRPr="006460EF">
              <w:rPr>
                <w:rFonts w:ascii="Times New Roman" w:eastAsia="Times New Roman" w:hAnsi="Times New Roman" w:cs="Times New Roman"/>
                <w:b/>
                <w:bCs/>
                <w:sz w:val="13"/>
                <w:szCs w:val="13"/>
              </w:rPr>
              <w:t>Review</w:t>
            </w:r>
            <w:r w:rsidR="00933658" w:rsidRPr="006460EF">
              <w:rPr>
                <w:rFonts w:ascii="Times New Roman" w:eastAsia="Times New Roman" w:hAnsi="Times New Roman" w:cs="Times New Roman"/>
                <w:b/>
                <w:bCs/>
                <w:sz w:val="13"/>
                <w:szCs w:val="13"/>
              </w:rPr>
              <w:t xml:space="preserve"> and </w:t>
            </w:r>
            <w:r w:rsidRPr="006460EF">
              <w:rPr>
                <w:rFonts w:ascii="Times New Roman" w:eastAsia="Times New Roman" w:hAnsi="Times New Roman" w:cs="Times New Roman"/>
                <w:b/>
                <w:bCs/>
                <w:sz w:val="13"/>
                <w:szCs w:val="13"/>
              </w:rPr>
              <w:t>Refinement</w:t>
            </w:r>
          </w:p>
        </w:tc>
        <w:tc>
          <w:tcPr>
            <w:tcW w:w="709" w:type="dxa"/>
          </w:tcPr>
          <w:p w14:paraId="761FCB1B"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9" w:type="dxa"/>
          </w:tcPr>
          <w:p w14:paraId="3CBFD32E"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850" w:type="dxa"/>
          </w:tcPr>
          <w:p w14:paraId="261555AB"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851" w:type="dxa"/>
          </w:tcPr>
          <w:p w14:paraId="1B843F50"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9" w:type="dxa"/>
            <w:shd w:val="clear" w:color="auto" w:fill="8DD873" w:themeFill="accent6" w:themeFillTint="99"/>
          </w:tcPr>
          <w:p w14:paraId="3B7DB0C3"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8" w:type="dxa"/>
            <w:shd w:val="clear" w:color="auto" w:fill="8DD873" w:themeFill="accent6" w:themeFillTint="99"/>
          </w:tcPr>
          <w:p w14:paraId="5FF2F45E"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r>
      <w:tr w:rsidR="006460EF" w:rsidRPr="006460EF" w14:paraId="6E5A64D5" w14:textId="77777777" w:rsidTr="00E64A85">
        <w:trPr>
          <w:jc w:val="center"/>
        </w:trPr>
        <w:tc>
          <w:tcPr>
            <w:tcW w:w="2263" w:type="dxa"/>
            <w:shd w:val="clear" w:color="auto" w:fill="D9D9D9" w:themeFill="background1" w:themeFillShade="D9"/>
          </w:tcPr>
          <w:p w14:paraId="33E51C60" w14:textId="48A00917" w:rsidR="00D80A17" w:rsidRPr="006460EF" w:rsidRDefault="00933658" w:rsidP="004B6C66">
            <w:pPr>
              <w:spacing w:before="200" w:after="200" w:line="360" w:lineRule="auto"/>
              <w:jc w:val="both"/>
              <w:rPr>
                <w:rFonts w:ascii="Times New Roman" w:eastAsia="Times New Roman" w:hAnsi="Times New Roman" w:cs="Times New Roman"/>
                <w:b/>
                <w:bCs/>
                <w:sz w:val="13"/>
                <w:szCs w:val="13"/>
              </w:rPr>
            </w:pPr>
            <w:r w:rsidRPr="006460EF">
              <w:rPr>
                <w:rFonts w:ascii="Times New Roman" w:eastAsia="Times New Roman" w:hAnsi="Times New Roman" w:cs="Times New Roman"/>
                <w:b/>
                <w:bCs/>
                <w:sz w:val="13"/>
                <w:szCs w:val="13"/>
              </w:rPr>
              <w:t>Final Submission</w:t>
            </w:r>
          </w:p>
        </w:tc>
        <w:tc>
          <w:tcPr>
            <w:tcW w:w="709" w:type="dxa"/>
          </w:tcPr>
          <w:p w14:paraId="777E6244"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9" w:type="dxa"/>
          </w:tcPr>
          <w:p w14:paraId="468CD146"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850" w:type="dxa"/>
          </w:tcPr>
          <w:p w14:paraId="23454CF6"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851" w:type="dxa"/>
          </w:tcPr>
          <w:p w14:paraId="34A64DBD"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9" w:type="dxa"/>
          </w:tcPr>
          <w:p w14:paraId="6B01135D"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c>
          <w:tcPr>
            <w:tcW w:w="708" w:type="dxa"/>
            <w:shd w:val="clear" w:color="auto" w:fill="8DD873" w:themeFill="accent6" w:themeFillTint="99"/>
          </w:tcPr>
          <w:p w14:paraId="2350D079" w14:textId="77777777" w:rsidR="00D80A17" w:rsidRPr="006460EF" w:rsidRDefault="00D80A17" w:rsidP="004B6C66">
            <w:pPr>
              <w:spacing w:before="200" w:after="200" w:line="360" w:lineRule="auto"/>
              <w:jc w:val="both"/>
              <w:rPr>
                <w:rFonts w:ascii="Times New Roman" w:eastAsia="Times New Roman" w:hAnsi="Times New Roman" w:cs="Times New Roman"/>
                <w:b/>
                <w:bCs/>
                <w:sz w:val="13"/>
                <w:szCs w:val="13"/>
              </w:rPr>
            </w:pPr>
          </w:p>
        </w:tc>
      </w:tr>
    </w:tbl>
    <w:p w14:paraId="5E910BD1" w14:textId="5CAC237F" w:rsidR="004B6C66" w:rsidRPr="00521E3C" w:rsidRDefault="004B6C66" w:rsidP="006460EF">
      <w:pPr>
        <w:spacing w:before="200" w:after="200" w:line="360" w:lineRule="auto"/>
        <w:jc w:val="center"/>
        <w:rPr>
          <w:rFonts w:ascii="Arial" w:eastAsia="Times New Roman" w:hAnsi="Arial" w:cs="Arial"/>
          <w:b/>
          <w:bCs/>
          <w:sz w:val="24"/>
          <w:szCs w:val="24"/>
        </w:rPr>
      </w:pPr>
      <w:r w:rsidRPr="00521E3C">
        <w:rPr>
          <w:rFonts w:ascii="Arial" w:eastAsia="Times New Roman" w:hAnsi="Arial" w:cs="Arial"/>
          <w:b/>
          <w:bCs/>
          <w:sz w:val="24"/>
          <w:szCs w:val="24"/>
        </w:rPr>
        <w:t>Figure 4.0: Gantt chart</w:t>
      </w:r>
    </w:p>
    <w:p w14:paraId="7D7F39D2" w14:textId="77777777" w:rsidR="004B6C66" w:rsidRPr="00521E3C" w:rsidRDefault="004B6C66" w:rsidP="00521E3C">
      <w:pPr>
        <w:pStyle w:val="Heading1"/>
        <w:spacing w:before="200" w:after="200"/>
        <w:rPr>
          <w:rFonts w:ascii="Arial" w:eastAsia="Times New Roman" w:hAnsi="Arial" w:cs="Arial"/>
          <w:color w:val="000000"/>
          <w:sz w:val="28"/>
          <w:szCs w:val="28"/>
        </w:rPr>
      </w:pPr>
      <w:bookmarkStart w:id="5" w:name="_heading=h.1twk8zzeiob5" w:colFirst="0" w:colLast="0"/>
      <w:bookmarkEnd w:id="5"/>
      <w:r w:rsidRPr="00521E3C">
        <w:rPr>
          <w:rFonts w:ascii="Arial" w:eastAsia="Times New Roman" w:hAnsi="Arial" w:cs="Arial"/>
          <w:color w:val="000000"/>
          <w:sz w:val="28"/>
          <w:szCs w:val="28"/>
        </w:rPr>
        <w:t xml:space="preserve">5.0 Conclusion </w:t>
      </w:r>
    </w:p>
    <w:p w14:paraId="14DA38E2" w14:textId="77777777" w:rsidR="004B6C66" w:rsidRPr="00521E3C" w:rsidRDefault="004B6C66" w:rsidP="00521E3C">
      <w:pPr>
        <w:spacing w:before="200" w:after="200" w:line="360" w:lineRule="auto"/>
        <w:rPr>
          <w:rFonts w:ascii="Arial" w:eastAsia="Times New Roman" w:hAnsi="Arial" w:cs="Arial"/>
        </w:rPr>
      </w:pPr>
      <w:r w:rsidRPr="00521E3C">
        <w:rPr>
          <w:rFonts w:ascii="Arial" w:eastAsia="Times New Roman" w:hAnsi="Arial" w:cs="Arial"/>
        </w:rPr>
        <w:t xml:space="preserve">It can be concluded that this research proposal will try to examine the role played by leadership and communication in team culture and persistence in the UK leisure sector during times of organisational change. This will mainly focus on communication strategies, leadership approach and petition for the staff to access different sites. Therefore, it will identify various factors that will influence trust, adaptation, motivation, and engagement and employee morale during this time. </w:t>
      </w:r>
      <w:proofErr w:type="gramStart"/>
      <w:r w:rsidRPr="00521E3C">
        <w:rPr>
          <w:rFonts w:ascii="Arial" w:eastAsia="Times New Roman" w:hAnsi="Arial" w:cs="Arial"/>
        </w:rPr>
        <w:t>In order to</w:t>
      </w:r>
      <w:proofErr w:type="gramEnd"/>
      <w:r w:rsidRPr="00521E3C">
        <w:rPr>
          <w:rFonts w:ascii="Arial" w:eastAsia="Times New Roman" w:hAnsi="Arial" w:cs="Arial"/>
        </w:rPr>
        <w:t xml:space="preserve"> undertake this study, qualitative etymology is deemed suitable considering its focus in depth and understanding of human experiences. Therefore, it will consider a secondary qualitative methodology, considering the limitations on time and budget, against primary qualitative methods. The results will be analysed through the thematic analysis approach, which will result in the development of a few themes. The themes will then be named based on research objectives. </w:t>
      </w:r>
    </w:p>
    <w:p w14:paraId="5DC13796" w14:textId="77777777" w:rsidR="00CE757D" w:rsidRDefault="00CE757D" w:rsidP="00CE757D">
      <w:pPr>
        <w:spacing w:before="200" w:after="200" w:line="360" w:lineRule="auto"/>
        <w:jc w:val="both"/>
        <w:rPr>
          <w:rFonts w:ascii="Times New Roman" w:eastAsia="Times New Roman" w:hAnsi="Times New Roman" w:cs="Times New Roman"/>
          <w:sz w:val="32"/>
          <w:szCs w:val="32"/>
        </w:rPr>
      </w:pPr>
      <w:bookmarkStart w:id="6" w:name="_heading=h.jaitmh5z5zfa" w:colFirst="0" w:colLast="0"/>
      <w:bookmarkEnd w:id="6"/>
    </w:p>
    <w:p w14:paraId="298C0A0F" w14:textId="27E6D68A" w:rsidR="004B6C66" w:rsidRPr="00521E3C" w:rsidRDefault="004B6C66" w:rsidP="00CE757D">
      <w:pPr>
        <w:spacing w:before="200" w:after="200" w:line="360" w:lineRule="auto"/>
        <w:jc w:val="both"/>
        <w:rPr>
          <w:rFonts w:ascii="Arial" w:eastAsia="Times New Roman" w:hAnsi="Arial" w:cs="Arial"/>
          <w:sz w:val="24"/>
          <w:szCs w:val="24"/>
        </w:rPr>
      </w:pPr>
      <w:r w:rsidRPr="00521E3C">
        <w:rPr>
          <w:rFonts w:ascii="Arial" w:eastAsia="Times New Roman" w:hAnsi="Arial" w:cs="Arial"/>
          <w:sz w:val="32"/>
          <w:szCs w:val="32"/>
        </w:rPr>
        <w:t>Reference List</w:t>
      </w:r>
    </w:p>
    <w:p w14:paraId="4C0F5246" w14:textId="77777777" w:rsidR="00D97256" w:rsidRPr="00521E3C" w:rsidRDefault="00D97256" w:rsidP="00D97256">
      <w:pPr>
        <w:rPr>
          <w:rFonts w:ascii="Arial" w:hAnsi="Arial" w:cs="Arial"/>
        </w:rPr>
      </w:pPr>
    </w:p>
    <w:p w14:paraId="618FE170" w14:textId="77777777" w:rsidR="00DA363C" w:rsidRPr="00521E3C" w:rsidRDefault="00DA363C" w:rsidP="00521E3C">
      <w:pPr>
        <w:spacing w:before="200" w:after="200" w:line="360" w:lineRule="auto"/>
        <w:rPr>
          <w:rFonts w:ascii="Arial" w:eastAsia="Times New Roman" w:hAnsi="Arial" w:cs="Arial"/>
          <w:i/>
          <w:iCs/>
        </w:rPr>
      </w:pPr>
      <w:r w:rsidRPr="00521E3C">
        <w:rPr>
          <w:rFonts w:ascii="Arial" w:eastAsia="Times New Roman" w:hAnsi="Arial" w:cs="Arial"/>
          <w:i/>
          <w:iCs/>
        </w:rPr>
        <w:lastRenderedPageBreak/>
        <w:t>Bagga, S.K., Gera, S. and Haque, S.N. (2023) ‘The mediating role of organizational culture: Transformational leadership and change management in virtual teams,’ Asia Pacific Management Review, 28(2), pp. 120-131.</w:t>
      </w:r>
    </w:p>
    <w:p w14:paraId="67C8824B" w14:textId="77777777" w:rsidR="00DA363C" w:rsidRPr="00521E3C" w:rsidRDefault="00DA363C" w:rsidP="00521E3C">
      <w:pPr>
        <w:spacing w:before="200" w:after="200" w:line="360" w:lineRule="auto"/>
        <w:rPr>
          <w:rFonts w:ascii="Arial" w:eastAsia="Times New Roman" w:hAnsi="Arial" w:cs="Arial"/>
          <w:i/>
          <w:iCs/>
        </w:rPr>
      </w:pPr>
      <w:r w:rsidRPr="00521E3C">
        <w:rPr>
          <w:rFonts w:ascii="Arial" w:eastAsia="Times New Roman" w:hAnsi="Arial" w:cs="Arial"/>
          <w:i/>
          <w:iCs/>
        </w:rPr>
        <w:t>Barykin, S.E., de la Poza, E., Khalid, B., Kapustina, I.V., Kalinina, O.V. and Iqbal, K.M.J. (2021) ‘Tourism industry: Digital transformation,’ in Handbook of research on future opportunities for technology management education (pp. 414-434). IGI Global.</w:t>
      </w:r>
    </w:p>
    <w:p w14:paraId="123B53B6" w14:textId="77777777" w:rsidR="00DA363C" w:rsidRPr="00521E3C" w:rsidRDefault="00DA363C" w:rsidP="00521E3C">
      <w:pPr>
        <w:spacing w:before="200" w:after="200" w:line="360" w:lineRule="auto"/>
        <w:rPr>
          <w:rFonts w:ascii="Arial" w:eastAsia="Times New Roman" w:hAnsi="Arial" w:cs="Arial"/>
          <w:i/>
          <w:iCs/>
        </w:rPr>
      </w:pPr>
      <w:r w:rsidRPr="00521E3C">
        <w:rPr>
          <w:rFonts w:ascii="Arial" w:eastAsia="Times New Roman" w:hAnsi="Arial" w:cs="Arial"/>
          <w:i/>
          <w:iCs/>
        </w:rPr>
        <w:t xml:space="preserve">Burnes, B. (2020) ‘The origins of Lewin’s three-step model of change,’ The Journal of Applied </w:t>
      </w:r>
      <w:proofErr w:type="spellStart"/>
      <w:r w:rsidRPr="00521E3C">
        <w:rPr>
          <w:rFonts w:ascii="Arial" w:eastAsia="Times New Roman" w:hAnsi="Arial" w:cs="Arial"/>
          <w:i/>
          <w:iCs/>
        </w:rPr>
        <w:t>Behavioral</w:t>
      </w:r>
      <w:proofErr w:type="spellEnd"/>
      <w:r w:rsidRPr="00521E3C">
        <w:rPr>
          <w:rFonts w:ascii="Arial" w:eastAsia="Times New Roman" w:hAnsi="Arial" w:cs="Arial"/>
          <w:i/>
          <w:iCs/>
        </w:rPr>
        <w:t xml:space="preserve"> Science, 56(1), pp. 32-59.</w:t>
      </w:r>
    </w:p>
    <w:p w14:paraId="09072624" w14:textId="77777777" w:rsidR="00DA363C" w:rsidRPr="00521E3C" w:rsidRDefault="00DA363C" w:rsidP="00521E3C">
      <w:pPr>
        <w:spacing w:before="200" w:after="200" w:line="360" w:lineRule="auto"/>
        <w:rPr>
          <w:rFonts w:ascii="Arial" w:eastAsia="Times New Roman" w:hAnsi="Arial" w:cs="Arial"/>
          <w:i/>
          <w:iCs/>
        </w:rPr>
      </w:pPr>
      <w:r w:rsidRPr="00521E3C">
        <w:rPr>
          <w:rFonts w:ascii="Arial" w:eastAsia="Times New Roman" w:hAnsi="Arial" w:cs="Arial"/>
          <w:i/>
          <w:iCs/>
        </w:rPr>
        <w:t>Cao, T.T. and Le, P.B. (2024) ‘Impacts of transformational leadership on organizational change capability: a two-path mediating role of trust in leadership,’ European Journal of Management and Business Economics, 33(2), pp. 157-173.</w:t>
      </w:r>
    </w:p>
    <w:p w14:paraId="724EEF51" w14:textId="77777777" w:rsidR="00DA363C" w:rsidRPr="00521E3C" w:rsidRDefault="00DA363C" w:rsidP="00521E3C">
      <w:pPr>
        <w:spacing w:before="200" w:after="200" w:line="360" w:lineRule="auto"/>
        <w:rPr>
          <w:rFonts w:ascii="Arial" w:eastAsia="Times New Roman" w:hAnsi="Arial" w:cs="Arial"/>
          <w:i/>
          <w:iCs/>
        </w:rPr>
      </w:pPr>
      <w:r w:rsidRPr="00521E3C">
        <w:rPr>
          <w:rFonts w:ascii="Arial" w:eastAsia="Times New Roman" w:hAnsi="Arial" w:cs="Arial"/>
          <w:i/>
          <w:iCs/>
        </w:rPr>
        <w:t>Cheong, H., Lyons, A., Houghton, R. and Majumdar, A. (2023) ‘Secondary Qualitative Research Methodology Using Online Data within the Context of Social Sciences’, International Journal of Qualitative Methods, 22(1), pp. 1–19.</w:t>
      </w:r>
    </w:p>
    <w:p w14:paraId="593FF820" w14:textId="77777777" w:rsidR="00DA363C" w:rsidRPr="00521E3C" w:rsidRDefault="00DA363C" w:rsidP="00521E3C">
      <w:pPr>
        <w:spacing w:before="200" w:after="200" w:line="360" w:lineRule="auto"/>
        <w:rPr>
          <w:rFonts w:ascii="Arial" w:eastAsia="Times New Roman" w:hAnsi="Arial" w:cs="Arial"/>
          <w:i/>
          <w:iCs/>
        </w:rPr>
      </w:pPr>
      <w:r w:rsidRPr="00521E3C">
        <w:rPr>
          <w:rFonts w:ascii="Arial" w:eastAsia="Times New Roman" w:hAnsi="Arial" w:cs="Arial"/>
          <w:i/>
          <w:iCs/>
        </w:rPr>
        <w:t>Indeed (2025) Leisure sector overview: Areas, employers and requirements, 26 Nov. Available at:</w:t>
      </w:r>
      <w:hyperlink r:id="rId7" w:anchor=":~:text=affiliated%20with%20Indeed.-,What%20is%20the%20leisure%20sector?,may%20pursue%20general%20management%20positions">
        <w:r w:rsidRPr="00521E3C">
          <w:rPr>
            <w:rFonts w:ascii="Arial" w:eastAsia="Times New Roman" w:hAnsi="Arial" w:cs="Arial"/>
            <w:i/>
            <w:iCs/>
          </w:rPr>
          <w:t xml:space="preserve"> </w:t>
        </w:r>
      </w:hyperlink>
      <w:hyperlink r:id="rId8" w:anchor=":~:text=affiliated%20with%20Indeed.-,What%20is%20the%20leisure%20sector?,may%20pursue%20general%20management%20positions">
        <w:r w:rsidRPr="00521E3C">
          <w:rPr>
            <w:rFonts w:ascii="Arial" w:eastAsia="Times New Roman" w:hAnsi="Arial" w:cs="Arial"/>
            <w:i/>
            <w:iCs/>
            <w:color w:val="1155CC"/>
            <w:u w:val="single"/>
          </w:rPr>
          <w:t>https://uk.indeed.com/career-advice/finding-a-job/leisure-sector#:~:text=affiliated%20with%20Indeed.-,What%20is%20the%20leisure%20sector?,may%20pursue%20general%20management%20positions</w:t>
        </w:r>
      </w:hyperlink>
      <w:r w:rsidRPr="00521E3C">
        <w:rPr>
          <w:rFonts w:ascii="Arial" w:eastAsia="Times New Roman" w:hAnsi="Arial" w:cs="Arial"/>
          <w:i/>
          <w:iCs/>
        </w:rPr>
        <w:t>. (Accessed: 13 February 2026).</w:t>
      </w:r>
    </w:p>
    <w:p w14:paraId="061ECDA7" w14:textId="77777777" w:rsidR="00DA363C" w:rsidRPr="00521E3C" w:rsidRDefault="00DA363C" w:rsidP="00521E3C">
      <w:pPr>
        <w:spacing w:before="200" w:after="200" w:line="360" w:lineRule="auto"/>
        <w:rPr>
          <w:rFonts w:ascii="Arial" w:eastAsia="Times New Roman" w:hAnsi="Arial" w:cs="Arial"/>
          <w:i/>
          <w:iCs/>
        </w:rPr>
      </w:pPr>
      <w:proofErr w:type="spellStart"/>
      <w:r w:rsidRPr="00521E3C">
        <w:rPr>
          <w:rFonts w:ascii="Arial" w:eastAsia="Times New Roman" w:hAnsi="Arial" w:cs="Arial"/>
          <w:i/>
          <w:iCs/>
        </w:rPr>
        <w:t>Mutomorro</w:t>
      </w:r>
      <w:proofErr w:type="spellEnd"/>
      <w:r w:rsidRPr="00521E3C">
        <w:rPr>
          <w:rFonts w:ascii="Arial" w:eastAsia="Times New Roman" w:hAnsi="Arial" w:cs="Arial"/>
          <w:i/>
          <w:iCs/>
        </w:rPr>
        <w:t xml:space="preserve"> (2026) Kotter’s 8 step change model. Available at:</w:t>
      </w:r>
      <w:hyperlink r:id="rId9">
        <w:r w:rsidRPr="00521E3C">
          <w:rPr>
            <w:rFonts w:ascii="Arial" w:eastAsia="Times New Roman" w:hAnsi="Arial" w:cs="Arial"/>
            <w:i/>
            <w:iCs/>
          </w:rPr>
          <w:t xml:space="preserve"> </w:t>
        </w:r>
      </w:hyperlink>
      <w:hyperlink r:id="rId10">
        <w:r w:rsidRPr="00521E3C">
          <w:rPr>
            <w:rFonts w:ascii="Arial" w:eastAsia="Times New Roman" w:hAnsi="Arial" w:cs="Arial"/>
            <w:i/>
            <w:iCs/>
            <w:color w:val="1155CC"/>
            <w:u w:val="single"/>
          </w:rPr>
          <w:t>https://mutomorro.com/tools/kotters-8-step-change-model/</w:t>
        </w:r>
      </w:hyperlink>
      <w:r w:rsidRPr="00521E3C">
        <w:rPr>
          <w:rFonts w:ascii="Arial" w:eastAsia="Times New Roman" w:hAnsi="Arial" w:cs="Arial"/>
          <w:i/>
          <w:iCs/>
        </w:rPr>
        <w:t xml:space="preserve"> (Accessed: 13 February 2026).</w:t>
      </w:r>
    </w:p>
    <w:p w14:paraId="66C433F7" w14:textId="77777777" w:rsidR="00DA363C" w:rsidRPr="00521E3C" w:rsidRDefault="00DA363C" w:rsidP="00521E3C">
      <w:pPr>
        <w:spacing w:before="200" w:after="200" w:line="360" w:lineRule="auto"/>
        <w:rPr>
          <w:rFonts w:ascii="Arial" w:eastAsia="Times New Roman" w:hAnsi="Arial" w:cs="Arial"/>
          <w:i/>
          <w:iCs/>
        </w:rPr>
      </w:pPr>
      <w:r w:rsidRPr="00521E3C">
        <w:rPr>
          <w:rFonts w:ascii="Arial" w:eastAsia="Times New Roman" w:hAnsi="Arial" w:cs="Arial"/>
          <w:i/>
          <w:iCs/>
        </w:rPr>
        <w:t xml:space="preserve">Sardana, N., </w:t>
      </w:r>
      <w:proofErr w:type="spellStart"/>
      <w:r w:rsidRPr="00521E3C">
        <w:rPr>
          <w:rFonts w:ascii="Arial" w:eastAsia="Times New Roman" w:hAnsi="Arial" w:cs="Arial"/>
          <w:i/>
          <w:iCs/>
        </w:rPr>
        <w:t>Shekoohi</w:t>
      </w:r>
      <w:proofErr w:type="spellEnd"/>
      <w:r w:rsidRPr="00521E3C">
        <w:rPr>
          <w:rFonts w:ascii="Arial" w:eastAsia="Times New Roman" w:hAnsi="Arial" w:cs="Arial"/>
          <w:i/>
          <w:iCs/>
        </w:rPr>
        <w:t>, S., Cornett, E.M. and Kaye, A.D. (2023) ‘Qualitative and quantitative research methods’, Substance Use and Addiction Research, 1(1), pp. 65–69.</w:t>
      </w:r>
    </w:p>
    <w:p w14:paraId="100A82B2" w14:textId="77777777" w:rsidR="00DA363C" w:rsidRPr="00521E3C" w:rsidRDefault="00DA363C" w:rsidP="00521E3C">
      <w:pPr>
        <w:spacing w:before="200" w:after="200" w:line="360" w:lineRule="auto"/>
        <w:rPr>
          <w:rFonts w:ascii="Arial" w:eastAsia="Times New Roman" w:hAnsi="Arial" w:cs="Arial"/>
          <w:i/>
          <w:iCs/>
        </w:rPr>
      </w:pPr>
      <w:r w:rsidRPr="00521E3C">
        <w:rPr>
          <w:rFonts w:ascii="Arial" w:eastAsia="Times New Roman" w:hAnsi="Arial" w:cs="Arial"/>
          <w:i/>
          <w:iCs/>
        </w:rPr>
        <w:t>Sun, R., Li, J.Y.Q., Lee, Y. and Tao, W. (2023) ‘The role of symmetrical internal communication in improving employee experiences and organizational identification during COVID-19 pandemic-induced organizational change,’ International Journal of Business Communication, 60(4), pp. 1398-1426.</w:t>
      </w:r>
    </w:p>
    <w:p w14:paraId="7E4492B8" w14:textId="77777777" w:rsidR="00DA363C" w:rsidRPr="00521E3C" w:rsidRDefault="00DA363C" w:rsidP="00521E3C">
      <w:pPr>
        <w:spacing w:before="200" w:after="200" w:line="360" w:lineRule="auto"/>
        <w:rPr>
          <w:rFonts w:ascii="Arial" w:eastAsia="Times New Roman" w:hAnsi="Arial" w:cs="Arial"/>
          <w:i/>
          <w:iCs/>
        </w:rPr>
      </w:pPr>
      <w:r w:rsidRPr="00521E3C">
        <w:rPr>
          <w:rFonts w:ascii="Arial" w:eastAsia="Times New Roman" w:hAnsi="Arial" w:cs="Arial"/>
          <w:i/>
          <w:iCs/>
        </w:rPr>
        <w:t>Taherdoost, H. (2021) ‘Data Collection Methods and Tools for Research; a Step-by-Step Guide to Choose Data Collection Technique for Academic and Business Research Projects’, International Journal of Academic Research in Management (IJARM), 10(1), pp. 10–38.</w:t>
      </w:r>
    </w:p>
    <w:p w14:paraId="27BD958E" w14:textId="7FAE3FD5" w:rsidR="00DA363C" w:rsidRPr="00521E3C" w:rsidRDefault="00DA363C" w:rsidP="00521E3C">
      <w:pPr>
        <w:spacing w:before="200" w:after="200" w:line="360" w:lineRule="auto"/>
        <w:rPr>
          <w:rFonts w:ascii="Arial" w:eastAsia="Times New Roman" w:hAnsi="Arial" w:cs="Arial"/>
          <w:i/>
          <w:iCs/>
        </w:rPr>
      </w:pPr>
      <w:proofErr w:type="spellStart"/>
      <w:r w:rsidRPr="00521E3C">
        <w:rPr>
          <w:rFonts w:ascii="Arial" w:eastAsia="Times New Roman" w:hAnsi="Arial" w:cs="Arial"/>
          <w:i/>
          <w:iCs/>
        </w:rPr>
        <w:lastRenderedPageBreak/>
        <w:t>Șomlea</w:t>
      </w:r>
      <w:proofErr w:type="spellEnd"/>
      <w:r w:rsidRPr="00521E3C">
        <w:rPr>
          <w:rFonts w:ascii="Arial" w:eastAsia="Times New Roman" w:hAnsi="Arial" w:cs="Arial"/>
          <w:i/>
          <w:iCs/>
        </w:rPr>
        <w:t>, M.R. (2023) ‘The Role of Communication in Managing Resistance to Change,’ Ovidius University Annals, Series Economic Sciences, 23(2)</w:t>
      </w:r>
    </w:p>
    <w:p w14:paraId="57E3B6FF" w14:textId="546E683A" w:rsidR="004B6C66" w:rsidRPr="00521E3C" w:rsidRDefault="004B6C66" w:rsidP="00521E3C">
      <w:pPr>
        <w:spacing w:before="200" w:after="200" w:line="360" w:lineRule="auto"/>
        <w:rPr>
          <w:rFonts w:ascii="Arial" w:hAnsi="Arial" w:cs="Arial"/>
        </w:rPr>
      </w:pPr>
    </w:p>
    <w:sectPr w:rsidR="004B6C66" w:rsidRPr="00521E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641031"/>
    <w:multiLevelType w:val="multilevel"/>
    <w:tmpl w:val="9F9469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052547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655"/>
    <w:rsid w:val="0001293A"/>
    <w:rsid w:val="000243EC"/>
    <w:rsid w:val="00025D22"/>
    <w:rsid w:val="00037838"/>
    <w:rsid w:val="000B1D64"/>
    <w:rsid w:val="001D64B4"/>
    <w:rsid w:val="00212D12"/>
    <w:rsid w:val="00260481"/>
    <w:rsid w:val="00267475"/>
    <w:rsid w:val="002E1C34"/>
    <w:rsid w:val="002F0A53"/>
    <w:rsid w:val="003A004E"/>
    <w:rsid w:val="00427C3A"/>
    <w:rsid w:val="004B6C66"/>
    <w:rsid w:val="0050707A"/>
    <w:rsid w:val="00521E3C"/>
    <w:rsid w:val="0053108E"/>
    <w:rsid w:val="00534A75"/>
    <w:rsid w:val="00535BC6"/>
    <w:rsid w:val="0057097A"/>
    <w:rsid w:val="005C6F04"/>
    <w:rsid w:val="005E3F32"/>
    <w:rsid w:val="005E502D"/>
    <w:rsid w:val="006460EF"/>
    <w:rsid w:val="0067323D"/>
    <w:rsid w:val="00714D4F"/>
    <w:rsid w:val="00772F2B"/>
    <w:rsid w:val="00782660"/>
    <w:rsid w:val="007C775B"/>
    <w:rsid w:val="008021BB"/>
    <w:rsid w:val="00802A13"/>
    <w:rsid w:val="00845EB2"/>
    <w:rsid w:val="0086400F"/>
    <w:rsid w:val="00893FB4"/>
    <w:rsid w:val="008D2261"/>
    <w:rsid w:val="00933658"/>
    <w:rsid w:val="00953655"/>
    <w:rsid w:val="00A87765"/>
    <w:rsid w:val="00B6139C"/>
    <w:rsid w:val="00C0541D"/>
    <w:rsid w:val="00C43977"/>
    <w:rsid w:val="00CE757D"/>
    <w:rsid w:val="00D03C4E"/>
    <w:rsid w:val="00D11EF7"/>
    <w:rsid w:val="00D80A17"/>
    <w:rsid w:val="00D97256"/>
    <w:rsid w:val="00DA363C"/>
    <w:rsid w:val="00DB06A9"/>
    <w:rsid w:val="00DF0DE4"/>
    <w:rsid w:val="00E00D37"/>
    <w:rsid w:val="00E0214F"/>
    <w:rsid w:val="00E560F5"/>
    <w:rsid w:val="00E64A85"/>
    <w:rsid w:val="00EB67EB"/>
    <w:rsid w:val="00EC23A6"/>
    <w:rsid w:val="00ED58B1"/>
    <w:rsid w:val="00F94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54F89"/>
  <w15:chartTrackingRefBased/>
  <w15:docId w15:val="{461A721D-9E8F-1D46-9BB3-C4FC3BEA7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C66"/>
    <w:pPr>
      <w:spacing w:after="160" w:line="259" w:lineRule="auto"/>
    </w:pPr>
    <w:rPr>
      <w:rFonts w:ascii="Calibri" w:eastAsia="Calibri" w:hAnsi="Calibri" w:cs="Calibri"/>
      <w:kern w:val="0"/>
      <w:sz w:val="22"/>
      <w:szCs w:val="22"/>
      <w:lang w:eastAsia="en-GB"/>
      <w14:ligatures w14:val="none"/>
    </w:rPr>
  </w:style>
  <w:style w:type="paragraph" w:styleId="Heading1">
    <w:name w:val="heading 1"/>
    <w:basedOn w:val="Normal"/>
    <w:next w:val="Normal"/>
    <w:link w:val="Heading1Char"/>
    <w:uiPriority w:val="9"/>
    <w:qFormat/>
    <w:rsid w:val="009536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36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36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36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36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365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365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365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365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36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36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36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36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36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36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36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36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3655"/>
    <w:rPr>
      <w:rFonts w:eastAsiaTheme="majorEastAsia" w:cstheme="majorBidi"/>
      <w:color w:val="272727" w:themeColor="text1" w:themeTint="D8"/>
    </w:rPr>
  </w:style>
  <w:style w:type="paragraph" w:styleId="Title">
    <w:name w:val="Title"/>
    <w:basedOn w:val="Normal"/>
    <w:next w:val="Normal"/>
    <w:link w:val="TitleChar"/>
    <w:uiPriority w:val="10"/>
    <w:qFormat/>
    <w:rsid w:val="0095365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36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36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36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3655"/>
    <w:pPr>
      <w:spacing w:before="160"/>
      <w:jc w:val="center"/>
    </w:pPr>
    <w:rPr>
      <w:i/>
      <w:iCs/>
      <w:color w:val="404040" w:themeColor="text1" w:themeTint="BF"/>
    </w:rPr>
  </w:style>
  <w:style w:type="character" w:customStyle="1" w:styleId="QuoteChar">
    <w:name w:val="Quote Char"/>
    <w:basedOn w:val="DefaultParagraphFont"/>
    <w:link w:val="Quote"/>
    <w:uiPriority w:val="29"/>
    <w:rsid w:val="00953655"/>
    <w:rPr>
      <w:i/>
      <w:iCs/>
      <w:color w:val="404040" w:themeColor="text1" w:themeTint="BF"/>
    </w:rPr>
  </w:style>
  <w:style w:type="paragraph" w:styleId="ListParagraph">
    <w:name w:val="List Paragraph"/>
    <w:basedOn w:val="Normal"/>
    <w:uiPriority w:val="34"/>
    <w:qFormat/>
    <w:rsid w:val="00953655"/>
    <w:pPr>
      <w:ind w:left="720"/>
      <w:contextualSpacing/>
    </w:pPr>
  </w:style>
  <w:style w:type="character" w:styleId="IntenseEmphasis">
    <w:name w:val="Intense Emphasis"/>
    <w:basedOn w:val="DefaultParagraphFont"/>
    <w:uiPriority w:val="21"/>
    <w:qFormat/>
    <w:rsid w:val="00953655"/>
    <w:rPr>
      <w:i/>
      <w:iCs/>
      <w:color w:val="0F4761" w:themeColor="accent1" w:themeShade="BF"/>
    </w:rPr>
  </w:style>
  <w:style w:type="paragraph" w:styleId="IntenseQuote">
    <w:name w:val="Intense Quote"/>
    <w:basedOn w:val="Normal"/>
    <w:next w:val="Normal"/>
    <w:link w:val="IntenseQuoteChar"/>
    <w:uiPriority w:val="30"/>
    <w:qFormat/>
    <w:rsid w:val="009536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3655"/>
    <w:rPr>
      <w:i/>
      <w:iCs/>
      <w:color w:val="0F4761" w:themeColor="accent1" w:themeShade="BF"/>
    </w:rPr>
  </w:style>
  <w:style w:type="character" w:styleId="IntenseReference">
    <w:name w:val="Intense Reference"/>
    <w:basedOn w:val="DefaultParagraphFont"/>
    <w:uiPriority w:val="32"/>
    <w:qFormat/>
    <w:rsid w:val="00953655"/>
    <w:rPr>
      <w:b/>
      <w:bCs/>
      <w:smallCaps/>
      <w:color w:val="0F4761" w:themeColor="accent1" w:themeShade="BF"/>
      <w:spacing w:val="5"/>
    </w:rPr>
  </w:style>
  <w:style w:type="paragraph" w:customStyle="1" w:styleId="p1">
    <w:name w:val="p1"/>
    <w:basedOn w:val="Normal"/>
    <w:rsid w:val="002E1C34"/>
    <w:pPr>
      <w:spacing w:after="0" w:line="240" w:lineRule="auto"/>
    </w:pPr>
    <w:rPr>
      <w:rFonts w:ascii="Arial" w:eastAsia="Times New Roman" w:hAnsi="Arial" w:cs="Arial"/>
      <w:color w:val="000000"/>
      <w:sz w:val="17"/>
      <w:szCs w:val="17"/>
    </w:rPr>
  </w:style>
  <w:style w:type="character" w:customStyle="1" w:styleId="apple-converted-space">
    <w:name w:val="apple-converted-space"/>
    <w:basedOn w:val="DefaultParagraphFont"/>
    <w:rsid w:val="002E1C34"/>
  </w:style>
  <w:style w:type="table" w:styleId="TableGrid">
    <w:name w:val="Table Grid"/>
    <w:basedOn w:val="TableNormal"/>
    <w:uiPriority w:val="39"/>
    <w:rsid w:val="00D80A1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areer-advice/finding-a-job/leisure-sector" TargetMode="External"/><Relationship Id="rId3" Type="http://schemas.openxmlformats.org/officeDocument/2006/relationships/settings" Target="settings.xml"/><Relationship Id="rId7" Type="http://schemas.openxmlformats.org/officeDocument/2006/relationships/hyperlink" Target="https://uk.indeed.com/career-advice/finding-a-job/leisure-sector"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mutomorro.com/tools/kotters-8-step-change-model/" TargetMode="External"/><Relationship Id="rId4" Type="http://schemas.openxmlformats.org/officeDocument/2006/relationships/webSettings" Target="webSettings.xml"/><Relationship Id="rId9" Type="http://schemas.openxmlformats.org/officeDocument/2006/relationships/hyperlink" Target="https://mutomorro.com/tools/kotters-8-step-change-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1868</TotalTime>
  <Pages>9</Pages>
  <Words>2242</Words>
  <Characters>12985</Characters>
  <Application>Microsoft Office Word</Application>
  <DocSecurity>0</DocSecurity>
  <Lines>288</Lines>
  <Paragraphs>96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15131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Grosu (2209375)</dc:creator>
  <cp:keywords/>
  <dc:description/>
  <cp:lastModifiedBy>Ciprian Grosu (2209375)</cp:lastModifiedBy>
  <cp:revision>24</cp:revision>
  <dcterms:created xsi:type="dcterms:W3CDTF">2026-01-26T11:34:00Z</dcterms:created>
  <dcterms:modified xsi:type="dcterms:W3CDTF">2026-02-26T10:04:00Z</dcterms:modified>
  <cp:category/>
</cp:coreProperties>
</file>