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5DFAB" w14:textId="77777777" w:rsidR="00320022" w:rsidRDefault="00320022">
      <w:pPr>
        <w:spacing w:line="360" w:lineRule="auto"/>
        <w:jc w:val="center"/>
        <w:rPr>
          <w:rFonts w:ascii="Times New Roman" w:eastAsia="Times New Roman" w:hAnsi="Times New Roman" w:cs="Times New Roman"/>
          <w:b/>
          <w:sz w:val="32"/>
          <w:szCs w:val="32"/>
        </w:rPr>
      </w:pPr>
    </w:p>
    <w:p w14:paraId="5C628C65" w14:textId="77777777" w:rsidR="00320022" w:rsidRDefault="00320022">
      <w:pPr>
        <w:spacing w:line="360" w:lineRule="auto"/>
        <w:jc w:val="center"/>
        <w:rPr>
          <w:rFonts w:ascii="Times New Roman" w:eastAsia="Times New Roman" w:hAnsi="Times New Roman" w:cs="Times New Roman"/>
          <w:b/>
          <w:sz w:val="32"/>
          <w:szCs w:val="32"/>
        </w:rPr>
      </w:pPr>
    </w:p>
    <w:p w14:paraId="4BB0E066" w14:textId="77777777" w:rsidR="00320022" w:rsidRDefault="00320022">
      <w:pPr>
        <w:spacing w:line="360" w:lineRule="auto"/>
        <w:jc w:val="center"/>
        <w:rPr>
          <w:rFonts w:ascii="Times New Roman" w:eastAsia="Times New Roman" w:hAnsi="Times New Roman" w:cs="Times New Roman"/>
          <w:b/>
          <w:sz w:val="32"/>
          <w:szCs w:val="32"/>
        </w:rPr>
      </w:pPr>
    </w:p>
    <w:p w14:paraId="5B9D7D7F" w14:textId="77777777" w:rsidR="00320022" w:rsidRDefault="00320022">
      <w:pPr>
        <w:spacing w:line="360" w:lineRule="auto"/>
        <w:jc w:val="center"/>
        <w:rPr>
          <w:rFonts w:ascii="Times New Roman" w:eastAsia="Times New Roman" w:hAnsi="Times New Roman" w:cs="Times New Roman"/>
          <w:b/>
          <w:sz w:val="32"/>
          <w:szCs w:val="32"/>
        </w:rPr>
      </w:pPr>
    </w:p>
    <w:p w14:paraId="43E4662D" w14:textId="77777777" w:rsidR="00320022" w:rsidRDefault="00320022">
      <w:pPr>
        <w:spacing w:line="360" w:lineRule="auto"/>
        <w:jc w:val="center"/>
        <w:rPr>
          <w:rFonts w:ascii="Times New Roman" w:eastAsia="Times New Roman" w:hAnsi="Times New Roman" w:cs="Times New Roman"/>
          <w:b/>
          <w:sz w:val="32"/>
          <w:szCs w:val="32"/>
        </w:rPr>
      </w:pPr>
    </w:p>
    <w:p w14:paraId="2C309B8C" w14:textId="614AAFB7" w:rsidR="00320022" w:rsidRDefault="00320022" w:rsidP="004B140A">
      <w:pPr>
        <w:spacing w:line="360" w:lineRule="auto"/>
        <w:rPr>
          <w:rFonts w:ascii="Times New Roman" w:eastAsia="Times New Roman" w:hAnsi="Times New Roman" w:cs="Times New Roman"/>
          <w:b/>
          <w:sz w:val="32"/>
          <w:szCs w:val="32"/>
        </w:rPr>
      </w:pPr>
    </w:p>
    <w:p w14:paraId="5FCC2379" w14:textId="5DAE154D" w:rsidR="00320022" w:rsidRDefault="004B14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Financial Management BMIH 5007</w:t>
      </w:r>
    </w:p>
    <w:p w14:paraId="54981B4E" w14:textId="4EC1E92A" w:rsidR="004B140A" w:rsidRDefault="004B14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Mubeen Rashid 2126975</w:t>
      </w:r>
    </w:p>
    <w:p w14:paraId="1CCE0985" w14:textId="7905B5EB" w:rsidR="004B140A" w:rsidRDefault="004B14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Tristan Hawkins</w:t>
      </w:r>
    </w:p>
    <w:p w14:paraId="16BEA770" w14:textId="59E108F6" w:rsidR="00EB128D" w:rsidRDefault="00EB128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Business Report</w:t>
      </w:r>
    </w:p>
    <w:p w14:paraId="5E2473AB" w14:textId="77777777" w:rsidR="004B140A" w:rsidRDefault="004B140A">
      <w:pPr>
        <w:spacing w:line="360" w:lineRule="auto"/>
        <w:jc w:val="center"/>
        <w:rPr>
          <w:rFonts w:ascii="Times New Roman" w:eastAsia="Times New Roman" w:hAnsi="Times New Roman" w:cs="Times New Roman"/>
          <w:b/>
          <w:sz w:val="32"/>
          <w:szCs w:val="32"/>
        </w:rPr>
      </w:pPr>
    </w:p>
    <w:p w14:paraId="3579BC17" w14:textId="77777777" w:rsidR="00320022" w:rsidRDefault="00320022">
      <w:pPr>
        <w:spacing w:line="360" w:lineRule="auto"/>
        <w:jc w:val="center"/>
        <w:rPr>
          <w:rFonts w:ascii="Times New Roman" w:eastAsia="Times New Roman" w:hAnsi="Times New Roman" w:cs="Times New Roman"/>
          <w:b/>
          <w:sz w:val="32"/>
          <w:szCs w:val="32"/>
        </w:rPr>
      </w:pPr>
    </w:p>
    <w:p w14:paraId="1A317DBF" w14:textId="77777777" w:rsidR="00320022" w:rsidRDefault="00320022">
      <w:pPr>
        <w:spacing w:line="360" w:lineRule="auto"/>
        <w:jc w:val="center"/>
        <w:rPr>
          <w:rFonts w:ascii="Times New Roman" w:eastAsia="Times New Roman" w:hAnsi="Times New Roman" w:cs="Times New Roman"/>
          <w:b/>
          <w:sz w:val="32"/>
          <w:szCs w:val="32"/>
        </w:rPr>
      </w:pPr>
    </w:p>
    <w:p w14:paraId="77B1D57C" w14:textId="77777777" w:rsidR="00320022" w:rsidRDefault="00320022">
      <w:pPr>
        <w:spacing w:line="360" w:lineRule="auto"/>
        <w:jc w:val="center"/>
        <w:rPr>
          <w:rFonts w:ascii="Times New Roman" w:eastAsia="Times New Roman" w:hAnsi="Times New Roman" w:cs="Times New Roman"/>
          <w:b/>
          <w:sz w:val="32"/>
          <w:szCs w:val="32"/>
        </w:rPr>
      </w:pPr>
    </w:p>
    <w:p w14:paraId="7C57F2B9" w14:textId="77777777" w:rsidR="00305342" w:rsidRDefault="00C04DF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A COMPREHENSIVE STUDY ON COMPARISON OF MANDARIN ORIENTAL HOTEL GROUP AND PREMIER INN.</w:t>
      </w:r>
    </w:p>
    <w:p w14:paraId="5507AD00" w14:textId="77777777" w:rsidR="00305342" w:rsidRDefault="00C04DF6">
      <w:pPr>
        <w:spacing w:line="360" w:lineRule="auto"/>
        <w:jc w:val="both"/>
        <w:rPr>
          <w:rFonts w:ascii="Times New Roman" w:eastAsia="Times New Roman" w:hAnsi="Times New Roman" w:cs="Times New Roman"/>
          <w:sz w:val="24"/>
          <w:szCs w:val="24"/>
        </w:rPr>
      </w:pPr>
      <w:r>
        <w:br w:type="page"/>
      </w:r>
    </w:p>
    <w:sdt>
      <w:sdtPr>
        <w:rPr>
          <w:rFonts w:ascii="Times New Roman" w:eastAsia="Arial" w:hAnsi="Times New Roman" w:cs="Times New Roman"/>
          <w:color w:val="000000" w:themeColor="text1"/>
          <w:sz w:val="24"/>
          <w:szCs w:val="24"/>
          <w:lang w:val="en" w:eastAsia="en-IN"/>
        </w:rPr>
        <w:id w:val="-637029073"/>
        <w:docPartObj>
          <w:docPartGallery w:val="Table of Contents"/>
          <w:docPartUnique/>
        </w:docPartObj>
      </w:sdtPr>
      <w:sdtEndPr>
        <w:rPr>
          <w:b/>
          <w:bCs/>
          <w:noProof/>
        </w:rPr>
      </w:sdtEndPr>
      <w:sdtContent>
        <w:p w14:paraId="2284B457" w14:textId="77777777" w:rsidR="00320022" w:rsidRPr="00320022" w:rsidRDefault="00320022" w:rsidP="00320022">
          <w:pPr>
            <w:pStyle w:val="TOCHeading"/>
            <w:spacing w:line="360" w:lineRule="auto"/>
            <w:jc w:val="center"/>
            <w:rPr>
              <w:rFonts w:ascii="Times New Roman" w:hAnsi="Times New Roman" w:cs="Times New Roman"/>
              <w:b/>
              <w:color w:val="000000" w:themeColor="text1"/>
              <w:sz w:val="28"/>
              <w:szCs w:val="28"/>
            </w:rPr>
          </w:pPr>
          <w:r w:rsidRPr="00320022">
            <w:rPr>
              <w:rFonts w:ascii="Times New Roman" w:hAnsi="Times New Roman" w:cs="Times New Roman"/>
              <w:b/>
              <w:color w:val="000000" w:themeColor="text1"/>
              <w:sz w:val="28"/>
              <w:szCs w:val="28"/>
            </w:rPr>
            <w:t>TABLE OF CONTENTS</w:t>
          </w:r>
        </w:p>
        <w:p w14:paraId="58073131" w14:textId="77777777" w:rsidR="00BB5FA5" w:rsidRPr="00BB5FA5" w:rsidRDefault="00320022"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BB5FA5">
            <w:rPr>
              <w:rFonts w:ascii="Times New Roman" w:hAnsi="Times New Roman" w:cs="Times New Roman"/>
              <w:color w:val="000000" w:themeColor="text1"/>
              <w:sz w:val="24"/>
              <w:szCs w:val="24"/>
            </w:rPr>
            <w:fldChar w:fldCharType="begin"/>
          </w:r>
          <w:r w:rsidRPr="00BB5FA5">
            <w:rPr>
              <w:rFonts w:ascii="Times New Roman" w:hAnsi="Times New Roman" w:cs="Times New Roman"/>
              <w:color w:val="000000" w:themeColor="text1"/>
              <w:sz w:val="24"/>
              <w:szCs w:val="24"/>
            </w:rPr>
            <w:instrText xml:space="preserve"> TOC \o "1-3" \h \z \u </w:instrText>
          </w:r>
          <w:r w:rsidRPr="00BB5FA5">
            <w:rPr>
              <w:rFonts w:ascii="Times New Roman" w:hAnsi="Times New Roman" w:cs="Times New Roman"/>
              <w:color w:val="000000" w:themeColor="text1"/>
              <w:sz w:val="24"/>
              <w:szCs w:val="24"/>
            </w:rPr>
            <w:fldChar w:fldCharType="separate"/>
          </w:r>
          <w:hyperlink w:anchor="_Toc146898587" w:history="1">
            <w:r w:rsidR="00BB5FA5" w:rsidRPr="00BB5FA5">
              <w:rPr>
                <w:rStyle w:val="Hyperlink"/>
                <w:rFonts w:ascii="Times New Roman" w:hAnsi="Times New Roman" w:cs="Times New Roman"/>
                <w:noProof/>
                <w:sz w:val="24"/>
                <w:szCs w:val="24"/>
              </w:rPr>
              <w:t>1. Introduction</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_Toc146898587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3</w:t>
            </w:r>
            <w:r w:rsidR="00BB5FA5" w:rsidRPr="00BB5FA5">
              <w:rPr>
                <w:rFonts w:ascii="Times New Roman" w:hAnsi="Times New Roman" w:cs="Times New Roman"/>
                <w:noProof/>
                <w:webHidden/>
                <w:sz w:val="24"/>
                <w:szCs w:val="24"/>
              </w:rPr>
              <w:fldChar w:fldCharType="end"/>
            </w:r>
          </w:hyperlink>
        </w:p>
        <w:p w14:paraId="26F6F87F"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88" w:history="1">
            <w:r w:rsidR="00BB5FA5" w:rsidRPr="00BB5FA5">
              <w:rPr>
                <w:rStyle w:val="Hyperlink"/>
                <w:rFonts w:ascii="Times New Roman" w:hAnsi="Times New Roman" w:cs="Times New Roman"/>
                <w:noProof/>
                <w:sz w:val="24"/>
                <w:szCs w:val="24"/>
              </w:rPr>
              <w:t>2. Research and Resources</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_Toc146898588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3</w:t>
            </w:r>
            <w:r w:rsidR="00BB5FA5" w:rsidRPr="00BB5FA5">
              <w:rPr>
                <w:rFonts w:ascii="Times New Roman" w:hAnsi="Times New Roman" w:cs="Times New Roman"/>
                <w:noProof/>
                <w:webHidden/>
                <w:sz w:val="24"/>
                <w:szCs w:val="24"/>
              </w:rPr>
              <w:fldChar w:fldCharType="end"/>
            </w:r>
          </w:hyperlink>
        </w:p>
        <w:p w14:paraId="6BA7F5DA"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89" w:history="1">
            <w:r w:rsidR="00BB5FA5" w:rsidRPr="00BB5FA5">
              <w:rPr>
                <w:rStyle w:val="Hyperlink"/>
                <w:rFonts w:ascii="Times New Roman" w:hAnsi="Times New Roman" w:cs="Times New Roman"/>
                <w:noProof/>
                <w:sz w:val="24"/>
                <w:szCs w:val="24"/>
              </w:rPr>
              <w:t>3. Total Revenue Analysis</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_Toc146898589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4</w:t>
            </w:r>
            <w:r w:rsidR="00BB5FA5" w:rsidRPr="00BB5FA5">
              <w:rPr>
                <w:rFonts w:ascii="Times New Roman" w:hAnsi="Times New Roman" w:cs="Times New Roman"/>
                <w:noProof/>
                <w:webHidden/>
                <w:sz w:val="24"/>
                <w:szCs w:val="24"/>
              </w:rPr>
              <w:fldChar w:fldCharType="end"/>
            </w:r>
          </w:hyperlink>
        </w:p>
        <w:p w14:paraId="258FA49B"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0" w:history="1">
            <w:r w:rsidR="00BB5FA5" w:rsidRPr="00BB5FA5">
              <w:rPr>
                <w:rStyle w:val="Hyperlink"/>
                <w:rFonts w:ascii="Times New Roman" w:hAnsi="Times New Roman" w:cs="Times New Roman"/>
                <w:noProof/>
                <w:sz w:val="24"/>
                <w:szCs w:val="24"/>
              </w:rPr>
              <w:t>3.1. Total Revenue of Mandarin Oriental Hotel Group's Total Revenue</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_Toc146898590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4</w:t>
            </w:r>
            <w:r w:rsidR="00BB5FA5" w:rsidRPr="00BB5FA5">
              <w:rPr>
                <w:rFonts w:ascii="Times New Roman" w:hAnsi="Times New Roman" w:cs="Times New Roman"/>
                <w:noProof/>
                <w:webHidden/>
                <w:sz w:val="24"/>
                <w:szCs w:val="24"/>
              </w:rPr>
              <w:fldChar w:fldCharType="end"/>
            </w:r>
          </w:hyperlink>
        </w:p>
        <w:p w14:paraId="12AAA441"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1" w:history="1">
            <w:r w:rsidR="00BB5FA5" w:rsidRPr="00BB5FA5">
              <w:rPr>
                <w:rStyle w:val="Hyperlink"/>
                <w:rFonts w:ascii="Times New Roman" w:hAnsi="Times New Roman" w:cs="Times New Roman"/>
                <w:noProof/>
                <w:sz w:val="24"/>
                <w:szCs w:val="24"/>
              </w:rPr>
              <w:t>3.2. Total Revenue of Premier Inn's</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_Toc146898591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5</w:t>
            </w:r>
            <w:r w:rsidR="00BB5FA5" w:rsidRPr="00BB5FA5">
              <w:rPr>
                <w:rFonts w:ascii="Times New Roman" w:hAnsi="Times New Roman" w:cs="Times New Roman"/>
                <w:noProof/>
                <w:webHidden/>
                <w:sz w:val="24"/>
                <w:szCs w:val="24"/>
              </w:rPr>
              <w:fldChar w:fldCharType="end"/>
            </w:r>
          </w:hyperlink>
        </w:p>
        <w:p w14:paraId="376C1234"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2" w:history="1">
            <w:r w:rsidR="00BB5FA5" w:rsidRPr="00BB5FA5">
              <w:rPr>
                <w:rStyle w:val="Hyperlink"/>
                <w:rFonts w:ascii="Times New Roman" w:hAnsi="Times New Roman" w:cs="Times New Roman"/>
                <w:noProof/>
                <w:sz w:val="24"/>
                <w:szCs w:val="24"/>
              </w:rPr>
              <w:t>4. Market Position Assessment</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_Toc146898592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7</w:t>
            </w:r>
            <w:r w:rsidR="00BB5FA5" w:rsidRPr="00BB5FA5">
              <w:rPr>
                <w:rFonts w:ascii="Times New Roman" w:hAnsi="Times New Roman" w:cs="Times New Roman"/>
                <w:noProof/>
                <w:webHidden/>
                <w:sz w:val="24"/>
                <w:szCs w:val="24"/>
              </w:rPr>
              <w:fldChar w:fldCharType="end"/>
            </w:r>
          </w:hyperlink>
        </w:p>
        <w:p w14:paraId="48031E65"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3" w:history="1">
            <w:r w:rsidR="00BB5FA5" w:rsidRPr="00BB5FA5">
              <w:rPr>
                <w:rStyle w:val="Hyperlink"/>
                <w:rFonts w:ascii="Times New Roman" w:hAnsi="Times New Roman" w:cs="Times New Roman"/>
                <w:noProof/>
                <w:sz w:val="24"/>
                <w:szCs w:val="24"/>
              </w:rPr>
              <w:t>4.1. Market Position of Mandarin Oriental Hotel Group</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_Toc146898593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7</w:t>
            </w:r>
            <w:r w:rsidR="00BB5FA5" w:rsidRPr="00BB5FA5">
              <w:rPr>
                <w:rFonts w:ascii="Times New Roman" w:hAnsi="Times New Roman" w:cs="Times New Roman"/>
                <w:noProof/>
                <w:webHidden/>
                <w:sz w:val="24"/>
                <w:szCs w:val="24"/>
              </w:rPr>
              <w:fldChar w:fldCharType="end"/>
            </w:r>
          </w:hyperlink>
        </w:p>
        <w:p w14:paraId="3AB1E9CD"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4" w:history="1">
            <w:r w:rsidR="00BB5FA5" w:rsidRPr="00BB5FA5">
              <w:rPr>
                <w:rStyle w:val="Hyperlink"/>
                <w:rFonts w:ascii="Times New Roman" w:hAnsi="Times New Roman" w:cs="Times New Roman"/>
                <w:noProof/>
                <w:sz w:val="24"/>
                <w:szCs w:val="24"/>
              </w:rPr>
              <w:t>4.2. Market Position of Premier Inn</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_Toc146898594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9</w:t>
            </w:r>
            <w:r w:rsidR="00BB5FA5" w:rsidRPr="00BB5FA5">
              <w:rPr>
                <w:rFonts w:ascii="Times New Roman" w:hAnsi="Times New Roman" w:cs="Times New Roman"/>
                <w:noProof/>
                <w:webHidden/>
                <w:sz w:val="24"/>
                <w:szCs w:val="24"/>
              </w:rPr>
              <w:fldChar w:fldCharType="end"/>
            </w:r>
          </w:hyperlink>
        </w:p>
        <w:p w14:paraId="56632088"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5" w:history="1">
            <w:r w:rsidR="00BB5FA5" w:rsidRPr="00BB5FA5">
              <w:rPr>
                <w:rStyle w:val="Hyperlink"/>
                <w:rFonts w:ascii="Times New Roman" w:hAnsi="Times New Roman" w:cs="Times New Roman"/>
                <w:noProof/>
                <w:sz w:val="24"/>
                <w:szCs w:val="24"/>
              </w:rPr>
              <w:t>5. Growth Potential Evaluation</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_Toc146898595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10</w:t>
            </w:r>
            <w:r w:rsidR="00BB5FA5" w:rsidRPr="00BB5FA5">
              <w:rPr>
                <w:rFonts w:ascii="Times New Roman" w:hAnsi="Times New Roman" w:cs="Times New Roman"/>
                <w:noProof/>
                <w:webHidden/>
                <w:sz w:val="24"/>
                <w:szCs w:val="24"/>
              </w:rPr>
              <w:fldChar w:fldCharType="end"/>
            </w:r>
          </w:hyperlink>
        </w:p>
        <w:p w14:paraId="33E3F10D"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6" w:history="1">
            <w:r w:rsidR="00BB5FA5" w:rsidRPr="00BB5FA5">
              <w:rPr>
                <w:rStyle w:val="Hyperlink"/>
                <w:rFonts w:ascii="Times New Roman" w:hAnsi="Times New Roman" w:cs="Times New Roman"/>
                <w:noProof/>
                <w:sz w:val="24"/>
                <w:szCs w:val="24"/>
              </w:rPr>
              <w:t>5.1. Mandarin Oriental Hotel Group's Potential Growth</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_Toc146898596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10</w:t>
            </w:r>
            <w:r w:rsidR="00BB5FA5" w:rsidRPr="00BB5FA5">
              <w:rPr>
                <w:rFonts w:ascii="Times New Roman" w:hAnsi="Times New Roman" w:cs="Times New Roman"/>
                <w:noProof/>
                <w:webHidden/>
                <w:sz w:val="24"/>
                <w:szCs w:val="24"/>
              </w:rPr>
              <w:fldChar w:fldCharType="end"/>
            </w:r>
          </w:hyperlink>
        </w:p>
        <w:p w14:paraId="4AA34BED"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7" w:history="1">
            <w:r w:rsidR="00BB5FA5" w:rsidRPr="00BB5FA5">
              <w:rPr>
                <w:rStyle w:val="Hyperlink"/>
                <w:rFonts w:ascii="Times New Roman" w:hAnsi="Times New Roman" w:cs="Times New Roman"/>
                <w:noProof/>
                <w:sz w:val="24"/>
                <w:szCs w:val="24"/>
              </w:rPr>
              <w:t>5.2. Premier Inn's Potential Growth</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_Toc146898597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10</w:t>
            </w:r>
            <w:r w:rsidR="00BB5FA5" w:rsidRPr="00BB5FA5">
              <w:rPr>
                <w:rFonts w:ascii="Times New Roman" w:hAnsi="Times New Roman" w:cs="Times New Roman"/>
                <w:noProof/>
                <w:webHidden/>
                <w:sz w:val="24"/>
                <w:szCs w:val="24"/>
              </w:rPr>
              <w:fldChar w:fldCharType="end"/>
            </w:r>
          </w:hyperlink>
        </w:p>
        <w:p w14:paraId="75A49285"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8" w:history="1">
            <w:r w:rsidR="00BB5FA5" w:rsidRPr="00BB5FA5">
              <w:rPr>
                <w:rStyle w:val="Hyperlink"/>
                <w:rFonts w:ascii="Times New Roman" w:hAnsi="Times New Roman" w:cs="Times New Roman"/>
                <w:noProof/>
                <w:sz w:val="24"/>
                <w:szCs w:val="24"/>
              </w:rPr>
              <w:t>6. Financial Commitment to CSR</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_Toc146898598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11</w:t>
            </w:r>
            <w:r w:rsidR="00BB5FA5" w:rsidRPr="00BB5FA5">
              <w:rPr>
                <w:rFonts w:ascii="Times New Roman" w:hAnsi="Times New Roman" w:cs="Times New Roman"/>
                <w:noProof/>
                <w:webHidden/>
                <w:sz w:val="24"/>
                <w:szCs w:val="24"/>
              </w:rPr>
              <w:fldChar w:fldCharType="end"/>
            </w:r>
          </w:hyperlink>
        </w:p>
        <w:p w14:paraId="4595E6D6"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599" w:history="1">
            <w:r w:rsidR="00BB5FA5" w:rsidRPr="00BB5FA5">
              <w:rPr>
                <w:rStyle w:val="Hyperlink"/>
                <w:rFonts w:ascii="Times New Roman" w:hAnsi="Times New Roman" w:cs="Times New Roman"/>
                <w:noProof/>
                <w:sz w:val="24"/>
                <w:szCs w:val="24"/>
              </w:rPr>
              <w:t>6.1. Mandarin Oriental Hotel Group's Commitment to CSR</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_Toc146898599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11</w:t>
            </w:r>
            <w:r w:rsidR="00BB5FA5" w:rsidRPr="00BB5FA5">
              <w:rPr>
                <w:rFonts w:ascii="Times New Roman" w:hAnsi="Times New Roman" w:cs="Times New Roman"/>
                <w:noProof/>
                <w:webHidden/>
                <w:sz w:val="24"/>
                <w:szCs w:val="24"/>
              </w:rPr>
              <w:fldChar w:fldCharType="end"/>
            </w:r>
          </w:hyperlink>
        </w:p>
        <w:p w14:paraId="22C57696"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0" w:history="1">
            <w:r w:rsidR="00BB5FA5" w:rsidRPr="00BB5FA5">
              <w:rPr>
                <w:rStyle w:val="Hyperlink"/>
                <w:rFonts w:ascii="Times New Roman" w:hAnsi="Times New Roman" w:cs="Times New Roman"/>
                <w:noProof/>
                <w:sz w:val="24"/>
                <w:szCs w:val="24"/>
              </w:rPr>
              <w:t>6.2. Premier Inn's Commitment to CSR</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_Toc146898600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12</w:t>
            </w:r>
            <w:r w:rsidR="00BB5FA5" w:rsidRPr="00BB5FA5">
              <w:rPr>
                <w:rFonts w:ascii="Times New Roman" w:hAnsi="Times New Roman" w:cs="Times New Roman"/>
                <w:noProof/>
                <w:webHidden/>
                <w:sz w:val="24"/>
                <w:szCs w:val="24"/>
              </w:rPr>
              <w:fldChar w:fldCharType="end"/>
            </w:r>
          </w:hyperlink>
        </w:p>
        <w:p w14:paraId="0C631FFA"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1" w:history="1">
            <w:r w:rsidR="00BB5FA5" w:rsidRPr="00BB5FA5">
              <w:rPr>
                <w:rStyle w:val="Hyperlink"/>
                <w:rFonts w:ascii="Times New Roman" w:hAnsi="Times New Roman" w:cs="Times New Roman"/>
                <w:noProof/>
                <w:sz w:val="24"/>
                <w:szCs w:val="24"/>
              </w:rPr>
              <w:t>7. Recommendation</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_Toc146898601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12</w:t>
            </w:r>
            <w:r w:rsidR="00BB5FA5" w:rsidRPr="00BB5FA5">
              <w:rPr>
                <w:rFonts w:ascii="Times New Roman" w:hAnsi="Times New Roman" w:cs="Times New Roman"/>
                <w:noProof/>
                <w:webHidden/>
                <w:sz w:val="24"/>
                <w:szCs w:val="24"/>
              </w:rPr>
              <w:fldChar w:fldCharType="end"/>
            </w:r>
          </w:hyperlink>
        </w:p>
        <w:p w14:paraId="51CE783C"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2" w:history="1">
            <w:r w:rsidR="00BB5FA5" w:rsidRPr="00BB5FA5">
              <w:rPr>
                <w:rStyle w:val="Hyperlink"/>
                <w:rFonts w:ascii="Times New Roman" w:hAnsi="Times New Roman" w:cs="Times New Roman"/>
                <w:noProof/>
                <w:sz w:val="24"/>
                <w:szCs w:val="24"/>
              </w:rPr>
              <w:t>7.1. Recommendation for Mandarin Oriental Hotel Group</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_Toc146898602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12</w:t>
            </w:r>
            <w:r w:rsidR="00BB5FA5" w:rsidRPr="00BB5FA5">
              <w:rPr>
                <w:rFonts w:ascii="Times New Roman" w:hAnsi="Times New Roman" w:cs="Times New Roman"/>
                <w:noProof/>
                <w:webHidden/>
                <w:sz w:val="24"/>
                <w:szCs w:val="24"/>
              </w:rPr>
              <w:fldChar w:fldCharType="end"/>
            </w:r>
          </w:hyperlink>
        </w:p>
        <w:p w14:paraId="78E77B66" w14:textId="77777777" w:rsidR="00BB5FA5" w:rsidRPr="00BB5FA5" w:rsidRDefault="00000000" w:rsidP="00BB5FA5">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3" w:history="1">
            <w:r w:rsidR="00BB5FA5" w:rsidRPr="00BB5FA5">
              <w:rPr>
                <w:rStyle w:val="Hyperlink"/>
                <w:rFonts w:ascii="Times New Roman" w:hAnsi="Times New Roman" w:cs="Times New Roman"/>
                <w:noProof/>
                <w:sz w:val="24"/>
                <w:szCs w:val="24"/>
              </w:rPr>
              <w:t>7.2. Recommendation for Premier Inn</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_Toc146898603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12</w:t>
            </w:r>
            <w:r w:rsidR="00BB5FA5" w:rsidRPr="00BB5FA5">
              <w:rPr>
                <w:rFonts w:ascii="Times New Roman" w:hAnsi="Times New Roman" w:cs="Times New Roman"/>
                <w:noProof/>
                <w:webHidden/>
                <w:sz w:val="24"/>
                <w:szCs w:val="24"/>
              </w:rPr>
              <w:fldChar w:fldCharType="end"/>
            </w:r>
          </w:hyperlink>
        </w:p>
        <w:p w14:paraId="6375DD95"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4" w:history="1">
            <w:r w:rsidR="00BB5FA5" w:rsidRPr="00BB5FA5">
              <w:rPr>
                <w:rStyle w:val="Hyperlink"/>
                <w:rFonts w:ascii="Times New Roman" w:hAnsi="Times New Roman" w:cs="Times New Roman"/>
                <w:noProof/>
                <w:sz w:val="24"/>
                <w:szCs w:val="24"/>
              </w:rPr>
              <w:t>8. Conclusion</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_Toc146898604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12</w:t>
            </w:r>
            <w:r w:rsidR="00BB5FA5" w:rsidRPr="00BB5FA5">
              <w:rPr>
                <w:rFonts w:ascii="Times New Roman" w:hAnsi="Times New Roman" w:cs="Times New Roman"/>
                <w:noProof/>
                <w:webHidden/>
                <w:sz w:val="24"/>
                <w:szCs w:val="24"/>
              </w:rPr>
              <w:fldChar w:fldCharType="end"/>
            </w:r>
          </w:hyperlink>
        </w:p>
        <w:p w14:paraId="3BC27BC4"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5" w:history="1">
            <w:r w:rsidR="00BB5FA5" w:rsidRPr="00BB5FA5">
              <w:rPr>
                <w:rStyle w:val="Hyperlink"/>
                <w:rFonts w:ascii="Times New Roman" w:hAnsi="Times New Roman" w:cs="Times New Roman"/>
                <w:noProof/>
                <w:sz w:val="24"/>
                <w:szCs w:val="24"/>
              </w:rPr>
              <w:t>Reference List</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_Toc146898605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14</w:t>
            </w:r>
            <w:r w:rsidR="00BB5FA5" w:rsidRPr="00BB5FA5">
              <w:rPr>
                <w:rFonts w:ascii="Times New Roman" w:hAnsi="Times New Roman" w:cs="Times New Roman"/>
                <w:noProof/>
                <w:webHidden/>
                <w:sz w:val="24"/>
                <w:szCs w:val="24"/>
              </w:rPr>
              <w:fldChar w:fldCharType="end"/>
            </w:r>
          </w:hyperlink>
        </w:p>
        <w:p w14:paraId="2F12D17D" w14:textId="77777777" w:rsidR="00BB5FA5" w:rsidRPr="00BB5FA5" w:rsidRDefault="00000000" w:rsidP="00BB5FA5">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6898606" w:history="1">
            <w:r w:rsidR="00BB5FA5" w:rsidRPr="00BB5FA5">
              <w:rPr>
                <w:rStyle w:val="Hyperlink"/>
                <w:rFonts w:ascii="Times New Roman" w:hAnsi="Times New Roman" w:cs="Times New Roman"/>
                <w:noProof/>
                <w:sz w:val="24"/>
                <w:szCs w:val="24"/>
              </w:rPr>
              <w:t>Appendices</w:t>
            </w:r>
            <w:r w:rsidR="00BB5FA5" w:rsidRPr="00BB5FA5">
              <w:rPr>
                <w:rFonts w:ascii="Times New Roman" w:hAnsi="Times New Roman" w:cs="Times New Roman"/>
                <w:noProof/>
                <w:webHidden/>
                <w:sz w:val="24"/>
                <w:szCs w:val="24"/>
              </w:rPr>
              <w:tab/>
            </w:r>
            <w:r w:rsidR="00BB5FA5" w:rsidRPr="00BB5FA5">
              <w:rPr>
                <w:rFonts w:ascii="Times New Roman" w:hAnsi="Times New Roman" w:cs="Times New Roman"/>
                <w:noProof/>
                <w:webHidden/>
                <w:sz w:val="24"/>
                <w:szCs w:val="24"/>
              </w:rPr>
              <w:fldChar w:fldCharType="begin"/>
            </w:r>
            <w:r w:rsidR="00BB5FA5" w:rsidRPr="00BB5FA5">
              <w:rPr>
                <w:rFonts w:ascii="Times New Roman" w:hAnsi="Times New Roman" w:cs="Times New Roman"/>
                <w:noProof/>
                <w:webHidden/>
                <w:sz w:val="24"/>
                <w:szCs w:val="24"/>
              </w:rPr>
              <w:instrText xml:space="preserve"> PAGEREF _Toc146898606 \h </w:instrText>
            </w:r>
            <w:r w:rsidR="00BB5FA5" w:rsidRPr="00BB5FA5">
              <w:rPr>
                <w:rFonts w:ascii="Times New Roman" w:hAnsi="Times New Roman" w:cs="Times New Roman"/>
                <w:noProof/>
                <w:webHidden/>
                <w:sz w:val="24"/>
                <w:szCs w:val="24"/>
              </w:rPr>
            </w:r>
            <w:r w:rsidR="00BB5FA5" w:rsidRPr="00BB5FA5">
              <w:rPr>
                <w:rFonts w:ascii="Times New Roman" w:hAnsi="Times New Roman" w:cs="Times New Roman"/>
                <w:noProof/>
                <w:webHidden/>
                <w:sz w:val="24"/>
                <w:szCs w:val="24"/>
              </w:rPr>
              <w:fldChar w:fldCharType="separate"/>
            </w:r>
            <w:r w:rsidR="00BB5FA5" w:rsidRPr="00BB5FA5">
              <w:rPr>
                <w:rFonts w:ascii="Times New Roman" w:hAnsi="Times New Roman" w:cs="Times New Roman"/>
                <w:noProof/>
                <w:webHidden/>
                <w:sz w:val="24"/>
                <w:szCs w:val="24"/>
              </w:rPr>
              <w:t>16</w:t>
            </w:r>
            <w:r w:rsidR="00BB5FA5" w:rsidRPr="00BB5FA5">
              <w:rPr>
                <w:rFonts w:ascii="Times New Roman" w:hAnsi="Times New Roman" w:cs="Times New Roman"/>
                <w:noProof/>
                <w:webHidden/>
                <w:sz w:val="24"/>
                <w:szCs w:val="24"/>
              </w:rPr>
              <w:fldChar w:fldCharType="end"/>
            </w:r>
          </w:hyperlink>
        </w:p>
        <w:p w14:paraId="7FFB8697" w14:textId="77777777" w:rsidR="00320022" w:rsidRPr="00BB5FA5" w:rsidRDefault="00320022" w:rsidP="00BB5FA5">
          <w:pPr>
            <w:spacing w:line="360" w:lineRule="auto"/>
            <w:jc w:val="both"/>
            <w:rPr>
              <w:rFonts w:ascii="Times New Roman" w:hAnsi="Times New Roman" w:cs="Times New Roman"/>
              <w:color w:val="000000" w:themeColor="text1"/>
              <w:sz w:val="24"/>
              <w:szCs w:val="24"/>
            </w:rPr>
          </w:pPr>
          <w:r w:rsidRPr="00BB5FA5">
            <w:rPr>
              <w:rFonts w:ascii="Times New Roman" w:hAnsi="Times New Roman" w:cs="Times New Roman"/>
              <w:b/>
              <w:bCs/>
              <w:noProof/>
              <w:color w:val="000000" w:themeColor="text1"/>
              <w:sz w:val="24"/>
              <w:szCs w:val="24"/>
            </w:rPr>
            <w:fldChar w:fldCharType="end"/>
          </w:r>
        </w:p>
      </w:sdtContent>
    </w:sdt>
    <w:p w14:paraId="6F675B6B" w14:textId="77777777" w:rsidR="00320022" w:rsidRDefault="00320022">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6B2B0EC8" w14:textId="77777777" w:rsidR="00305342" w:rsidRDefault="00C04DF6">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List of </w:t>
      </w:r>
      <w:r w:rsidR="00320022">
        <w:rPr>
          <w:rFonts w:ascii="Times New Roman" w:eastAsia="Times New Roman" w:hAnsi="Times New Roman" w:cs="Times New Roman"/>
          <w:b/>
          <w:sz w:val="28"/>
          <w:szCs w:val="28"/>
        </w:rPr>
        <w:t>Abbreviations</w:t>
      </w:r>
    </w:p>
    <w:p w14:paraId="6DE2F2AF"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CSR — Corporate Social </w:t>
      </w:r>
      <w:r w:rsidR="00320022">
        <w:rPr>
          <w:rFonts w:ascii="Times New Roman" w:eastAsia="Times New Roman" w:hAnsi="Times New Roman" w:cs="Times New Roman"/>
          <w:sz w:val="24"/>
          <w:szCs w:val="24"/>
        </w:rPr>
        <w:t>Responsibility</w:t>
      </w:r>
    </w:p>
    <w:p w14:paraId="3685104C" w14:textId="77777777" w:rsidR="006275FF" w:rsidRDefault="006275FF">
      <w:pPr>
        <w:spacing w:line="360" w:lineRule="auto"/>
        <w:jc w:val="both"/>
        <w:rPr>
          <w:rFonts w:ascii="Times New Roman" w:eastAsia="Times New Roman" w:hAnsi="Times New Roman" w:cs="Times New Roman"/>
          <w:sz w:val="24"/>
          <w:szCs w:val="24"/>
        </w:rPr>
      </w:pPr>
      <w:r>
        <w:t xml:space="preserve">MOHG </w:t>
      </w:r>
      <w:r>
        <w:rPr>
          <w:rFonts w:ascii="Times New Roman" w:eastAsia="Times New Roman" w:hAnsi="Times New Roman" w:cs="Times New Roman"/>
          <w:sz w:val="24"/>
          <w:szCs w:val="24"/>
        </w:rPr>
        <w:t xml:space="preserve">— Mandarin Oriental Hotel Group </w:t>
      </w:r>
    </w:p>
    <w:p w14:paraId="29CEFCAB" w14:textId="77777777" w:rsidR="006275FF" w:rsidRDefault="006275FF">
      <w:pPr>
        <w:spacing w:line="360" w:lineRule="auto"/>
        <w:jc w:val="both"/>
      </w:pPr>
      <w:r>
        <w:rPr>
          <w:rFonts w:ascii="Times New Roman" w:eastAsia="Times New Roman" w:hAnsi="Times New Roman" w:cs="Times New Roman"/>
          <w:sz w:val="24"/>
          <w:szCs w:val="24"/>
        </w:rPr>
        <w:t>PI — Premier Inn</w:t>
      </w:r>
      <w:r>
        <w:t xml:space="preserve"> </w:t>
      </w:r>
    </w:p>
    <w:p w14:paraId="04BFE36C" w14:textId="77777777" w:rsidR="006275FF" w:rsidRDefault="006275FF">
      <w:pPr>
        <w:spacing w:line="360" w:lineRule="auto"/>
        <w:jc w:val="both"/>
        <w:rPr>
          <w:rFonts w:ascii="Times New Roman" w:eastAsia="Times New Roman" w:hAnsi="Times New Roman" w:cs="Times New Roman"/>
          <w:sz w:val="24"/>
          <w:szCs w:val="24"/>
        </w:rPr>
      </w:pPr>
      <w:r>
        <w:t xml:space="preserve">MOIL </w:t>
      </w:r>
      <w:r>
        <w:rPr>
          <w:rFonts w:ascii="Times New Roman" w:eastAsia="Times New Roman" w:hAnsi="Times New Roman" w:cs="Times New Roman"/>
          <w:sz w:val="24"/>
          <w:szCs w:val="24"/>
        </w:rPr>
        <w:t>—</w:t>
      </w:r>
      <w:r>
        <w:t xml:space="preserve"> </w:t>
      </w:r>
      <w:r>
        <w:rPr>
          <w:rFonts w:ascii="Times New Roman" w:eastAsia="Times New Roman" w:hAnsi="Times New Roman" w:cs="Times New Roman"/>
          <w:sz w:val="24"/>
          <w:szCs w:val="24"/>
        </w:rPr>
        <w:t xml:space="preserve">Mandarin Oriental International Limited </w:t>
      </w:r>
    </w:p>
    <w:p w14:paraId="50845BA8" w14:textId="77777777" w:rsidR="00305342" w:rsidRDefault="006275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WPLC —</w:t>
      </w:r>
      <w:r>
        <w:t xml:space="preserve"> </w:t>
      </w:r>
      <w:r>
        <w:rPr>
          <w:rFonts w:ascii="Times New Roman" w:eastAsia="Times New Roman" w:hAnsi="Times New Roman" w:cs="Times New Roman"/>
          <w:sz w:val="24"/>
          <w:szCs w:val="24"/>
        </w:rPr>
        <w:t>Whitbread Public Limited Company</w:t>
      </w:r>
      <w:r>
        <w:t xml:space="preserve"> </w:t>
      </w:r>
      <w:r w:rsidR="00C04DF6">
        <w:br w:type="page"/>
      </w:r>
    </w:p>
    <w:p w14:paraId="00BD296E" w14:textId="77777777" w:rsidR="00305342" w:rsidRDefault="00C04DF6">
      <w:pPr>
        <w:pStyle w:val="Heading1"/>
      </w:pPr>
      <w:bookmarkStart w:id="0" w:name="_jlhl831huvp8" w:colFirst="0" w:colLast="0"/>
      <w:bookmarkStart w:id="1" w:name="_Toc146898587"/>
      <w:bookmarkEnd w:id="0"/>
      <w:r>
        <w:lastRenderedPageBreak/>
        <w:t>1. Introduction</w:t>
      </w:r>
      <w:bookmarkEnd w:id="1"/>
    </w:p>
    <w:p w14:paraId="73EB1BED"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business report leads a comprehensive analysis and comparison of two prominent players in the hospitality industry: Mandarin Oriental Hotel Group and Premier Inn, with an emphasis on their financial management strategies and practices. The objective is to evaluate these organizations across critical parts that significantly influence their financial performance and sustainability.</w:t>
      </w:r>
    </w:p>
    <w:p w14:paraId="1D9B516E"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will critically survey the two organizations in the accompanying key areas such as Total Revenue Analysis which is a thorough assessment of the total revenue created by every organization will be directed, including an investigation of the wellsprings of revenue, and revenue patterns. Also, the Market Position Assessment is the report that will give an evaluation of the market positioning of the two organizations. This assessment will consider fundamental factors, for example, market share, client socioeconomics, and brand discernment.</w:t>
      </w:r>
    </w:p>
    <w:p w14:paraId="6A8FB16A"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Growth Potential analysis of each organization will be attempted, enveloping viewpoints like extension strategies, market opportunities, and potential conditions that might ruin their growth. Moreover, the Financial Commitment to CSR part of this report will delve into the financial commitment of the two organizations to Corporate Social Responsibility (CSR) drives, including their practices connected with sustainability, local area responsibility, and moral business conduct.</w:t>
      </w:r>
    </w:p>
    <w:p w14:paraId="25962226" w14:textId="77777777" w:rsidR="00305342" w:rsidRDefault="00C04DF6">
      <w:pPr>
        <w:pStyle w:val="Heading1"/>
      </w:pPr>
      <w:bookmarkStart w:id="2" w:name="_2aa84581eskf" w:colFirst="0" w:colLast="0"/>
      <w:bookmarkStart w:id="3" w:name="_Toc146898588"/>
      <w:bookmarkEnd w:id="2"/>
      <w:r>
        <w:t xml:space="preserve">2. </w:t>
      </w:r>
      <w:r w:rsidR="00BB5FA5">
        <w:t>Research and Resources</w:t>
      </w:r>
      <w:bookmarkEnd w:id="3"/>
    </w:p>
    <w:p w14:paraId="0BA8E233"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employs a mixed-</w:t>
      </w:r>
      <w:r w:rsidR="00BB5FA5">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approach, using both primary and secondary data sources. Primary data is sourced from Mandarin Oriental International Limited and Whitbread plc, the parent company of Premier Inn, including revenue figures and market share prices.</w:t>
      </w:r>
    </w:p>
    <w:p w14:paraId="68FA828F"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Likewise, secondary data is collected from industry-specific reports, academic publications, and publicly accessible information (</w:t>
      </w:r>
      <w:r>
        <w:rPr>
          <w:rFonts w:ascii="Times New Roman" w:eastAsia="Times New Roman" w:hAnsi="Times New Roman" w:cs="Times New Roman"/>
          <w:sz w:val="24"/>
          <w:szCs w:val="24"/>
          <w:highlight w:val="white"/>
        </w:rPr>
        <w:t xml:space="preserve">Ali,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This secondary data is principally utilized in the assessment of growth potential and the analysis of financial commitment to Corporate Social Responsibility (CSR) for the two organizations.</w:t>
      </w:r>
    </w:p>
    <w:p w14:paraId="6D6FA574" w14:textId="77777777" w:rsidR="00305342" w:rsidRDefault="00C04DF6">
      <w:pPr>
        <w:shd w:val="clear" w:color="auto" w:fill="FFFFFF"/>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By joining primary and secondary data sources, this report expects to give a complete and balanced analysis of Mandarin Oriental Hotel Group and Premier Inn's financial management strategies and practices.</w:t>
      </w:r>
    </w:p>
    <w:p w14:paraId="6F2B367E" w14:textId="77777777" w:rsidR="00305342" w:rsidRDefault="00C04DF6">
      <w:pPr>
        <w:pStyle w:val="Heading1"/>
      </w:pPr>
      <w:bookmarkStart w:id="4" w:name="_2ug9ben52ajw" w:colFirst="0" w:colLast="0"/>
      <w:bookmarkStart w:id="5" w:name="_Toc146898589"/>
      <w:bookmarkEnd w:id="4"/>
      <w:r>
        <w:lastRenderedPageBreak/>
        <w:t>3. Total Revenue Analysis</w:t>
      </w:r>
      <w:bookmarkEnd w:id="5"/>
    </w:p>
    <w:p w14:paraId="67D67A94" w14:textId="77777777" w:rsidR="00305342" w:rsidRDefault="00C04DF6">
      <w:pPr>
        <w:pStyle w:val="Heading2"/>
        <w:rPr>
          <w:sz w:val="24"/>
          <w:szCs w:val="24"/>
        </w:rPr>
      </w:pPr>
      <w:bookmarkStart w:id="6" w:name="_hpqm0kyqvaeg" w:colFirst="0" w:colLast="0"/>
      <w:bookmarkStart w:id="7" w:name="_Toc146898590"/>
      <w:bookmarkEnd w:id="6"/>
      <w:r>
        <w:t>3.1. Total Revenue of Mandarin Oriental Hotel Group's Total Revenue</w:t>
      </w:r>
      <w:bookmarkEnd w:id="7"/>
    </w:p>
    <w:tbl>
      <w:tblPr>
        <w:tblStyle w:val="a"/>
        <w:tblW w:w="62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5"/>
        <w:gridCol w:w="1325"/>
        <w:gridCol w:w="1565"/>
        <w:gridCol w:w="1445"/>
      </w:tblGrid>
      <w:tr w:rsidR="00305342" w14:paraId="1375B1E9" w14:textId="77777777">
        <w:trPr>
          <w:trHeight w:val="575"/>
          <w:jc w:val="center"/>
        </w:trPr>
        <w:tc>
          <w:tcPr>
            <w:tcW w:w="6260"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2974E1"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Revenue</w:t>
            </w:r>
          </w:p>
        </w:tc>
      </w:tr>
      <w:tr w:rsidR="00305342" w14:paraId="46401D6F" w14:textId="77777777">
        <w:trPr>
          <w:trHeight w:val="515"/>
          <w:jc w:val="center"/>
        </w:trPr>
        <w:tc>
          <w:tcPr>
            <w:tcW w:w="6260" w:type="dxa"/>
            <w:gridSpan w:val="4"/>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536E6C7"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Mandarin Oriental Hotel Group</w:t>
            </w:r>
          </w:p>
        </w:tc>
      </w:tr>
      <w:tr w:rsidR="00305342" w14:paraId="65A38542"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4B60D8F"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732DF71"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5B2F09A"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2022</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CC53C34"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2023</w:t>
            </w:r>
          </w:p>
        </w:tc>
      </w:tr>
      <w:tr w:rsidR="00305342" w14:paraId="1AA319DD"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D3C243F"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183700.00</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747549D"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316900.00</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685C8B4"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454100.00</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57167AC"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516400.00</w:t>
            </w:r>
          </w:p>
        </w:tc>
      </w:tr>
    </w:tbl>
    <w:p w14:paraId="7E23E7CE"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4 year’s total revenue of Mandarin Hotel Group</w:t>
      </w:r>
    </w:p>
    <w:p w14:paraId="4280D6B4"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8378FC">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 xml:space="preserve"> in MS Excel)</w:t>
      </w:r>
    </w:p>
    <w:p w14:paraId="63B97D72" w14:textId="77777777" w:rsidR="00305342" w:rsidRDefault="00C04D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Mandarin Oriental Hotel Group's total revenue has experienced remarkable growth throughout the long term, as evidenced by the accompanying figures: In 2020, the group created $183,700.00 in revenue, which expanded altogether to $316,900.00 in 2021, further flooding to $454,100.00 in 2022, and coming to an amazing $516,400.00 in 2023 (Zhang, 2020). To exhaustively break down this revenue performance, it focused on examining key perspectives.</w:t>
      </w:r>
    </w:p>
    <w:p w14:paraId="5E0E783F" w14:textId="77777777" w:rsidR="00305342" w:rsidRDefault="00C04DF6">
      <w:pPr>
        <w:shd w:val="clear" w:color="auto" w:fill="FFFFFF"/>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Sources of Revenue</w:t>
      </w:r>
    </w:p>
    <w:p w14:paraId="6C27F010" w14:textId="77777777" w:rsidR="00305342" w:rsidRDefault="00C04DF6">
      <w:pPr>
        <w:shd w:val="clear" w:color="auto" w:fill="FFFFFF"/>
        <w:spacing w:line="360" w:lineRule="auto"/>
        <w:jc w:val="both"/>
        <w:rPr>
          <w:rFonts w:ascii="Times New Roman" w:eastAsia="Times New Roman" w:hAnsi="Times New Roman" w:cs="Times New Roman"/>
          <w:sz w:val="26"/>
          <w:szCs w:val="26"/>
          <w:highlight w:val="white"/>
        </w:rPr>
      </w:pPr>
      <w:r>
        <w:rPr>
          <w:rFonts w:ascii="Times New Roman" w:eastAsia="Times New Roman" w:hAnsi="Times New Roman" w:cs="Times New Roman"/>
          <w:sz w:val="24"/>
          <w:szCs w:val="24"/>
          <w:highlight w:val="white"/>
        </w:rPr>
        <w:t>The essential sources of revenue for Mandarin Oriental Hotel Group originate from its worldwide arrangement of lavish hotels and resorts. These foundations create revenue through room bookings, food services, spa and health subsidies, and event and meeting promoting. Furthermore, the group might get revenue from management contracts with other hotel proprietors.</w:t>
      </w:r>
    </w:p>
    <w:p w14:paraId="53317439"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58C8FF40" wp14:editId="31F514C4">
            <wp:extent cx="4719638" cy="2836321"/>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719638" cy="2836321"/>
                    </a:xfrm>
                    <a:prstGeom prst="rect">
                      <a:avLst/>
                    </a:prstGeom>
                    <a:ln/>
                  </pic:spPr>
                </pic:pic>
              </a:graphicData>
            </a:graphic>
          </wp:inline>
        </w:drawing>
      </w:r>
    </w:p>
    <w:p w14:paraId="2B448374"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Trend Graph of Mandarin Hotel Group</w:t>
      </w:r>
    </w:p>
    <w:p w14:paraId="7E73BD52"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8378FC">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 xml:space="preserve"> in MS Excel)</w:t>
      </w:r>
    </w:p>
    <w:p w14:paraId="3932FE3B"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Revenue Trends</w:t>
      </w:r>
    </w:p>
    <w:p w14:paraId="744FF89E"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revenue trends for Mandarin Oriental Hotel Group uncover an essentially vertical direction, with revenue almost significantly increasing from 2020 to 2023. This remarkable growth suggests that the group has really taken advantage of the top-of-the-line hospitality market, exploiting its standing for giving uncommon visitor encounters.</w:t>
      </w:r>
    </w:p>
    <w:p w14:paraId="3B01C7C6"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 Impacting Revenue Growth/Decline</w:t>
      </w:r>
    </w:p>
    <w:p w14:paraId="4E59D2DE"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few factors add to the noteworthy revenue growth of Mandarin Oriental Hotel Group. Is its replication value, first and foremost, inseparable from extravagance and greatness, drawing in a top-of-the-line customer base? Besides, essential ventures into key business sectors and the expansion of services probably played a vital role in revenue improvement (</w:t>
      </w:r>
      <w:r>
        <w:rPr>
          <w:rFonts w:ascii="Times New Roman" w:eastAsia="Times New Roman" w:hAnsi="Times New Roman" w:cs="Times New Roman"/>
          <w:sz w:val="24"/>
          <w:szCs w:val="24"/>
          <w:highlight w:val="white"/>
        </w:rPr>
        <w:t>Mourmoura, 2020</w:t>
      </w:r>
      <w:r>
        <w:rPr>
          <w:rFonts w:ascii="Times New Roman" w:eastAsia="Times New Roman" w:hAnsi="Times New Roman" w:cs="Times New Roman"/>
          <w:sz w:val="24"/>
          <w:szCs w:val="24"/>
        </w:rPr>
        <w:t xml:space="preserve">). In any case, outside factors like financial circumstances, travel limitations, and worldwide occasions might actually impact revenue vacillations </w:t>
      </w:r>
      <w:r>
        <w:rPr>
          <w:rFonts w:ascii="Times New Roman" w:eastAsia="Times New Roman" w:hAnsi="Times New Roman" w:cs="Times New Roman"/>
          <w:b/>
          <w:i/>
          <w:sz w:val="24"/>
          <w:szCs w:val="24"/>
        </w:rPr>
        <w:t>[Referred to Appendix 1]</w:t>
      </w:r>
      <w:r>
        <w:rPr>
          <w:rFonts w:ascii="Times New Roman" w:eastAsia="Times New Roman" w:hAnsi="Times New Roman" w:cs="Times New Roman"/>
          <w:sz w:val="24"/>
          <w:szCs w:val="24"/>
        </w:rPr>
        <w:t>.</w:t>
      </w:r>
    </w:p>
    <w:p w14:paraId="66FB639D" w14:textId="77777777" w:rsidR="00305342" w:rsidRDefault="00C04DF6">
      <w:pPr>
        <w:pStyle w:val="Heading2"/>
        <w:rPr>
          <w:sz w:val="24"/>
          <w:szCs w:val="24"/>
        </w:rPr>
      </w:pPr>
      <w:bookmarkStart w:id="8" w:name="_cfo8awdnkgq2" w:colFirst="0" w:colLast="0"/>
      <w:bookmarkStart w:id="9" w:name="_Toc146898591"/>
      <w:bookmarkEnd w:id="8"/>
      <w:r>
        <w:t>3.2. Total Revenue of Premier Inn's</w:t>
      </w:r>
      <w:bookmarkEnd w:id="9"/>
    </w:p>
    <w:tbl>
      <w:tblPr>
        <w:tblStyle w:val="a0"/>
        <w:tblW w:w="62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5"/>
        <w:gridCol w:w="1325"/>
        <w:gridCol w:w="1565"/>
        <w:gridCol w:w="1445"/>
      </w:tblGrid>
      <w:tr w:rsidR="00305342" w14:paraId="33BFFD20" w14:textId="77777777">
        <w:trPr>
          <w:trHeight w:val="575"/>
          <w:jc w:val="center"/>
        </w:trPr>
        <w:tc>
          <w:tcPr>
            <w:tcW w:w="6260"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297D7D"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Revenue</w:t>
            </w:r>
          </w:p>
        </w:tc>
      </w:tr>
      <w:tr w:rsidR="00305342" w14:paraId="31E838C4" w14:textId="77777777">
        <w:trPr>
          <w:trHeight w:val="515"/>
          <w:jc w:val="center"/>
        </w:trPr>
        <w:tc>
          <w:tcPr>
            <w:tcW w:w="6260" w:type="dxa"/>
            <w:gridSpan w:val="4"/>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75E90DC"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Premier Inn</w:t>
            </w:r>
          </w:p>
        </w:tc>
      </w:tr>
      <w:tr w:rsidR="00305342" w14:paraId="523AA6CF"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4D67FCF"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2020</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3F2026A"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6536AA9"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2022</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92F9A2E" w14:textId="77777777" w:rsidR="00305342" w:rsidRDefault="00C04DF6">
            <w:pPr>
              <w:widowControl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2023</w:t>
            </w:r>
          </w:p>
        </w:tc>
      </w:tr>
      <w:tr w:rsidR="00305342" w14:paraId="2040F9B4" w14:textId="77777777">
        <w:trPr>
          <w:trHeight w:val="515"/>
          <w:jc w:val="center"/>
        </w:trPr>
        <w:tc>
          <w:tcPr>
            <w:tcW w:w="19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F1E33B5"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2071500.00</w:t>
            </w:r>
          </w:p>
        </w:tc>
        <w:tc>
          <w:tcPr>
            <w:tcW w:w="13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4B27ECC"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589400.00</w:t>
            </w:r>
          </w:p>
        </w:tc>
        <w:tc>
          <w:tcPr>
            <w:tcW w:w="15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B71BFF"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1703400.00</w:t>
            </w:r>
          </w:p>
        </w:tc>
        <w:tc>
          <w:tcPr>
            <w:tcW w:w="14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1B9CED8" w14:textId="77777777" w:rsidR="00305342" w:rsidRDefault="00C04DF6">
            <w:pPr>
              <w:widowControl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2625200.00</w:t>
            </w:r>
          </w:p>
        </w:tc>
      </w:tr>
    </w:tbl>
    <w:p w14:paraId="77B841EF"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4 year’s total revenue of Premier Inn</w:t>
      </w:r>
    </w:p>
    <w:p w14:paraId="72C65BF7"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 Excel)</w:t>
      </w:r>
    </w:p>
    <w:p w14:paraId="3EC31388"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Inn's total revenue, as shown in the given figures, exhibits a powerful financial performance that requires a far-reaching assessment. In 2020, the association created $2,071,500.00 in revenue, trailed by a striking diminishing to $589,400.00 in 2021 (</w:t>
      </w:r>
      <w:r>
        <w:rPr>
          <w:rFonts w:ascii="Times New Roman" w:eastAsia="Times New Roman" w:hAnsi="Times New Roman" w:cs="Times New Roman"/>
          <w:sz w:val="24"/>
          <w:szCs w:val="24"/>
          <w:highlight w:val="white"/>
        </w:rPr>
        <w:t>Kaliappen, and Hassan, 2022</w:t>
      </w:r>
      <w:r>
        <w:rPr>
          <w:rFonts w:ascii="Times New Roman" w:eastAsia="Times New Roman" w:hAnsi="Times New Roman" w:cs="Times New Roman"/>
          <w:sz w:val="24"/>
          <w:szCs w:val="24"/>
        </w:rPr>
        <w:t>). Nonetheless, Premier Inn displayed a critical recovery in the ensuing years, with revenue coming to $1,703,400.00 in 2022 and a remarkable $2,625,200.00 in 2023.</w:t>
      </w:r>
    </w:p>
    <w:p w14:paraId="5CD12B89"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Sources of Revenue</w:t>
      </w:r>
    </w:p>
    <w:p w14:paraId="5F800C85"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essentially creates revenue from its chain of hotels and spending plan facilities. Pay is gotten from room bookings, food and beverage services, conference facilities, and associated amenities. The parent company, Whitbread plc, may likewise get revenue from other business sections, however, this analysis is centered around the hotel division.</w:t>
      </w:r>
    </w:p>
    <w:p w14:paraId="4E6D3DC8"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22A66DE" wp14:editId="4FB906F3">
            <wp:extent cx="4593011" cy="2629253"/>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593011" cy="2629253"/>
                    </a:xfrm>
                    <a:prstGeom prst="rect">
                      <a:avLst/>
                    </a:prstGeom>
                    <a:ln/>
                  </pic:spPr>
                </pic:pic>
              </a:graphicData>
            </a:graphic>
          </wp:inline>
        </w:drawing>
      </w:r>
    </w:p>
    <w:p w14:paraId="4FE7F7F9"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Trend Graph of Mandarin Hotel Group</w:t>
      </w:r>
    </w:p>
    <w:p w14:paraId="1120EEE4"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 Created in MS Excel)</w:t>
      </w:r>
    </w:p>
    <w:p w14:paraId="377955BA"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Revenue Trends</w:t>
      </w:r>
    </w:p>
    <w:p w14:paraId="44DAA38D"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revenue trends for Premier Inn show variances during the noticed years, remembering an underlying decline for 2021 and a huge recovery from there on. These changes demonstrate a strong ability to adjust to economic situations.</w:t>
      </w:r>
    </w:p>
    <w:p w14:paraId="12C1300B"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 Impacting Revenue Growth/Decline</w:t>
      </w:r>
    </w:p>
    <w:p w14:paraId="185CC4FB"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revenue elements of Premier Inn can be ascribed to a few factors. The underlying decline in 2021 was logically affected by the antagonistic effects of the Coronavirus pandemic on the hospitality industry (</w:t>
      </w:r>
      <w:r>
        <w:rPr>
          <w:rFonts w:ascii="Times New Roman" w:eastAsia="Times New Roman" w:hAnsi="Times New Roman" w:cs="Times New Roman"/>
          <w:sz w:val="24"/>
          <w:szCs w:val="24"/>
          <w:highlight w:val="white"/>
        </w:rPr>
        <w:t>Agbaglo, and Afful, 2023</w:t>
      </w:r>
      <w:r>
        <w:rPr>
          <w:rFonts w:ascii="Times New Roman" w:eastAsia="Times New Roman" w:hAnsi="Times New Roman" w:cs="Times New Roman"/>
          <w:sz w:val="24"/>
          <w:szCs w:val="24"/>
        </w:rPr>
        <w:t xml:space="preserve">). The ensuing recovery recommends compelling strategies for recapturing a piece of the pie and tending to changing buyer inclinations. Factors like marketing drives, pricing strategies, and customer loyalty projects might have added to this recovery </w:t>
      </w:r>
      <w:r>
        <w:rPr>
          <w:rFonts w:ascii="Times New Roman" w:eastAsia="Times New Roman" w:hAnsi="Times New Roman" w:cs="Times New Roman"/>
          <w:b/>
          <w:i/>
          <w:sz w:val="24"/>
          <w:szCs w:val="24"/>
        </w:rPr>
        <w:t>[Referred to Appendix 2]</w:t>
      </w:r>
      <w:r>
        <w:rPr>
          <w:rFonts w:ascii="Times New Roman" w:eastAsia="Times New Roman" w:hAnsi="Times New Roman" w:cs="Times New Roman"/>
          <w:sz w:val="24"/>
          <w:szCs w:val="24"/>
        </w:rPr>
        <w:t>.</w:t>
      </w:r>
    </w:p>
    <w:p w14:paraId="39FD8064" w14:textId="77777777" w:rsidR="00305342" w:rsidRDefault="00C04DF6">
      <w:pPr>
        <w:pStyle w:val="Heading1"/>
      </w:pPr>
      <w:bookmarkStart w:id="10" w:name="_cprjud97cusv" w:colFirst="0" w:colLast="0"/>
      <w:bookmarkStart w:id="11" w:name="_Toc146898592"/>
      <w:bookmarkEnd w:id="10"/>
      <w:r>
        <w:t>4. Market Position Assessment</w:t>
      </w:r>
      <w:bookmarkEnd w:id="11"/>
    </w:p>
    <w:p w14:paraId="4D334070" w14:textId="77777777" w:rsidR="00305342" w:rsidRDefault="00C04DF6">
      <w:pPr>
        <w:pStyle w:val="Heading2"/>
      </w:pPr>
      <w:bookmarkStart w:id="12" w:name="_xlf0mxr149ka" w:colFirst="0" w:colLast="0"/>
      <w:bookmarkStart w:id="13" w:name="_Toc146898593"/>
      <w:bookmarkEnd w:id="12"/>
      <w:r>
        <w:t>4.1. Market Position of Mandarin Oriental Hotel Group</w:t>
      </w:r>
      <w:bookmarkEnd w:id="13"/>
    </w:p>
    <w:p w14:paraId="423BE6CC"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084C69E1" wp14:editId="768688CB">
            <wp:extent cx="3576638" cy="3463928"/>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576638" cy="3463928"/>
                    </a:xfrm>
                    <a:prstGeom prst="rect">
                      <a:avLst/>
                    </a:prstGeom>
                    <a:ln/>
                  </pic:spPr>
                </pic:pic>
              </a:graphicData>
            </a:graphic>
          </wp:inline>
        </w:drawing>
      </w:r>
    </w:p>
    <w:p w14:paraId="0F11FF59"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Market Share Price of Mandarin Oriental Hotel Group</w:t>
      </w:r>
    </w:p>
    <w:p w14:paraId="407DA7A3"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 Excel)</w:t>
      </w:r>
    </w:p>
    <w:p w14:paraId="2F94FBCC" w14:textId="77777777" w:rsidR="00305342" w:rsidRDefault="00C04DF6">
      <w:pPr>
        <w:shd w:val="clear" w:color="auto" w:fill="FFFFFF"/>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 xml:space="preserve">Mandarin Oriental Hotel Group's market position can be assessed through its stock price performance, which reflects investors' opinions and brand perception. The line graph showing the </w:t>
      </w:r>
      <w:r>
        <w:rPr>
          <w:rFonts w:ascii="Times New Roman" w:eastAsia="Times New Roman" w:hAnsi="Times New Roman" w:cs="Times New Roman"/>
          <w:sz w:val="24"/>
          <w:szCs w:val="24"/>
        </w:rPr>
        <w:lastRenderedPageBreak/>
        <w:t>closing stock prices throughout the last year uncovers vacillations in the market valuation of the organization.</w:t>
      </w:r>
    </w:p>
    <w:p w14:paraId="018C83F3"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23ACC75" wp14:editId="44C26FF5">
            <wp:extent cx="4848225" cy="293928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48225" cy="2939286"/>
                    </a:xfrm>
                    <a:prstGeom prst="rect">
                      <a:avLst/>
                    </a:prstGeom>
                    <a:ln/>
                  </pic:spPr>
                </pic:pic>
              </a:graphicData>
            </a:graphic>
          </wp:inline>
        </w:drawing>
      </w:r>
    </w:p>
    <w:p w14:paraId="06AEB5A8"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Line Graph of the Market Share Price</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of Mandarin Group</w:t>
      </w:r>
    </w:p>
    <w:p w14:paraId="777BA03B"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 Excel)</w:t>
      </w:r>
    </w:p>
    <w:p w14:paraId="5CBEF799"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October 2022 to September 2023, Mandarin Oriental's stock price encountered some changeability. It began at $1.77 per share, declining to $1.65 in July 2023 preceding bouncing back to $1.77 in August 2023 (</w:t>
      </w:r>
      <w:r>
        <w:rPr>
          <w:rFonts w:ascii="Times New Roman" w:eastAsia="Times New Roman" w:hAnsi="Times New Roman" w:cs="Times New Roman"/>
          <w:sz w:val="24"/>
          <w:szCs w:val="24"/>
          <w:highlight w:val="white"/>
        </w:rPr>
        <w:t>Gibson, 2021</w:t>
      </w:r>
      <w:r>
        <w:rPr>
          <w:rFonts w:ascii="Times New Roman" w:eastAsia="Times New Roman" w:hAnsi="Times New Roman" w:cs="Times New Roman"/>
          <w:sz w:val="24"/>
          <w:szCs w:val="24"/>
        </w:rPr>
        <w:t>). This pattern proposes a level of market responsiveness, conceivably impacted by variables like monetary performance, financial backer opinion, and more extensive financial circumstances.</w:t>
      </w:r>
    </w:p>
    <w:p w14:paraId="252D8A11" w14:textId="77777777" w:rsidR="00305342" w:rsidRDefault="00C04DF6">
      <w:pPr>
        <w:pStyle w:val="Heading2"/>
      </w:pPr>
      <w:bookmarkStart w:id="14" w:name="_4o8rchyuj5mu" w:colFirst="0" w:colLast="0"/>
      <w:bookmarkStart w:id="15" w:name="_Toc146898594"/>
      <w:bookmarkEnd w:id="14"/>
      <w:r>
        <w:lastRenderedPageBreak/>
        <w:t>4.2. Market Position of Premier Inn</w:t>
      </w:r>
      <w:bookmarkEnd w:id="15"/>
    </w:p>
    <w:p w14:paraId="5F166DB7"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24DE078" wp14:editId="30A94CF6">
            <wp:extent cx="3333750" cy="3195133"/>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333750" cy="3195133"/>
                    </a:xfrm>
                    <a:prstGeom prst="rect">
                      <a:avLst/>
                    </a:prstGeom>
                    <a:ln/>
                  </pic:spPr>
                </pic:pic>
              </a:graphicData>
            </a:graphic>
          </wp:inline>
        </w:drawing>
      </w:r>
    </w:p>
    <w:p w14:paraId="7A7BE084" w14:textId="77777777" w:rsidR="00305342" w:rsidRDefault="00C04D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Market Share Price of Premier Inn</w:t>
      </w:r>
    </w:p>
    <w:p w14:paraId="7D611C63"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 Excel)</w:t>
      </w:r>
    </w:p>
    <w:p w14:paraId="118B0CA9"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Inn's market position can be evaluated through a comparable focal point, involving its stock price data as a marker (</w:t>
      </w:r>
      <w:r>
        <w:rPr>
          <w:rFonts w:ascii="Times New Roman" w:eastAsia="Times New Roman" w:hAnsi="Times New Roman" w:cs="Times New Roman"/>
          <w:sz w:val="24"/>
          <w:szCs w:val="24"/>
          <w:highlight w:val="white"/>
        </w:rPr>
        <w:t>Grace Mensah-kufuor, 2020</w:t>
      </w:r>
      <w:r>
        <w:rPr>
          <w:rFonts w:ascii="Times New Roman" w:eastAsia="Times New Roman" w:hAnsi="Times New Roman" w:cs="Times New Roman"/>
          <w:sz w:val="24"/>
          <w:szCs w:val="24"/>
        </w:rPr>
        <w:t>). The line graph portraying the closing stock prices over a similar period outlines how the market esteems the organization.</w:t>
      </w:r>
    </w:p>
    <w:p w14:paraId="1E716B44"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69FA4C76" wp14:editId="42543591">
            <wp:extent cx="5373688" cy="323221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373688" cy="3232218"/>
                    </a:xfrm>
                    <a:prstGeom prst="rect">
                      <a:avLst/>
                    </a:prstGeom>
                    <a:ln/>
                  </pic:spPr>
                </pic:pic>
              </a:graphicData>
            </a:graphic>
          </wp:inline>
        </w:drawing>
      </w:r>
    </w:p>
    <w:p w14:paraId="002CC834"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Figure 6: Line Graph of the market share price of Premier Inn</w:t>
      </w:r>
    </w:p>
    <w:p w14:paraId="510924B8"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 Excel)</w:t>
      </w:r>
    </w:p>
    <w:p w14:paraId="66D278AA"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account of Premier Inn, there is a recognizable vertical direction in stock prices throughout the year. Beginning at 2572 in October 2022, the stock price consistently expanded to 3484 in September 2023. This predictable growth demonstrates positive financial backer feelings and considers well Premier Inn's brand perception.</w:t>
      </w:r>
    </w:p>
    <w:p w14:paraId="336C0779" w14:textId="77777777" w:rsidR="00305342" w:rsidRDefault="00C04DF6">
      <w:pPr>
        <w:pStyle w:val="Heading1"/>
      </w:pPr>
      <w:bookmarkStart w:id="16" w:name="_p77ctpft9n4p" w:colFirst="0" w:colLast="0"/>
      <w:bookmarkStart w:id="17" w:name="_Toc146898595"/>
      <w:bookmarkEnd w:id="16"/>
      <w:r>
        <w:t>5. Growth Potential Evaluation</w:t>
      </w:r>
      <w:bookmarkEnd w:id="17"/>
    </w:p>
    <w:p w14:paraId="52676E25" w14:textId="77777777" w:rsidR="00305342" w:rsidRDefault="00C04DF6">
      <w:pPr>
        <w:pStyle w:val="Heading2"/>
      </w:pPr>
      <w:bookmarkStart w:id="18" w:name="_665k3nikfomo" w:colFirst="0" w:colLast="0"/>
      <w:bookmarkStart w:id="19" w:name="_Toc146898596"/>
      <w:bookmarkEnd w:id="18"/>
      <w:r>
        <w:t>5.1. Mandarin Oriental Hotel Group's Potential Growth</w:t>
      </w:r>
      <w:bookmarkEnd w:id="19"/>
    </w:p>
    <w:p w14:paraId="64F95C54"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Expansion Strategies</w:t>
      </w:r>
    </w:p>
    <w:p w14:paraId="4D57E904"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Mandarin Oriental Hotel Group shows huge potential for growth through its clear-cut expansion strategies. The association has generally centered around entering rewarding markets, both laid out and arising. Their methodology includes particular property acquisitions and management arrangements, frequently focusing on key worldwide urban communities and resort objections (</w:t>
      </w:r>
      <w:r>
        <w:rPr>
          <w:rFonts w:ascii="Times New Roman" w:eastAsia="Times New Roman" w:hAnsi="Times New Roman" w:cs="Times New Roman"/>
          <w:sz w:val="24"/>
          <w:szCs w:val="24"/>
          <w:highlight w:val="white"/>
        </w:rPr>
        <w:t xml:space="preserve">Hardesty,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This system permits them to benefit from the interest in extravagance facilities in high-traffic areas.</w:t>
      </w:r>
    </w:p>
    <w:p w14:paraId="40932AE0"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Opportunities</w:t>
      </w:r>
    </w:p>
    <w:p w14:paraId="68E0A6D8"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Mandarin Oriental Hotel Group is situated to immediately jump all over market chances. The developing worldwide rich explorer portion looks for extraordinary and customized encounters, lining up with the brand's center assets. The rising interest in well-being in the travel industry additionally presents opportunities for Mandarin Oriental to extend its spa and health contributions. </w:t>
      </w:r>
    </w:p>
    <w:p w14:paraId="0D6D93A6"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Potential Barriers to Growth</w:t>
      </w:r>
    </w:p>
    <w:p w14:paraId="3FC5FF5A" w14:textId="77777777" w:rsidR="00305342" w:rsidRDefault="00C04DF6">
      <w:pPr>
        <w:shd w:val="clear" w:color="auto" w:fill="FFFFFF"/>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While Mandarin Oriental has substantial growth potential, a few potential barriers warrant thought. One such test is the cutthroat scene in the luxury hospitality area, where laid-out players strive for market share (</w:t>
      </w:r>
      <w:r>
        <w:rPr>
          <w:rFonts w:ascii="Times New Roman" w:eastAsia="Times New Roman" w:hAnsi="Times New Roman" w:cs="Times New Roman"/>
          <w:sz w:val="24"/>
          <w:szCs w:val="24"/>
          <w:highlight w:val="white"/>
        </w:rPr>
        <w:t xml:space="preserve">Custer,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Economic instability and international factors can likewise influence the group's expansion plans, influencing investors’ opinions and shopper travel conduct. </w:t>
      </w:r>
    </w:p>
    <w:p w14:paraId="29E1F471" w14:textId="77777777" w:rsidR="00305342" w:rsidRDefault="00C04DF6">
      <w:pPr>
        <w:pStyle w:val="Heading2"/>
      </w:pPr>
      <w:bookmarkStart w:id="20" w:name="_3fiwq4ccvr4n" w:colFirst="0" w:colLast="0"/>
      <w:bookmarkStart w:id="21" w:name="_Toc146898597"/>
      <w:bookmarkEnd w:id="20"/>
      <w:r>
        <w:t>5.2. Premier Inn's Potential Growth</w:t>
      </w:r>
      <w:bookmarkEnd w:id="21"/>
    </w:p>
    <w:p w14:paraId="5C6B573C"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Expansion Strategies</w:t>
      </w:r>
    </w:p>
    <w:p w14:paraId="1CFE7DE1"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 Inn has displayed potential for growth through its expansion strategies, which take care of the economic explorer section. The brand's expansion regularly includes opening new properties, frequently close to transportation centers, downtown areas, and significant attractions. </w:t>
      </w:r>
      <w:r>
        <w:rPr>
          <w:rFonts w:ascii="Times New Roman" w:eastAsia="Times New Roman" w:hAnsi="Times New Roman" w:cs="Times New Roman"/>
          <w:sz w:val="24"/>
          <w:szCs w:val="24"/>
        </w:rPr>
        <w:lastRenderedPageBreak/>
        <w:t>Premier Inn has additionally wandered into focused on metropolitan and resort markets. Furthermore, their obligation to broaden convenience types, including Center Point by Premier Inn and Flash by Premier Inn, mirrors a readiness to adjust to developing explorer inclinations.</w:t>
      </w:r>
    </w:p>
    <w:p w14:paraId="6A2FD57C"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Opportunities</w:t>
      </w:r>
    </w:p>
    <w:p w14:paraId="481DF174"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can take advantage of market opportunities driven by thrifty explorers looking for quality facilities (</w:t>
      </w:r>
      <w:r>
        <w:rPr>
          <w:rFonts w:ascii="Times New Roman" w:eastAsia="Times New Roman" w:hAnsi="Times New Roman" w:cs="Times New Roman"/>
          <w:sz w:val="24"/>
          <w:szCs w:val="24"/>
          <w:highlight w:val="white"/>
        </w:rPr>
        <w:t>Lazarus, 2023</w:t>
      </w:r>
      <w:r>
        <w:rPr>
          <w:rFonts w:ascii="Times New Roman" w:eastAsia="Times New Roman" w:hAnsi="Times New Roman" w:cs="Times New Roman"/>
          <w:sz w:val="24"/>
          <w:szCs w:val="24"/>
        </w:rPr>
        <w:t>). As cost-cognizance turns out to be more conspicuous, the brand's reasonableness and notoriety for consistency can draw in a large number of visitors. Moreover, Premier Inn's attention to digitalization, remembering portable check-for and keyless passages, lines up with developing visitor assumptions, improving its intensity.</w:t>
      </w:r>
    </w:p>
    <w:p w14:paraId="3FC4CF33"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Potential Barriers to Growth</w:t>
      </w:r>
    </w:p>
    <w:p w14:paraId="7C4DAC1E"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spite of its growth potential, Premier Inn faces potential barriers, including expanding rivalry acceptable for the financial plan hotel fragment. The economic effect of occasions, for example, the Coronavirus pandemic has shown weaknesses in the hospitality industry, influencing inhabitance rates and productivity. Moreover, market immersion in specific districts might require innovative strategies to support growth</w:t>
      </w:r>
    </w:p>
    <w:p w14:paraId="4AD0FDDF" w14:textId="77777777" w:rsidR="00305342" w:rsidRDefault="00C04DF6">
      <w:pPr>
        <w:pStyle w:val="Heading1"/>
      </w:pPr>
      <w:bookmarkStart w:id="22" w:name="_ec86tg8w8yvm" w:colFirst="0" w:colLast="0"/>
      <w:bookmarkStart w:id="23" w:name="_Toc146898598"/>
      <w:bookmarkEnd w:id="22"/>
      <w:r>
        <w:t>6. Financial Commitment to CSR</w:t>
      </w:r>
      <w:bookmarkEnd w:id="23"/>
    </w:p>
    <w:p w14:paraId="4EA84155" w14:textId="77777777" w:rsidR="00305342" w:rsidRDefault="00C04DF6">
      <w:pPr>
        <w:pStyle w:val="Heading2"/>
      </w:pPr>
      <w:bookmarkStart w:id="24" w:name="_nd7d5p3v75t8" w:colFirst="0" w:colLast="0"/>
      <w:bookmarkStart w:id="25" w:name="_Toc146898599"/>
      <w:bookmarkEnd w:id="24"/>
      <w:r>
        <w:t>6.1. Mandarin Oriental Hotel Group's Commitment to CSR</w:t>
      </w:r>
      <w:bookmarkEnd w:id="25"/>
    </w:p>
    <w:p w14:paraId="27DF343F"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 Practices</w:t>
      </w:r>
    </w:p>
    <w:p w14:paraId="38E40A9C"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Mandarin Oriental Hotel Group shows areas of strength for sustainability practices. The association has executed eco-accommodating drives across its properties, including energy-effective innovations, waste reduction programs, and water conservation endeavors. </w:t>
      </w:r>
    </w:p>
    <w:p w14:paraId="1F77E594"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Community Engagement</w:t>
      </w:r>
    </w:p>
    <w:p w14:paraId="55AF2F9D"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group effectively draws in local networks through different drives. This incorporates support for local foundations, social safeguarding endeavors, and associations with local businesses (</w:t>
      </w:r>
      <w:r>
        <w:rPr>
          <w:rFonts w:ascii="Times New Roman" w:eastAsia="Times New Roman" w:hAnsi="Times New Roman" w:cs="Times New Roman"/>
          <w:sz w:val="24"/>
          <w:szCs w:val="24"/>
          <w:highlight w:val="white"/>
        </w:rPr>
        <w:t>Marcella, 2022</w:t>
      </w:r>
      <w:r>
        <w:rPr>
          <w:rFonts w:ascii="Times New Roman" w:eastAsia="Times New Roman" w:hAnsi="Times New Roman" w:cs="Times New Roman"/>
          <w:sz w:val="24"/>
          <w:szCs w:val="24"/>
        </w:rPr>
        <w:t>). Mandarin Oriental frequently has occasions that advance community prosperity and social enhancement.</w:t>
      </w:r>
    </w:p>
    <w:p w14:paraId="3CC27380"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Ethical Business Practices</w:t>
      </w:r>
    </w:p>
    <w:p w14:paraId="0AD5CAB2"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Mandarin Oriental Hotel Group maintains ethical business practices by focusing on straightforwardness, respectability, and decency in its tasks. The association keeps areas of strength for a direct and underscores ethical dynamics all through its inventory network.</w:t>
      </w:r>
    </w:p>
    <w:p w14:paraId="46CDD64C" w14:textId="77777777" w:rsidR="00305342" w:rsidRDefault="00C04DF6">
      <w:pPr>
        <w:pStyle w:val="Heading2"/>
      </w:pPr>
      <w:bookmarkStart w:id="26" w:name="_2hav11ttmf6r" w:colFirst="0" w:colLast="0"/>
      <w:bookmarkStart w:id="27" w:name="_Toc146898600"/>
      <w:bookmarkEnd w:id="26"/>
      <w:r>
        <w:lastRenderedPageBreak/>
        <w:t>6.2. Premier Inn's Commitment to CSR</w:t>
      </w:r>
      <w:bookmarkEnd w:id="27"/>
    </w:p>
    <w:p w14:paraId="61A2EDF6"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 Practices</w:t>
      </w:r>
    </w:p>
    <w:p w14:paraId="428FD3BA"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puts a huge accentuation on sustainability practices. The association has executed asset-effective innovations, waste reduction strategies, and drives to limit its carbon impression. Strikingly, they have set aggressive sustainability targets, including lessening water and energy utilization.</w:t>
      </w:r>
    </w:p>
    <w:p w14:paraId="22BA6CD9"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Community Engagement</w:t>
      </w:r>
    </w:p>
    <w:p w14:paraId="64EE9859"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effectively draws in local networks through different channels (</w:t>
      </w:r>
      <w:r>
        <w:rPr>
          <w:rFonts w:ascii="Times New Roman" w:eastAsia="Times New Roman" w:hAnsi="Times New Roman" w:cs="Times New Roman"/>
          <w:sz w:val="24"/>
          <w:szCs w:val="24"/>
          <w:highlight w:val="white"/>
        </w:rPr>
        <w:t xml:space="preserve">Lin,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This incorporates supporting local foundations, taking part in community advancement projects, and obtaining locally whenever the situation allows. </w:t>
      </w:r>
    </w:p>
    <w:p w14:paraId="30576E2B" w14:textId="77777777" w:rsidR="00305342" w:rsidRDefault="00C04DF6">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Ethical Business Practices</w:t>
      </w:r>
    </w:p>
    <w:p w14:paraId="252A2750" w14:textId="77777777" w:rsidR="00305342" w:rsidRDefault="00C04DF6">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keeps areas of strength for ethical business practices. The organization's set of principles stresses uprightness, mindful obtaining, and fair treatment of employees. Moreover, Premier Inn is devoted to variety and consideration.</w:t>
      </w:r>
    </w:p>
    <w:p w14:paraId="5D32EAAC" w14:textId="77777777" w:rsidR="00305342" w:rsidRDefault="00C04DF6">
      <w:pPr>
        <w:pStyle w:val="Heading1"/>
      </w:pPr>
      <w:bookmarkStart w:id="28" w:name="_8hakkb71y6m5" w:colFirst="0" w:colLast="0"/>
      <w:bookmarkStart w:id="29" w:name="_Toc146898601"/>
      <w:bookmarkEnd w:id="28"/>
      <w:r>
        <w:t>7. Recommendation</w:t>
      </w:r>
      <w:bookmarkEnd w:id="29"/>
    </w:p>
    <w:p w14:paraId="0561B4AF" w14:textId="77777777" w:rsidR="00305342" w:rsidRDefault="00C04DF6">
      <w:pPr>
        <w:pStyle w:val="Heading2"/>
      </w:pPr>
      <w:bookmarkStart w:id="30" w:name="_ggc57xdjb28d" w:colFirst="0" w:colLast="0"/>
      <w:bookmarkStart w:id="31" w:name="_Toc146898602"/>
      <w:bookmarkEnd w:id="30"/>
      <w:r>
        <w:t>7.1. Recommendation for Mandarin Oriental Hotel Group</w:t>
      </w:r>
      <w:bookmarkEnd w:id="31"/>
    </w:p>
    <w:p w14:paraId="105D5C25" w14:textId="77777777" w:rsidR="00305342" w:rsidRDefault="00C04D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For Mandarin Oriental Hotel Group, it is recommended to grow decisively into rising extravagance markets while building up sustainability practices (Anthonisz, 2021). Mandarin Oriental Hotel Group ought to grow conclusively into rising luxury markets while simultaneously reinforcing sustainability practices to meet advancing consumer assumptions and improve its competitive advantage.</w:t>
      </w:r>
    </w:p>
    <w:p w14:paraId="68A49E41" w14:textId="77777777" w:rsidR="00305342" w:rsidRDefault="00C04DF6">
      <w:pPr>
        <w:pStyle w:val="Heading2"/>
      </w:pPr>
      <w:bookmarkStart w:id="32" w:name="_mgpmpwv4p6nz" w:colFirst="0" w:colLast="0"/>
      <w:bookmarkStart w:id="33" w:name="_Toc146898603"/>
      <w:bookmarkEnd w:id="32"/>
      <w:r>
        <w:t>7.2. Recommendation for Premier Inn</w:t>
      </w:r>
      <w:bookmarkEnd w:id="33"/>
    </w:p>
    <w:p w14:paraId="0E5800E7" w14:textId="77777777" w:rsidR="00305342" w:rsidRDefault="00C04DF6">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highlight w:val="white"/>
        </w:rPr>
        <w:t>For Premier Inn, the recommendation is to keep growing in both metropolitan and accommodations objections, focus on innovation improvements, and impart sustainability drives to budget-conscious travelers (Singh, and Goel, 2021). Premier Inn ought to keep up with its growth momentum in both metropolitan and leisure destinations, with a solid spotlight on mechanical upgrades to further develop visitor encounters. Furthermore, compelling communication of its sustainability drives is fundamental for thrifty guests' trust and devotion.</w:t>
      </w:r>
    </w:p>
    <w:p w14:paraId="612756DD" w14:textId="77777777" w:rsidR="00305342" w:rsidRDefault="00C04DF6">
      <w:pPr>
        <w:pStyle w:val="Heading1"/>
      </w:pPr>
      <w:bookmarkStart w:id="34" w:name="_wh7z7p21fi7f" w:colFirst="0" w:colLast="0"/>
      <w:bookmarkStart w:id="35" w:name="_Toc146898604"/>
      <w:bookmarkEnd w:id="34"/>
      <w:r>
        <w:t>8. Conclusion</w:t>
      </w:r>
      <w:bookmarkEnd w:id="35"/>
    </w:p>
    <w:p w14:paraId="3D3C37EC" w14:textId="77777777" w:rsidR="00305342" w:rsidRDefault="00C04DF6">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highlight w:val="white"/>
        </w:rPr>
        <w:t xml:space="preserve">In conclusion, the analysis of Mandarin Oriental Hotel Group and Premier Inn highlights their distinctive financial strategies and market positions. Mandarin Oriental spotlights luxury </w:t>
      </w:r>
      <w:r>
        <w:rPr>
          <w:rFonts w:ascii="Times New Roman" w:eastAsia="Times New Roman" w:hAnsi="Times New Roman" w:cs="Times New Roman"/>
          <w:sz w:val="24"/>
          <w:szCs w:val="24"/>
          <w:highlight w:val="white"/>
        </w:rPr>
        <w:lastRenderedPageBreak/>
        <w:t>expansion, while Premier Inn succeeds in budget-friendly accommodations. The two organizations display solid commitments to CSR. Recommendations incorporate Mandarin Oriental extending in a calculated way and focusing on sustainability, while Premier Inn ought to proceed with its expansion, improve innovation, and impart sustainability endeavors. These insights emphasize the significance of aligning strategies with market segments and advancing consumer expectations for sustained success inside the dynamic hospitality industry landscape.</w:t>
      </w:r>
    </w:p>
    <w:p w14:paraId="4A3A3831" w14:textId="77777777" w:rsidR="00305342" w:rsidRDefault="00C04DF6">
      <w:pPr>
        <w:spacing w:line="360" w:lineRule="auto"/>
        <w:jc w:val="both"/>
        <w:rPr>
          <w:rFonts w:ascii="Times New Roman" w:eastAsia="Times New Roman" w:hAnsi="Times New Roman" w:cs="Times New Roman"/>
          <w:sz w:val="24"/>
          <w:szCs w:val="24"/>
        </w:rPr>
      </w:pPr>
      <w:r>
        <w:br w:type="page"/>
      </w:r>
    </w:p>
    <w:p w14:paraId="368A9960" w14:textId="77777777" w:rsidR="00305342" w:rsidRDefault="00C04DF6">
      <w:pPr>
        <w:pStyle w:val="Heading1"/>
      </w:pPr>
      <w:bookmarkStart w:id="36" w:name="_ya8ocjo2cp9n" w:colFirst="0" w:colLast="0"/>
      <w:bookmarkStart w:id="37" w:name="_Toc146898605"/>
      <w:bookmarkEnd w:id="36"/>
      <w:r>
        <w:lastRenderedPageBreak/>
        <w:t>Reference List</w:t>
      </w:r>
      <w:bookmarkEnd w:id="37"/>
    </w:p>
    <w:p w14:paraId="7E2ACF17"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4B578FAE"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Agbaglo, E. and Afful, J.B.A., 2023. Sociolinguistics of Names of Hotels in Accra: A Linguistic Landscape Perspective. </w:t>
      </w:r>
      <w:r>
        <w:rPr>
          <w:rFonts w:ascii="Times New Roman" w:eastAsia="Times New Roman" w:hAnsi="Times New Roman" w:cs="Times New Roman"/>
          <w:i/>
          <w:sz w:val="24"/>
          <w:szCs w:val="24"/>
        </w:rPr>
        <w:t>Linguistics Initiative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pp.1-16.</w:t>
      </w:r>
    </w:p>
    <w:p w14:paraId="792FD675"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Ali, A., Egan, D., Haynes, N., Holland, C. and Martin, E., 2020. The Future of Hospitality Management Education.</w:t>
      </w:r>
    </w:p>
    <w:p w14:paraId="3B4334F3"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Anthonisz, A., 2021. </w:t>
      </w:r>
      <w:r>
        <w:rPr>
          <w:rFonts w:ascii="Times New Roman" w:eastAsia="Times New Roman" w:hAnsi="Times New Roman" w:cs="Times New Roman"/>
          <w:i/>
          <w:sz w:val="24"/>
          <w:szCs w:val="24"/>
        </w:rPr>
        <w:t>Strategic Alignment or Non-alignment; The Management of Human Capital in 5-star Hotels in Dubai</w:t>
      </w:r>
      <w:r>
        <w:rPr>
          <w:rFonts w:ascii="Times New Roman" w:eastAsia="Times New Roman" w:hAnsi="Times New Roman" w:cs="Times New Roman"/>
          <w:sz w:val="24"/>
          <w:szCs w:val="24"/>
        </w:rPr>
        <w:t xml:space="preserve"> (Doctoral dissertation, University of Derby (United Kingdom)).</w:t>
      </w:r>
    </w:p>
    <w:p w14:paraId="1C531E3A"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Ball, S., 2021. Contemporary Hospitality &amp; Tourism.</w:t>
      </w:r>
    </w:p>
    <w:p w14:paraId="3BBB69A4"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Çeltek, E., 2023. Augmented reality and virtual reality in tourism. In </w:t>
      </w:r>
      <w:r>
        <w:rPr>
          <w:rFonts w:ascii="Times New Roman" w:eastAsia="Times New Roman" w:hAnsi="Times New Roman" w:cs="Times New Roman"/>
          <w:i/>
          <w:sz w:val="24"/>
          <w:szCs w:val="24"/>
        </w:rPr>
        <w:t>Routledge Handbook of Trends and Issues in Tourism Sustainability, Planning and Development, Management, and Technology</w:t>
      </w:r>
      <w:r>
        <w:rPr>
          <w:rFonts w:ascii="Times New Roman" w:eastAsia="Times New Roman" w:hAnsi="Times New Roman" w:cs="Times New Roman"/>
          <w:sz w:val="24"/>
          <w:szCs w:val="24"/>
        </w:rPr>
        <w:t xml:space="preserve"> (pp. 326-341). Routledge.</w:t>
      </w:r>
    </w:p>
    <w:p w14:paraId="1FD098DD"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Chon, K., 2019. </w:t>
      </w:r>
      <w:r>
        <w:rPr>
          <w:rFonts w:ascii="Times New Roman" w:eastAsia="Times New Roman" w:hAnsi="Times New Roman" w:cs="Times New Roman"/>
          <w:i/>
          <w:sz w:val="24"/>
          <w:szCs w:val="24"/>
        </w:rPr>
        <w:t>Hospitality in Asia: A new paradigm</w:t>
      </w:r>
      <w:r>
        <w:rPr>
          <w:rFonts w:ascii="Times New Roman" w:eastAsia="Times New Roman" w:hAnsi="Times New Roman" w:cs="Times New Roman"/>
          <w:sz w:val="24"/>
          <w:szCs w:val="24"/>
        </w:rPr>
        <w:t>. Routledge.</w:t>
      </w:r>
    </w:p>
    <w:p w14:paraId="2085196C"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Custer, S., Baehr, A., Burgess, B., Dumont, E., Mathew, D. and Hutchinson, A., 2022. Winning the Narrative: How China and Russia Wield Strategic Communications to Advance Their Goals.</w:t>
      </w:r>
    </w:p>
    <w:p w14:paraId="2D2D147C"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Foskett, D., Paskins, P., Pennington, A. and Rippington, N., 2021. </w:t>
      </w:r>
      <w:r>
        <w:rPr>
          <w:rFonts w:ascii="Times New Roman" w:eastAsia="Times New Roman" w:hAnsi="Times New Roman" w:cs="Times New Roman"/>
          <w:i/>
          <w:sz w:val="24"/>
          <w:szCs w:val="24"/>
        </w:rPr>
        <w:t>The theory of hospitality and catering</w:t>
      </w:r>
      <w:r>
        <w:rPr>
          <w:rFonts w:ascii="Times New Roman" w:eastAsia="Times New Roman" w:hAnsi="Times New Roman" w:cs="Times New Roman"/>
          <w:sz w:val="24"/>
          <w:szCs w:val="24"/>
        </w:rPr>
        <w:t>. Hachette UK.</w:t>
      </w:r>
    </w:p>
    <w:p w14:paraId="3577A121"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Gibson, S., 2021. Technology for Spas, Salons, and Wellness Centers. </w:t>
      </w:r>
      <w:r>
        <w:rPr>
          <w:rFonts w:ascii="Times New Roman" w:eastAsia="Times New Roman" w:hAnsi="Times New Roman" w:cs="Times New Roman"/>
          <w:i/>
          <w:sz w:val="24"/>
          <w:szCs w:val="24"/>
        </w:rPr>
        <w:t>University of South Florida (USF) M3 Publishing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(9781732127593), p.9.</w:t>
      </w:r>
    </w:p>
    <w:p w14:paraId="496D3EC9"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Grace Mensah-kufuor, A., 2020. </w:t>
      </w:r>
      <w:r>
        <w:rPr>
          <w:rFonts w:ascii="Times New Roman" w:eastAsia="Times New Roman" w:hAnsi="Times New Roman" w:cs="Times New Roman"/>
          <w:i/>
          <w:sz w:val="24"/>
          <w:szCs w:val="24"/>
        </w:rPr>
        <w:t>Employee-guest interface in service failure recovery episodes in upscale hotels in the Accra metropolis</w:t>
      </w:r>
      <w:r>
        <w:rPr>
          <w:rFonts w:ascii="Times New Roman" w:eastAsia="Times New Roman" w:hAnsi="Times New Roman" w:cs="Times New Roman"/>
          <w:sz w:val="24"/>
          <w:szCs w:val="24"/>
        </w:rPr>
        <w:t xml:space="preserve"> (Doctoral dissertation, University of Cape coast).</w:t>
      </w:r>
    </w:p>
    <w:p w14:paraId="7F0E9003"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Hardesty, S., Leff, P. and George, H., 2019. Expanding Agritourism I n Butte County, California 3. </w:t>
      </w:r>
      <w:r>
        <w:rPr>
          <w:rFonts w:ascii="Times New Roman" w:eastAsia="Times New Roman" w:hAnsi="Times New Roman" w:cs="Times New Roman"/>
          <w:i/>
          <w:sz w:val="24"/>
          <w:szCs w:val="24"/>
        </w:rPr>
        <w:t>Innovative and Promising Practices in Sustainable Tourism</w:t>
      </w:r>
      <w:r>
        <w:rPr>
          <w:rFonts w:ascii="Times New Roman" w:eastAsia="Times New Roman" w:hAnsi="Times New Roman" w:cs="Times New Roman"/>
          <w:sz w:val="24"/>
          <w:szCs w:val="24"/>
        </w:rPr>
        <w:t>, p.58.</w:t>
      </w:r>
    </w:p>
    <w:p w14:paraId="6CB7D1FA"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Kaliappen, N. and Hassan, A., 2022. Digital Trends in Asian Hotel Industry. In </w:t>
      </w:r>
      <w:r>
        <w:rPr>
          <w:rFonts w:ascii="Times New Roman" w:eastAsia="Times New Roman" w:hAnsi="Times New Roman" w:cs="Times New Roman"/>
          <w:i/>
          <w:sz w:val="24"/>
          <w:szCs w:val="24"/>
        </w:rPr>
        <w:t>Technology Application in Tourism in Asia: Innovations, Theories and Practices</w:t>
      </w:r>
      <w:r>
        <w:rPr>
          <w:rFonts w:ascii="Times New Roman" w:eastAsia="Times New Roman" w:hAnsi="Times New Roman" w:cs="Times New Roman"/>
          <w:sz w:val="24"/>
          <w:szCs w:val="24"/>
        </w:rPr>
        <w:t xml:space="preserve"> (pp. 147-163). Singapore: Springer Nature Singapore.</w:t>
      </w:r>
    </w:p>
    <w:p w14:paraId="62FF4CA5"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LaPierre, T., 2020. An analysis of heritage in tourist brochures, Halifax, Nova Scotia, 2019.</w:t>
      </w:r>
    </w:p>
    <w:p w14:paraId="772C3446"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Lazarus, L., 2023. Red Flags Among Golden Passports: An Analysis of Chinese Influence In Five Caribbean Citizenship By Investment Programs.</w:t>
      </w:r>
    </w:p>
    <w:p w14:paraId="75DE5591"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Lin, P.M., Qiu Zhang, H., Hung, K., Lin, B. and Fan, D.X., 2019. Stakeholders’ views of travelers’ choice of Airbnb.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(9), pp.1037-1049.</w:t>
      </w:r>
    </w:p>
    <w:p w14:paraId="6D858A7E"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Marcella, J., 2022. Presenting Prague: Visions of a City through Western Guidebooks.</w:t>
      </w:r>
    </w:p>
    <w:p w14:paraId="371EF67D"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Mourmoura, M., 2020. The use of smartphones applications for customer service purposes.</w:t>
      </w:r>
    </w:p>
    <w:p w14:paraId="39E2F6D9" w14:textId="77777777" w:rsidR="00305342" w:rsidRDefault="00C04DF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Singh, V.B. and Goel, S.K., 2021. Growth of the Indian Tourism and Hospitality Industry. </w:t>
      </w:r>
      <w:r>
        <w:rPr>
          <w:rFonts w:ascii="Times New Roman" w:eastAsia="Times New Roman" w:hAnsi="Times New Roman" w:cs="Times New Roman"/>
          <w:i/>
          <w:sz w:val="24"/>
          <w:szCs w:val="24"/>
        </w:rPr>
        <w:t>Turkish Online Journal of Qualitative Inquiry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(7).</w:t>
      </w:r>
    </w:p>
    <w:p w14:paraId="5324A9B7" w14:textId="77777777" w:rsidR="00305342" w:rsidRDefault="00C04DF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Valenzi, A., 2019. Luxury hôtellerie: a study of the new high end hospitality trends.</w:t>
      </w:r>
    </w:p>
    <w:p w14:paraId="408FA4E0" w14:textId="77777777" w:rsidR="00305342" w:rsidRDefault="00C04D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Zhang, J., 2020. </w:t>
      </w:r>
      <w:r>
        <w:rPr>
          <w:rFonts w:ascii="Times New Roman" w:eastAsia="Times New Roman" w:hAnsi="Times New Roman" w:cs="Times New Roman"/>
          <w:i/>
          <w:sz w:val="24"/>
          <w:szCs w:val="24"/>
        </w:rPr>
        <w:t>An investigation of the structural relationships among employee autonomous motivation, job performance, and satisfaction at international hotel chains in China</w:t>
      </w:r>
      <w:r>
        <w:rPr>
          <w:rFonts w:ascii="Times New Roman" w:eastAsia="Times New Roman" w:hAnsi="Times New Roman" w:cs="Times New Roman"/>
          <w:sz w:val="24"/>
          <w:szCs w:val="24"/>
        </w:rPr>
        <w:t xml:space="preserve"> (Doctoral dissertation, University of Plymouth).</w:t>
      </w:r>
    </w:p>
    <w:p w14:paraId="61B50595" w14:textId="77777777" w:rsidR="00305342" w:rsidRDefault="00C04DF6">
      <w:pPr>
        <w:spacing w:line="360" w:lineRule="auto"/>
        <w:jc w:val="both"/>
        <w:rPr>
          <w:rFonts w:ascii="Times New Roman" w:eastAsia="Times New Roman" w:hAnsi="Times New Roman" w:cs="Times New Roman"/>
          <w:sz w:val="24"/>
          <w:szCs w:val="24"/>
        </w:rPr>
      </w:pPr>
      <w:r>
        <w:br w:type="page"/>
      </w:r>
    </w:p>
    <w:p w14:paraId="78A407A8" w14:textId="77777777" w:rsidR="00305342" w:rsidRDefault="00C04DF6">
      <w:pPr>
        <w:pStyle w:val="Heading1"/>
      </w:pPr>
      <w:bookmarkStart w:id="38" w:name="_ise0l331j6tp" w:colFirst="0" w:colLast="0"/>
      <w:bookmarkStart w:id="39" w:name="_Toc146898606"/>
      <w:bookmarkEnd w:id="38"/>
      <w:r>
        <w:lastRenderedPageBreak/>
        <w:t>Appendices</w:t>
      </w:r>
      <w:bookmarkEnd w:id="39"/>
    </w:p>
    <w:p w14:paraId="47C6B2C3"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Financial Statement of Mandarin Oriental International Limited.</w:t>
      </w:r>
    </w:p>
    <w:p w14:paraId="2CC4D110"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3397C854" wp14:editId="60ED1162">
            <wp:extent cx="5943600" cy="35306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3530600"/>
                    </a:xfrm>
                    <a:prstGeom prst="rect">
                      <a:avLst/>
                    </a:prstGeom>
                    <a:ln/>
                  </pic:spPr>
                </pic:pic>
              </a:graphicData>
            </a:graphic>
          </wp:inline>
        </w:drawing>
      </w:r>
    </w:p>
    <w:p w14:paraId="15950DB6"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https://finance.yahoo.com/)</w:t>
      </w:r>
    </w:p>
    <w:p w14:paraId="123BA9C1" w14:textId="77777777" w:rsidR="00305342" w:rsidRDefault="00C04DF6">
      <w:pPr>
        <w:spacing w:line="360" w:lineRule="auto"/>
        <w:jc w:val="center"/>
        <w:rPr>
          <w:rFonts w:ascii="Times New Roman" w:eastAsia="Times New Roman" w:hAnsi="Times New Roman" w:cs="Times New Roman"/>
          <w:sz w:val="24"/>
          <w:szCs w:val="24"/>
        </w:rPr>
      </w:pPr>
      <w:r>
        <w:br w:type="page"/>
      </w:r>
    </w:p>
    <w:p w14:paraId="15EC1227" w14:textId="77777777" w:rsidR="00305342" w:rsidRDefault="00C04D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2: Financial Statement of Premier Inn.</w:t>
      </w:r>
    </w:p>
    <w:p w14:paraId="1C812F1F"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01C0D8C3" wp14:editId="5E48637D">
            <wp:extent cx="5943600" cy="36576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3657600"/>
                    </a:xfrm>
                    <a:prstGeom prst="rect">
                      <a:avLst/>
                    </a:prstGeom>
                    <a:ln/>
                  </pic:spPr>
                </pic:pic>
              </a:graphicData>
            </a:graphic>
          </wp:inline>
        </w:drawing>
      </w:r>
    </w:p>
    <w:p w14:paraId="22F980A5" w14:textId="77777777" w:rsidR="00305342" w:rsidRDefault="00C04D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https://finance.yahoo.com/)</w:t>
      </w:r>
    </w:p>
    <w:sectPr w:rsidR="00305342" w:rsidSect="00320022">
      <w:footerReference w:type="default" r:id="rId15"/>
      <w:foot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04D0B" w14:textId="77777777" w:rsidR="0072346B" w:rsidRDefault="0072346B">
      <w:pPr>
        <w:spacing w:line="240" w:lineRule="auto"/>
      </w:pPr>
      <w:r>
        <w:separator/>
      </w:r>
    </w:p>
  </w:endnote>
  <w:endnote w:type="continuationSeparator" w:id="0">
    <w:p w14:paraId="1182C3F4" w14:textId="77777777" w:rsidR="0072346B" w:rsidRDefault="007234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59ECC" w14:textId="77777777" w:rsidR="00305342" w:rsidRDefault="00C04DF6">
    <w:pPr>
      <w:jc w:val="right"/>
    </w:pPr>
    <w:r>
      <w:fldChar w:fldCharType="begin"/>
    </w:r>
    <w:r>
      <w:instrText>PAGE</w:instrText>
    </w:r>
    <w:r>
      <w:fldChar w:fldCharType="separate"/>
    </w:r>
    <w:r w:rsidR="00BB5FA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DC356" w14:textId="77777777" w:rsidR="00305342" w:rsidRDefault="003053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63EC1" w14:textId="77777777" w:rsidR="0072346B" w:rsidRDefault="0072346B">
      <w:pPr>
        <w:spacing w:line="240" w:lineRule="auto"/>
      </w:pPr>
      <w:r>
        <w:separator/>
      </w:r>
    </w:p>
  </w:footnote>
  <w:footnote w:type="continuationSeparator" w:id="0">
    <w:p w14:paraId="59AFA66E" w14:textId="77777777" w:rsidR="0072346B" w:rsidRDefault="0072346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342"/>
    <w:rsid w:val="000866F3"/>
    <w:rsid w:val="000B1655"/>
    <w:rsid w:val="002D1FB2"/>
    <w:rsid w:val="00305342"/>
    <w:rsid w:val="00320022"/>
    <w:rsid w:val="004B140A"/>
    <w:rsid w:val="004C4E66"/>
    <w:rsid w:val="006275FF"/>
    <w:rsid w:val="0072346B"/>
    <w:rsid w:val="008378FC"/>
    <w:rsid w:val="00973482"/>
    <w:rsid w:val="00A21C49"/>
    <w:rsid w:val="00BB5FA5"/>
    <w:rsid w:val="00C04DF6"/>
    <w:rsid w:val="00EB128D"/>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E760D"/>
  <w15:docId w15:val="{215C6F8B-D05B-4348-AF6C-7EE8365EC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i/>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2002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0022"/>
    <w:pPr>
      <w:spacing w:after="100"/>
    </w:pPr>
  </w:style>
  <w:style w:type="paragraph" w:styleId="TOC2">
    <w:name w:val="toc 2"/>
    <w:basedOn w:val="Normal"/>
    <w:next w:val="Normal"/>
    <w:autoRedefine/>
    <w:uiPriority w:val="39"/>
    <w:unhideWhenUsed/>
    <w:rsid w:val="00320022"/>
    <w:pPr>
      <w:spacing w:after="100"/>
      <w:ind w:left="220"/>
    </w:pPr>
  </w:style>
  <w:style w:type="character" w:styleId="Hyperlink">
    <w:name w:val="Hyperlink"/>
    <w:basedOn w:val="DefaultParagraphFont"/>
    <w:uiPriority w:val="99"/>
    <w:unhideWhenUsed/>
    <w:rsid w:val="003200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1D6E4-2026-466B-9413-3750076F4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3032</Words>
  <Characters>17284</Characters>
  <Application>Microsoft Office Word</Application>
  <DocSecurity>0</DocSecurity>
  <Lines>144</Lines>
  <Paragraphs>40</Paragraphs>
  <ScaleCrop>false</ScaleCrop>
  <Company/>
  <LinksUpToDate>false</LinksUpToDate>
  <CharactersWithSpaces>20276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Mubeen Rashid</cp:lastModifiedBy>
  <cp:revision>3</cp:revision>
  <dcterms:created xsi:type="dcterms:W3CDTF">2023-10-10T11:23:00Z</dcterms:created>
  <dcterms:modified xsi:type="dcterms:W3CDTF">2023-10-17T20:40:00Z</dcterms:modified>
</cp:coreProperties>
</file>