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FB4A74" w:rsidRPr="00703C91" w:rsidRDefault="00FB4A74">
      <w:pPr>
        <w:spacing w:line="480" w:lineRule="auto"/>
        <w:rPr>
          <w:rFonts w:ascii="Times New Roman" w:eastAsia="Times New Roman" w:hAnsi="Times New Roman" w:cs="Times New Roman"/>
          <w:sz w:val="24"/>
          <w:szCs w:val="24"/>
          <w:lang w:val="bg-BG"/>
        </w:rPr>
      </w:pPr>
    </w:p>
    <w:p w14:paraId="00000002" w14:textId="77777777" w:rsidR="00FB4A74" w:rsidRDefault="00FB4A74">
      <w:pPr>
        <w:spacing w:line="480" w:lineRule="auto"/>
        <w:rPr>
          <w:rFonts w:ascii="Times New Roman" w:eastAsia="Times New Roman" w:hAnsi="Times New Roman" w:cs="Times New Roman"/>
          <w:sz w:val="24"/>
          <w:szCs w:val="24"/>
        </w:rPr>
      </w:pPr>
    </w:p>
    <w:p w14:paraId="00000003" w14:textId="77777777" w:rsidR="00FB4A74" w:rsidRDefault="00FB4A74">
      <w:pPr>
        <w:spacing w:line="480" w:lineRule="auto"/>
        <w:rPr>
          <w:rFonts w:ascii="Times New Roman" w:eastAsia="Times New Roman" w:hAnsi="Times New Roman" w:cs="Times New Roman"/>
          <w:sz w:val="24"/>
          <w:szCs w:val="24"/>
        </w:rPr>
      </w:pPr>
      <w:bookmarkStart w:id="0" w:name="_gjdgxs" w:colFirst="0" w:colLast="0"/>
      <w:bookmarkEnd w:id="0"/>
    </w:p>
    <w:p w14:paraId="00000006" w14:textId="77777777" w:rsidR="00FB4A74" w:rsidRDefault="00FB4A74">
      <w:pPr>
        <w:spacing w:line="480" w:lineRule="auto"/>
        <w:rPr>
          <w:rFonts w:ascii="Times New Roman" w:eastAsia="Times New Roman" w:hAnsi="Times New Roman" w:cs="Times New Roman"/>
          <w:sz w:val="24"/>
          <w:szCs w:val="24"/>
        </w:rPr>
      </w:pPr>
    </w:p>
    <w:p w14:paraId="00000007" w14:textId="77777777" w:rsidR="00FB4A74" w:rsidRDefault="00FB4A74">
      <w:pPr>
        <w:spacing w:line="480" w:lineRule="auto"/>
        <w:rPr>
          <w:rFonts w:ascii="Times New Roman" w:eastAsia="Times New Roman" w:hAnsi="Times New Roman" w:cs="Times New Roman"/>
          <w:sz w:val="24"/>
          <w:szCs w:val="24"/>
        </w:rPr>
      </w:pPr>
    </w:p>
    <w:p w14:paraId="00000008" w14:textId="77777777" w:rsidR="00FB4A74" w:rsidRDefault="0000000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SHELL’S INTERNATIONAL FINANCIAL MANAGEMENT</w:t>
      </w:r>
    </w:p>
    <w:p w14:paraId="3C0750D5" w14:textId="77777777" w:rsidR="00703C91" w:rsidRDefault="00703C91" w:rsidP="00703C91">
      <w:pPr>
        <w:pStyle w:val="Body"/>
        <w:widowControl/>
        <w:spacing w:after="240" w:line="288" w:lineRule="auto"/>
        <w:jc w:val="center"/>
        <w:rPr>
          <w:b/>
          <w:bCs/>
          <w:lang w:val="bg-BG"/>
        </w:rPr>
      </w:pPr>
    </w:p>
    <w:p w14:paraId="54B2B60E" w14:textId="77777777" w:rsidR="00703C91" w:rsidRDefault="00703C91" w:rsidP="00703C91">
      <w:pPr>
        <w:pStyle w:val="Body"/>
        <w:widowControl/>
        <w:spacing w:after="240" w:line="288" w:lineRule="auto"/>
        <w:jc w:val="center"/>
        <w:rPr>
          <w:b/>
          <w:bCs/>
          <w:lang w:val="bg-BG"/>
        </w:rPr>
      </w:pPr>
    </w:p>
    <w:p w14:paraId="4760307F" w14:textId="7FB4C33B" w:rsidR="00703C91" w:rsidRDefault="00703C91" w:rsidP="00703C91">
      <w:pPr>
        <w:pStyle w:val="Body"/>
        <w:widowControl/>
        <w:spacing w:after="240" w:line="288" w:lineRule="auto"/>
        <w:jc w:val="center"/>
      </w:pPr>
      <w:r>
        <w:rPr>
          <w:b/>
          <w:bCs/>
          <w:lang w:val="bg-BG"/>
        </w:rPr>
        <w:t xml:space="preserve"> </w:t>
      </w:r>
      <w:r>
        <w:rPr>
          <w:b/>
          <w:bCs/>
          <w:lang w:val="en-US"/>
        </w:rPr>
        <w:t>Stefan Zlatev 2029265</w:t>
      </w:r>
    </w:p>
    <w:p w14:paraId="5031630F" w14:textId="77777777" w:rsidR="00703C91" w:rsidRDefault="00703C91" w:rsidP="00703C91">
      <w:pPr>
        <w:pStyle w:val="Body"/>
        <w:widowControl/>
        <w:spacing w:after="240" w:line="288" w:lineRule="auto"/>
        <w:jc w:val="center"/>
        <w:rPr>
          <w:b/>
          <w:bCs/>
        </w:rPr>
      </w:pPr>
      <w:r>
        <w:rPr>
          <w:b/>
          <w:bCs/>
          <w:lang w:val="en-US"/>
        </w:rPr>
        <w:t>University of Wales /Trinity Saint David</w:t>
      </w:r>
    </w:p>
    <w:p w14:paraId="11B21802" w14:textId="77777777" w:rsidR="00703C91" w:rsidRDefault="00703C91" w:rsidP="00703C91">
      <w:pPr>
        <w:pStyle w:val="Body"/>
        <w:widowControl/>
        <w:spacing w:after="240" w:line="288" w:lineRule="auto"/>
        <w:jc w:val="center"/>
        <w:rPr>
          <w:b/>
          <w:bCs/>
        </w:rPr>
      </w:pPr>
      <w:r>
        <w:rPr>
          <w:b/>
          <w:bCs/>
          <w:lang w:val="it-IT"/>
        </w:rPr>
        <w:t>London Campus</w:t>
      </w:r>
    </w:p>
    <w:p w14:paraId="784FCB3B" w14:textId="77777777" w:rsidR="00703C91" w:rsidRDefault="00703C91" w:rsidP="00703C91">
      <w:pPr>
        <w:pStyle w:val="Body"/>
        <w:widowControl/>
        <w:spacing w:after="240" w:line="288" w:lineRule="auto"/>
        <w:jc w:val="center"/>
        <w:rPr>
          <w:b/>
          <w:bCs/>
        </w:rPr>
      </w:pPr>
      <w:r>
        <w:rPr>
          <w:b/>
          <w:bCs/>
          <w:lang w:val="en-US"/>
        </w:rPr>
        <w:t xml:space="preserve">BA(Hons) Business Management </w:t>
      </w:r>
      <w:r>
        <w:rPr>
          <w:b/>
          <w:bCs/>
        </w:rPr>
        <w:t xml:space="preserve"> </w:t>
      </w:r>
    </w:p>
    <w:p w14:paraId="283493B7" w14:textId="040F83F1" w:rsidR="00703C91" w:rsidRDefault="00703C91" w:rsidP="00703C91">
      <w:pPr>
        <w:pStyle w:val="Body"/>
        <w:widowControl/>
        <w:spacing w:after="240" w:line="288" w:lineRule="auto"/>
        <w:jc w:val="center"/>
        <w:rPr>
          <w:b/>
          <w:bCs/>
        </w:rPr>
      </w:pPr>
      <w:r>
        <w:rPr>
          <w:b/>
          <w:bCs/>
        </w:rPr>
        <w:t xml:space="preserve">International Financial Management </w:t>
      </w:r>
    </w:p>
    <w:p w14:paraId="0413A1EF" w14:textId="5BD50AB6" w:rsidR="00703C91" w:rsidRDefault="00703C91" w:rsidP="00703C91">
      <w:pPr>
        <w:pStyle w:val="Body"/>
        <w:widowControl/>
        <w:spacing w:after="240" w:line="288" w:lineRule="auto"/>
        <w:jc w:val="center"/>
        <w:rPr>
          <w:b/>
          <w:bCs/>
        </w:rPr>
      </w:pPr>
      <w:r>
        <w:rPr>
          <w:b/>
          <w:bCs/>
          <w:lang w:val="en-US"/>
        </w:rPr>
        <w:t xml:space="preserve">Assignment </w:t>
      </w:r>
      <w:r>
        <w:rPr>
          <w:b/>
          <w:bCs/>
          <w:lang w:val="en-US"/>
        </w:rPr>
        <w:t>1</w:t>
      </w:r>
      <w:r>
        <w:rPr>
          <w:b/>
          <w:bCs/>
          <w:lang w:val="en-US"/>
        </w:rPr>
        <w:t xml:space="preserve"> LCBB</w:t>
      </w:r>
      <w:r>
        <w:rPr>
          <w:b/>
          <w:bCs/>
          <w:lang w:val="en-US"/>
        </w:rPr>
        <w:t>6</w:t>
      </w:r>
      <w:r>
        <w:rPr>
          <w:b/>
          <w:bCs/>
          <w:lang w:val="en-US"/>
        </w:rPr>
        <w:t>00</w:t>
      </w:r>
      <w:r>
        <w:rPr>
          <w:b/>
          <w:bCs/>
          <w:lang w:val="en-US"/>
        </w:rPr>
        <w:t>2</w:t>
      </w:r>
    </w:p>
    <w:p w14:paraId="00000009" w14:textId="0D0B95BD" w:rsidR="00FB4A74" w:rsidRDefault="00FB4A74">
      <w:pPr>
        <w:spacing w:line="480" w:lineRule="auto"/>
        <w:jc w:val="center"/>
        <w:rPr>
          <w:rFonts w:ascii="Times New Roman" w:eastAsia="Times New Roman" w:hAnsi="Times New Roman" w:cs="Times New Roman"/>
          <w:sz w:val="24"/>
          <w:szCs w:val="24"/>
        </w:rPr>
      </w:pPr>
    </w:p>
    <w:p w14:paraId="0000000F" w14:textId="77777777" w:rsidR="00FB4A74" w:rsidRDefault="00FB4A74">
      <w:pPr>
        <w:spacing w:line="480" w:lineRule="auto"/>
        <w:rPr>
          <w:rFonts w:ascii="Times New Roman" w:eastAsia="Times New Roman" w:hAnsi="Times New Roman" w:cs="Times New Roman"/>
          <w:sz w:val="24"/>
          <w:szCs w:val="24"/>
        </w:rPr>
      </w:pPr>
    </w:p>
    <w:p w14:paraId="00000010" w14:textId="77777777" w:rsidR="00FB4A74" w:rsidRDefault="00000000">
      <w:pPr>
        <w:spacing w:line="480" w:lineRule="auto"/>
        <w:rPr>
          <w:rFonts w:ascii="Times New Roman" w:eastAsia="Times New Roman" w:hAnsi="Times New Roman" w:cs="Times New Roman"/>
          <w:sz w:val="24"/>
          <w:szCs w:val="24"/>
        </w:rPr>
      </w:pPr>
      <w:r>
        <w:br w:type="page"/>
      </w:r>
    </w:p>
    <w:p w14:paraId="00000011" w14:textId="77777777" w:rsidR="00FB4A74"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32"/>
          <w:szCs w:val="32"/>
        </w:rPr>
        <w:lastRenderedPageBreak/>
        <w:t>Table of contents</w:t>
      </w:r>
    </w:p>
    <w:sdt>
      <w:sdtPr>
        <w:id w:val="-52315693"/>
        <w:docPartObj>
          <w:docPartGallery w:val="Table of Contents"/>
          <w:docPartUnique/>
        </w:docPartObj>
      </w:sdtPr>
      <w:sdtContent>
        <w:p w14:paraId="00000012" w14:textId="77777777" w:rsidR="00FB4A74" w:rsidRDefault="00000000">
          <w:pPr>
            <w:widowControl w:val="0"/>
            <w:tabs>
              <w:tab w:val="right" w:leader="dot" w:pos="12000"/>
            </w:tabs>
            <w:spacing w:before="60" w:after="0" w:line="240" w:lineRule="auto"/>
            <w:rPr>
              <w:rFonts w:ascii="Times New Roman" w:eastAsia="Times New Roman" w:hAnsi="Times New Roman" w:cs="Times New Roman"/>
              <w:color w:val="000000"/>
              <w:sz w:val="24"/>
              <w:szCs w:val="24"/>
            </w:rPr>
          </w:pPr>
          <w:r>
            <w:fldChar w:fldCharType="begin"/>
          </w:r>
          <w:r>
            <w:instrText xml:space="preserve"> TOC \h \u \z \t "Heading 1,1,Heading 2,2,Heading 3,3,Heading 4,4,Heading 5,5,Heading 6,6,"</w:instrText>
          </w:r>
          <w:r>
            <w:fldChar w:fldCharType="separate"/>
          </w:r>
          <w:hyperlink w:anchor="_n9o10ww62635">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3" w14:textId="77777777" w:rsidR="00FB4A74" w:rsidRDefault="00000000">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gtmarogcgaek">
            <w:r>
              <w:rPr>
                <w:rFonts w:ascii="Times New Roman" w:eastAsia="Times New Roman" w:hAnsi="Times New Roman" w:cs="Times New Roman"/>
                <w:color w:val="000000"/>
                <w:sz w:val="24"/>
                <w:szCs w:val="24"/>
              </w:rPr>
              <w:t>Shell Plc's Dividend Distribution Policy</w:t>
            </w:r>
            <w:r>
              <w:rPr>
                <w:rFonts w:ascii="Times New Roman" w:eastAsia="Times New Roman" w:hAnsi="Times New Roman" w:cs="Times New Roman"/>
                <w:color w:val="000000"/>
                <w:sz w:val="24"/>
                <w:szCs w:val="24"/>
              </w:rPr>
              <w:tab/>
              <w:t>3</w:t>
            </w:r>
          </w:hyperlink>
        </w:p>
        <w:p w14:paraId="00000014" w14:textId="77777777" w:rsidR="00FB4A74" w:rsidRDefault="00000000">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vea3g2tyn4se">
            <w:r>
              <w:rPr>
                <w:rFonts w:ascii="Times New Roman" w:eastAsia="Times New Roman" w:hAnsi="Times New Roman" w:cs="Times New Roman"/>
                <w:color w:val="000000"/>
                <w:sz w:val="24"/>
                <w:szCs w:val="24"/>
              </w:rPr>
              <w:t>The Efficient Market Hypothesis (EMH) Theory in The Context of Shell Plc</w:t>
            </w:r>
            <w:r>
              <w:rPr>
                <w:rFonts w:ascii="Times New Roman" w:eastAsia="Times New Roman" w:hAnsi="Times New Roman" w:cs="Times New Roman"/>
                <w:color w:val="000000"/>
                <w:sz w:val="24"/>
                <w:szCs w:val="24"/>
              </w:rPr>
              <w:tab/>
              <w:t>5</w:t>
            </w:r>
          </w:hyperlink>
        </w:p>
        <w:p w14:paraId="00000015" w14:textId="77777777" w:rsidR="00FB4A74" w:rsidRDefault="00000000">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qm38g1kp42xy">
            <w:r>
              <w:rPr>
                <w:rFonts w:ascii="Times New Roman" w:eastAsia="Times New Roman" w:hAnsi="Times New Roman" w:cs="Times New Roman"/>
                <w:color w:val="000000"/>
                <w:sz w:val="24"/>
                <w:szCs w:val="24"/>
              </w:rPr>
              <w:t>Shell’s Methods of Appraising Projects</w:t>
            </w:r>
            <w:r>
              <w:rPr>
                <w:rFonts w:ascii="Times New Roman" w:eastAsia="Times New Roman" w:hAnsi="Times New Roman" w:cs="Times New Roman"/>
                <w:color w:val="000000"/>
                <w:sz w:val="24"/>
                <w:szCs w:val="24"/>
              </w:rPr>
              <w:tab/>
              <w:t>7</w:t>
            </w:r>
          </w:hyperlink>
        </w:p>
        <w:p w14:paraId="00000016" w14:textId="77777777" w:rsidR="00FB4A74" w:rsidRDefault="00000000">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4a95ix1l3v4m">
            <w:r>
              <w:rPr>
                <w:rFonts w:ascii="Times New Roman" w:eastAsia="Times New Roman" w:hAnsi="Times New Roman" w:cs="Times New Roman"/>
                <w:color w:val="000000"/>
                <w:sz w:val="24"/>
                <w:szCs w:val="24"/>
              </w:rPr>
              <w:t>Importance of International Financial Management for Shell</w:t>
            </w:r>
            <w:r>
              <w:rPr>
                <w:rFonts w:ascii="Times New Roman" w:eastAsia="Times New Roman" w:hAnsi="Times New Roman" w:cs="Times New Roman"/>
                <w:color w:val="000000"/>
                <w:sz w:val="24"/>
                <w:szCs w:val="24"/>
              </w:rPr>
              <w:tab/>
              <w:t>7</w:t>
            </w:r>
          </w:hyperlink>
        </w:p>
        <w:p w14:paraId="00000017" w14:textId="77777777" w:rsidR="00FB4A74" w:rsidRDefault="00000000">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xsqqhjbllhls">
            <w:r>
              <w:rPr>
                <w:rFonts w:ascii="Times New Roman" w:eastAsia="Times New Roman" w:hAnsi="Times New Roman" w:cs="Times New Roman"/>
                <w:color w:val="000000"/>
                <w:sz w:val="24"/>
                <w:szCs w:val="24"/>
              </w:rPr>
              <w:t>Challenges in International Financial Markets for Shell</w:t>
            </w:r>
            <w:r>
              <w:rPr>
                <w:rFonts w:ascii="Times New Roman" w:eastAsia="Times New Roman" w:hAnsi="Times New Roman" w:cs="Times New Roman"/>
                <w:color w:val="000000"/>
                <w:sz w:val="24"/>
                <w:szCs w:val="24"/>
              </w:rPr>
              <w:tab/>
              <w:t>8</w:t>
            </w:r>
          </w:hyperlink>
        </w:p>
        <w:p w14:paraId="00000018" w14:textId="77777777" w:rsidR="00FB4A74" w:rsidRDefault="00000000">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amsb87robn0q">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9</w:t>
            </w:r>
          </w:hyperlink>
        </w:p>
        <w:p w14:paraId="00000019" w14:textId="77777777" w:rsidR="00FB4A74" w:rsidRDefault="00000000">
          <w:pPr>
            <w:widowControl w:val="0"/>
            <w:tabs>
              <w:tab w:val="right" w:leader="dot" w:pos="12000"/>
            </w:tabs>
            <w:spacing w:before="60" w:after="0" w:line="240" w:lineRule="auto"/>
            <w:rPr>
              <w:rFonts w:ascii="Times New Roman" w:eastAsia="Times New Roman" w:hAnsi="Times New Roman" w:cs="Times New Roman"/>
              <w:color w:val="000000"/>
              <w:sz w:val="24"/>
              <w:szCs w:val="24"/>
            </w:rPr>
          </w:pPr>
          <w:hyperlink w:anchor="_2b874hw4l8av">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10</w:t>
            </w:r>
          </w:hyperlink>
          <w:r>
            <w:fldChar w:fldCharType="end"/>
          </w:r>
        </w:p>
      </w:sdtContent>
    </w:sdt>
    <w:p w14:paraId="0000001A" w14:textId="77777777" w:rsidR="00FB4A74" w:rsidRDefault="00FB4A74">
      <w:pPr>
        <w:spacing w:line="480" w:lineRule="auto"/>
        <w:rPr>
          <w:rFonts w:ascii="Times New Roman" w:eastAsia="Times New Roman" w:hAnsi="Times New Roman" w:cs="Times New Roman"/>
          <w:sz w:val="24"/>
          <w:szCs w:val="24"/>
        </w:rPr>
      </w:pPr>
    </w:p>
    <w:p w14:paraId="0000001B" w14:textId="77777777" w:rsidR="00FB4A74" w:rsidRDefault="00FB4A74">
      <w:pPr>
        <w:spacing w:line="480" w:lineRule="auto"/>
        <w:rPr>
          <w:rFonts w:ascii="Times New Roman" w:eastAsia="Times New Roman" w:hAnsi="Times New Roman" w:cs="Times New Roman"/>
          <w:sz w:val="24"/>
          <w:szCs w:val="24"/>
        </w:rPr>
      </w:pPr>
    </w:p>
    <w:p w14:paraId="0000001C" w14:textId="77777777" w:rsidR="00FB4A74" w:rsidRDefault="00FB4A74">
      <w:pPr>
        <w:spacing w:line="480" w:lineRule="auto"/>
        <w:rPr>
          <w:rFonts w:ascii="Times New Roman" w:eastAsia="Times New Roman" w:hAnsi="Times New Roman" w:cs="Times New Roman"/>
          <w:sz w:val="24"/>
          <w:szCs w:val="24"/>
        </w:rPr>
      </w:pPr>
    </w:p>
    <w:p w14:paraId="0000001D" w14:textId="77777777" w:rsidR="00FB4A74" w:rsidRDefault="00FB4A74">
      <w:pPr>
        <w:spacing w:line="480" w:lineRule="auto"/>
        <w:rPr>
          <w:rFonts w:ascii="Times New Roman" w:eastAsia="Times New Roman" w:hAnsi="Times New Roman" w:cs="Times New Roman"/>
          <w:sz w:val="24"/>
          <w:szCs w:val="24"/>
        </w:rPr>
      </w:pPr>
    </w:p>
    <w:p w14:paraId="0000001E" w14:textId="77777777" w:rsidR="00FB4A74" w:rsidRDefault="00FB4A74">
      <w:pPr>
        <w:spacing w:line="480" w:lineRule="auto"/>
        <w:rPr>
          <w:rFonts w:ascii="Times New Roman" w:eastAsia="Times New Roman" w:hAnsi="Times New Roman" w:cs="Times New Roman"/>
          <w:sz w:val="24"/>
          <w:szCs w:val="24"/>
        </w:rPr>
      </w:pPr>
    </w:p>
    <w:p w14:paraId="0000001F" w14:textId="77777777" w:rsidR="00FB4A74" w:rsidRDefault="00FB4A74">
      <w:pPr>
        <w:spacing w:line="480" w:lineRule="auto"/>
        <w:rPr>
          <w:rFonts w:ascii="Times New Roman" w:eastAsia="Times New Roman" w:hAnsi="Times New Roman" w:cs="Times New Roman"/>
          <w:sz w:val="24"/>
          <w:szCs w:val="24"/>
        </w:rPr>
      </w:pPr>
    </w:p>
    <w:p w14:paraId="00000020" w14:textId="77777777" w:rsidR="00FB4A74" w:rsidRDefault="00FB4A74">
      <w:pPr>
        <w:spacing w:line="480" w:lineRule="auto"/>
        <w:rPr>
          <w:rFonts w:ascii="Times New Roman" w:eastAsia="Times New Roman" w:hAnsi="Times New Roman" w:cs="Times New Roman"/>
          <w:sz w:val="24"/>
          <w:szCs w:val="24"/>
        </w:rPr>
      </w:pPr>
    </w:p>
    <w:p w14:paraId="00000021" w14:textId="77777777" w:rsidR="00FB4A74" w:rsidRDefault="00FB4A74">
      <w:pPr>
        <w:spacing w:line="480" w:lineRule="auto"/>
        <w:rPr>
          <w:rFonts w:ascii="Times New Roman" w:eastAsia="Times New Roman" w:hAnsi="Times New Roman" w:cs="Times New Roman"/>
          <w:sz w:val="24"/>
          <w:szCs w:val="24"/>
        </w:rPr>
      </w:pPr>
    </w:p>
    <w:p w14:paraId="00000022" w14:textId="77777777" w:rsidR="00FB4A74" w:rsidRDefault="00FB4A74">
      <w:pPr>
        <w:spacing w:line="480" w:lineRule="auto"/>
        <w:rPr>
          <w:rFonts w:ascii="Times New Roman" w:eastAsia="Times New Roman" w:hAnsi="Times New Roman" w:cs="Times New Roman"/>
          <w:sz w:val="24"/>
          <w:szCs w:val="24"/>
        </w:rPr>
      </w:pPr>
    </w:p>
    <w:p w14:paraId="00000023" w14:textId="77777777" w:rsidR="00FB4A74" w:rsidRDefault="00FB4A74">
      <w:pPr>
        <w:spacing w:line="480" w:lineRule="auto"/>
        <w:rPr>
          <w:rFonts w:ascii="Times New Roman" w:eastAsia="Times New Roman" w:hAnsi="Times New Roman" w:cs="Times New Roman"/>
          <w:sz w:val="24"/>
          <w:szCs w:val="24"/>
        </w:rPr>
      </w:pPr>
    </w:p>
    <w:p w14:paraId="00000024" w14:textId="77777777" w:rsidR="00FB4A74" w:rsidRDefault="00FB4A74">
      <w:pPr>
        <w:spacing w:line="480" w:lineRule="auto"/>
        <w:rPr>
          <w:rFonts w:ascii="Times New Roman" w:eastAsia="Times New Roman" w:hAnsi="Times New Roman" w:cs="Times New Roman"/>
          <w:sz w:val="24"/>
          <w:szCs w:val="24"/>
        </w:rPr>
      </w:pPr>
    </w:p>
    <w:p w14:paraId="00000025" w14:textId="77777777" w:rsidR="00FB4A74" w:rsidRDefault="00FB4A74">
      <w:pPr>
        <w:spacing w:line="480" w:lineRule="auto"/>
        <w:rPr>
          <w:rFonts w:ascii="Times New Roman" w:eastAsia="Times New Roman" w:hAnsi="Times New Roman" w:cs="Times New Roman"/>
          <w:sz w:val="24"/>
          <w:szCs w:val="24"/>
        </w:rPr>
      </w:pPr>
    </w:p>
    <w:p w14:paraId="00000026" w14:textId="77777777" w:rsidR="00FB4A74" w:rsidRDefault="00000000">
      <w:pPr>
        <w:pStyle w:val="Heading1"/>
        <w:spacing w:line="480" w:lineRule="auto"/>
        <w:jc w:val="center"/>
        <w:rPr>
          <w:rFonts w:ascii="Times New Roman" w:eastAsia="Times New Roman" w:hAnsi="Times New Roman" w:cs="Times New Roman"/>
          <w:sz w:val="32"/>
          <w:szCs w:val="32"/>
        </w:rPr>
      </w:pPr>
      <w:bookmarkStart w:id="1" w:name="_n9o10ww62635" w:colFirst="0" w:colLast="0"/>
      <w:bookmarkEnd w:id="1"/>
      <w:r>
        <w:rPr>
          <w:rFonts w:ascii="Times New Roman" w:eastAsia="Times New Roman" w:hAnsi="Times New Roman" w:cs="Times New Roman"/>
          <w:sz w:val="32"/>
          <w:szCs w:val="32"/>
        </w:rPr>
        <w:lastRenderedPageBreak/>
        <w:t>Introduction</w:t>
      </w:r>
    </w:p>
    <w:p w14:paraId="00000027"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Shell plc is a British multinational oil and gas corporation headquartered in London, England. Commonly known as Shell, the company is a public limited corporation listed on the London Stock Exchange (LSE). Besides, the company is secondarily listed on the New York Stock Exchange and Euronext Amsterdam. Shell was established in 1907 through a merger of the "Shell" Transport and Trading Company of the United Kingdom and the Royal Dutch Petroleum Company. With operations in at least 70 different countries, Shell is considered the world's largest publicly traded oil and gas company. As a multinational corporation, Shell is constantly confronted with other challenges and opportunities in various international financial markets. In this analysis, the researcher examines the significance of global financial management (IFM) to Shell plc and evaluates the challenges the company may face in its international financial markets, supported by relevant empirical evidence and theories. </w:t>
      </w:r>
    </w:p>
    <w:p w14:paraId="00000028" w14:textId="77777777" w:rsidR="00FB4A74" w:rsidRDefault="00FB4A74">
      <w:pPr>
        <w:spacing w:line="480" w:lineRule="auto"/>
        <w:ind w:firstLine="720"/>
        <w:rPr>
          <w:rFonts w:ascii="Times New Roman" w:eastAsia="Times New Roman" w:hAnsi="Times New Roman" w:cs="Times New Roman"/>
          <w:sz w:val="24"/>
          <w:szCs w:val="24"/>
        </w:rPr>
      </w:pPr>
    </w:p>
    <w:p w14:paraId="00000029" w14:textId="77777777" w:rsidR="00FB4A74" w:rsidRDefault="00000000">
      <w:pPr>
        <w:pStyle w:val="Heading1"/>
        <w:spacing w:line="480" w:lineRule="auto"/>
        <w:jc w:val="center"/>
        <w:rPr>
          <w:rFonts w:ascii="Times New Roman" w:eastAsia="Times New Roman" w:hAnsi="Times New Roman" w:cs="Times New Roman"/>
          <w:sz w:val="32"/>
          <w:szCs w:val="32"/>
        </w:rPr>
      </w:pPr>
      <w:bookmarkStart w:id="2" w:name="_gtmarogcgaek" w:colFirst="0" w:colLast="0"/>
      <w:bookmarkEnd w:id="2"/>
      <w:r>
        <w:rPr>
          <w:rFonts w:ascii="Times New Roman" w:eastAsia="Times New Roman" w:hAnsi="Times New Roman" w:cs="Times New Roman"/>
          <w:sz w:val="32"/>
          <w:szCs w:val="32"/>
        </w:rPr>
        <w:t>Shell Plc's Dividend Distribution Policy</w:t>
      </w:r>
    </w:p>
    <w:p w14:paraId="0000002A"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adopts a dividend policy to structure its dividend payout. In other words, a dividend distribution policy outlines how the corporation intends to distribute its dividends to the various shareholders. Therefore, Shell plc's dividend distribution policy is a crucial component to evaluate and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in the context of this discussion. It directly affects the corporation's shareholders and overall financial performance. Stability and consistency are critical factors in examining Shell plc's dividend distribution policy. According to the current reports, the shell company has a history of offering consistent dividends to various shareholders (White and </w:t>
      </w:r>
      <w:r>
        <w:rPr>
          <w:rFonts w:ascii="Times New Roman" w:eastAsia="Times New Roman" w:hAnsi="Times New Roman" w:cs="Times New Roman"/>
          <w:sz w:val="24"/>
          <w:szCs w:val="24"/>
        </w:rPr>
        <w:lastRenderedPageBreak/>
        <w:t xml:space="preserve">Reeves, 2021). Besides, the company focuses on maintaining a progressive dividend distribution policy. This means the shell management intends to maintain or increase the dividend per share according to the company’s cash flow growth and long-term earnings. As a result, this decision grants predictability and stability for shell investors, eventually attracting income-oriented shareholders. </w:t>
      </w:r>
    </w:p>
    <w:p w14:paraId="0000002B"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dividend yield is another important metric for evaluating Shell plc's dividend distribution policy. According to studies, the dividend yield is a crucial metric for investors and income-oriented shareholders looking for income from their respective financial investments. Typically, dividend yield is calculated by dividing the yearly dividend per individual share by the company’s stock price (White and Reeves, 2021). As a result, Shell plc's dividend yield is affected by several factors, which include the corporation's financial performance in the global financial markets, market sentiment, and industry-based conditions. Considering the dividend yield with respect to the industry peers and the global market situates shell corporations as an attractive and reliable income-based investment destination. </w:t>
      </w:r>
    </w:p>
    <w:p w14:paraId="0000002C"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shareholder returns are an integral metric for assessing Shell plc's dividend distribution policy. These encompass both capital appreciation and dividends, which offers a comprehensive view of the efficiency and effectiveness of Shell plc's dividend distribution policy. According to the 2021 financial reports, Shell company had an attributable income of $20,101 million. As a result, the company plans to boost its shareholder returns through dividends or buybacks sooner than expected due to the sharp rise in the cost of oil and gas to reduce debt. Furthermore, the shell company plans to increase its overall distribution to shareholders by 20% to 30%of its entire cash flow beginning in the next financial quarter (White </w:t>
      </w:r>
      <w:r>
        <w:rPr>
          <w:rFonts w:ascii="Times New Roman" w:eastAsia="Times New Roman" w:hAnsi="Times New Roman" w:cs="Times New Roman"/>
          <w:sz w:val="24"/>
          <w:szCs w:val="24"/>
        </w:rPr>
        <w:lastRenderedPageBreak/>
        <w:t xml:space="preserve">and Reeves, 2021). This move is attributed to the company's strong financial and operational delivery and Shell's overall improved macroeconomic performance. </w:t>
      </w:r>
    </w:p>
    <w:p w14:paraId="0000002D"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Shell's dividend distribution policy displays consistency, stability, and a commitment to delivering value to the company's shareholders. However, evaluating the policy's flexibility, sustainability, and alignment with the corporation's industry dynamics and financial performance is fundamental to guaranteeing long-term shareholder value creation. </w:t>
      </w:r>
    </w:p>
    <w:p w14:paraId="0000002E" w14:textId="77777777" w:rsidR="00FB4A74" w:rsidRDefault="00FB4A74">
      <w:pPr>
        <w:spacing w:line="480" w:lineRule="auto"/>
        <w:ind w:firstLine="720"/>
        <w:rPr>
          <w:rFonts w:ascii="Times New Roman" w:eastAsia="Times New Roman" w:hAnsi="Times New Roman" w:cs="Times New Roman"/>
          <w:sz w:val="24"/>
          <w:szCs w:val="24"/>
        </w:rPr>
      </w:pPr>
    </w:p>
    <w:p w14:paraId="0000002F" w14:textId="77777777" w:rsidR="00FB4A74" w:rsidRDefault="00000000">
      <w:pPr>
        <w:pStyle w:val="Heading1"/>
        <w:spacing w:line="480" w:lineRule="auto"/>
        <w:jc w:val="center"/>
        <w:rPr>
          <w:rFonts w:ascii="Times New Roman" w:eastAsia="Times New Roman" w:hAnsi="Times New Roman" w:cs="Times New Roman"/>
          <w:sz w:val="32"/>
          <w:szCs w:val="32"/>
        </w:rPr>
      </w:pPr>
      <w:bookmarkStart w:id="3" w:name="_vea3g2tyn4se" w:colFirst="0" w:colLast="0"/>
      <w:bookmarkEnd w:id="3"/>
      <w:r>
        <w:rPr>
          <w:rFonts w:ascii="Times New Roman" w:eastAsia="Times New Roman" w:hAnsi="Times New Roman" w:cs="Times New Roman"/>
          <w:sz w:val="32"/>
          <w:szCs w:val="32"/>
        </w:rPr>
        <w:t>The Efficient Market Hypothesis (EMH) Theory in The Context of Shell Plc</w:t>
      </w:r>
    </w:p>
    <w:p w14:paraId="00000030"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Efficient Market Hypothesis (EMH) theory, also known as the efficient market theory, is a hypothesis that posits that share prices reflect all the information and that a consistent alpha generation is not possible (Siddique, 2023). Therefore, based on the EMH hypothesis, company stocks typically trade at their fair value on exchanges. This makes it difficult for income investors to buy undervalued stocks or sell stocks at inflated rates. Consequently, it will only be possible to outperform the general market via market timing and expert stock selection, and the only way for investors to gain higher returns on their stick is to purchase riskier investments. Although EMH is perceived as a pillar of modern financial theory, it is often disputed, hence highly controversial (</w:t>
      </w:r>
      <w:proofErr w:type="spellStart"/>
      <w:r>
        <w:rPr>
          <w:rFonts w:ascii="Times New Roman" w:eastAsia="Times New Roman" w:hAnsi="Times New Roman" w:cs="Times New Roman"/>
          <w:sz w:val="24"/>
          <w:szCs w:val="24"/>
        </w:rPr>
        <w:t>Ehiedu</w:t>
      </w:r>
      <w:proofErr w:type="spellEnd"/>
      <w:r>
        <w:rPr>
          <w:rFonts w:ascii="Times New Roman" w:eastAsia="Times New Roman" w:hAnsi="Times New Roman" w:cs="Times New Roman"/>
          <w:sz w:val="24"/>
          <w:szCs w:val="24"/>
        </w:rPr>
        <w:t xml:space="preserve"> and Obi, 2022). Proponents of this model argue that it is unbelievable to look for undervalued stocks or attempt to predict trends in the general market through either technical or fundamental analysis. Theoretically, neither fundamental nor technical analysis can consistently result in risk-adjusted excess returns. </w:t>
      </w:r>
    </w:p>
    <w:p w14:paraId="00000031"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Several tenets of the EMH may be considered in the context of the shell's operations. To begin with, the weak form efficiency. According to Woo et al. (2020), the weak form of the EMH reveals that the stock prices of a company in the stock exchange are already reflecting all the volume and historical price information, which makes it difficult to predict future trends using past data or information (</w:t>
      </w:r>
      <w:proofErr w:type="spellStart"/>
      <w:r>
        <w:rPr>
          <w:rFonts w:ascii="Times New Roman" w:eastAsia="Times New Roman" w:hAnsi="Times New Roman" w:cs="Times New Roman"/>
          <w:sz w:val="24"/>
          <w:szCs w:val="24"/>
        </w:rPr>
        <w:t>Ehiedu</w:t>
      </w:r>
      <w:proofErr w:type="spellEnd"/>
      <w:r>
        <w:rPr>
          <w:rFonts w:ascii="Times New Roman" w:eastAsia="Times New Roman" w:hAnsi="Times New Roman" w:cs="Times New Roman"/>
          <w:sz w:val="24"/>
          <w:szCs w:val="24"/>
        </w:rPr>
        <w:t xml:space="preserve"> and Obi, 2022). In the case of Shell plc, the stock market would effectively and efficiently integrate all the publicly available historical data, including the previous financial statements, industry movements, and news releases. With this information, potential investors for Shell would stay the same and consistently outperform the market by exclusively depending on the company's historical data. </w:t>
      </w:r>
    </w:p>
    <w:p w14:paraId="00000032"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it is essential to consider the semi-strong form efficiency. EMH's semi-strong form efficiency suggests that stock prices generally reflect all the publicly traded and available information, such as historical data, current announcements, and news. Considering Shell's position in the global market, any publicly available data or information, including financial reports, geopolitical events impacting the oil and gas industry, and production and exploration updates, would appropriately and quickly be incorporated into Shell's stock price. Nonetheless, investors cannot consistently generate abnormal returns from the company by solely trading on the publicly available information (</w:t>
      </w:r>
      <w:proofErr w:type="spellStart"/>
      <w:r>
        <w:rPr>
          <w:rFonts w:ascii="Times New Roman" w:eastAsia="Times New Roman" w:hAnsi="Times New Roman" w:cs="Times New Roman"/>
          <w:sz w:val="24"/>
          <w:szCs w:val="24"/>
        </w:rPr>
        <w:t>Ehiedu</w:t>
      </w:r>
      <w:proofErr w:type="spellEnd"/>
      <w:r>
        <w:rPr>
          <w:rFonts w:ascii="Times New Roman" w:eastAsia="Times New Roman" w:hAnsi="Times New Roman" w:cs="Times New Roman"/>
          <w:sz w:val="24"/>
          <w:szCs w:val="24"/>
        </w:rPr>
        <w:t xml:space="preserve"> and Obi, 2022). Therefore, it is imperative to note that market efficiency usually varies across markets, time, and securities. While the EFH proposes overall market efficiency, particular sectors or segments within the market may display different efficiency levels. Shell, for instance, operates in the oil and gas industry, which is affected by complex geopolitical space, commodity price fluctuations, and supply-demand dynamics (</w:t>
      </w:r>
      <w:proofErr w:type="spellStart"/>
      <w:r>
        <w:rPr>
          <w:rFonts w:ascii="Times New Roman" w:eastAsia="Times New Roman" w:hAnsi="Times New Roman" w:cs="Times New Roman"/>
          <w:sz w:val="24"/>
          <w:szCs w:val="24"/>
        </w:rPr>
        <w:t>Ehiedu</w:t>
      </w:r>
      <w:proofErr w:type="spellEnd"/>
      <w:r>
        <w:rPr>
          <w:rFonts w:ascii="Times New Roman" w:eastAsia="Times New Roman" w:hAnsi="Times New Roman" w:cs="Times New Roman"/>
          <w:sz w:val="24"/>
          <w:szCs w:val="24"/>
        </w:rPr>
        <w:t xml:space="preserve"> and Obi, 2022). These critical factors may introduce uncertainties and complexities impacting Shell's market efficiency. </w:t>
      </w:r>
    </w:p>
    <w:p w14:paraId="00000033" w14:textId="77777777" w:rsidR="00FB4A74" w:rsidRDefault="00FB4A74">
      <w:pPr>
        <w:spacing w:line="480" w:lineRule="auto"/>
        <w:ind w:firstLine="720"/>
        <w:rPr>
          <w:rFonts w:ascii="Times New Roman" w:eastAsia="Times New Roman" w:hAnsi="Times New Roman" w:cs="Times New Roman"/>
          <w:sz w:val="24"/>
          <w:szCs w:val="24"/>
        </w:rPr>
      </w:pPr>
    </w:p>
    <w:p w14:paraId="00000034" w14:textId="77777777" w:rsidR="00FB4A74" w:rsidRDefault="00000000">
      <w:pPr>
        <w:pStyle w:val="Heading1"/>
        <w:spacing w:line="480" w:lineRule="auto"/>
        <w:jc w:val="center"/>
        <w:rPr>
          <w:rFonts w:ascii="Times New Roman" w:eastAsia="Times New Roman" w:hAnsi="Times New Roman" w:cs="Times New Roman"/>
          <w:sz w:val="32"/>
          <w:szCs w:val="32"/>
        </w:rPr>
      </w:pPr>
      <w:bookmarkStart w:id="4" w:name="_qm38g1kp42xy" w:colFirst="0" w:colLast="0"/>
      <w:bookmarkEnd w:id="4"/>
      <w:r>
        <w:rPr>
          <w:rFonts w:ascii="Times New Roman" w:eastAsia="Times New Roman" w:hAnsi="Times New Roman" w:cs="Times New Roman"/>
          <w:sz w:val="32"/>
          <w:szCs w:val="32"/>
        </w:rPr>
        <w:t>Shell’s Methods of Appraising Projects</w:t>
      </w:r>
    </w:p>
    <w:p w14:paraId="00000035"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Shell uses several methods to assess and appraise its feasibility and potential value in the market. The first method is the Net Present Value (NPV). NPV is an appraisal method widely used for projects by calculating the present value of the desired cash flows by discounting them at a predetermined rate of return (company’s capital cost) (Abdelhady, 2021). Therefore, a positive NPV suggests the project has more excellent potential value, while a negative NPV reveals possible value destruction. Like many other multinational corporations, Shell uses NPV analysis to assess and evaluate potential projects' financial viability and profitability. However, it is noteworthy that NPV analysis depends on accurate cash flow projections and relevant discount rates, which may require more work to estimate accurately. Internal Rate of Return (IRR) is another method widely employed by Shell to appraise its projects. This method often calculates the discount rate at which the current value of cash inflows relates to the present value of cash outflows, leading to a zero NPV (Abuk and </w:t>
      </w:r>
      <w:proofErr w:type="spellStart"/>
      <w:r>
        <w:rPr>
          <w:rFonts w:ascii="Times New Roman" w:eastAsia="Times New Roman" w:hAnsi="Times New Roman" w:cs="Times New Roman"/>
          <w:sz w:val="24"/>
          <w:szCs w:val="24"/>
        </w:rPr>
        <w:t>Rumbino</w:t>
      </w:r>
      <w:proofErr w:type="spellEnd"/>
      <w:r>
        <w:rPr>
          <w:rFonts w:ascii="Times New Roman" w:eastAsia="Times New Roman" w:hAnsi="Times New Roman" w:cs="Times New Roman"/>
          <w:sz w:val="24"/>
          <w:szCs w:val="24"/>
        </w:rPr>
        <w:t xml:space="preserve">, 2020). Generally, IRR offers the expected rate of return on the project, and Shell employs it as the benchmark for comparing the projects and establishing their attractiveness. </w:t>
      </w:r>
    </w:p>
    <w:p w14:paraId="00000036" w14:textId="77777777" w:rsidR="00FB4A74" w:rsidRDefault="00FB4A74">
      <w:pPr>
        <w:spacing w:line="480" w:lineRule="auto"/>
        <w:ind w:firstLine="720"/>
        <w:rPr>
          <w:rFonts w:ascii="Times New Roman" w:eastAsia="Times New Roman" w:hAnsi="Times New Roman" w:cs="Times New Roman"/>
          <w:sz w:val="24"/>
          <w:szCs w:val="24"/>
        </w:rPr>
      </w:pPr>
    </w:p>
    <w:p w14:paraId="00000037" w14:textId="77777777" w:rsidR="00FB4A74" w:rsidRDefault="00000000">
      <w:pPr>
        <w:pStyle w:val="Heading1"/>
        <w:spacing w:line="480" w:lineRule="auto"/>
        <w:jc w:val="center"/>
        <w:rPr>
          <w:rFonts w:ascii="Times New Roman" w:eastAsia="Times New Roman" w:hAnsi="Times New Roman" w:cs="Times New Roman"/>
          <w:sz w:val="32"/>
          <w:szCs w:val="32"/>
        </w:rPr>
      </w:pPr>
      <w:bookmarkStart w:id="5" w:name="_4a95ix1l3v4m" w:colFirst="0" w:colLast="0"/>
      <w:bookmarkEnd w:id="5"/>
      <w:r>
        <w:rPr>
          <w:rFonts w:ascii="Times New Roman" w:eastAsia="Times New Roman" w:hAnsi="Times New Roman" w:cs="Times New Roman"/>
          <w:sz w:val="32"/>
          <w:szCs w:val="32"/>
        </w:rPr>
        <w:t>Importance of International Financial Management for Shell</w:t>
      </w:r>
    </w:p>
    <w:p w14:paraId="00000038"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observing and adhering to international financial management, Shell Corporation has achieved tremendous benefits—for instance, currency risk management. Shell operates in many </w:t>
      </w:r>
      <w:r>
        <w:rPr>
          <w:rFonts w:ascii="Times New Roman" w:eastAsia="Times New Roman" w:hAnsi="Times New Roman" w:cs="Times New Roman"/>
          <w:sz w:val="24"/>
          <w:szCs w:val="24"/>
        </w:rPr>
        <w:lastRenderedPageBreak/>
        <w:t xml:space="preserve">countries, each with its unique currency. Thus, fluctuations in exchange rates in some countries can significantly affect Shell’s financial performance. Shell manages such currency risks via hedging strategies such as forward options or contracts, which have been vital in helping the company to mitigate potential losses as a result of adverse exchange rate fluctuations. Another benefit of IFM to Shell is Capital Budgeting and Investment Decisions. The IFM helps Shell to effectively evaluate and prioritise investment opportunities in various countries (Al Breiki and </w:t>
      </w:r>
      <w:proofErr w:type="spellStart"/>
      <w:r>
        <w:rPr>
          <w:rFonts w:ascii="Times New Roman" w:eastAsia="Times New Roman" w:hAnsi="Times New Roman" w:cs="Times New Roman"/>
          <w:sz w:val="24"/>
          <w:szCs w:val="24"/>
        </w:rPr>
        <w:t>Nobanee</w:t>
      </w:r>
      <w:proofErr w:type="spellEnd"/>
      <w:r>
        <w:rPr>
          <w:rFonts w:ascii="Times New Roman" w:eastAsia="Times New Roman" w:hAnsi="Times New Roman" w:cs="Times New Roman"/>
          <w:sz w:val="24"/>
          <w:szCs w:val="24"/>
        </w:rPr>
        <w:t>, 2019). It entails analysing key factors such as economic conditions, political stability, market potential, and regulatory framework to make informed decisions regarding allocation and capital budgeting (</w:t>
      </w:r>
      <w:proofErr w:type="spellStart"/>
      <w:r>
        <w:rPr>
          <w:rFonts w:ascii="Times New Roman" w:eastAsia="Times New Roman" w:hAnsi="Times New Roman" w:cs="Times New Roman"/>
          <w:sz w:val="24"/>
          <w:szCs w:val="24"/>
        </w:rPr>
        <w:t>Gourinchas</w:t>
      </w:r>
      <w:proofErr w:type="spellEnd"/>
      <w:r>
        <w:rPr>
          <w:rFonts w:ascii="Times New Roman" w:eastAsia="Times New Roman" w:hAnsi="Times New Roman" w:cs="Times New Roman"/>
          <w:sz w:val="24"/>
          <w:szCs w:val="24"/>
        </w:rPr>
        <w:t xml:space="preserve"> et al., 2019). Thus, leveraging tools such as NPV and IRR analyses and cost of capital calculations allows Shell to see through the profitability and feasibility of its investment projects. </w:t>
      </w:r>
    </w:p>
    <w:p w14:paraId="00000039" w14:textId="77777777" w:rsidR="00FB4A74" w:rsidRDefault="00FB4A74">
      <w:pPr>
        <w:spacing w:line="480" w:lineRule="auto"/>
        <w:ind w:firstLine="720"/>
        <w:rPr>
          <w:rFonts w:ascii="Times New Roman" w:eastAsia="Times New Roman" w:hAnsi="Times New Roman" w:cs="Times New Roman"/>
          <w:sz w:val="24"/>
          <w:szCs w:val="24"/>
        </w:rPr>
      </w:pPr>
    </w:p>
    <w:p w14:paraId="0000003A" w14:textId="77777777" w:rsidR="00FB4A74" w:rsidRDefault="00000000">
      <w:pPr>
        <w:pStyle w:val="Heading1"/>
        <w:spacing w:line="480" w:lineRule="auto"/>
        <w:jc w:val="center"/>
        <w:rPr>
          <w:rFonts w:ascii="Times New Roman" w:eastAsia="Times New Roman" w:hAnsi="Times New Roman" w:cs="Times New Roman"/>
          <w:sz w:val="32"/>
          <w:szCs w:val="32"/>
        </w:rPr>
      </w:pPr>
      <w:bookmarkStart w:id="6" w:name="_xsqqhjbllhls" w:colFirst="0" w:colLast="0"/>
      <w:bookmarkEnd w:id="6"/>
      <w:r>
        <w:rPr>
          <w:rFonts w:ascii="Times New Roman" w:eastAsia="Times New Roman" w:hAnsi="Times New Roman" w:cs="Times New Roman"/>
          <w:sz w:val="32"/>
          <w:szCs w:val="32"/>
        </w:rPr>
        <w:t>Challenges in International Financial Markets for Shell</w:t>
      </w:r>
    </w:p>
    <w:p w14:paraId="0000003B"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its fair performance in the global financial markets, Shell faces incredible challenges. For instance, the company is susceptible to political and regulatory risks. By operating in over 70 countries, Shell is frequently exposed to varying regulatory and political environments (Ghasemian et al., 2020). Changes in taxation policies, government regulations, or nationalisation of assets usually impact the company’s financial stability and profitability (Claessens 2019). To combat this challenge, Shell company closely monitors geopolitical developments and consistently engages in effective lobbying and advocacy efforts. </w:t>
      </w:r>
    </w:p>
    <w:p w14:paraId="0000003C" w14:textId="77777777" w:rsidR="00FB4A74" w:rsidRDefault="00FB4A74">
      <w:pPr>
        <w:spacing w:line="480" w:lineRule="auto"/>
        <w:ind w:firstLine="720"/>
        <w:rPr>
          <w:rFonts w:ascii="Times New Roman" w:eastAsia="Times New Roman" w:hAnsi="Times New Roman" w:cs="Times New Roman"/>
          <w:sz w:val="24"/>
          <w:szCs w:val="24"/>
        </w:rPr>
      </w:pPr>
    </w:p>
    <w:p w14:paraId="0000003D" w14:textId="77777777" w:rsidR="00FB4A74" w:rsidRDefault="00000000">
      <w:pPr>
        <w:pStyle w:val="Heading1"/>
        <w:spacing w:line="480" w:lineRule="auto"/>
        <w:jc w:val="center"/>
        <w:rPr>
          <w:rFonts w:ascii="Times New Roman" w:eastAsia="Times New Roman" w:hAnsi="Times New Roman" w:cs="Times New Roman"/>
          <w:sz w:val="32"/>
          <w:szCs w:val="32"/>
        </w:rPr>
      </w:pPr>
      <w:bookmarkStart w:id="7" w:name="_amsb87robn0q" w:colFirst="0" w:colLast="0"/>
      <w:bookmarkEnd w:id="7"/>
      <w:r>
        <w:rPr>
          <w:rFonts w:ascii="Times New Roman" w:eastAsia="Times New Roman" w:hAnsi="Times New Roman" w:cs="Times New Roman"/>
          <w:sz w:val="32"/>
          <w:szCs w:val="32"/>
        </w:rPr>
        <w:lastRenderedPageBreak/>
        <w:t>Conclusion</w:t>
      </w:r>
    </w:p>
    <w:p w14:paraId="0000003E" w14:textId="77777777" w:rsidR="00FB4A74" w:rsidRDefault="00000000">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International financial management plays a crucial role in Shell's decision-making process and operations worldwide. Effectively making informed investment decisions, managing currency crises, and accessing global capital markets are critical to Shell's financial sustainability and stability. However, Shell needs to navigate the issues associated with regulatory and political risks, varying capital market conditions, and exchange rate volatility to optimise its performance in the global financial markets. </w:t>
      </w:r>
    </w:p>
    <w:p w14:paraId="0000003F" w14:textId="77777777" w:rsidR="00FB4A74" w:rsidRDefault="00000000">
      <w:pPr>
        <w:spacing w:line="480" w:lineRule="auto"/>
        <w:rPr>
          <w:rFonts w:ascii="Times New Roman" w:eastAsia="Times New Roman" w:hAnsi="Times New Roman" w:cs="Times New Roman"/>
          <w:sz w:val="24"/>
          <w:szCs w:val="24"/>
        </w:rPr>
      </w:pPr>
      <w:r>
        <w:br w:type="page"/>
      </w:r>
    </w:p>
    <w:p w14:paraId="00000040" w14:textId="77777777" w:rsidR="00FB4A74" w:rsidRDefault="00000000">
      <w:pPr>
        <w:pStyle w:val="Heading1"/>
        <w:spacing w:line="480" w:lineRule="auto"/>
        <w:jc w:val="center"/>
        <w:rPr>
          <w:rFonts w:ascii="Times New Roman" w:eastAsia="Times New Roman" w:hAnsi="Times New Roman" w:cs="Times New Roman"/>
          <w:sz w:val="32"/>
          <w:szCs w:val="32"/>
        </w:rPr>
      </w:pPr>
      <w:bookmarkStart w:id="8" w:name="_2b874hw4l8av" w:colFirst="0" w:colLast="0"/>
      <w:bookmarkEnd w:id="8"/>
      <w:r>
        <w:rPr>
          <w:rFonts w:ascii="Times New Roman" w:eastAsia="Times New Roman" w:hAnsi="Times New Roman" w:cs="Times New Roman"/>
          <w:sz w:val="32"/>
          <w:szCs w:val="32"/>
        </w:rPr>
        <w:lastRenderedPageBreak/>
        <w:t>References</w:t>
      </w:r>
    </w:p>
    <w:p w14:paraId="00000041" w14:textId="77777777" w:rsidR="00FB4A74" w:rsidRDefault="00000000">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Abdelhady, S., 2021. Performance and cost evaluation of solar dish power plant: sensitivity analysis of levelized cost of electricity (LCOE) and net present value (NPV). Renewable Energy, 168, pp.332-342.</w:t>
      </w:r>
    </w:p>
    <w:p w14:paraId="00000042" w14:textId="77777777" w:rsidR="00FB4A74" w:rsidRDefault="00000000">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Abuk, G.M. and </w:t>
      </w:r>
      <w:proofErr w:type="spellStart"/>
      <w:r>
        <w:rPr>
          <w:rFonts w:ascii="Times New Roman" w:eastAsia="Times New Roman" w:hAnsi="Times New Roman" w:cs="Times New Roman"/>
          <w:sz w:val="24"/>
          <w:szCs w:val="24"/>
        </w:rPr>
        <w:t>Rumbino</w:t>
      </w:r>
      <w:proofErr w:type="spellEnd"/>
      <w:r>
        <w:rPr>
          <w:rFonts w:ascii="Times New Roman" w:eastAsia="Times New Roman" w:hAnsi="Times New Roman" w:cs="Times New Roman"/>
          <w:sz w:val="24"/>
          <w:szCs w:val="24"/>
        </w:rPr>
        <w:t xml:space="preserve">, Y., 2020. </w:t>
      </w:r>
      <w:proofErr w:type="spellStart"/>
      <w:r>
        <w:rPr>
          <w:rFonts w:ascii="Times New Roman" w:eastAsia="Times New Roman" w:hAnsi="Times New Roman" w:cs="Times New Roman"/>
          <w:sz w:val="24"/>
          <w:szCs w:val="24"/>
        </w:rPr>
        <w:t>Analisis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Kelayakan</w:t>
      </w:r>
      <w:proofErr w:type="spellEnd"/>
      <w:r>
        <w:rPr>
          <w:rFonts w:ascii="Times New Roman" w:eastAsia="Times New Roman" w:hAnsi="Times New Roman" w:cs="Times New Roman"/>
          <w:sz w:val="24"/>
          <w:szCs w:val="24"/>
        </w:rPr>
        <w:t xml:space="preserve"> Ekonomi </w:t>
      </w:r>
      <w:proofErr w:type="spellStart"/>
      <w:r>
        <w:rPr>
          <w:rFonts w:ascii="Times New Roman" w:eastAsia="Times New Roman" w:hAnsi="Times New Roman" w:cs="Times New Roman"/>
          <w:sz w:val="24"/>
          <w:szCs w:val="24"/>
        </w:rPr>
        <w:t>Menggunakan</w:t>
      </w:r>
      <w:proofErr w:type="spellEnd"/>
      <w:r>
        <w:rPr>
          <w:rFonts w:ascii="Times New Roman" w:eastAsia="Times New Roman" w:hAnsi="Times New Roman" w:cs="Times New Roman"/>
          <w:sz w:val="24"/>
          <w:szCs w:val="24"/>
        </w:rPr>
        <w:t xml:space="preserve"> Metode Net Present Value (NPV), Metode Internal Rate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Return (IRR) Payback Period (PBP) Pada Unit Stone Crusher di CV. X </w:t>
      </w:r>
      <w:proofErr w:type="spellStart"/>
      <w:r>
        <w:rPr>
          <w:rFonts w:ascii="Times New Roman" w:eastAsia="Times New Roman" w:hAnsi="Times New Roman" w:cs="Times New Roman"/>
          <w:sz w:val="24"/>
          <w:szCs w:val="24"/>
        </w:rPr>
        <w:t>Kab</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Kupang</w:t>
      </w:r>
      <w:proofErr w:type="spellEnd"/>
      <w:r>
        <w:rPr>
          <w:rFonts w:ascii="Times New Roman" w:eastAsia="Times New Roman" w:hAnsi="Times New Roman" w:cs="Times New Roman"/>
          <w:sz w:val="24"/>
          <w:szCs w:val="24"/>
        </w:rPr>
        <w:t xml:space="preserve"> Prov. NTT. </w:t>
      </w:r>
      <w:proofErr w:type="spellStart"/>
      <w:r>
        <w:rPr>
          <w:rFonts w:ascii="Times New Roman" w:eastAsia="Times New Roman" w:hAnsi="Times New Roman" w:cs="Times New Roman"/>
          <w:sz w:val="24"/>
          <w:szCs w:val="24"/>
        </w:rPr>
        <w:t>Jurnal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Teknologi</w:t>
      </w:r>
      <w:proofErr w:type="spellEnd"/>
      <w:r>
        <w:rPr>
          <w:rFonts w:ascii="Times New Roman" w:eastAsia="Times New Roman" w:hAnsi="Times New Roman" w:cs="Times New Roman"/>
          <w:sz w:val="24"/>
          <w:szCs w:val="24"/>
        </w:rPr>
        <w:t>, 14(2), pp.68-75.</w:t>
      </w:r>
    </w:p>
    <w:p w14:paraId="00000043" w14:textId="77777777" w:rsidR="00FB4A74" w:rsidRDefault="00000000">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 Breiki, M. and </w:t>
      </w:r>
      <w:proofErr w:type="spellStart"/>
      <w:r>
        <w:rPr>
          <w:rFonts w:ascii="Times New Roman" w:eastAsia="Times New Roman" w:hAnsi="Times New Roman" w:cs="Times New Roman"/>
          <w:sz w:val="24"/>
          <w:szCs w:val="24"/>
        </w:rPr>
        <w:t>Nobanee</w:t>
      </w:r>
      <w:proofErr w:type="spellEnd"/>
      <w:r>
        <w:rPr>
          <w:rFonts w:ascii="Times New Roman" w:eastAsia="Times New Roman" w:hAnsi="Times New Roman" w:cs="Times New Roman"/>
          <w:sz w:val="24"/>
          <w:szCs w:val="24"/>
        </w:rPr>
        <w:t>, H., 2019. The role of financial management in promoting sustainable business practices and development. Available at SSRN 3472404.</w:t>
      </w:r>
    </w:p>
    <w:p w14:paraId="00000044" w14:textId="77777777" w:rsidR="00FB4A74" w:rsidRDefault="00000000">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Claessens, S., 2019. Fragmentation in global financial markets: good or bad for financial stability?</w:t>
      </w:r>
    </w:p>
    <w:p w14:paraId="00000045" w14:textId="77777777" w:rsidR="00FB4A74" w:rsidRDefault="00000000">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Ehiedu</w:t>
      </w:r>
      <w:proofErr w:type="spellEnd"/>
      <w:r>
        <w:rPr>
          <w:rFonts w:ascii="Times New Roman" w:eastAsia="Times New Roman" w:hAnsi="Times New Roman" w:cs="Times New Roman"/>
          <w:sz w:val="24"/>
          <w:szCs w:val="24"/>
        </w:rPr>
        <w:t xml:space="preserve">, V.C. and Obi, K.C., 2022. Efficient market hypothesis (EMH) and the Nigerian stock exchange </w:t>
      </w:r>
      <w:proofErr w:type="gramStart"/>
      <w:r>
        <w:rPr>
          <w:rFonts w:ascii="Times New Roman" w:eastAsia="Times New Roman" w:hAnsi="Times New Roman" w:cs="Times New Roman"/>
          <w:sz w:val="24"/>
          <w:szCs w:val="24"/>
        </w:rPr>
        <w:t>in the midst of</w:t>
      </w:r>
      <w:proofErr w:type="gramEnd"/>
      <w:r>
        <w:rPr>
          <w:rFonts w:ascii="Times New Roman" w:eastAsia="Times New Roman" w:hAnsi="Times New Roman" w:cs="Times New Roman"/>
          <w:sz w:val="24"/>
          <w:szCs w:val="24"/>
        </w:rPr>
        <w:t xml:space="preserve"> global financial crises. International Journal of Academic Management Science Research (IJAMSR), 6(8), pp.263-273.</w:t>
      </w:r>
    </w:p>
    <w:p w14:paraId="00000046" w14:textId="77777777" w:rsidR="00FB4A74" w:rsidRDefault="00000000">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Ghasemian, S., </w:t>
      </w:r>
      <w:proofErr w:type="spellStart"/>
      <w:r>
        <w:rPr>
          <w:rFonts w:ascii="Times New Roman" w:eastAsia="Times New Roman" w:hAnsi="Times New Roman" w:cs="Times New Roman"/>
          <w:sz w:val="24"/>
          <w:szCs w:val="24"/>
        </w:rPr>
        <w:t>Faridzad</w:t>
      </w:r>
      <w:proofErr w:type="spellEnd"/>
      <w:r>
        <w:rPr>
          <w:rFonts w:ascii="Times New Roman" w:eastAsia="Times New Roman" w:hAnsi="Times New Roman" w:cs="Times New Roman"/>
          <w:sz w:val="24"/>
          <w:szCs w:val="24"/>
        </w:rPr>
        <w:t xml:space="preserve">, A., Abbaszadeh, P., </w:t>
      </w:r>
      <w:proofErr w:type="spellStart"/>
      <w:r>
        <w:rPr>
          <w:rFonts w:ascii="Times New Roman" w:eastAsia="Times New Roman" w:hAnsi="Times New Roman" w:cs="Times New Roman"/>
          <w:sz w:val="24"/>
          <w:szCs w:val="24"/>
        </w:rPr>
        <w:t>Taklif</w:t>
      </w:r>
      <w:proofErr w:type="spellEnd"/>
      <w:r>
        <w:rPr>
          <w:rFonts w:ascii="Times New Roman" w:eastAsia="Times New Roman" w:hAnsi="Times New Roman" w:cs="Times New Roman"/>
          <w:sz w:val="24"/>
          <w:szCs w:val="24"/>
        </w:rPr>
        <w:t>, A., Ghasemi, A. and Hafezi, R., 2020. An overview of global energy scenarios by 2040: identifying the driving forces using cross-impact analysis method. International Journal of Environmental Science and Technology, pp.1-24.</w:t>
      </w:r>
    </w:p>
    <w:p w14:paraId="00000047" w14:textId="77777777" w:rsidR="00FB4A74" w:rsidRDefault="00000000">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Gourinchas</w:t>
      </w:r>
      <w:proofErr w:type="spellEnd"/>
      <w:r>
        <w:rPr>
          <w:rFonts w:ascii="Times New Roman" w:eastAsia="Times New Roman" w:hAnsi="Times New Roman" w:cs="Times New Roman"/>
          <w:sz w:val="24"/>
          <w:szCs w:val="24"/>
        </w:rPr>
        <w:t xml:space="preserve">, P.O., Rey, H. and </w:t>
      </w:r>
      <w:proofErr w:type="spellStart"/>
      <w:r>
        <w:rPr>
          <w:rFonts w:ascii="Times New Roman" w:eastAsia="Times New Roman" w:hAnsi="Times New Roman" w:cs="Times New Roman"/>
          <w:sz w:val="24"/>
          <w:szCs w:val="24"/>
        </w:rPr>
        <w:t>Sauzet</w:t>
      </w:r>
      <w:proofErr w:type="spellEnd"/>
      <w:r>
        <w:rPr>
          <w:rFonts w:ascii="Times New Roman" w:eastAsia="Times New Roman" w:hAnsi="Times New Roman" w:cs="Times New Roman"/>
          <w:sz w:val="24"/>
          <w:szCs w:val="24"/>
        </w:rPr>
        <w:t>, M., 2019. The international monetary and financial system. Annual Review of Economics, 11, pp.859-893.</w:t>
      </w:r>
    </w:p>
    <w:p w14:paraId="00000048" w14:textId="77777777" w:rsidR="00FB4A74" w:rsidRDefault="00000000">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Siddique, M., 2023. Does the Adaptive Market Hypothesis Exist in Equity Market? Evidence from Pakistan Stock Exchange.</w:t>
      </w:r>
    </w:p>
    <w:p w14:paraId="00000049" w14:textId="77777777" w:rsidR="00FB4A74" w:rsidRDefault="00000000">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White, J. and Reeves, L., 2021. This week in tax: Royal Dutch Shell overhauls dual structure. International Tax Review.</w:t>
      </w:r>
    </w:p>
    <w:p w14:paraId="0000004A" w14:textId="77777777" w:rsidR="00FB4A74" w:rsidRDefault="00000000">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Woo, K.Y., Mai, C., McAleer, M. and Wong, W.K., 2020. Review on efficiency and anomalies in stock markets. Economies, 8(1), p.20.</w:t>
      </w:r>
    </w:p>
    <w:sectPr w:rsidR="00FB4A74">
      <w:headerReference w:type="default" r:id="rId6"/>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85672" w14:textId="77777777" w:rsidR="009A6B41" w:rsidRDefault="009A6B41">
      <w:pPr>
        <w:spacing w:after="0" w:line="240" w:lineRule="auto"/>
      </w:pPr>
      <w:r>
        <w:separator/>
      </w:r>
    </w:p>
  </w:endnote>
  <w:endnote w:type="continuationSeparator" w:id="0">
    <w:p w14:paraId="4E943D59" w14:textId="77777777" w:rsidR="009A6B41" w:rsidRDefault="009A6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AA8598" w14:textId="77777777" w:rsidR="009A6B41" w:rsidRDefault="009A6B41">
      <w:pPr>
        <w:spacing w:after="0" w:line="240" w:lineRule="auto"/>
      </w:pPr>
      <w:r>
        <w:separator/>
      </w:r>
    </w:p>
  </w:footnote>
  <w:footnote w:type="continuationSeparator" w:id="0">
    <w:p w14:paraId="0038E143" w14:textId="77777777" w:rsidR="009A6B41" w:rsidRDefault="009A6B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4E9A4C32" w:rsidR="00FB4A74" w:rsidRDefault="00000000">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SHELL’S</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b/>
        <w:color w:val="000000"/>
        <w:sz w:val="24"/>
        <w:szCs w:val="24"/>
        <w:highlight w:val="white"/>
      </w:rPr>
      <w:t>INTERNATIONAL FINANCIAL MANAGEMENT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03C91">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00004C" w14:textId="77777777" w:rsidR="00FB4A74" w:rsidRDefault="00FB4A74">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A74"/>
    <w:rsid w:val="0030279B"/>
    <w:rsid w:val="00703C91"/>
    <w:rsid w:val="009A6B41"/>
    <w:rsid w:val="00FB4A7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BB37C"/>
  <w15:docId w15:val="{D5433A9D-5D27-42DB-8815-C75AB2BB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bg-BG"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Body">
    <w:name w:val="Body"/>
    <w:rsid w:val="00703C91"/>
    <w:pPr>
      <w:widowControl w:val="0"/>
      <w:spacing w:after="0" w:line="240" w:lineRule="auto"/>
    </w:pPr>
    <w:rPr>
      <w:rFonts w:ascii="Times New Roman" w:eastAsia="Arial Unicode MS" w:hAnsi="Times New Roman" w:cs="Arial Unicode MS"/>
      <w:color w:val="000000"/>
      <w:kern w:val="2"/>
      <w:sz w:val="24"/>
      <w:szCs w:val="24"/>
      <w:u w:color="000000"/>
      <w:lang w:val="en-AU"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Pages>
  <Words>2072</Words>
  <Characters>11811</Characters>
  <Application>Microsoft Office Word</Application>
  <DocSecurity>0</DocSecurity>
  <Lines>98</Lines>
  <Paragraphs>27</Paragraphs>
  <ScaleCrop>false</ScaleCrop>
  <Company/>
  <LinksUpToDate>false</LinksUpToDate>
  <CharactersWithSpaces>13856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 Petrov Zlatev (2029265)</cp:lastModifiedBy>
  <cp:revision>3</cp:revision>
  <dcterms:created xsi:type="dcterms:W3CDTF">2023-08-26T14:19:00Z</dcterms:created>
  <dcterms:modified xsi:type="dcterms:W3CDTF">2023-08-26T14:33:00Z</dcterms:modified>
</cp:coreProperties>
</file>