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5B9BD5" w:themeColor="accent1"/>
          <w:lang w:val="en-GB"/>
        </w:rPr>
        <w:id w:val="-1522475554"/>
        <w:docPartObj>
          <w:docPartGallery w:val="Cover Pages"/>
          <w:docPartUnique/>
        </w:docPartObj>
      </w:sdtPr>
      <w:sdtEndPr>
        <w:rPr>
          <w:rFonts w:ascii="Arial" w:hAnsi="Arial" w:cs="Arial"/>
          <w:color w:val="auto"/>
          <w:sz w:val="24"/>
          <w:szCs w:val="24"/>
        </w:rPr>
      </w:sdtEndPr>
      <w:sdtContent>
        <w:p w14:paraId="5384490A"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4F2F2DB" w14:textId="18787BA7" w:rsidR="007D1947" w:rsidRDefault="00C0725F">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Approaches to innovation and organisational change</w:t>
              </w:r>
            </w:p>
          </w:sdtContent>
        </w:sdt>
        <w:sdt>
          <w:sdtPr>
            <w:rPr>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Content>
            <w:p w14:paraId="475B7674" w14:textId="5C250FC2" w:rsidR="007D1947" w:rsidRDefault="00C0725F">
              <w:pPr>
                <w:pStyle w:val="NoSpacing"/>
                <w:jc w:val="center"/>
                <w:rPr>
                  <w:color w:val="5B9BD5" w:themeColor="accent1"/>
                  <w:sz w:val="28"/>
                  <w:szCs w:val="28"/>
                </w:rPr>
              </w:pPr>
              <w:r>
                <w:rPr>
                  <w:color w:val="5B9BD5" w:themeColor="accent1"/>
                  <w:sz w:val="28"/>
                  <w:szCs w:val="28"/>
                </w:rPr>
                <w:t>Management, Innovation and Sustainability</w:t>
              </w:r>
            </w:p>
          </w:sdtContent>
        </w:sdt>
        <w:p w14:paraId="1ADC1124"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4A6131BB" wp14:editId="0DBDB1B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4-19T00:00:00Z">
                                    <w:dateFormat w:val="MMMM d, yyyy"/>
                                    <w:lid w:val="en-US"/>
                                    <w:storeMappedDataAs w:val="dateTime"/>
                                    <w:calendar w:val="gregorian"/>
                                  </w:date>
                                </w:sdtPr>
                                <w:sdtContent>
                                  <w:p w14:paraId="52BAF8D9" w14:textId="161771FB" w:rsidR="007D1947" w:rsidRDefault="00181679">
                                    <w:pPr>
                                      <w:pStyle w:val="NoSpacing"/>
                                      <w:spacing w:after="40"/>
                                      <w:jc w:val="center"/>
                                      <w:rPr>
                                        <w:caps/>
                                        <w:color w:val="5B9BD5" w:themeColor="accent1"/>
                                        <w:sz w:val="28"/>
                                        <w:szCs w:val="28"/>
                                      </w:rPr>
                                    </w:pPr>
                                    <w:r>
                                      <w:rPr>
                                        <w:caps/>
                                        <w:color w:val="5B9BD5" w:themeColor="accent1"/>
                                        <w:sz w:val="28"/>
                                        <w:szCs w:val="28"/>
                                      </w:rPr>
                                      <w:t>April 19, 2026</w:t>
                                    </w:r>
                                  </w:p>
                                </w:sdtContent>
                              </w:sdt>
                              <w:p w14:paraId="69E98CB3" w14:textId="77777777" w:rsidR="007D1947"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3FC79022"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4-19T00:00:00Z">
                              <w:dateFormat w:val="MMMM d, yyyy"/>
                              <w:lid w:val="en-US"/>
                              <w:storeMappedDataAs w:val="dateTime"/>
                              <w:calendar w:val="gregorian"/>
                            </w:date>
                          </w:sdtPr>
                          <w:sdtContent>
                            <w:p w14:paraId="52BAF8D9" w14:textId="161771FB" w:rsidR="007D1947" w:rsidRDefault="00181679">
                              <w:pPr>
                                <w:pStyle w:val="NoSpacing"/>
                                <w:spacing w:after="40"/>
                                <w:jc w:val="center"/>
                                <w:rPr>
                                  <w:caps/>
                                  <w:color w:val="5B9BD5" w:themeColor="accent1"/>
                                  <w:sz w:val="28"/>
                                  <w:szCs w:val="28"/>
                                </w:rPr>
                              </w:pPr>
                              <w:r>
                                <w:rPr>
                                  <w:caps/>
                                  <w:color w:val="5B9BD5" w:themeColor="accent1"/>
                                  <w:sz w:val="28"/>
                                  <w:szCs w:val="28"/>
                                </w:rPr>
                                <w:t>April 19, 2026</w:t>
                              </w:r>
                            </w:p>
                          </w:sdtContent>
                        </w:sdt>
                        <w:p w14:paraId="69E98CB3" w14:textId="77777777" w:rsidR="007D1947"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3FC79022"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4157B111" wp14:editId="5C30AF1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78A531F" w14:textId="6470CF67" w:rsidR="007D1947" w:rsidRDefault="00C0725F" w:rsidP="007D1947">
          <w:pPr>
            <w:pStyle w:val="Heading1"/>
          </w:pPr>
          <w:bookmarkStart w:id="0" w:name="_Toc227094155"/>
          <w:r>
            <w:rPr>
              <w:noProof/>
            </w:rPr>
            <mc:AlternateContent>
              <mc:Choice Requires="wps">
                <w:drawing>
                  <wp:anchor distT="45720" distB="45720" distL="114300" distR="114300" simplePos="0" relativeHeight="251661312" behindDoc="0" locked="0" layoutInCell="1" allowOverlap="1" wp14:anchorId="56D194D5" wp14:editId="32098A63">
                    <wp:simplePos x="0" y="0"/>
                    <wp:positionH relativeFrom="margin">
                      <wp:align>center</wp:align>
                    </wp:positionH>
                    <wp:positionV relativeFrom="paragraph">
                      <wp:posOffset>196850</wp:posOffset>
                    </wp:positionV>
                    <wp:extent cx="3476625" cy="1404620"/>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6625" cy="1404620"/>
                            </a:xfrm>
                            <a:prstGeom prst="rect">
                              <a:avLst/>
                            </a:prstGeom>
                            <a:solidFill>
                              <a:srgbClr val="FFFFFF"/>
                            </a:solidFill>
                            <a:ln w="9525">
                              <a:noFill/>
                              <a:miter lim="800000"/>
                              <a:headEnd/>
                              <a:tailEnd/>
                            </a:ln>
                          </wps:spPr>
                          <wps:txbx>
                            <w:txbxContent>
                              <w:p w14:paraId="702C4D7D" w14:textId="6A76639C" w:rsidR="00C0725F" w:rsidRPr="00FC1732" w:rsidRDefault="00C0725F" w:rsidP="00561F80">
                                <w:pPr>
                                  <w:jc w:val="center"/>
                                  <w:rPr>
                                    <w:rFonts w:ascii="Arial" w:hAnsi="Arial" w:cs="Arial"/>
                                    <w:color w:val="5B9BD5" w:themeColor="accent1"/>
                                    <w:sz w:val="36"/>
                                    <w:szCs w:val="36"/>
                                  </w:rPr>
                                </w:pPr>
                                <w:r w:rsidRPr="00FC1732">
                                  <w:rPr>
                                    <w:rFonts w:ascii="Arial" w:hAnsi="Arial" w:cs="Arial"/>
                                    <w:color w:val="5B9BD5" w:themeColor="accent1"/>
                                    <w:sz w:val="36"/>
                                    <w:szCs w:val="36"/>
                                  </w:rPr>
                                  <w:t>Grant Brooks</w:t>
                                </w:r>
                              </w:p>
                              <w:p w14:paraId="37348F1E" w14:textId="73DC1650" w:rsidR="00C0725F" w:rsidRPr="00FC1732" w:rsidRDefault="00C0725F" w:rsidP="00561F80">
                                <w:pPr>
                                  <w:jc w:val="center"/>
                                  <w:rPr>
                                    <w:rFonts w:ascii="Arial" w:hAnsi="Arial" w:cs="Arial"/>
                                    <w:color w:val="5B9BD5" w:themeColor="accent1"/>
                                    <w:sz w:val="36"/>
                                    <w:szCs w:val="36"/>
                                  </w:rPr>
                                </w:pPr>
                                <w:r w:rsidRPr="00FC1732">
                                  <w:rPr>
                                    <w:rFonts w:ascii="Arial" w:hAnsi="Arial" w:cs="Arial"/>
                                    <w:color w:val="5B9BD5" w:themeColor="accent1"/>
                                    <w:sz w:val="36"/>
                                    <w:szCs w:val="36"/>
                                  </w:rPr>
                                  <w:t>2514976</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6D194D5" id="Text Box 2" o:spid="_x0000_s1027" type="#_x0000_t202" style="position:absolute;margin-left:0;margin-top:15.5pt;width:273.75pt;height:110.6pt;z-index:251661312;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" stroked="f">
                    <v:textbox style="mso-fit-shape-to-text:t">
                      <w:txbxContent>
                        <w:p w14:paraId="702C4D7D" w14:textId="6A76639C" w:rsidR="00C0725F" w:rsidRPr="00FC1732" w:rsidRDefault="00C0725F" w:rsidP="00561F80">
                          <w:pPr>
                            <w:jc w:val="center"/>
                            <w:rPr>
                              <w:rFonts w:ascii="Arial" w:hAnsi="Arial" w:cs="Arial"/>
                              <w:color w:val="5B9BD5" w:themeColor="accent1"/>
                              <w:sz w:val="36"/>
                              <w:szCs w:val="36"/>
                            </w:rPr>
                          </w:pPr>
                          <w:r w:rsidRPr="00FC1732">
                            <w:rPr>
                              <w:rFonts w:ascii="Arial" w:hAnsi="Arial" w:cs="Arial"/>
                              <w:color w:val="5B9BD5" w:themeColor="accent1"/>
                              <w:sz w:val="36"/>
                              <w:szCs w:val="36"/>
                            </w:rPr>
                            <w:t>Grant Brooks</w:t>
                          </w:r>
                        </w:p>
                        <w:p w14:paraId="37348F1E" w14:textId="73DC1650" w:rsidR="00C0725F" w:rsidRPr="00FC1732" w:rsidRDefault="00C0725F" w:rsidP="00561F80">
                          <w:pPr>
                            <w:jc w:val="center"/>
                            <w:rPr>
                              <w:rFonts w:ascii="Arial" w:hAnsi="Arial" w:cs="Arial"/>
                              <w:color w:val="5B9BD5" w:themeColor="accent1"/>
                              <w:sz w:val="36"/>
                              <w:szCs w:val="36"/>
                            </w:rPr>
                          </w:pPr>
                          <w:r w:rsidRPr="00FC1732">
                            <w:rPr>
                              <w:rFonts w:ascii="Arial" w:hAnsi="Arial" w:cs="Arial"/>
                              <w:color w:val="5B9BD5" w:themeColor="accent1"/>
                              <w:sz w:val="36"/>
                              <w:szCs w:val="36"/>
                            </w:rPr>
                            <w:t>2514976</w:t>
                          </w:r>
                        </w:p>
                      </w:txbxContent>
                    </v:textbox>
                    <w10:wrap type="square" anchorx="margin"/>
                  </v:shape>
                </w:pict>
              </mc:Fallback>
            </mc:AlternateContent>
          </w:r>
          <w:r w:rsidR="007D1947">
            <w:br w:type="page"/>
          </w:r>
          <w:r w:rsidR="007D1947">
            <w:lastRenderedPageBreak/>
            <w:t>Executive Summary</w:t>
          </w:r>
          <w:bookmarkEnd w:id="0"/>
        </w:p>
        <w:p w14:paraId="08AD089A" w14:textId="77777777" w:rsidR="002668B8" w:rsidRPr="002668B8" w:rsidRDefault="002668B8" w:rsidP="002668B8">
          <w:pPr>
            <w:jc w:val="both"/>
            <w:rPr>
              <w:rFonts w:ascii="Arial" w:hAnsi="Arial" w:cs="Arial"/>
              <w:sz w:val="24"/>
              <w:szCs w:val="24"/>
            </w:rPr>
          </w:pPr>
          <w:r w:rsidRPr="002668B8">
            <w:rPr>
              <w:rFonts w:ascii="Arial" w:hAnsi="Arial" w:cs="Arial"/>
              <w:sz w:val="24"/>
              <w:szCs w:val="24"/>
            </w:rPr>
            <w:t>This report evaluates an organisational change implemented at Amazon’s CWL1 fulfilment centre in Swansea, specifically the restructuring of associate start times and break schedules as part of a wider operational efficiency initiative. The analysis examines how the change was managed, identifying strengths and limitations in the approach taken by site leadership.</w:t>
          </w:r>
        </w:p>
        <w:p w14:paraId="712FB15E" w14:textId="77777777" w:rsidR="002668B8" w:rsidRPr="002668B8" w:rsidRDefault="002668B8" w:rsidP="002668B8">
          <w:pPr>
            <w:jc w:val="both"/>
            <w:rPr>
              <w:rFonts w:ascii="Arial" w:hAnsi="Arial" w:cs="Arial"/>
              <w:sz w:val="24"/>
              <w:szCs w:val="24"/>
            </w:rPr>
          </w:pPr>
          <w:r w:rsidRPr="002668B8">
            <w:rPr>
              <w:rFonts w:ascii="Arial" w:hAnsi="Arial" w:cs="Arial"/>
              <w:sz w:val="24"/>
              <w:szCs w:val="24"/>
            </w:rPr>
            <w:t>Lewin’s Force Field Analysis is applied to identify the driving and resisting forces surrounding the change. The analysis shows that operational efficiency requirements and alignment with Amazon’s internal governance framework — including the approvals.amazon.com platform — acted as strong drivers. However, significant resistance emerged from associates concerned about disruption to personal routines, childcare arrangements and transport logistics. Lewin’s Three-Step Change Model (Unfreeze, Change, Refreeze) is then used to generate recommendations for improving the management of similar changes, with emphasis on communication, consultation and embedding.</w:t>
          </w:r>
        </w:p>
        <w:p w14:paraId="4DB4508B" w14:textId="77777777" w:rsidR="002668B8" w:rsidRPr="002668B8" w:rsidRDefault="002668B8" w:rsidP="002668B8">
          <w:pPr>
            <w:jc w:val="both"/>
            <w:rPr>
              <w:rFonts w:ascii="Arial" w:hAnsi="Arial" w:cs="Arial"/>
              <w:sz w:val="24"/>
              <w:szCs w:val="24"/>
            </w:rPr>
          </w:pPr>
          <w:r w:rsidRPr="002668B8">
            <w:rPr>
              <w:rFonts w:ascii="Arial" w:hAnsi="Arial" w:cs="Arial"/>
              <w:sz w:val="24"/>
              <w:szCs w:val="24"/>
            </w:rPr>
            <w:t>The report also considers the human dimension of the change process, applying Herzberg’s Two-Factor Theory to assess the motivational impact of the revised schedules. The findings indicate that although the operational rationale for the change was sound, the implementation process lacked sufficient associate consultation and transparent communication, resulting in avoidable resistance and short-term disruption.</w:t>
          </w:r>
        </w:p>
        <w:p w14:paraId="1982C5D5" w14:textId="77777777" w:rsidR="002668B8" w:rsidRPr="002668B8" w:rsidRDefault="002668B8" w:rsidP="002668B8">
          <w:pPr>
            <w:jc w:val="both"/>
            <w:rPr>
              <w:rFonts w:ascii="Arial" w:hAnsi="Arial" w:cs="Arial"/>
              <w:sz w:val="24"/>
              <w:szCs w:val="24"/>
            </w:rPr>
          </w:pPr>
          <w:r w:rsidRPr="002668B8">
            <w:rPr>
              <w:rFonts w:ascii="Arial" w:hAnsi="Arial" w:cs="Arial"/>
              <w:sz w:val="24"/>
              <w:szCs w:val="24"/>
            </w:rPr>
            <w:t>Recommendations focus on early stakeholder engagement, structured use of Amazon’s internal governance tools, and sustained motivational support throughout the transition period.</w:t>
          </w:r>
        </w:p>
        <w:p w14:paraId="7F8F78F5" w14:textId="77777777" w:rsidR="007D1947" w:rsidRDefault="007D1947">
          <w:pPr>
            <w:rPr>
              <w:rFonts w:ascii="Arial" w:hAnsi="Arial" w:cs="Arial"/>
              <w:sz w:val="24"/>
              <w:szCs w:val="24"/>
            </w:rPr>
          </w:pPr>
        </w:p>
        <w:p w14:paraId="29D17F7B" w14:textId="77777777" w:rsidR="002668B8" w:rsidRDefault="002668B8">
          <w:pPr>
            <w:rPr>
              <w:rFonts w:ascii="Arial" w:hAnsi="Arial" w:cs="Arial"/>
              <w:sz w:val="24"/>
              <w:szCs w:val="24"/>
            </w:rPr>
          </w:pPr>
        </w:p>
        <w:p w14:paraId="5A2EB3B5" w14:textId="77777777" w:rsidR="002668B8" w:rsidRDefault="002668B8"/>
        <w:p w14:paraId="3E204757" w14:textId="77777777" w:rsidR="007D1947" w:rsidRDefault="007D1947"/>
        <w:p w14:paraId="775DA3A7" w14:textId="77777777" w:rsidR="007D1947" w:rsidRDefault="007D1947"/>
        <w:p w14:paraId="5E5C2FB5" w14:textId="77777777" w:rsidR="007D1947" w:rsidRDefault="007D1947"/>
        <w:p w14:paraId="119F1E47" w14:textId="77777777" w:rsidR="007D1947" w:rsidRDefault="007D1947"/>
        <w:p w14:paraId="2059565F" w14:textId="77777777" w:rsidR="007D1947" w:rsidRDefault="007D1947"/>
        <w:p w14:paraId="1E53466B" w14:textId="77777777" w:rsidR="007D1947" w:rsidRDefault="007D1947"/>
        <w:p w14:paraId="7BC12A6B" w14:textId="77777777" w:rsidR="007D1947" w:rsidRDefault="007D1947"/>
        <w:p w14:paraId="3C8549E0" w14:textId="77777777" w:rsidR="007D1947" w:rsidRDefault="007D1947"/>
        <w:p w14:paraId="606FEBB7"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1DFECD67" w14:textId="77777777" w:rsidR="007D1947" w:rsidRDefault="007D1947">
              <w:pPr>
                <w:pStyle w:val="TOCHeading"/>
              </w:pPr>
              <w:r>
                <w:t>Table of Contents</w:t>
              </w:r>
            </w:p>
            <w:p w14:paraId="6F755DEC" w14:textId="3916C2CC" w:rsidR="004912CA" w:rsidRDefault="007D1947">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227094155" w:history="1">
                <w:r w:rsidR="004912CA" w:rsidRPr="00DE5F74">
                  <w:rPr>
                    <w:rStyle w:val="Hyperlink"/>
                    <w:noProof/>
                  </w:rPr>
                  <w:t>Executive Summary</w:t>
                </w:r>
                <w:r w:rsidR="004912CA">
                  <w:rPr>
                    <w:noProof/>
                    <w:webHidden/>
                  </w:rPr>
                  <w:tab/>
                </w:r>
                <w:r w:rsidR="004912CA">
                  <w:rPr>
                    <w:noProof/>
                    <w:webHidden/>
                  </w:rPr>
                  <w:fldChar w:fldCharType="begin"/>
                </w:r>
                <w:r w:rsidR="004912CA">
                  <w:rPr>
                    <w:noProof/>
                    <w:webHidden/>
                  </w:rPr>
                  <w:instrText xml:space="preserve"> PAGEREF _Toc227094155 \h </w:instrText>
                </w:r>
                <w:r w:rsidR="004912CA">
                  <w:rPr>
                    <w:noProof/>
                    <w:webHidden/>
                  </w:rPr>
                </w:r>
                <w:r w:rsidR="004912CA">
                  <w:rPr>
                    <w:noProof/>
                    <w:webHidden/>
                  </w:rPr>
                  <w:fldChar w:fldCharType="separate"/>
                </w:r>
                <w:r w:rsidR="004912CA">
                  <w:rPr>
                    <w:noProof/>
                    <w:webHidden/>
                  </w:rPr>
                  <w:t>0</w:t>
                </w:r>
                <w:r w:rsidR="004912CA">
                  <w:rPr>
                    <w:noProof/>
                    <w:webHidden/>
                  </w:rPr>
                  <w:fldChar w:fldCharType="end"/>
                </w:r>
              </w:hyperlink>
            </w:p>
            <w:p w14:paraId="04A10D77" w14:textId="46C6D16B" w:rsidR="004912CA" w:rsidRDefault="004912CA">
              <w:pPr>
                <w:pStyle w:val="TOC1"/>
                <w:tabs>
                  <w:tab w:val="right" w:leader="dot" w:pos="9016"/>
                </w:tabs>
                <w:rPr>
                  <w:rFonts w:eastAsiaTheme="minorEastAsia"/>
                  <w:noProof/>
                  <w:kern w:val="2"/>
                  <w:sz w:val="24"/>
                  <w:szCs w:val="24"/>
                  <w:lang w:eastAsia="en-GB"/>
                  <w14:ligatures w14:val="standardContextual"/>
                </w:rPr>
              </w:pPr>
              <w:hyperlink w:anchor="_Toc227094156" w:history="1">
                <w:r w:rsidRPr="00DE5F74">
                  <w:rPr>
                    <w:rStyle w:val="Hyperlink"/>
                    <w:noProof/>
                  </w:rPr>
                  <w:t>Introduction</w:t>
                </w:r>
                <w:r>
                  <w:rPr>
                    <w:noProof/>
                    <w:webHidden/>
                  </w:rPr>
                  <w:tab/>
                </w:r>
                <w:r>
                  <w:rPr>
                    <w:noProof/>
                    <w:webHidden/>
                  </w:rPr>
                  <w:fldChar w:fldCharType="begin"/>
                </w:r>
                <w:r>
                  <w:rPr>
                    <w:noProof/>
                    <w:webHidden/>
                  </w:rPr>
                  <w:instrText xml:space="preserve"> PAGEREF _Toc227094156 \h </w:instrText>
                </w:r>
                <w:r>
                  <w:rPr>
                    <w:noProof/>
                    <w:webHidden/>
                  </w:rPr>
                </w:r>
                <w:r>
                  <w:rPr>
                    <w:noProof/>
                    <w:webHidden/>
                  </w:rPr>
                  <w:fldChar w:fldCharType="separate"/>
                </w:r>
                <w:r>
                  <w:rPr>
                    <w:noProof/>
                    <w:webHidden/>
                  </w:rPr>
                  <w:t>3</w:t>
                </w:r>
                <w:r>
                  <w:rPr>
                    <w:noProof/>
                    <w:webHidden/>
                  </w:rPr>
                  <w:fldChar w:fldCharType="end"/>
                </w:r>
              </w:hyperlink>
            </w:p>
            <w:p w14:paraId="318E4E72" w14:textId="0937382B" w:rsidR="004912CA" w:rsidRDefault="004912CA">
              <w:pPr>
                <w:pStyle w:val="TOC1"/>
                <w:tabs>
                  <w:tab w:val="right" w:leader="dot" w:pos="9016"/>
                </w:tabs>
                <w:rPr>
                  <w:rFonts w:eastAsiaTheme="minorEastAsia"/>
                  <w:noProof/>
                  <w:kern w:val="2"/>
                  <w:sz w:val="24"/>
                  <w:szCs w:val="24"/>
                  <w:lang w:eastAsia="en-GB"/>
                  <w14:ligatures w14:val="standardContextual"/>
                </w:rPr>
              </w:pPr>
              <w:hyperlink w:anchor="_Toc227094157" w:history="1">
                <w:r w:rsidRPr="00DE5F74">
                  <w:rPr>
                    <w:rStyle w:val="Hyperlink"/>
                    <w:noProof/>
                  </w:rPr>
                  <w:t>Main Findings</w:t>
                </w:r>
                <w:r>
                  <w:rPr>
                    <w:noProof/>
                    <w:webHidden/>
                  </w:rPr>
                  <w:tab/>
                </w:r>
                <w:r>
                  <w:rPr>
                    <w:noProof/>
                    <w:webHidden/>
                  </w:rPr>
                  <w:fldChar w:fldCharType="begin"/>
                </w:r>
                <w:r>
                  <w:rPr>
                    <w:noProof/>
                    <w:webHidden/>
                  </w:rPr>
                  <w:instrText xml:space="preserve"> PAGEREF _Toc227094157 \h </w:instrText>
                </w:r>
                <w:r>
                  <w:rPr>
                    <w:noProof/>
                    <w:webHidden/>
                  </w:rPr>
                </w:r>
                <w:r>
                  <w:rPr>
                    <w:noProof/>
                    <w:webHidden/>
                  </w:rPr>
                  <w:fldChar w:fldCharType="separate"/>
                </w:r>
                <w:r>
                  <w:rPr>
                    <w:noProof/>
                    <w:webHidden/>
                  </w:rPr>
                  <w:t>4</w:t>
                </w:r>
                <w:r>
                  <w:rPr>
                    <w:noProof/>
                    <w:webHidden/>
                  </w:rPr>
                  <w:fldChar w:fldCharType="end"/>
                </w:r>
              </w:hyperlink>
            </w:p>
            <w:p w14:paraId="3B643871" w14:textId="1432975B" w:rsidR="004912CA" w:rsidRDefault="004912CA">
              <w:pPr>
                <w:pStyle w:val="TOC2"/>
                <w:tabs>
                  <w:tab w:val="right" w:leader="dot" w:pos="9016"/>
                </w:tabs>
                <w:rPr>
                  <w:rFonts w:eastAsiaTheme="minorEastAsia"/>
                  <w:noProof/>
                  <w:kern w:val="2"/>
                  <w:sz w:val="24"/>
                  <w:szCs w:val="24"/>
                  <w:lang w:eastAsia="en-GB"/>
                  <w14:ligatures w14:val="standardContextual"/>
                </w:rPr>
              </w:pPr>
              <w:hyperlink w:anchor="_Toc227094158" w:history="1">
                <w:r w:rsidRPr="00DE5F74">
                  <w:rPr>
                    <w:rStyle w:val="Hyperlink"/>
                    <w:noProof/>
                  </w:rPr>
                  <w:t>Understanding Organisational Change</w:t>
                </w:r>
                <w:r>
                  <w:rPr>
                    <w:noProof/>
                    <w:webHidden/>
                  </w:rPr>
                  <w:tab/>
                </w:r>
                <w:r>
                  <w:rPr>
                    <w:noProof/>
                    <w:webHidden/>
                  </w:rPr>
                  <w:fldChar w:fldCharType="begin"/>
                </w:r>
                <w:r>
                  <w:rPr>
                    <w:noProof/>
                    <w:webHidden/>
                  </w:rPr>
                  <w:instrText xml:space="preserve"> PAGEREF _Toc227094158 \h </w:instrText>
                </w:r>
                <w:r>
                  <w:rPr>
                    <w:noProof/>
                    <w:webHidden/>
                  </w:rPr>
                </w:r>
                <w:r>
                  <w:rPr>
                    <w:noProof/>
                    <w:webHidden/>
                  </w:rPr>
                  <w:fldChar w:fldCharType="separate"/>
                </w:r>
                <w:r>
                  <w:rPr>
                    <w:noProof/>
                    <w:webHidden/>
                  </w:rPr>
                  <w:t>4</w:t>
                </w:r>
                <w:r>
                  <w:rPr>
                    <w:noProof/>
                    <w:webHidden/>
                  </w:rPr>
                  <w:fldChar w:fldCharType="end"/>
                </w:r>
              </w:hyperlink>
            </w:p>
            <w:p w14:paraId="0ED61667" w14:textId="3D0B8B06" w:rsidR="004912CA" w:rsidRDefault="004912CA">
              <w:pPr>
                <w:pStyle w:val="TOC2"/>
                <w:tabs>
                  <w:tab w:val="right" w:leader="dot" w:pos="9016"/>
                </w:tabs>
                <w:rPr>
                  <w:rFonts w:eastAsiaTheme="minorEastAsia"/>
                  <w:noProof/>
                  <w:kern w:val="2"/>
                  <w:sz w:val="24"/>
                  <w:szCs w:val="24"/>
                  <w:lang w:eastAsia="en-GB"/>
                  <w14:ligatures w14:val="standardContextual"/>
                </w:rPr>
              </w:pPr>
              <w:hyperlink w:anchor="_Toc227094159" w:history="1">
                <w:r w:rsidRPr="00DE5F74">
                  <w:rPr>
                    <w:rStyle w:val="Hyperlink"/>
                    <w:rFonts w:ascii="Arial" w:hAnsi="Arial" w:cs="Arial"/>
                    <w:noProof/>
                  </w:rPr>
                  <w:t>O</w:t>
                </w:r>
                <w:r w:rsidRPr="00DE5F74">
                  <w:rPr>
                    <w:rStyle w:val="Hyperlink"/>
                    <w:noProof/>
                  </w:rPr>
                  <w:t>verview of the Change at CWL1</w:t>
                </w:r>
                <w:r>
                  <w:rPr>
                    <w:noProof/>
                    <w:webHidden/>
                  </w:rPr>
                  <w:tab/>
                </w:r>
                <w:r>
                  <w:rPr>
                    <w:noProof/>
                    <w:webHidden/>
                  </w:rPr>
                  <w:fldChar w:fldCharType="begin"/>
                </w:r>
                <w:r>
                  <w:rPr>
                    <w:noProof/>
                    <w:webHidden/>
                  </w:rPr>
                  <w:instrText xml:space="preserve"> PAGEREF _Toc227094159 \h </w:instrText>
                </w:r>
                <w:r>
                  <w:rPr>
                    <w:noProof/>
                    <w:webHidden/>
                  </w:rPr>
                </w:r>
                <w:r>
                  <w:rPr>
                    <w:noProof/>
                    <w:webHidden/>
                  </w:rPr>
                  <w:fldChar w:fldCharType="separate"/>
                </w:r>
                <w:r>
                  <w:rPr>
                    <w:noProof/>
                    <w:webHidden/>
                  </w:rPr>
                  <w:t>4</w:t>
                </w:r>
                <w:r>
                  <w:rPr>
                    <w:noProof/>
                    <w:webHidden/>
                  </w:rPr>
                  <w:fldChar w:fldCharType="end"/>
                </w:r>
              </w:hyperlink>
            </w:p>
            <w:p w14:paraId="46262E9B" w14:textId="237D6601" w:rsidR="004912CA" w:rsidRDefault="004912CA">
              <w:pPr>
                <w:pStyle w:val="TOC2"/>
                <w:tabs>
                  <w:tab w:val="right" w:leader="dot" w:pos="9016"/>
                </w:tabs>
                <w:rPr>
                  <w:rFonts w:eastAsiaTheme="minorEastAsia"/>
                  <w:noProof/>
                  <w:kern w:val="2"/>
                  <w:sz w:val="24"/>
                  <w:szCs w:val="24"/>
                  <w:lang w:eastAsia="en-GB"/>
                  <w14:ligatures w14:val="standardContextual"/>
                </w:rPr>
              </w:pPr>
              <w:hyperlink w:anchor="_Toc227094160" w:history="1">
                <w:r w:rsidRPr="00DE5F74">
                  <w:rPr>
                    <w:rStyle w:val="Hyperlink"/>
                    <w:noProof/>
                  </w:rPr>
                  <w:t>Assessment of Change Effectiveness – Kotter's Eight-Step Model</w:t>
                </w:r>
                <w:r>
                  <w:rPr>
                    <w:noProof/>
                    <w:webHidden/>
                  </w:rPr>
                  <w:tab/>
                </w:r>
                <w:r>
                  <w:rPr>
                    <w:noProof/>
                    <w:webHidden/>
                  </w:rPr>
                  <w:fldChar w:fldCharType="begin"/>
                </w:r>
                <w:r>
                  <w:rPr>
                    <w:noProof/>
                    <w:webHidden/>
                  </w:rPr>
                  <w:instrText xml:space="preserve"> PAGEREF _Toc227094160 \h </w:instrText>
                </w:r>
                <w:r>
                  <w:rPr>
                    <w:noProof/>
                    <w:webHidden/>
                  </w:rPr>
                </w:r>
                <w:r>
                  <w:rPr>
                    <w:noProof/>
                    <w:webHidden/>
                  </w:rPr>
                  <w:fldChar w:fldCharType="separate"/>
                </w:r>
                <w:r>
                  <w:rPr>
                    <w:noProof/>
                    <w:webHidden/>
                  </w:rPr>
                  <w:t>5</w:t>
                </w:r>
                <w:r>
                  <w:rPr>
                    <w:noProof/>
                    <w:webHidden/>
                  </w:rPr>
                  <w:fldChar w:fldCharType="end"/>
                </w:r>
              </w:hyperlink>
            </w:p>
            <w:p w14:paraId="41D6CB32" w14:textId="68573526" w:rsidR="004912CA" w:rsidRDefault="004912CA">
              <w:pPr>
                <w:pStyle w:val="TOC2"/>
                <w:tabs>
                  <w:tab w:val="right" w:leader="dot" w:pos="9016"/>
                </w:tabs>
                <w:rPr>
                  <w:rFonts w:eastAsiaTheme="minorEastAsia"/>
                  <w:noProof/>
                  <w:kern w:val="2"/>
                  <w:sz w:val="24"/>
                  <w:szCs w:val="24"/>
                  <w:lang w:eastAsia="en-GB"/>
                  <w14:ligatures w14:val="standardContextual"/>
                </w:rPr>
              </w:pPr>
              <w:hyperlink w:anchor="_Toc227094161" w:history="1">
                <w:r w:rsidRPr="00DE5F74">
                  <w:rPr>
                    <w:rStyle w:val="Hyperlink"/>
                    <w:noProof/>
                  </w:rPr>
                  <w:t>Lewin's Force Field Analysis Applied to CWL1</w:t>
                </w:r>
                <w:r>
                  <w:rPr>
                    <w:noProof/>
                    <w:webHidden/>
                  </w:rPr>
                  <w:tab/>
                </w:r>
                <w:r>
                  <w:rPr>
                    <w:noProof/>
                    <w:webHidden/>
                  </w:rPr>
                  <w:fldChar w:fldCharType="begin"/>
                </w:r>
                <w:r>
                  <w:rPr>
                    <w:noProof/>
                    <w:webHidden/>
                  </w:rPr>
                  <w:instrText xml:space="preserve"> PAGEREF _Toc227094161 \h </w:instrText>
                </w:r>
                <w:r>
                  <w:rPr>
                    <w:noProof/>
                    <w:webHidden/>
                  </w:rPr>
                </w:r>
                <w:r>
                  <w:rPr>
                    <w:noProof/>
                    <w:webHidden/>
                  </w:rPr>
                  <w:fldChar w:fldCharType="separate"/>
                </w:r>
                <w:r>
                  <w:rPr>
                    <w:noProof/>
                    <w:webHidden/>
                  </w:rPr>
                  <w:t>6</w:t>
                </w:r>
                <w:r>
                  <w:rPr>
                    <w:noProof/>
                    <w:webHidden/>
                  </w:rPr>
                  <w:fldChar w:fldCharType="end"/>
                </w:r>
              </w:hyperlink>
            </w:p>
            <w:p w14:paraId="683E23AA" w14:textId="0BE6DE90" w:rsidR="004912CA" w:rsidRDefault="004912CA">
              <w:pPr>
                <w:pStyle w:val="TOC2"/>
                <w:tabs>
                  <w:tab w:val="right" w:leader="dot" w:pos="9016"/>
                </w:tabs>
                <w:rPr>
                  <w:rFonts w:eastAsiaTheme="minorEastAsia"/>
                  <w:noProof/>
                  <w:kern w:val="2"/>
                  <w:sz w:val="24"/>
                  <w:szCs w:val="24"/>
                  <w:lang w:eastAsia="en-GB"/>
                  <w14:ligatures w14:val="standardContextual"/>
                </w:rPr>
              </w:pPr>
              <w:hyperlink w:anchor="_Toc227094162" w:history="1">
                <w:r w:rsidRPr="00DE5F74">
                  <w:rPr>
                    <w:rStyle w:val="Hyperlink"/>
                    <w:noProof/>
                  </w:rPr>
                  <w:t>Lewin's Three-Step Change Model – Recommendations</w:t>
                </w:r>
                <w:r>
                  <w:rPr>
                    <w:noProof/>
                    <w:webHidden/>
                  </w:rPr>
                  <w:tab/>
                </w:r>
                <w:r>
                  <w:rPr>
                    <w:noProof/>
                    <w:webHidden/>
                  </w:rPr>
                  <w:fldChar w:fldCharType="begin"/>
                </w:r>
                <w:r>
                  <w:rPr>
                    <w:noProof/>
                    <w:webHidden/>
                  </w:rPr>
                  <w:instrText xml:space="preserve"> PAGEREF _Toc227094162 \h </w:instrText>
                </w:r>
                <w:r>
                  <w:rPr>
                    <w:noProof/>
                    <w:webHidden/>
                  </w:rPr>
                </w:r>
                <w:r>
                  <w:rPr>
                    <w:noProof/>
                    <w:webHidden/>
                  </w:rPr>
                  <w:fldChar w:fldCharType="separate"/>
                </w:r>
                <w:r>
                  <w:rPr>
                    <w:noProof/>
                    <w:webHidden/>
                  </w:rPr>
                  <w:t>7</w:t>
                </w:r>
                <w:r>
                  <w:rPr>
                    <w:noProof/>
                    <w:webHidden/>
                  </w:rPr>
                  <w:fldChar w:fldCharType="end"/>
                </w:r>
              </w:hyperlink>
            </w:p>
            <w:p w14:paraId="32EB1D2E" w14:textId="7C051103" w:rsidR="004912CA" w:rsidRDefault="004912CA">
              <w:pPr>
                <w:pStyle w:val="TOC3"/>
                <w:tabs>
                  <w:tab w:val="right" w:leader="dot" w:pos="9016"/>
                </w:tabs>
                <w:rPr>
                  <w:rFonts w:eastAsiaTheme="minorEastAsia"/>
                  <w:noProof/>
                  <w:kern w:val="2"/>
                  <w:sz w:val="24"/>
                  <w:szCs w:val="24"/>
                  <w:lang w:eastAsia="en-GB"/>
                  <w14:ligatures w14:val="standardContextual"/>
                </w:rPr>
              </w:pPr>
              <w:hyperlink w:anchor="_Toc227094163" w:history="1">
                <w:r w:rsidRPr="00DE5F74">
                  <w:rPr>
                    <w:rStyle w:val="Hyperlink"/>
                    <w:noProof/>
                  </w:rPr>
                  <w:t>Unfreezing at CWL1</w:t>
                </w:r>
                <w:r>
                  <w:rPr>
                    <w:noProof/>
                    <w:webHidden/>
                  </w:rPr>
                  <w:tab/>
                </w:r>
                <w:r>
                  <w:rPr>
                    <w:noProof/>
                    <w:webHidden/>
                  </w:rPr>
                  <w:fldChar w:fldCharType="begin"/>
                </w:r>
                <w:r>
                  <w:rPr>
                    <w:noProof/>
                    <w:webHidden/>
                  </w:rPr>
                  <w:instrText xml:space="preserve"> PAGEREF _Toc227094163 \h </w:instrText>
                </w:r>
                <w:r>
                  <w:rPr>
                    <w:noProof/>
                    <w:webHidden/>
                  </w:rPr>
                </w:r>
                <w:r>
                  <w:rPr>
                    <w:noProof/>
                    <w:webHidden/>
                  </w:rPr>
                  <w:fldChar w:fldCharType="separate"/>
                </w:r>
                <w:r>
                  <w:rPr>
                    <w:noProof/>
                    <w:webHidden/>
                  </w:rPr>
                  <w:t>7</w:t>
                </w:r>
                <w:r>
                  <w:rPr>
                    <w:noProof/>
                    <w:webHidden/>
                  </w:rPr>
                  <w:fldChar w:fldCharType="end"/>
                </w:r>
              </w:hyperlink>
            </w:p>
            <w:p w14:paraId="00CB412F" w14:textId="3BC4E149" w:rsidR="004912CA" w:rsidRDefault="004912CA">
              <w:pPr>
                <w:pStyle w:val="TOC3"/>
                <w:tabs>
                  <w:tab w:val="right" w:leader="dot" w:pos="9016"/>
                </w:tabs>
                <w:rPr>
                  <w:rFonts w:eastAsiaTheme="minorEastAsia"/>
                  <w:noProof/>
                  <w:kern w:val="2"/>
                  <w:sz w:val="24"/>
                  <w:szCs w:val="24"/>
                  <w:lang w:eastAsia="en-GB"/>
                  <w14:ligatures w14:val="standardContextual"/>
                </w:rPr>
              </w:pPr>
              <w:hyperlink w:anchor="_Toc227094164" w:history="1">
                <w:r w:rsidRPr="00DE5F74">
                  <w:rPr>
                    <w:rStyle w:val="Hyperlink"/>
                    <w:noProof/>
                  </w:rPr>
                  <w:t>Moving at CWL1</w:t>
                </w:r>
                <w:r>
                  <w:rPr>
                    <w:noProof/>
                    <w:webHidden/>
                  </w:rPr>
                  <w:tab/>
                </w:r>
                <w:r>
                  <w:rPr>
                    <w:noProof/>
                    <w:webHidden/>
                  </w:rPr>
                  <w:fldChar w:fldCharType="begin"/>
                </w:r>
                <w:r>
                  <w:rPr>
                    <w:noProof/>
                    <w:webHidden/>
                  </w:rPr>
                  <w:instrText xml:space="preserve"> PAGEREF _Toc227094164 \h </w:instrText>
                </w:r>
                <w:r>
                  <w:rPr>
                    <w:noProof/>
                    <w:webHidden/>
                  </w:rPr>
                </w:r>
                <w:r>
                  <w:rPr>
                    <w:noProof/>
                    <w:webHidden/>
                  </w:rPr>
                  <w:fldChar w:fldCharType="separate"/>
                </w:r>
                <w:r>
                  <w:rPr>
                    <w:noProof/>
                    <w:webHidden/>
                  </w:rPr>
                  <w:t>7</w:t>
                </w:r>
                <w:r>
                  <w:rPr>
                    <w:noProof/>
                    <w:webHidden/>
                  </w:rPr>
                  <w:fldChar w:fldCharType="end"/>
                </w:r>
              </w:hyperlink>
            </w:p>
            <w:p w14:paraId="109068E4" w14:textId="202D9473" w:rsidR="004912CA" w:rsidRDefault="004912CA">
              <w:pPr>
                <w:pStyle w:val="TOC3"/>
                <w:tabs>
                  <w:tab w:val="right" w:leader="dot" w:pos="9016"/>
                </w:tabs>
                <w:rPr>
                  <w:rFonts w:eastAsiaTheme="minorEastAsia"/>
                  <w:noProof/>
                  <w:kern w:val="2"/>
                  <w:sz w:val="24"/>
                  <w:szCs w:val="24"/>
                  <w:lang w:eastAsia="en-GB"/>
                  <w14:ligatures w14:val="standardContextual"/>
                </w:rPr>
              </w:pPr>
              <w:hyperlink w:anchor="_Toc227094165" w:history="1">
                <w:r w:rsidRPr="00DE5F74">
                  <w:rPr>
                    <w:rStyle w:val="Hyperlink"/>
                    <w:noProof/>
                  </w:rPr>
                  <w:t>Refreezing at CWL1</w:t>
                </w:r>
                <w:r>
                  <w:rPr>
                    <w:noProof/>
                    <w:webHidden/>
                  </w:rPr>
                  <w:tab/>
                </w:r>
                <w:r>
                  <w:rPr>
                    <w:noProof/>
                    <w:webHidden/>
                  </w:rPr>
                  <w:fldChar w:fldCharType="begin"/>
                </w:r>
                <w:r>
                  <w:rPr>
                    <w:noProof/>
                    <w:webHidden/>
                  </w:rPr>
                  <w:instrText xml:space="preserve"> PAGEREF _Toc227094165 \h </w:instrText>
                </w:r>
                <w:r>
                  <w:rPr>
                    <w:noProof/>
                    <w:webHidden/>
                  </w:rPr>
                </w:r>
                <w:r>
                  <w:rPr>
                    <w:noProof/>
                    <w:webHidden/>
                  </w:rPr>
                  <w:fldChar w:fldCharType="separate"/>
                </w:r>
                <w:r>
                  <w:rPr>
                    <w:noProof/>
                    <w:webHidden/>
                  </w:rPr>
                  <w:t>7</w:t>
                </w:r>
                <w:r>
                  <w:rPr>
                    <w:noProof/>
                    <w:webHidden/>
                  </w:rPr>
                  <w:fldChar w:fldCharType="end"/>
                </w:r>
              </w:hyperlink>
            </w:p>
            <w:p w14:paraId="0F14AAE1" w14:textId="41BBF9E4" w:rsidR="004912CA" w:rsidRDefault="004912CA">
              <w:pPr>
                <w:pStyle w:val="TOC2"/>
                <w:tabs>
                  <w:tab w:val="right" w:leader="dot" w:pos="9016"/>
                </w:tabs>
                <w:rPr>
                  <w:rFonts w:eastAsiaTheme="minorEastAsia"/>
                  <w:noProof/>
                  <w:kern w:val="2"/>
                  <w:sz w:val="24"/>
                  <w:szCs w:val="24"/>
                  <w:lang w:eastAsia="en-GB"/>
                  <w14:ligatures w14:val="standardContextual"/>
                </w:rPr>
              </w:pPr>
              <w:hyperlink w:anchor="_Toc227094166" w:history="1">
                <w:r w:rsidRPr="00DE5F74">
                  <w:rPr>
                    <w:rStyle w:val="Hyperlink"/>
                    <w:noProof/>
                  </w:rPr>
                  <w:t>Employee Motivation During Change – Herzberg's Two-Factor Theory</w:t>
                </w:r>
                <w:r>
                  <w:rPr>
                    <w:noProof/>
                    <w:webHidden/>
                  </w:rPr>
                  <w:tab/>
                </w:r>
                <w:r>
                  <w:rPr>
                    <w:noProof/>
                    <w:webHidden/>
                  </w:rPr>
                  <w:fldChar w:fldCharType="begin"/>
                </w:r>
                <w:r>
                  <w:rPr>
                    <w:noProof/>
                    <w:webHidden/>
                  </w:rPr>
                  <w:instrText xml:space="preserve"> PAGEREF _Toc227094166 \h </w:instrText>
                </w:r>
                <w:r>
                  <w:rPr>
                    <w:noProof/>
                    <w:webHidden/>
                  </w:rPr>
                </w:r>
                <w:r>
                  <w:rPr>
                    <w:noProof/>
                    <w:webHidden/>
                  </w:rPr>
                  <w:fldChar w:fldCharType="separate"/>
                </w:r>
                <w:r>
                  <w:rPr>
                    <w:noProof/>
                    <w:webHidden/>
                  </w:rPr>
                  <w:t>8</w:t>
                </w:r>
                <w:r>
                  <w:rPr>
                    <w:noProof/>
                    <w:webHidden/>
                  </w:rPr>
                  <w:fldChar w:fldCharType="end"/>
                </w:r>
              </w:hyperlink>
            </w:p>
            <w:p w14:paraId="26EC339F" w14:textId="1F38D290" w:rsidR="004912CA" w:rsidRDefault="004912CA">
              <w:pPr>
                <w:pStyle w:val="TOC1"/>
                <w:tabs>
                  <w:tab w:val="right" w:leader="dot" w:pos="9016"/>
                </w:tabs>
                <w:rPr>
                  <w:rFonts w:eastAsiaTheme="minorEastAsia"/>
                  <w:noProof/>
                  <w:kern w:val="2"/>
                  <w:sz w:val="24"/>
                  <w:szCs w:val="24"/>
                  <w:lang w:eastAsia="en-GB"/>
                  <w14:ligatures w14:val="standardContextual"/>
                </w:rPr>
              </w:pPr>
              <w:hyperlink w:anchor="_Toc227094167" w:history="1">
                <w:r w:rsidRPr="00DE5F74">
                  <w:rPr>
                    <w:rStyle w:val="Hyperlink"/>
                    <w:noProof/>
                  </w:rPr>
                  <w:t>Conclusion</w:t>
                </w:r>
                <w:r>
                  <w:rPr>
                    <w:noProof/>
                    <w:webHidden/>
                  </w:rPr>
                  <w:tab/>
                </w:r>
                <w:r>
                  <w:rPr>
                    <w:noProof/>
                    <w:webHidden/>
                  </w:rPr>
                  <w:fldChar w:fldCharType="begin"/>
                </w:r>
                <w:r>
                  <w:rPr>
                    <w:noProof/>
                    <w:webHidden/>
                  </w:rPr>
                  <w:instrText xml:space="preserve"> PAGEREF _Toc227094167 \h </w:instrText>
                </w:r>
                <w:r>
                  <w:rPr>
                    <w:noProof/>
                    <w:webHidden/>
                  </w:rPr>
                </w:r>
                <w:r>
                  <w:rPr>
                    <w:noProof/>
                    <w:webHidden/>
                  </w:rPr>
                  <w:fldChar w:fldCharType="separate"/>
                </w:r>
                <w:r>
                  <w:rPr>
                    <w:noProof/>
                    <w:webHidden/>
                  </w:rPr>
                  <w:t>9</w:t>
                </w:r>
                <w:r>
                  <w:rPr>
                    <w:noProof/>
                    <w:webHidden/>
                  </w:rPr>
                  <w:fldChar w:fldCharType="end"/>
                </w:r>
              </w:hyperlink>
            </w:p>
            <w:p w14:paraId="4E852D98" w14:textId="3633B17D" w:rsidR="004912CA" w:rsidRDefault="004912CA">
              <w:pPr>
                <w:pStyle w:val="TOC1"/>
                <w:tabs>
                  <w:tab w:val="right" w:leader="dot" w:pos="9016"/>
                </w:tabs>
                <w:rPr>
                  <w:rFonts w:eastAsiaTheme="minorEastAsia"/>
                  <w:noProof/>
                  <w:kern w:val="2"/>
                  <w:sz w:val="24"/>
                  <w:szCs w:val="24"/>
                  <w:lang w:eastAsia="en-GB"/>
                  <w14:ligatures w14:val="standardContextual"/>
                </w:rPr>
              </w:pPr>
              <w:hyperlink w:anchor="_Toc227094168" w:history="1">
                <w:r w:rsidRPr="00DE5F74">
                  <w:rPr>
                    <w:rStyle w:val="Hyperlink"/>
                    <w:noProof/>
                  </w:rPr>
                  <w:t>Bibliography</w:t>
                </w:r>
                <w:r>
                  <w:rPr>
                    <w:noProof/>
                    <w:webHidden/>
                  </w:rPr>
                  <w:tab/>
                </w:r>
                <w:r>
                  <w:rPr>
                    <w:noProof/>
                    <w:webHidden/>
                  </w:rPr>
                  <w:fldChar w:fldCharType="begin"/>
                </w:r>
                <w:r>
                  <w:rPr>
                    <w:noProof/>
                    <w:webHidden/>
                  </w:rPr>
                  <w:instrText xml:space="preserve"> PAGEREF _Toc227094168 \h </w:instrText>
                </w:r>
                <w:r>
                  <w:rPr>
                    <w:noProof/>
                    <w:webHidden/>
                  </w:rPr>
                </w:r>
                <w:r>
                  <w:rPr>
                    <w:noProof/>
                    <w:webHidden/>
                  </w:rPr>
                  <w:fldChar w:fldCharType="separate"/>
                </w:r>
                <w:r>
                  <w:rPr>
                    <w:noProof/>
                    <w:webHidden/>
                  </w:rPr>
                  <w:t>10</w:t>
                </w:r>
                <w:r>
                  <w:rPr>
                    <w:noProof/>
                    <w:webHidden/>
                  </w:rPr>
                  <w:fldChar w:fldCharType="end"/>
                </w:r>
              </w:hyperlink>
            </w:p>
            <w:p w14:paraId="05194699" w14:textId="663305B5" w:rsidR="007D1947" w:rsidRDefault="007D1947">
              <w:r>
                <w:rPr>
                  <w:b/>
                  <w:bCs/>
                  <w:noProof/>
                </w:rPr>
                <w:fldChar w:fldCharType="end"/>
              </w:r>
            </w:p>
          </w:sdtContent>
        </w:sdt>
        <w:p w14:paraId="35B6052B" w14:textId="77777777" w:rsidR="007D1947" w:rsidRDefault="007D1947"/>
        <w:p w14:paraId="6762DD1F" w14:textId="77777777" w:rsidR="00A1742E" w:rsidRDefault="00A1742E">
          <w:pPr>
            <w:rPr>
              <w:rFonts w:asciiTheme="majorHAnsi" w:eastAsiaTheme="majorEastAsia" w:hAnsiTheme="majorHAnsi" w:cstheme="majorBidi"/>
              <w:color w:val="2E74B5" w:themeColor="accent1" w:themeShade="BF"/>
              <w:sz w:val="32"/>
              <w:szCs w:val="32"/>
            </w:rPr>
          </w:pPr>
          <w:r>
            <w:br w:type="page"/>
          </w:r>
        </w:p>
        <w:p w14:paraId="0ED321E6" w14:textId="4161FE3A" w:rsidR="007D1947" w:rsidRDefault="007D1947" w:rsidP="00A12B58">
          <w:pPr>
            <w:pStyle w:val="Heading1"/>
          </w:pPr>
          <w:bookmarkStart w:id="1" w:name="_Toc227094156"/>
          <w:r>
            <w:lastRenderedPageBreak/>
            <w:t>Introduction</w:t>
          </w:r>
          <w:bookmarkEnd w:id="1"/>
          <w:r w:rsidR="00480872">
            <w:t xml:space="preserve"> </w:t>
          </w:r>
          <w:r w:rsidR="00E91208">
            <w:t xml:space="preserve"> </w:t>
          </w:r>
        </w:p>
        <w:p w14:paraId="0CB3F834" w14:textId="77777777" w:rsidR="002668B8" w:rsidRPr="002668B8" w:rsidRDefault="002668B8" w:rsidP="002668B8">
          <w:pPr>
            <w:rPr>
              <w:rFonts w:ascii="Arial" w:hAnsi="Arial" w:cs="Arial"/>
              <w:sz w:val="24"/>
              <w:szCs w:val="24"/>
            </w:rPr>
          </w:pPr>
          <w:r w:rsidRPr="002668B8">
            <w:rPr>
              <w:rFonts w:ascii="Arial" w:hAnsi="Arial" w:cs="Arial"/>
              <w:sz w:val="24"/>
              <w:szCs w:val="24"/>
            </w:rPr>
            <w:t xml:space="preserve">Amazon is one of the world’s largest employers and logistics operators, with its fulfilment network forming a critical component of its global supply chain infrastructure. CWL1, located in Swansea, Wales, is a major UK fulfilment centre employing thousands of associates across inbound, pick, pack and dispatch functions (Amazon, 2023). Like all Amazon sites, CWL1 operates within a highly structured, data-driven environment where operational efficiency, throughput and cost optimisation are central priorities (Kantor and </w:t>
          </w:r>
          <w:proofErr w:type="spellStart"/>
          <w:r w:rsidRPr="002668B8">
            <w:rPr>
              <w:rFonts w:ascii="Arial" w:hAnsi="Arial" w:cs="Arial"/>
              <w:sz w:val="24"/>
              <w:szCs w:val="24"/>
            </w:rPr>
            <w:t>Streitfeld</w:t>
          </w:r>
          <w:proofErr w:type="spellEnd"/>
          <w:r w:rsidRPr="002668B8">
            <w:rPr>
              <w:rFonts w:ascii="Arial" w:hAnsi="Arial" w:cs="Arial"/>
              <w:sz w:val="24"/>
              <w:szCs w:val="24"/>
            </w:rPr>
            <w:t>, 2015).</w:t>
          </w:r>
        </w:p>
        <w:p w14:paraId="6F458834" w14:textId="77777777" w:rsidR="002668B8" w:rsidRPr="002668B8" w:rsidRDefault="002668B8" w:rsidP="002668B8">
          <w:pPr>
            <w:rPr>
              <w:rFonts w:ascii="Arial" w:hAnsi="Arial" w:cs="Arial"/>
              <w:sz w:val="24"/>
              <w:szCs w:val="24"/>
            </w:rPr>
          </w:pPr>
          <w:r w:rsidRPr="002668B8">
            <w:rPr>
              <w:rFonts w:ascii="Arial" w:hAnsi="Arial" w:cs="Arial"/>
              <w:sz w:val="24"/>
              <w:szCs w:val="24"/>
            </w:rPr>
            <w:t>Organisational change is an inevitable feature of modern business environments, particularly within high-volume logistics operations where market demands, technology and workforce dynamics evolve rapidly (Burnes, 2017). Effective change management is widely recognised as a key determinant of long-term organisational success (Kotter, 2012). Within Amazon, change is frequently driven by data analytics, productivity benchmarking and internal governance processes, including the approvals.amazon.com platform, which provides a structured framework for proposing and authorising operational changes (Amazon Internal Operations, 2023).</w:t>
          </w:r>
        </w:p>
        <w:p w14:paraId="59871E43" w14:textId="77777777" w:rsidR="002668B8" w:rsidRPr="002668B8" w:rsidRDefault="002668B8" w:rsidP="002668B8">
          <w:pPr>
            <w:rPr>
              <w:rFonts w:ascii="Arial" w:hAnsi="Arial" w:cs="Arial"/>
              <w:sz w:val="24"/>
              <w:szCs w:val="24"/>
            </w:rPr>
          </w:pPr>
          <w:r w:rsidRPr="002668B8">
            <w:rPr>
              <w:rFonts w:ascii="Arial" w:hAnsi="Arial" w:cs="Arial"/>
              <w:sz w:val="24"/>
              <w:szCs w:val="24"/>
            </w:rPr>
            <w:t>This report examines a specific change implemented at CWL1 involving the restructuring of associate start times and break schedules. The analysis evaluates how the change was managed, applies Lewin’s Force Field Analysis and Three-Step Model to assess effectiveness and generate recommendations, and considers the motivational implications using Herzberg’s Two-Factor Theory.</w:t>
          </w:r>
        </w:p>
        <w:p w14:paraId="5DBAD65B" w14:textId="77777777" w:rsidR="004A11F6" w:rsidRDefault="004A11F6" w:rsidP="007D1947"/>
        <w:p w14:paraId="6AE6089F" w14:textId="77777777" w:rsidR="002668B8" w:rsidRDefault="002668B8" w:rsidP="007D1947"/>
        <w:p w14:paraId="63BE38B9" w14:textId="77777777" w:rsidR="004A11F6" w:rsidRDefault="004A11F6" w:rsidP="007D1947"/>
        <w:p w14:paraId="1392FEFB" w14:textId="77777777" w:rsidR="004A11F6" w:rsidRDefault="004A11F6" w:rsidP="007D1947"/>
        <w:p w14:paraId="094C9AA2" w14:textId="77777777" w:rsidR="004A11F6" w:rsidRDefault="004A11F6" w:rsidP="007D1947"/>
        <w:p w14:paraId="5AD4FC36" w14:textId="77777777" w:rsidR="004A11F6" w:rsidRDefault="004A11F6" w:rsidP="007D1947"/>
        <w:p w14:paraId="37DC88C5" w14:textId="77777777" w:rsidR="004A11F6" w:rsidRDefault="004A11F6" w:rsidP="007D1947"/>
        <w:p w14:paraId="2277CFA6" w14:textId="77777777" w:rsidR="004A11F6" w:rsidRDefault="004A11F6" w:rsidP="007D1947"/>
        <w:p w14:paraId="6965E43A" w14:textId="77777777" w:rsidR="004A11F6" w:rsidRDefault="004A11F6" w:rsidP="007D1947"/>
        <w:p w14:paraId="04F16582" w14:textId="77777777" w:rsidR="004A11F6" w:rsidRDefault="004A11F6" w:rsidP="007D1947"/>
        <w:p w14:paraId="3BCFD6F0" w14:textId="77777777" w:rsidR="004A11F6" w:rsidRDefault="004A11F6" w:rsidP="007D1947"/>
        <w:p w14:paraId="2F757D32" w14:textId="77777777" w:rsidR="004A11F6" w:rsidRDefault="004A11F6" w:rsidP="007D1947"/>
        <w:p w14:paraId="4950AFFE" w14:textId="77777777" w:rsidR="004A11F6" w:rsidRDefault="004A11F6" w:rsidP="007D1947"/>
        <w:p w14:paraId="2E293EB9" w14:textId="77777777" w:rsidR="00480872" w:rsidRDefault="00480872" w:rsidP="008D4C45">
          <w:pPr>
            <w:pStyle w:val="Heading1"/>
          </w:pPr>
          <w:bookmarkStart w:id="2" w:name="_Toc227094157"/>
          <w:r>
            <w:lastRenderedPageBreak/>
            <w:t xml:space="preserve">Main </w:t>
          </w:r>
          <w:r w:rsidRPr="008D4C45">
            <w:t>Findings</w:t>
          </w:r>
          <w:bookmarkEnd w:id="2"/>
        </w:p>
        <w:p w14:paraId="05D05EB1" w14:textId="25CD6745" w:rsidR="00A1742E" w:rsidRPr="00A1742E" w:rsidRDefault="00A1742E" w:rsidP="00A1742E">
          <w:pPr>
            <w:pStyle w:val="Heading2"/>
          </w:pPr>
          <w:bookmarkStart w:id="3" w:name="_Toc227094158"/>
          <w:r w:rsidRPr="003C43E2">
            <w:t>Understanding Organisational Change</w:t>
          </w:r>
          <w:bookmarkEnd w:id="3"/>
        </w:p>
        <w:p w14:paraId="4419AF3B" w14:textId="77777777" w:rsidR="002668B8" w:rsidRPr="002668B8" w:rsidRDefault="002668B8" w:rsidP="002668B8">
          <w:pPr>
            <w:jc w:val="both"/>
            <w:rPr>
              <w:rFonts w:ascii="Arial" w:hAnsi="Arial" w:cs="Arial"/>
              <w:sz w:val="24"/>
              <w:szCs w:val="24"/>
            </w:rPr>
          </w:pPr>
          <w:r w:rsidRPr="002668B8">
            <w:rPr>
              <w:rFonts w:ascii="Arial" w:hAnsi="Arial" w:cs="Arial"/>
              <w:sz w:val="24"/>
              <w:szCs w:val="24"/>
            </w:rPr>
            <w:t>Organisational change can be defined as any alteration to an organisation’s structure, technology, processes or people (Mullins, 2016). Senior and Swailes (2016) distinguish between planned and emergent change, noting that planned change involves deliberate interventions designed to move an organisation from its current state to a desired future state. The change at CWL1 represents a planned operational change initiated in response to productivity data and network-wide scheduling directives.</w:t>
          </w:r>
        </w:p>
        <w:p w14:paraId="2864439A" w14:textId="77777777" w:rsidR="002668B8" w:rsidRPr="002668B8" w:rsidRDefault="002668B8" w:rsidP="002668B8">
          <w:pPr>
            <w:jc w:val="both"/>
            <w:rPr>
              <w:rFonts w:ascii="Arial" w:hAnsi="Arial" w:cs="Arial"/>
              <w:sz w:val="24"/>
              <w:szCs w:val="24"/>
            </w:rPr>
          </w:pPr>
          <w:r w:rsidRPr="002668B8">
            <w:rPr>
              <w:rFonts w:ascii="Arial" w:hAnsi="Arial" w:cs="Arial"/>
              <w:sz w:val="24"/>
              <w:szCs w:val="24"/>
            </w:rPr>
            <w:t>Cameron and Green (2015) emphasise that change is not purely technical but fundamentally human, shaped by perceptions, culture and leadership. This is particularly relevant in large fulfilment environments where the workforce is diverse and often sceptical of top-down directives. Paton and McCalman (2008) argue that many change initiatives fail not due to flawed strategy but due to insufficient attention to the people dimension — a theme that is central to the CWL1 case.</w:t>
          </w:r>
        </w:p>
        <w:p w14:paraId="675F05A0" w14:textId="7C399EF2" w:rsidR="00A1742E" w:rsidRDefault="00A1742E" w:rsidP="00A1742E">
          <w:pPr>
            <w:pStyle w:val="Heading2"/>
          </w:pPr>
          <w:bookmarkStart w:id="4" w:name="_Toc227094159"/>
          <w:r>
            <w:rPr>
              <w:rFonts w:ascii="Arial" w:hAnsi="Arial" w:cs="Arial"/>
              <w:sz w:val="24"/>
              <w:szCs w:val="24"/>
            </w:rPr>
            <w:t>O</w:t>
          </w:r>
          <w:r w:rsidRPr="003C43E2">
            <w:t>verview of the Change at CWL1</w:t>
          </w:r>
          <w:bookmarkEnd w:id="4"/>
        </w:p>
        <w:p w14:paraId="19B30DD9" w14:textId="77777777" w:rsidR="002668B8" w:rsidRPr="002668B8" w:rsidRDefault="002668B8" w:rsidP="002668B8">
          <w:pPr>
            <w:jc w:val="both"/>
            <w:rPr>
              <w:rFonts w:ascii="Arial" w:hAnsi="Arial" w:cs="Arial"/>
              <w:sz w:val="24"/>
              <w:szCs w:val="24"/>
            </w:rPr>
          </w:pPr>
          <w:r w:rsidRPr="002668B8">
            <w:rPr>
              <w:rFonts w:ascii="Arial" w:hAnsi="Arial" w:cs="Arial"/>
              <w:sz w:val="24"/>
              <w:szCs w:val="24"/>
            </w:rPr>
            <w:t>The change involved revising associate start times and break schedules across multiple departments. Historically, associates worked fixed shift patterns with long-established break times. The new approach introduced staggered start times to reduce congestion at entry points, improve throughput during peak periods and align break schedules with updated productivity targets.</w:t>
          </w:r>
        </w:p>
        <w:p w14:paraId="0526F189" w14:textId="77777777" w:rsidR="002668B8" w:rsidRPr="002668B8" w:rsidRDefault="002668B8" w:rsidP="002668B8">
          <w:pPr>
            <w:jc w:val="both"/>
            <w:rPr>
              <w:rFonts w:ascii="Arial" w:hAnsi="Arial" w:cs="Arial"/>
              <w:sz w:val="24"/>
              <w:szCs w:val="24"/>
            </w:rPr>
          </w:pPr>
          <w:r w:rsidRPr="002668B8">
            <w:rPr>
              <w:rFonts w:ascii="Arial" w:hAnsi="Arial" w:cs="Arial"/>
              <w:sz w:val="24"/>
              <w:szCs w:val="24"/>
            </w:rPr>
            <w:t>The change was initiated following a review of operational data by Area and Operations Managers and was submitted for approval through Amazon’s internal governance platform, approvals.amazon.com. This process required sign-off from senior leadership and input from HR and Legal to ensure compliance with employment legislation (Amazon Internal Operations, 2023).</w:t>
          </w:r>
        </w:p>
        <w:p w14:paraId="420CD4FC" w14:textId="77777777" w:rsidR="002668B8" w:rsidRPr="002668B8" w:rsidRDefault="002668B8" w:rsidP="002668B8">
          <w:pPr>
            <w:jc w:val="both"/>
            <w:rPr>
              <w:rFonts w:ascii="Arial" w:hAnsi="Arial" w:cs="Arial"/>
              <w:sz w:val="24"/>
              <w:szCs w:val="24"/>
            </w:rPr>
          </w:pPr>
          <w:r w:rsidRPr="002668B8">
            <w:rPr>
              <w:rFonts w:ascii="Arial" w:hAnsi="Arial" w:cs="Arial"/>
              <w:sz w:val="24"/>
              <w:szCs w:val="24"/>
            </w:rPr>
            <w:t>Although operationally justified, the implementation process involved limited associate consultation. Associates were informed through team briefings with relatively short notice. Many expressed concerns about childcare, transport and disruption to personal routines. Pulse survey data indicated a temporary decline in morale following implementation.</w:t>
          </w:r>
        </w:p>
        <w:p w14:paraId="01539494" w14:textId="77777777" w:rsidR="002668B8" w:rsidRPr="002668B8" w:rsidRDefault="002668B8" w:rsidP="002668B8">
          <w:pPr>
            <w:jc w:val="both"/>
            <w:rPr>
              <w:rFonts w:ascii="Arial" w:hAnsi="Arial" w:cs="Arial"/>
              <w:sz w:val="24"/>
              <w:szCs w:val="24"/>
            </w:rPr>
          </w:pPr>
          <w:r w:rsidRPr="002668B8">
            <w:rPr>
              <w:rFonts w:ascii="Arial" w:hAnsi="Arial" w:cs="Arial"/>
              <w:sz w:val="24"/>
              <w:szCs w:val="24"/>
            </w:rPr>
            <w:t>This response aligns with the literature on resistance to change. Dent and Goldberg (1999) argue that resistance is often a rational response to perceived threats, while Ford, Ford and D’Amelio (2008) suggest that resistance can highlight legitimate concerns that, if addressed, improve change outcomes.</w:t>
          </w:r>
        </w:p>
        <w:p w14:paraId="77E10F54" w14:textId="77777777" w:rsidR="002668B8" w:rsidRDefault="002668B8">
          <w:pPr>
            <w:rPr>
              <w:rFonts w:asciiTheme="majorHAnsi" w:eastAsiaTheme="majorEastAsia" w:hAnsiTheme="majorHAnsi" w:cstheme="majorBidi"/>
              <w:color w:val="2E74B5" w:themeColor="accent1" w:themeShade="BF"/>
              <w:sz w:val="26"/>
              <w:szCs w:val="26"/>
            </w:rPr>
          </w:pPr>
          <w:r>
            <w:br w:type="page"/>
          </w:r>
        </w:p>
        <w:p w14:paraId="062BCC89" w14:textId="0FDEF81C" w:rsidR="00A1742E" w:rsidRDefault="00A1742E" w:rsidP="00A1742E">
          <w:pPr>
            <w:pStyle w:val="Heading2"/>
          </w:pPr>
          <w:bookmarkStart w:id="5" w:name="_Toc227094160"/>
          <w:r w:rsidRPr="003C43E2">
            <w:lastRenderedPageBreak/>
            <w:t>Assessment of Change Effectiveness – Kotter's Eight-Step Model</w:t>
          </w:r>
          <w:bookmarkEnd w:id="5"/>
        </w:p>
        <w:p w14:paraId="63174CF8" w14:textId="77777777" w:rsidR="002668B8" w:rsidRPr="002668B8" w:rsidRDefault="002668B8" w:rsidP="002668B8">
          <w:pPr>
            <w:jc w:val="both"/>
            <w:rPr>
              <w:rFonts w:ascii="Arial" w:hAnsi="Arial" w:cs="Arial"/>
              <w:sz w:val="24"/>
              <w:szCs w:val="24"/>
            </w:rPr>
          </w:pPr>
          <w:r w:rsidRPr="002668B8">
            <w:rPr>
              <w:rFonts w:ascii="Arial" w:hAnsi="Arial" w:cs="Arial"/>
              <w:sz w:val="24"/>
              <w:szCs w:val="24"/>
            </w:rPr>
            <w:t>Kotter’s (2012) Eight-Step Model provides a structured framework for evaluating the change process.</w:t>
          </w:r>
        </w:p>
        <w:p w14:paraId="0FF0A016" w14:textId="77777777" w:rsidR="002668B8" w:rsidRPr="0013236E" w:rsidRDefault="002668B8" w:rsidP="002668B8">
          <w:pPr>
            <w:numPr>
              <w:ilvl w:val="0"/>
              <w:numId w:val="2"/>
            </w:numPr>
            <w:jc w:val="both"/>
            <w:rPr>
              <w:rFonts w:ascii="Arial" w:hAnsi="Arial" w:cs="Arial"/>
              <w:sz w:val="24"/>
              <w:szCs w:val="24"/>
            </w:rPr>
          </w:pPr>
          <w:r w:rsidRPr="0013236E">
            <w:rPr>
              <w:rFonts w:ascii="Arial" w:hAnsi="Arial" w:cs="Arial"/>
              <w:sz w:val="24"/>
              <w:szCs w:val="24"/>
            </w:rPr>
            <w:t>Step 1: Create urgency — Leadership effectively communicated the operational rationale to management but failed to cascade this urgency to associates.</w:t>
          </w:r>
        </w:p>
        <w:p w14:paraId="1D3A253D" w14:textId="77777777" w:rsidR="002668B8" w:rsidRPr="0013236E" w:rsidRDefault="002668B8" w:rsidP="002668B8">
          <w:pPr>
            <w:numPr>
              <w:ilvl w:val="0"/>
              <w:numId w:val="2"/>
            </w:numPr>
            <w:jc w:val="both"/>
            <w:rPr>
              <w:rFonts w:ascii="Arial" w:hAnsi="Arial" w:cs="Arial"/>
              <w:sz w:val="24"/>
              <w:szCs w:val="24"/>
            </w:rPr>
          </w:pPr>
          <w:r w:rsidRPr="0013236E">
            <w:rPr>
              <w:rFonts w:ascii="Arial" w:hAnsi="Arial" w:cs="Arial"/>
              <w:sz w:val="24"/>
              <w:szCs w:val="24"/>
            </w:rPr>
            <w:t>Step 2: Build a guiding coalition — Managers and HR were involved, but associate representation was absent.</w:t>
          </w:r>
        </w:p>
        <w:p w14:paraId="5AB3664E" w14:textId="77777777" w:rsidR="002668B8" w:rsidRPr="0013236E" w:rsidRDefault="002668B8" w:rsidP="002668B8">
          <w:pPr>
            <w:numPr>
              <w:ilvl w:val="0"/>
              <w:numId w:val="2"/>
            </w:numPr>
            <w:jc w:val="both"/>
            <w:rPr>
              <w:rFonts w:ascii="Arial" w:hAnsi="Arial" w:cs="Arial"/>
              <w:sz w:val="24"/>
              <w:szCs w:val="24"/>
            </w:rPr>
          </w:pPr>
          <w:r w:rsidRPr="0013236E">
            <w:rPr>
              <w:rFonts w:ascii="Arial" w:hAnsi="Arial" w:cs="Arial"/>
              <w:sz w:val="24"/>
              <w:szCs w:val="24"/>
            </w:rPr>
            <w:t>Step 3: Form a strategic vision — The operational objectives were clear internally but not articulated in a way that resonated with associates.</w:t>
          </w:r>
        </w:p>
        <w:p w14:paraId="2F68B3AD" w14:textId="77777777" w:rsidR="002668B8" w:rsidRPr="0013236E" w:rsidRDefault="002668B8" w:rsidP="002668B8">
          <w:pPr>
            <w:numPr>
              <w:ilvl w:val="0"/>
              <w:numId w:val="2"/>
            </w:numPr>
            <w:jc w:val="both"/>
            <w:rPr>
              <w:rFonts w:ascii="Arial" w:hAnsi="Arial" w:cs="Arial"/>
              <w:sz w:val="24"/>
              <w:szCs w:val="24"/>
            </w:rPr>
          </w:pPr>
          <w:r w:rsidRPr="0013236E">
            <w:rPr>
              <w:rFonts w:ascii="Arial" w:hAnsi="Arial" w:cs="Arial"/>
              <w:sz w:val="24"/>
              <w:szCs w:val="24"/>
            </w:rPr>
            <w:t>Steps 4–6: Communicate the vision, remove obstacles, generate short-term wins — These were underdeveloped. Communication was one-directional, and associates had limited opportunity to raise concerns.</w:t>
          </w:r>
        </w:p>
        <w:p w14:paraId="5EC1B88E" w14:textId="77777777" w:rsidR="002668B8" w:rsidRPr="0013236E" w:rsidRDefault="002668B8" w:rsidP="002668B8">
          <w:pPr>
            <w:numPr>
              <w:ilvl w:val="0"/>
              <w:numId w:val="2"/>
            </w:numPr>
            <w:jc w:val="both"/>
            <w:rPr>
              <w:rFonts w:ascii="Arial" w:hAnsi="Arial" w:cs="Arial"/>
              <w:sz w:val="24"/>
              <w:szCs w:val="24"/>
            </w:rPr>
          </w:pPr>
          <w:r w:rsidRPr="0013236E">
            <w:rPr>
              <w:rFonts w:ascii="Arial" w:hAnsi="Arial" w:cs="Arial"/>
              <w:sz w:val="24"/>
              <w:szCs w:val="24"/>
            </w:rPr>
            <w:t>Steps 7–8: Sustain acceleration and anchor change — These were achieved over time as schedules became normalised and productivity improved.</w:t>
          </w:r>
        </w:p>
        <w:p w14:paraId="63F4BA14" w14:textId="7F29C94E" w:rsidR="00A1742E" w:rsidRDefault="002668B8" w:rsidP="00A1742E">
          <w:pPr>
            <w:jc w:val="both"/>
            <w:rPr>
              <w:rFonts w:ascii="Arial" w:hAnsi="Arial" w:cs="Arial"/>
              <w:sz w:val="24"/>
              <w:szCs w:val="24"/>
            </w:rPr>
          </w:pPr>
          <w:r>
            <w:rPr>
              <w:rFonts w:ascii="Arial" w:hAnsi="Arial" w:cs="Arial"/>
              <w:sz w:val="24"/>
              <w:szCs w:val="24"/>
            </w:rPr>
            <w:t>Overall, t</w:t>
          </w:r>
          <w:r w:rsidR="00A1742E" w:rsidRPr="003C43E2">
            <w:rPr>
              <w:rFonts w:ascii="Arial" w:hAnsi="Arial" w:cs="Arial"/>
              <w:sz w:val="24"/>
              <w:szCs w:val="24"/>
            </w:rPr>
            <w:t>his assessment suggests that whilst the change at CWL1 was ultimately operationally successful, the process adopted fell short of best practice in several important respects, particularly in relation to communication, consultation, and the management of associate concerns.</w:t>
          </w:r>
        </w:p>
        <w:p w14:paraId="4EB5A29F" w14:textId="77777777" w:rsidR="002668B8" w:rsidRDefault="002668B8">
          <w:pPr>
            <w:rPr>
              <w:rFonts w:asciiTheme="majorHAnsi" w:eastAsiaTheme="majorEastAsia" w:hAnsiTheme="majorHAnsi" w:cstheme="majorBidi"/>
              <w:color w:val="2E74B5" w:themeColor="accent1" w:themeShade="BF"/>
              <w:sz w:val="26"/>
              <w:szCs w:val="26"/>
            </w:rPr>
          </w:pPr>
          <w:r>
            <w:br w:type="page"/>
          </w:r>
        </w:p>
        <w:p w14:paraId="5B06BC29" w14:textId="431D1B85" w:rsidR="00A1742E" w:rsidRPr="003C43E2" w:rsidRDefault="00A1742E" w:rsidP="00A1742E">
          <w:pPr>
            <w:pStyle w:val="Heading2"/>
            <w:rPr>
              <w:rFonts w:ascii="Arial" w:hAnsi="Arial" w:cs="Arial"/>
              <w:sz w:val="24"/>
              <w:szCs w:val="24"/>
            </w:rPr>
          </w:pPr>
          <w:bookmarkStart w:id="6" w:name="_Toc227094161"/>
          <w:r w:rsidRPr="003C43E2">
            <w:lastRenderedPageBreak/>
            <w:t>Lewin's Force Field Analysis Applied to CWL1</w:t>
          </w:r>
          <w:bookmarkEnd w:id="6"/>
        </w:p>
        <w:p w14:paraId="63B7B511" w14:textId="77777777" w:rsidR="00A1742E" w:rsidRDefault="00A1742E" w:rsidP="00A1742E">
          <w:pPr>
            <w:jc w:val="both"/>
            <w:rPr>
              <w:rFonts w:ascii="Arial" w:hAnsi="Arial" w:cs="Arial"/>
              <w:sz w:val="24"/>
              <w:szCs w:val="24"/>
            </w:rPr>
          </w:pPr>
          <w:r w:rsidRPr="003C43E2">
            <w:rPr>
              <w:rFonts w:ascii="Arial" w:hAnsi="Arial" w:cs="Arial"/>
              <w:sz w:val="24"/>
              <w:szCs w:val="24"/>
            </w:rPr>
            <w:t xml:space="preserve">Lewin's Force Field Analysis (1951) is a widely used diagnostic tool in change management that conceptualises change as a dynamic equilibrium between driving forces that promote change and resisting forces that oppose it. The model posits that for change to occur, the driving forces must outweigh the resisting forces, either by strengthening the former, weakening the latter, or both (Burnes, 2004). Whilst the model has been critiqued for its relative simplicity and its assumption of a stable equilibrium prior to change (Dawson, 2003), it remains a valuable practical tool for identifying and mapping the forces at play </w:t>
          </w:r>
          <w:proofErr w:type="gramStart"/>
          <w:r w:rsidRPr="003C43E2">
            <w:rPr>
              <w:rFonts w:ascii="Arial" w:hAnsi="Arial" w:cs="Arial"/>
              <w:sz w:val="24"/>
              <w:szCs w:val="24"/>
            </w:rPr>
            <w:t>in a given</w:t>
          </w:r>
          <w:proofErr w:type="gramEnd"/>
          <w:r w:rsidRPr="003C43E2">
            <w:rPr>
              <w:rFonts w:ascii="Arial" w:hAnsi="Arial" w:cs="Arial"/>
              <w:sz w:val="24"/>
              <w:szCs w:val="24"/>
            </w:rPr>
            <w:t xml:space="preserve"> change situation.</w:t>
          </w:r>
        </w:p>
        <w:p w14:paraId="1D1EBE9E" w14:textId="31C6D174" w:rsidR="00A1742E" w:rsidRDefault="00A1742E" w:rsidP="00A1742E">
          <w:pPr>
            <w:pStyle w:val="Caption"/>
            <w:keepNext/>
          </w:pPr>
          <w:r>
            <w:t xml:space="preserve">Table </w:t>
          </w:r>
          <w:r>
            <w:fldChar w:fldCharType="begin"/>
          </w:r>
          <w:r>
            <w:instrText xml:space="preserve"> SEQ Table \* ARABIC </w:instrText>
          </w:r>
          <w:r>
            <w:fldChar w:fldCharType="separate"/>
          </w:r>
          <w:r>
            <w:rPr>
              <w:noProof/>
            </w:rPr>
            <w:t>1</w:t>
          </w:r>
          <w:r>
            <w:fldChar w:fldCharType="end"/>
          </w:r>
          <w:r>
            <w:t xml:space="preserve"> </w:t>
          </w:r>
          <w:r w:rsidRPr="00EE7C9E">
            <w:t>Lewin's Force Field Analysis – CWL1 Schedule Change</w:t>
          </w:r>
        </w:p>
        <w:tbl>
          <w:tblPr>
            <w:tblStyle w:val="TableGridLight"/>
            <w:tblW w:w="9062" w:type="dxa"/>
            <w:tblLook w:val="04A0" w:firstRow="1" w:lastRow="0" w:firstColumn="1" w:lastColumn="0" w:noHBand="0" w:noVBand="1"/>
          </w:tblPr>
          <w:tblGrid>
            <w:gridCol w:w="4385"/>
            <w:gridCol w:w="4677"/>
          </w:tblGrid>
          <w:tr w:rsidR="00A1742E" w:rsidRPr="00A1742E" w14:paraId="28591B95" w14:textId="77777777" w:rsidTr="00F22256">
            <w:trPr>
              <w:trHeight w:val="315"/>
            </w:trPr>
            <w:tc>
              <w:tcPr>
                <w:tcW w:w="4385" w:type="dxa"/>
                <w:hideMark/>
              </w:tcPr>
              <w:p w14:paraId="335D718E" w14:textId="77777777" w:rsidR="00A1742E" w:rsidRPr="00A1742E" w:rsidRDefault="00A1742E" w:rsidP="00A1742E">
                <w:pPr>
                  <w:rPr>
                    <w:rFonts w:ascii="Arial" w:eastAsia="Times New Roman" w:hAnsi="Arial" w:cs="Arial"/>
                    <w:b/>
                    <w:bCs/>
                    <w:color w:val="000000"/>
                    <w:sz w:val="24"/>
                    <w:szCs w:val="24"/>
                    <w:lang w:eastAsia="en-GB"/>
                  </w:rPr>
                </w:pPr>
                <w:r w:rsidRPr="00A1742E">
                  <w:rPr>
                    <w:rFonts w:ascii="Arial" w:eastAsia="Times New Roman" w:hAnsi="Arial" w:cs="Arial"/>
                    <w:b/>
                    <w:bCs/>
                    <w:sz w:val="24"/>
                    <w:szCs w:val="24"/>
                    <w:lang w:eastAsia="en-GB"/>
                  </w:rPr>
                  <w:t>Driving Forces</w:t>
                </w:r>
              </w:p>
            </w:tc>
            <w:tc>
              <w:tcPr>
                <w:tcW w:w="4677" w:type="dxa"/>
                <w:hideMark/>
              </w:tcPr>
              <w:p w14:paraId="22DA3612" w14:textId="77777777" w:rsidR="00A1742E" w:rsidRPr="00A1742E" w:rsidRDefault="00A1742E" w:rsidP="00A1742E">
                <w:pPr>
                  <w:rPr>
                    <w:rFonts w:ascii="Arial" w:eastAsia="Times New Roman" w:hAnsi="Arial" w:cs="Arial"/>
                    <w:b/>
                    <w:bCs/>
                    <w:color w:val="000000"/>
                    <w:sz w:val="24"/>
                    <w:szCs w:val="24"/>
                    <w:lang w:eastAsia="en-GB"/>
                  </w:rPr>
                </w:pPr>
                <w:r w:rsidRPr="00A1742E">
                  <w:rPr>
                    <w:rFonts w:ascii="Arial" w:eastAsia="Times New Roman" w:hAnsi="Arial" w:cs="Arial"/>
                    <w:b/>
                    <w:bCs/>
                    <w:sz w:val="24"/>
                    <w:szCs w:val="24"/>
                    <w:lang w:eastAsia="en-GB"/>
                  </w:rPr>
                  <w:t>Resisting Forces</w:t>
                </w:r>
              </w:p>
            </w:tc>
          </w:tr>
          <w:tr w:rsidR="00A1742E" w:rsidRPr="00A1742E" w14:paraId="7799F77C" w14:textId="77777777" w:rsidTr="00F22256">
            <w:trPr>
              <w:trHeight w:val="615"/>
            </w:trPr>
            <w:tc>
              <w:tcPr>
                <w:tcW w:w="4385" w:type="dxa"/>
                <w:hideMark/>
              </w:tcPr>
              <w:p w14:paraId="7D83E673" w14:textId="77777777" w:rsidR="00A1742E" w:rsidRPr="00A1742E" w:rsidRDefault="00A1742E" w:rsidP="00A1742E">
                <w:pPr>
                  <w:rPr>
                    <w:rFonts w:ascii="Arial" w:eastAsia="Times New Roman" w:hAnsi="Arial" w:cs="Arial"/>
                    <w:color w:val="000000"/>
                    <w:sz w:val="24"/>
                    <w:szCs w:val="24"/>
                    <w:lang w:eastAsia="en-GB"/>
                  </w:rPr>
                </w:pPr>
                <w:r w:rsidRPr="00A1742E">
                  <w:rPr>
                    <w:rFonts w:ascii="Arial" w:eastAsia="Times New Roman" w:hAnsi="Arial" w:cs="Arial"/>
                    <w:sz w:val="24"/>
                    <w:szCs w:val="24"/>
                    <w:lang w:eastAsia="en-GB"/>
                  </w:rPr>
                  <w:t>Operational efficiency data supporting schedule revision</w:t>
                </w:r>
              </w:p>
            </w:tc>
            <w:tc>
              <w:tcPr>
                <w:tcW w:w="4677" w:type="dxa"/>
                <w:hideMark/>
              </w:tcPr>
              <w:p w14:paraId="482CBEA1" w14:textId="77777777" w:rsidR="00A1742E" w:rsidRPr="00A1742E" w:rsidRDefault="00A1742E" w:rsidP="00A1742E">
                <w:pPr>
                  <w:rPr>
                    <w:rFonts w:ascii="Arial" w:eastAsia="Times New Roman" w:hAnsi="Arial" w:cs="Arial"/>
                    <w:color w:val="000000"/>
                    <w:sz w:val="24"/>
                    <w:szCs w:val="24"/>
                    <w:lang w:eastAsia="en-GB"/>
                  </w:rPr>
                </w:pPr>
                <w:r w:rsidRPr="00A1742E">
                  <w:rPr>
                    <w:rFonts w:ascii="Arial" w:eastAsia="Times New Roman" w:hAnsi="Arial" w:cs="Arial"/>
                    <w:sz w:val="24"/>
                    <w:szCs w:val="24"/>
                    <w:lang w:eastAsia="en-GB"/>
                  </w:rPr>
                  <w:t>Associate concerns over childcare and transport disruption</w:t>
                </w:r>
              </w:p>
            </w:tc>
          </w:tr>
          <w:tr w:rsidR="00A1742E" w:rsidRPr="00A1742E" w14:paraId="2C7FE551" w14:textId="77777777" w:rsidTr="00F22256">
            <w:trPr>
              <w:trHeight w:val="315"/>
            </w:trPr>
            <w:tc>
              <w:tcPr>
                <w:tcW w:w="4385" w:type="dxa"/>
                <w:hideMark/>
              </w:tcPr>
              <w:p w14:paraId="68B83772" w14:textId="77777777" w:rsidR="00A1742E" w:rsidRPr="00A1742E" w:rsidRDefault="00A1742E" w:rsidP="00A1742E">
                <w:pPr>
                  <w:rPr>
                    <w:rFonts w:ascii="Arial" w:eastAsia="Times New Roman" w:hAnsi="Arial" w:cs="Arial"/>
                    <w:color w:val="000000"/>
                    <w:sz w:val="24"/>
                    <w:szCs w:val="24"/>
                    <w:lang w:eastAsia="en-GB"/>
                  </w:rPr>
                </w:pPr>
                <w:r w:rsidRPr="00A1742E">
                  <w:rPr>
                    <w:rFonts w:ascii="Arial" w:eastAsia="Times New Roman" w:hAnsi="Arial" w:cs="Arial"/>
                    <w:sz w:val="24"/>
                    <w:szCs w:val="24"/>
                    <w:lang w:eastAsia="en-GB"/>
                  </w:rPr>
                  <w:t>Alignment with Amazon network-wide scheduling directives</w:t>
                </w:r>
              </w:p>
            </w:tc>
            <w:tc>
              <w:tcPr>
                <w:tcW w:w="4677" w:type="dxa"/>
                <w:hideMark/>
              </w:tcPr>
              <w:p w14:paraId="7E3403BA" w14:textId="77777777" w:rsidR="00A1742E" w:rsidRPr="00A1742E" w:rsidRDefault="00A1742E" w:rsidP="00A1742E">
                <w:pPr>
                  <w:rPr>
                    <w:rFonts w:ascii="Arial" w:eastAsia="Times New Roman" w:hAnsi="Arial" w:cs="Arial"/>
                    <w:color w:val="000000"/>
                    <w:sz w:val="24"/>
                    <w:szCs w:val="24"/>
                    <w:lang w:eastAsia="en-GB"/>
                  </w:rPr>
                </w:pPr>
                <w:r w:rsidRPr="00A1742E">
                  <w:rPr>
                    <w:rFonts w:ascii="Arial" w:eastAsia="Times New Roman" w:hAnsi="Arial" w:cs="Arial"/>
                    <w:sz w:val="24"/>
                    <w:szCs w:val="24"/>
                    <w:lang w:eastAsia="en-GB"/>
                  </w:rPr>
                  <w:t>Disruption to established personal routines</w:t>
                </w:r>
              </w:p>
            </w:tc>
          </w:tr>
          <w:tr w:rsidR="00A1742E" w:rsidRPr="00A1742E" w14:paraId="36C19201" w14:textId="77777777" w:rsidTr="00F22256">
            <w:trPr>
              <w:trHeight w:val="315"/>
            </w:trPr>
            <w:tc>
              <w:tcPr>
                <w:tcW w:w="4385" w:type="dxa"/>
                <w:hideMark/>
              </w:tcPr>
              <w:p w14:paraId="418D19E2" w14:textId="1D39078E" w:rsidR="00A1742E" w:rsidRPr="00A1742E" w:rsidRDefault="00A1742E" w:rsidP="00A1742E">
                <w:pPr>
                  <w:rPr>
                    <w:rFonts w:ascii="Arial" w:eastAsia="Times New Roman" w:hAnsi="Arial" w:cs="Arial"/>
                    <w:color w:val="000000"/>
                    <w:sz w:val="24"/>
                    <w:szCs w:val="24"/>
                    <w:lang w:eastAsia="en-GB"/>
                  </w:rPr>
                </w:pPr>
                <w:r w:rsidRPr="00A1742E">
                  <w:rPr>
                    <w:rFonts w:ascii="Arial" w:eastAsia="Times New Roman" w:hAnsi="Arial" w:cs="Arial"/>
                    <w:sz w:val="24"/>
                    <w:szCs w:val="24"/>
                    <w:lang w:eastAsia="en-GB"/>
                  </w:rPr>
                  <w:t xml:space="preserve">Approval and governance support via </w:t>
                </w:r>
                <w:r>
                  <w:rPr>
                    <w:rFonts w:ascii="Arial" w:eastAsia="Times New Roman" w:hAnsi="Arial" w:cs="Arial"/>
                    <w:sz w:val="24"/>
                    <w:szCs w:val="24"/>
                    <w:lang w:eastAsia="en-GB"/>
                  </w:rPr>
                  <w:t>www.</w:t>
                </w:r>
                <w:r w:rsidRPr="00A1742E">
                  <w:rPr>
                    <w:rFonts w:ascii="Arial" w:eastAsia="Times New Roman" w:hAnsi="Arial" w:cs="Arial"/>
                    <w:sz w:val="24"/>
                    <w:szCs w:val="24"/>
                    <w:lang w:eastAsia="en-GB"/>
                  </w:rPr>
                  <w:t>approvals.amazon.com</w:t>
                </w:r>
              </w:p>
            </w:tc>
            <w:tc>
              <w:tcPr>
                <w:tcW w:w="4677" w:type="dxa"/>
                <w:hideMark/>
              </w:tcPr>
              <w:p w14:paraId="5D26DB8D" w14:textId="77777777" w:rsidR="00A1742E" w:rsidRPr="00A1742E" w:rsidRDefault="00A1742E" w:rsidP="00A1742E">
                <w:pPr>
                  <w:rPr>
                    <w:rFonts w:ascii="Arial" w:eastAsia="Times New Roman" w:hAnsi="Arial" w:cs="Arial"/>
                    <w:color w:val="000000"/>
                    <w:sz w:val="24"/>
                    <w:szCs w:val="24"/>
                    <w:lang w:eastAsia="en-GB"/>
                  </w:rPr>
                </w:pPr>
                <w:r w:rsidRPr="00A1742E">
                  <w:rPr>
                    <w:rFonts w:ascii="Arial" w:eastAsia="Times New Roman" w:hAnsi="Arial" w:cs="Arial"/>
                    <w:sz w:val="24"/>
                    <w:szCs w:val="24"/>
                    <w:lang w:eastAsia="en-GB"/>
                  </w:rPr>
                  <w:t>Limited prior consultation with associates</w:t>
                </w:r>
              </w:p>
            </w:tc>
          </w:tr>
          <w:tr w:rsidR="00A1742E" w:rsidRPr="00A1742E" w14:paraId="049AA369" w14:textId="77777777" w:rsidTr="00F22256">
            <w:trPr>
              <w:trHeight w:val="615"/>
            </w:trPr>
            <w:tc>
              <w:tcPr>
                <w:tcW w:w="4385" w:type="dxa"/>
                <w:hideMark/>
              </w:tcPr>
              <w:p w14:paraId="3B0B0BC7" w14:textId="77777777" w:rsidR="00A1742E" w:rsidRPr="00A1742E" w:rsidRDefault="00A1742E" w:rsidP="00A1742E">
                <w:pPr>
                  <w:rPr>
                    <w:rFonts w:ascii="Arial" w:eastAsia="Times New Roman" w:hAnsi="Arial" w:cs="Arial"/>
                    <w:color w:val="000000"/>
                    <w:sz w:val="24"/>
                    <w:szCs w:val="24"/>
                    <w:lang w:eastAsia="en-GB"/>
                  </w:rPr>
                </w:pPr>
                <w:r w:rsidRPr="00A1742E">
                  <w:rPr>
                    <w:rFonts w:ascii="Arial" w:eastAsia="Times New Roman" w:hAnsi="Arial" w:cs="Arial"/>
                    <w:sz w:val="24"/>
                    <w:szCs w:val="24"/>
                    <w:lang w:eastAsia="en-GB"/>
                  </w:rPr>
                  <w:t>Productivity benchmarking against comparable fulfilment sites</w:t>
                </w:r>
              </w:p>
            </w:tc>
            <w:tc>
              <w:tcPr>
                <w:tcW w:w="4677" w:type="dxa"/>
                <w:hideMark/>
              </w:tcPr>
              <w:p w14:paraId="31CF9BD9" w14:textId="77777777" w:rsidR="00A1742E" w:rsidRPr="00A1742E" w:rsidRDefault="00A1742E" w:rsidP="00A1742E">
                <w:pPr>
                  <w:rPr>
                    <w:rFonts w:ascii="Arial" w:eastAsia="Times New Roman" w:hAnsi="Arial" w:cs="Arial"/>
                    <w:color w:val="000000"/>
                    <w:sz w:val="24"/>
                    <w:szCs w:val="24"/>
                    <w:lang w:eastAsia="en-GB"/>
                  </w:rPr>
                </w:pPr>
                <w:r w:rsidRPr="00A1742E">
                  <w:rPr>
                    <w:rFonts w:ascii="Arial" w:eastAsia="Times New Roman" w:hAnsi="Arial" w:cs="Arial"/>
                    <w:sz w:val="24"/>
                    <w:szCs w:val="24"/>
                    <w:lang w:eastAsia="en-GB"/>
                  </w:rPr>
                  <w:t>Perceived lack of transparency from site leadership</w:t>
                </w:r>
              </w:p>
            </w:tc>
          </w:tr>
          <w:tr w:rsidR="00A1742E" w:rsidRPr="00A1742E" w14:paraId="35CE142E" w14:textId="77777777" w:rsidTr="00F22256">
            <w:trPr>
              <w:trHeight w:val="315"/>
            </w:trPr>
            <w:tc>
              <w:tcPr>
                <w:tcW w:w="4385" w:type="dxa"/>
                <w:hideMark/>
              </w:tcPr>
              <w:p w14:paraId="3B7BA2E0" w14:textId="77777777" w:rsidR="00A1742E" w:rsidRPr="00A1742E" w:rsidRDefault="00A1742E" w:rsidP="00A1742E">
                <w:pPr>
                  <w:rPr>
                    <w:rFonts w:ascii="Arial" w:eastAsia="Times New Roman" w:hAnsi="Arial" w:cs="Arial"/>
                    <w:color w:val="000000"/>
                    <w:sz w:val="24"/>
                    <w:szCs w:val="24"/>
                    <w:lang w:eastAsia="en-GB"/>
                  </w:rPr>
                </w:pPr>
                <w:r w:rsidRPr="00A1742E">
                  <w:rPr>
                    <w:rFonts w:ascii="Arial" w:eastAsia="Times New Roman" w:hAnsi="Arial" w:cs="Arial"/>
                    <w:sz w:val="24"/>
                    <w:szCs w:val="24"/>
                    <w:lang w:eastAsia="en-GB"/>
                  </w:rPr>
                  <w:t>Reduction of site entry congestion during peak periods</w:t>
                </w:r>
              </w:p>
            </w:tc>
            <w:tc>
              <w:tcPr>
                <w:tcW w:w="4677" w:type="dxa"/>
                <w:hideMark/>
              </w:tcPr>
              <w:p w14:paraId="112439E7" w14:textId="77777777" w:rsidR="00A1742E" w:rsidRPr="00A1742E" w:rsidRDefault="00A1742E" w:rsidP="00A1742E">
                <w:pPr>
                  <w:rPr>
                    <w:rFonts w:ascii="Arial" w:eastAsia="Times New Roman" w:hAnsi="Arial" w:cs="Arial"/>
                    <w:color w:val="000000"/>
                    <w:sz w:val="24"/>
                    <w:szCs w:val="24"/>
                    <w:lang w:eastAsia="en-GB"/>
                  </w:rPr>
                </w:pPr>
                <w:r w:rsidRPr="00A1742E">
                  <w:rPr>
                    <w:rFonts w:ascii="Arial" w:eastAsia="Times New Roman" w:hAnsi="Arial" w:cs="Arial"/>
                    <w:sz w:val="24"/>
                    <w:szCs w:val="24"/>
                    <w:lang w:eastAsia="en-GB"/>
                  </w:rPr>
                  <w:t>Short notice period for implementation</w:t>
                </w:r>
              </w:p>
            </w:tc>
          </w:tr>
          <w:tr w:rsidR="00A1742E" w:rsidRPr="00A1742E" w14:paraId="384AE8E2" w14:textId="77777777" w:rsidTr="00F22256">
            <w:trPr>
              <w:trHeight w:val="315"/>
            </w:trPr>
            <w:tc>
              <w:tcPr>
                <w:tcW w:w="4385" w:type="dxa"/>
                <w:hideMark/>
              </w:tcPr>
              <w:p w14:paraId="3DE90A91" w14:textId="77777777" w:rsidR="00A1742E" w:rsidRPr="00A1742E" w:rsidRDefault="00A1742E" w:rsidP="00A1742E">
                <w:pPr>
                  <w:rPr>
                    <w:rFonts w:ascii="Arial" w:eastAsia="Times New Roman" w:hAnsi="Arial" w:cs="Arial"/>
                    <w:color w:val="000000"/>
                    <w:sz w:val="24"/>
                    <w:szCs w:val="24"/>
                    <w:lang w:eastAsia="en-GB"/>
                  </w:rPr>
                </w:pPr>
                <w:r w:rsidRPr="00A1742E">
                  <w:rPr>
                    <w:rFonts w:ascii="Arial" w:eastAsia="Times New Roman" w:hAnsi="Arial" w:cs="Arial"/>
                    <w:sz w:val="24"/>
                    <w:szCs w:val="24"/>
                    <w:lang w:eastAsia="en-GB"/>
                  </w:rPr>
                  <w:t>Support from senior site leadership and HR</w:t>
                </w:r>
              </w:p>
            </w:tc>
            <w:tc>
              <w:tcPr>
                <w:tcW w:w="4677" w:type="dxa"/>
                <w:hideMark/>
              </w:tcPr>
              <w:p w14:paraId="30473F0F" w14:textId="77777777" w:rsidR="00A1742E" w:rsidRPr="00A1742E" w:rsidRDefault="00A1742E" w:rsidP="00A1742E">
                <w:pPr>
                  <w:rPr>
                    <w:rFonts w:ascii="Arial" w:eastAsia="Times New Roman" w:hAnsi="Arial" w:cs="Arial"/>
                    <w:color w:val="000000"/>
                    <w:sz w:val="24"/>
                    <w:szCs w:val="24"/>
                    <w:lang w:eastAsia="en-GB"/>
                  </w:rPr>
                </w:pPr>
                <w:r w:rsidRPr="00A1742E">
                  <w:rPr>
                    <w:rFonts w:ascii="Arial" w:eastAsia="Times New Roman" w:hAnsi="Arial" w:cs="Arial"/>
                    <w:sz w:val="24"/>
                    <w:szCs w:val="24"/>
                    <w:lang w:eastAsia="en-GB"/>
                  </w:rPr>
                  <w:t>Concerns regarding contractual implications</w:t>
                </w:r>
              </w:p>
            </w:tc>
          </w:tr>
          <w:tr w:rsidR="00A1742E" w:rsidRPr="00A1742E" w14:paraId="1786D488" w14:textId="77777777" w:rsidTr="00F22256">
            <w:trPr>
              <w:trHeight w:val="615"/>
            </w:trPr>
            <w:tc>
              <w:tcPr>
                <w:tcW w:w="4385" w:type="dxa"/>
                <w:hideMark/>
              </w:tcPr>
              <w:p w14:paraId="2CD4F60D" w14:textId="77777777" w:rsidR="00A1742E" w:rsidRPr="00A1742E" w:rsidRDefault="00A1742E" w:rsidP="00A1742E">
                <w:pPr>
                  <w:rPr>
                    <w:rFonts w:ascii="Arial" w:eastAsia="Times New Roman" w:hAnsi="Arial" w:cs="Arial"/>
                    <w:color w:val="000000"/>
                    <w:sz w:val="24"/>
                    <w:szCs w:val="24"/>
                    <w:lang w:eastAsia="en-GB"/>
                  </w:rPr>
                </w:pPr>
                <w:r w:rsidRPr="00A1742E">
                  <w:rPr>
                    <w:rFonts w:ascii="Arial" w:eastAsia="Times New Roman" w:hAnsi="Arial" w:cs="Arial"/>
                    <w:sz w:val="24"/>
                    <w:szCs w:val="24"/>
                    <w:lang w:eastAsia="en-GB"/>
                  </w:rPr>
                  <w:t>Potential for improved work-life balance through staggered starts</w:t>
                </w:r>
              </w:p>
            </w:tc>
            <w:tc>
              <w:tcPr>
                <w:tcW w:w="4677" w:type="dxa"/>
                <w:hideMark/>
              </w:tcPr>
              <w:p w14:paraId="00F0234C" w14:textId="77777777" w:rsidR="00A1742E" w:rsidRPr="00A1742E" w:rsidRDefault="00A1742E" w:rsidP="00A1742E">
                <w:pPr>
                  <w:rPr>
                    <w:rFonts w:ascii="Arial" w:eastAsia="Times New Roman" w:hAnsi="Arial" w:cs="Arial"/>
                    <w:color w:val="000000"/>
                    <w:sz w:val="24"/>
                    <w:szCs w:val="24"/>
                    <w:lang w:eastAsia="en-GB"/>
                  </w:rPr>
                </w:pPr>
                <w:r w:rsidRPr="00A1742E">
                  <w:rPr>
                    <w:rFonts w:ascii="Arial" w:eastAsia="Times New Roman" w:hAnsi="Arial" w:cs="Arial"/>
                    <w:sz w:val="24"/>
                    <w:szCs w:val="24"/>
                    <w:lang w:eastAsia="en-GB"/>
                  </w:rPr>
                  <w:t>Low trust in management intentions among some associate cohorts</w:t>
                </w:r>
              </w:p>
            </w:tc>
          </w:tr>
        </w:tbl>
        <w:p w14:paraId="3C42FC11" w14:textId="77777777" w:rsidR="00A1742E" w:rsidRPr="00A1742E" w:rsidRDefault="00A1742E" w:rsidP="00A1742E">
          <w:pPr>
            <w:jc w:val="both"/>
            <w:rPr>
              <w:rFonts w:ascii="Arial" w:hAnsi="Arial" w:cs="Arial"/>
              <w:sz w:val="24"/>
              <w:szCs w:val="24"/>
            </w:rPr>
          </w:pPr>
        </w:p>
        <w:p w14:paraId="26A94A78" w14:textId="77777777" w:rsidR="00A1742E" w:rsidRPr="003C43E2" w:rsidRDefault="00A1742E" w:rsidP="00A1742E">
          <w:pPr>
            <w:jc w:val="both"/>
            <w:rPr>
              <w:rFonts w:ascii="Arial" w:hAnsi="Arial" w:cs="Arial"/>
              <w:sz w:val="24"/>
              <w:szCs w:val="24"/>
            </w:rPr>
          </w:pPr>
          <w:r w:rsidRPr="003C43E2">
            <w:rPr>
              <w:rFonts w:ascii="Arial" w:hAnsi="Arial" w:cs="Arial"/>
              <w:sz w:val="24"/>
              <w:szCs w:val="24"/>
            </w:rPr>
            <w:t xml:space="preserve">The driving forces at CWL1 were substantial and well-evidenced. The operational data clearly supported the need for revised scheduling, and the formal approval process through approvals.amazon.com provided a structured governance framework that lent legitimacy to the change. Senior leadership alignment and HR involvement further strengthened the driving forces. However, the resisting forces were equally significant, rooted primarily in the personal and practical concerns of associates rather than opposition to the principle of change itself. This distinction is important: the resistance was not ideological but </w:t>
          </w:r>
          <w:proofErr w:type="gramStart"/>
          <w:r w:rsidRPr="003C43E2">
            <w:rPr>
              <w:rFonts w:ascii="Arial" w:hAnsi="Arial" w:cs="Arial"/>
              <w:sz w:val="24"/>
              <w:szCs w:val="24"/>
            </w:rPr>
            <w:t>practical, and</w:t>
          </w:r>
          <w:proofErr w:type="gramEnd"/>
          <w:r w:rsidRPr="003C43E2">
            <w:rPr>
              <w:rFonts w:ascii="Arial" w:hAnsi="Arial" w:cs="Arial"/>
              <w:sz w:val="24"/>
              <w:szCs w:val="24"/>
            </w:rPr>
            <w:t xml:space="preserve"> could therefore have been substantially reduced through more effective communication and consultation.</w:t>
          </w:r>
        </w:p>
        <w:p w14:paraId="479AA5D3" w14:textId="77777777" w:rsidR="00A1742E" w:rsidRPr="003C43E2" w:rsidRDefault="00A1742E" w:rsidP="00A1742E">
          <w:pPr>
            <w:jc w:val="both"/>
            <w:rPr>
              <w:rFonts w:ascii="Arial" w:hAnsi="Arial" w:cs="Arial"/>
              <w:sz w:val="24"/>
              <w:szCs w:val="24"/>
            </w:rPr>
          </w:pPr>
          <w:r w:rsidRPr="003C43E2">
            <w:rPr>
              <w:rFonts w:ascii="Arial" w:hAnsi="Arial" w:cs="Arial"/>
              <w:sz w:val="24"/>
              <w:szCs w:val="24"/>
            </w:rPr>
            <w:t>Lewin (1951) himself argued that it is generally more effective to reduce resisting forces than to increase driving forces, as the latter approach can generate additional tension and conflict. This insight is directly applicable to the CWL1 case, where a more consultative approach to implementation — involving associates in the design of the new schedules, providing adequate notice, and offering practical support for those affected by transport or childcare challenges — could have significantly reduced resistance without compromising the operational objectives of the change.</w:t>
          </w:r>
        </w:p>
        <w:p w14:paraId="0BCF3177" w14:textId="77777777" w:rsidR="00A1742E" w:rsidRPr="003C43E2" w:rsidRDefault="00A1742E" w:rsidP="00A1742E">
          <w:pPr>
            <w:jc w:val="both"/>
            <w:rPr>
              <w:rFonts w:ascii="Arial" w:hAnsi="Arial" w:cs="Arial"/>
              <w:sz w:val="24"/>
              <w:szCs w:val="24"/>
            </w:rPr>
          </w:pPr>
        </w:p>
        <w:p w14:paraId="37B4FAA5" w14:textId="4D2C059B" w:rsidR="00A1742E" w:rsidRDefault="00A1742E" w:rsidP="00A1742E">
          <w:pPr>
            <w:pStyle w:val="Heading2"/>
          </w:pPr>
          <w:bookmarkStart w:id="7" w:name="_Toc227094162"/>
          <w:r w:rsidRPr="003C43E2">
            <w:lastRenderedPageBreak/>
            <w:t>Lewin's Three-Step Change Model – Recommendations</w:t>
          </w:r>
          <w:bookmarkEnd w:id="7"/>
        </w:p>
        <w:p w14:paraId="1CD04601" w14:textId="28DF9B83" w:rsidR="00A1742E" w:rsidRPr="003C43E2" w:rsidRDefault="00BE5918" w:rsidP="00A1742E">
          <w:pPr>
            <w:jc w:val="both"/>
            <w:rPr>
              <w:rFonts w:ascii="Arial" w:hAnsi="Arial" w:cs="Arial"/>
              <w:sz w:val="24"/>
              <w:szCs w:val="24"/>
            </w:rPr>
          </w:pPr>
          <w:r w:rsidRPr="00BE5918">
            <w:rPr>
              <w:rFonts w:ascii="Arial" w:hAnsi="Arial" w:cs="Arial"/>
              <w:sz w:val="24"/>
              <w:szCs w:val="24"/>
            </w:rPr>
            <w:t>Lewin's Three-Step Model (1951,</w:t>
          </w:r>
          <w:r w:rsidR="00D55AFC">
            <w:rPr>
              <w:rFonts w:ascii="Arial" w:hAnsi="Arial" w:cs="Arial"/>
              <w:sz w:val="24"/>
              <w:szCs w:val="24"/>
            </w:rPr>
            <w:t xml:space="preserve"> p. 228</w:t>
          </w:r>
          <w:r w:rsidRPr="00BE5918">
            <w:rPr>
              <w:rFonts w:ascii="Arial" w:hAnsi="Arial" w:cs="Arial"/>
              <w:sz w:val="24"/>
              <w:szCs w:val="24"/>
            </w:rPr>
            <w:t xml:space="preserve">) proposes that successful change requires three sequential stages: Unfreezing the current state, </w:t>
          </w:r>
          <w:proofErr w:type="gramStart"/>
          <w:r w:rsidRPr="00BE5918">
            <w:rPr>
              <w:rFonts w:ascii="Arial" w:hAnsi="Arial" w:cs="Arial"/>
              <w:sz w:val="24"/>
              <w:szCs w:val="24"/>
            </w:rPr>
            <w:t>Moving</w:t>
          </w:r>
          <w:proofErr w:type="gramEnd"/>
          <w:r w:rsidRPr="00BE5918">
            <w:rPr>
              <w:rFonts w:ascii="Arial" w:hAnsi="Arial" w:cs="Arial"/>
              <w:sz w:val="24"/>
              <w:szCs w:val="24"/>
            </w:rPr>
            <w:t xml:space="preserve"> to the new state, and </w:t>
          </w:r>
          <w:proofErr w:type="gramStart"/>
          <w:r w:rsidRPr="00BE5918">
            <w:rPr>
              <w:rFonts w:ascii="Arial" w:hAnsi="Arial" w:cs="Arial"/>
              <w:sz w:val="24"/>
              <w:szCs w:val="24"/>
            </w:rPr>
            <w:t>Refreezing</w:t>
          </w:r>
          <w:proofErr w:type="gramEnd"/>
          <w:r w:rsidRPr="00BE5918">
            <w:rPr>
              <w:rFonts w:ascii="Arial" w:hAnsi="Arial" w:cs="Arial"/>
              <w:sz w:val="24"/>
              <w:szCs w:val="24"/>
            </w:rPr>
            <w:t xml:space="preserve"> the new state to embed it within the organisation. Schein (1996, </w:t>
          </w:r>
          <w:r w:rsidRPr="00D55AFC">
            <w:rPr>
              <w:rFonts w:ascii="Arial" w:hAnsi="Arial" w:cs="Arial"/>
              <w:sz w:val="24"/>
              <w:szCs w:val="24"/>
            </w:rPr>
            <w:t>p. 30</w:t>
          </w:r>
          <w:r w:rsidRPr="00BE5918">
            <w:rPr>
              <w:rFonts w:ascii="Arial" w:hAnsi="Arial" w:cs="Arial"/>
              <w:sz w:val="24"/>
              <w:szCs w:val="24"/>
            </w:rPr>
            <w:t>) elaborated on this model, arguing that the unfreezing stage is the most psychologically complex, as it requires individuals to relinquish established habits, beliefs, and behaviours. Cummings, Bridgman and Brown (2016) have critiqued the model for its linearity and its implicit assumption that change is a discrete, bounded event rather than a continuous process. Nevertheless, the model provides a practical and accessible framework for structuring change recommendations.</w:t>
          </w:r>
        </w:p>
        <w:p w14:paraId="1310CE6A" w14:textId="44C6B68C" w:rsidR="00A1742E" w:rsidRDefault="00A1742E" w:rsidP="00A1742E">
          <w:pPr>
            <w:pStyle w:val="Heading3"/>
          </w:pPr>
          <w:bookmarkStart w:id="8" w:name="_Toc227094163"/>
          <w:r w:rsidRPr="003C43E2">
            <w:t>Unfreezing at CWL1</w:t>
          </w:r>
          <w:bookmarkEnd w:id="8"/>
        </w:p>
        <w:p w14:paraId="7D1A5120" w14:textId="61A52420" w:rsidR="00A1742E" w:rsidRPr="003C43E2" w:rsidRDefault="00BE5918" w:rsidP="00A1742E">
          <w:pPr>
            <w:jc w:val="both"/>
            <w:rPr>
              <w:rFonts w:ascii="Arial" w:hAnsi="Arial" w:cs="Arial"/>
              <w:sz w:val="24"/>
              <w:szCs w:val="24"/>
            </w:rPr>
          </w:pPr>
          <w:r w:rsidRPr="00BE5918">
            <w:rPr>
              <w:rFonts w:ascii="Arial" w:hAnsi="Arial" w:cs="Arial"/>
              <w:sz w:val="24"/>
              <w:szCs w:val="24"/>
            </w:rPr>
            <w:t>The unfreezing stage at CWL1 was insufficiently managed. Effective unfreezing requires creating a psychological readiness for change by communicating the rationale clearly, addressing concerns proactively, and building a shared understanding of why the current state is no longer sustainable (Schein, 1996, p. 30). At CWL1, this stage was compressed and largely top-down. A more effective approach would have involved earlier communication of the operational data underpinning the change, structured consultation sessions with associate representatives, and the use of Amazon's internal feedback tools to gauge associate concerns before finalising the new schedules. The approvals.amazon.com platform could have been leveraged not only as a governance tool but as a transparency mechanism, with relevant elements of the approval documentation shared with associates to demonstrate the rigour and legitimacy of the decision-making process.</w:t>
          </w:r>
        </w:p>
        <w:p w14:paraId="4F2D712F" w14:textId="6EA0EA0B" w:rsidR="00A1742E" w:rsidRDefault="00A1742E" w:rsidP="00A1742E">
          <w:pPr>
            <w:pStyle w:val="Heading3"/>
          </w:pPr>
          <w:bookmarkStart w:id="9" w:name="_Toc227094164"/>
          <w:r w:rsidRPr="003C43E2">
            <w:t>Moving at CWL1</w:t>
          </w:r>
          <w:bookmarkEnd w:id="9"/>
        </w:p>
        <w:p w14:paraId="75A744BD" w14:textId="03B844A0" w:rsidR="00A1742E" w:rsidRPr="003C43E2" w:rsidRDefault="00A1742E" w:rsidP="00A1742E">
          <w:pPr>
            <w:jc w:val="both"/>
            <w:rPr>
              <w:rFonts w:ascii="Arial" w:hAnsi="Arial" w:cs="Arial"/>
              <w:sz w:val="24"/>
              <w:szCs w:val="24"/>
            </w:rPr>
          </w:pPr>
          <w:r w:rsidRPr="003C43E2">
            <w:rPr>
              <w:rFonts w:ascii="Arial" w:hAnsi="Arial" w:cs="Arial"/>
              <w:sz w:val="24"/>
              <w:szCs w:val="24"/>
            </w:rPr>
            <w:t>The movement stage — the actual implementation of the new schedules — was executed with insufficient support infrastructure. Recommendations for future change initiatives of this nature include the appointment of Change Champions at the team level, who can provide peer-to-peer support and relay associate concerns to management in real time. Additionally, a phased implementation approach, beginning with a pilot department before rolling out site-wide, would have allowed for the identification and resolution of practical issues before they affected the entire associate population. Clear, multi-channel communication — including digital noticeboards, team briefings, and one-to-one conversations for associates with specific concerns — would have further supported the movement stage.</w:t>
          </w:r>
        </w:p>
        <w:p w14:paraId="7C7F46FD" w14:textId="79785E6B" w:rsidR="00A1742E" w:rsidRDefault="00A1742E" w:rsidP="00A1742E">
          <w:pPr>
            <w:pStyle w:val="Heading3"/>
          </w:pPr>
          <w:bookmarkStart w:id="10" w:name="_Toc227094165"/>
          <w:r w:rsidRPr="003C43E2">
            <w:t>Refreezing at CWL1</w:t>
          </w:r>
          <w:bookmarkEnd w:id="10"/>
        </w:p>
        <w:p w14:paraId="2D04FA47" w14:textId="49527C81" w:rsidR="00A1742E" w:rsidRPr="003C43E2" w:rsidRDefault="00A1742E" w:rsidP="00A1742E">
          <w:pPr>
            <w:jc w:val="both"/>
            <w:rPr>
              <w:rFonts w:ascii="Arial" w:hAnsi="Arial" w:cs="Arial"/>
              <w:sz w:val="24"/>
              <w:szCs w:val="24"/>
            </w:rPr>
          </w:pPr>
          <w:r w:rsidRPr="003C43E2">
            <w:rPr>
              <w:rFonts w:ascii="Arial" w:hAnsi="Arial" w:cs="Arial"/>
              <w:sz w:val="24"/>
              <w:szCs w:val="24"/>
            </w:rPr>
            <w:t xml:space="preserve">The refreezing stage involves embedding the new arrangements within the organisational culture and ensuring that the change is sustained over time (Lewin, 1951). At CWL1, this stage was relatively well-managed, as the new schedules gradually became normalised and productivity metrics improved. However, the refreezing process could have been accelerated and strengthened through the formal recognition of associates who adapted positively to the change, the incorporation of the new scheduling principles into onboarding materials for new starters, and regular review meetings to assess the ongoing effectiveness of the new arrangements and </w:t>
          </w:r>
          <w:proofErr w:type="gramStart"/>
          <w:r w:rsidRPr="003C43E2">
            <w:rPr>
              <w:rFonts w:ascii="Arial" w:hAnsi="Arial" w:cs="Arial"/>
              <w:sz w:val="24"/>
              <w:szCs w:val="24"/>
            </w:rPr>
            <w:t>make adjustments</w:t>
          </w:r>
          <w:proofErr w:type="gramEnd"/>
          <w:r w:rsidRPr="003C43E2">
            <w:rPr>
              <w:rFonts w:ascii="Arial" w:hAnsi="Arial" w:cs="Arial"/>
              <w:sz w:val="24"/>
              <w:szCs w:val="24"/>
            </w:rPr>
            <w:t xml:space="preserve"> where necessary.</w:t>
          </w:r>
        </w:p>
        <w:p w14:paraId="20E8741A" w14:textId="77777777" w:rsidR="00A1742E" w:rsidRDefault="00A1742E" w:rsidP="00A1742E">
          <w:pPr>
            <w:pStyle w:val="Heading2"/>
          </w:pPr>
          <w:bookmarkStart w:id="11" w:name="_Toc227094166"/>
          <w:r w:rsidRPr="003C43E2">
            <w:lastRenderedPageBreak/>
            <w:t>Employee Motivation During Change – Herzberg's Two-Factor Theory</w:t>
          </w:r>
          <w:bookmarkEnd w:id="11"/>
        </w:p>
        <w:p w14:paraId="52165FDC" w14:textId="77777777" w:rsidR="00BE5918" w:rsidRPr="00BE5918" w:rsidRDefault="00BE5918" w:rsidP="00BE5918">
          <w:pPr>
            <w:jc w:val="both"/>
            <w:rPr>
              <w:rFonts w:ascii="Arial" w:hAnsi="Arial" w:cs="Arial"/>
              <w:sz w:val="24"/>
              <w:szCs w:val="24"/>
            </w:rPr>
          </w:pPr>
          <w:r w:rsidRPr="00BE5918">
            <w:rPr>
              <w:rFonts w:ascii="Arial" w:hAnsi="Arial" w:cs="Arial"/>
              <w:sz w:val="24"/>
              <w:szCs w:val="24"/>
            </w:rPr>
            <w:t>The motivational impact of the schedule change at CWL1 can be effectively analysed through the lens of Herzberg's Two-Factor Theory (1959, pp. 113–116), which distinguishes between hygiene factors — extrinsic conditions whose absence causes dissatisfaction but whose presence does not in itself generate motivation — and motivators — intrinsic factors that actively drive engagement and job satisfaction. Mullins (2016, p. 261) notes that Herzberg's framework remains highly relevant to contemporary workplace management, particularly in environments characterised by repetitive, process-driven work such as fulfilment centre operations.</w:t>
          </w:r>
        </w:p>
        <w:p w14:paraId="3F685C8E" w14:textId="77777777" w:rsidR="00BE5918" w:rsidRPr="00BE5918" w:rsidRDefault="00BE5918" w:rsidP="00BE5918">
          <w:pPr>
            <w:jc w:val="both"/>
            <w:rPr>
              <w:rFonts w:ascii="Arial" w:hAnsi="Arial" w:cs="Arial"/>
              <w:sz w:val="24"/>
              <w:szCs w:val="24"/>
            </w:rPr>
          </w:pPr>
          <w:r w:rsidRPr="00BE5918">
            <w:rPr>
              <w:rFonts w:ascii="Arial" w:hAnsi="Arial" w:cs="Arial"/>
              <w:sz w:val="24"/>
              <w:szCs w:val="24"/>
            </w:rPr>
            <w:t>The restructuring of start times and break schedules at CWL1 primarily affected hygiene factors, including working conditions, company policy, and the relationship between associates and their supervisors. Herzberg (1959, pp. 113–116) argued that deterioration in hygiene factors generates active dissatisfaction, which is consistent with the associate reactions observed at CWL1. The short notice period, limited consultation, and perceived lack of transparency all contributed to a deterioration in the hygiene factor of company policy and administration, triggering the dissatisfaction and resistance documented in the site's pulse survey data.</w:t>
          </w:r>
        </w:p>
        <w:p w14:paraId="21B38110" w14:textId="77777777" w:rsidR="00BE5918" w:rsidRPr="00BE5918" w:rsidRDefault="00BE5918" w:rsidP="00BE5918">
          <w:pPr>
            <w:jc w:val="both"/>
            <w:rPr>
              <w:rFonts w:ascii="Arial" w:hAnsi="Arial" w:cs="Arial"/>
              <w:sz w:val="24"/>
              <w:szCs w:val="24"/>
            </w:rPr>
          </w:pPr>
          <w:r w:rsidRPr="00BE5918">
            <w:rPr>
              <w:rFonts w:ascii="Arial" w:hAnsi="Arial" w:cs="Arial"/>
              <w:sz w:val="24"/>
              <w:szCs w:val="24"/>
            </w:rPr>
            <w:t>To mitigate this motivational impact, site leadership could have taken steps to simultaneously address motivators during the change process. For example, involving associates in the design of the new schedules would have enhanced their sense of responsibility and achievement — both identified by Herzberg (1959, pp. 113–116) as powerful motivators. Recognising and rewarding associates who demonstrated flexibility and adaptability during the transition would have further reinforced positive motivational dynamics. Armstrong (2014) argues that organisations that attend to both hygiene factors and motivators during periods of change are significantly more likely to maintain associate engagement and minimise productivity disruption, a finding that is directly applicable to the CWL1 experience.</w:t>
          </w:r>
        </w:p>
        <w:p w14:paraId="7E6B159B" w14:textId="77777777" w:rsidR="00BE5918" w:rsidRPr="00BE5918" w:rsidRDefault="00BE5918" w:rsidP="00BE5918">
          <w:pPr>
            <w:jc w:val="both"/>
            <w:rPr>
              <w:rFonts w:ascii="Arial" w:hAnsi="Arial" w:cs="Arial"/>
              <w:sz w:val="24"/>
              <w:szCs w:val="24"/>
            </w:rPr>
          </w:pPr>
          <w:r w:rsidRPr="00BE5918">
            <w:rPr>
              <w:rFonts w:ascii="Arial" w:hAnsi="Arial" w:cs="Arial"/>
              <w:sz w:val="24"/>
              <w:szCs w:val="24"/>
            </w:rPr>
            <w:t>Vroom's Expectancy Theory (1964, p. 15) offers a complementary perspective, suggesting that associates are motivated when they believe that their efforts will lead to desired outcomes. At CWL1, the absence of clear communication about the benefits of the new schedules for associates — as opposed to the organisation — meant that many associates could not identify a personal benefit from the change, reducing their motivation to engage positively with the transition. Future change initiatives should therefore ensure that the associate-level benefits of proposed changes are clearly articulated alongside the operational rationale.</w:t>
          </w:r>
        </w:p>
        <w:p w14:paraId="7C76142D" w14:textId="77777777" w:rsidR="00A1742E" w:rsidRDefault="00A1742E">
          <w:pPr>
            <w:rPr>
              <w:rFonts w:ascii="Arial" w:hAnsi="Arial" w:cs="Arial"/>
              <w:sz w:val="24"/>
              <w:szCs w:val="24"/>
            </w:rPr>
          </w:pPr>
          <w:r>
            <w:rPr>
              <w:rFonts w:ascii="Arial" w:hAnsi="Arial" w:cs="Arial"/>
              <w:sz w:val="24"/>
              <w:szCs w:val="24"/>
            </w:rPr>
            <w:br w:type="page"/>
          </w:r>
        </w:p>
        <w:p w14:paraId="021E594C" w14:textId="2EBCC6D6" w:rsidR="00A1742E" w:rsidRPr="003C43E2" w:rsidRDefault="00A1742E" w:rsidP="00A1742E">
          <w:pPr>
            <w:pStyle w:val="Heading1"/>
            <w:rPr>
              <w:rFonts w:ascii="Arial" w:hAnsi="Arial" w:cs="Arial"/>
              <w:sz w:val="24"/>
              <w:szCs w:val="24"/>
            </w:rPr>
          </w:pPr>
          <w:bookmarkStart w:id="12" w:name="_Toc227094167"/>
          <w:r w:rsidRPr="003C43E2">
            <w:lastRenderedPageBreak/>
            <w:t>Conclusion</w:t>
          </w:r>
          <w:bookmarkEnd w:id="12"/>
        </w:p>
        <w:p w14:paraId="2029EC82" w14:textId="6BF05C19" w:rsidR="004912CA" w:rsidRPr="004912CA" w:rsidRDefault="004912CA" w:rsidP="004912CA">
          <w:pPr>
            <w:jc w:val="both"/>
            <w:rPr>
              <w:rFonts w:ascii="Arial" w:hAnsi="Arial" w:cs="Arial"/>
              <w:sz w:val="24"/>
              <w:szCs w:val="24"/>
            </w:rPr>
          </w:pPr>
          <w:r w:rsidRPr="004912CA">
            <w:rPr>
              <w:rFonts w:ascii="Arial" w:hAnsi="Arial" w:cs="Arial"/>
              <w:sz w:val="24"/>
              <w:szCs w:val="24"/>
            </w:rPr>
            <w:t>This report has critically examined the management of an organisational change at Amazon's CWL1 fulfilment centre, specifically the restructuring of associate start times and break schedules. The analysis has demonstrated that whilst the change was operationally justified and supported by a robust governance framework — including the use of the approvals.amazon.com platform — the implementation process was characterised by insufficient associate consultation, limited communication, and inadequate attention to the motivational and personal impact of the change on the workforce.</w:t>
          </w:r>
        </w:p>
        <w:p w14:paraId="0362F19A" w14:textId="77777777" w:rsidR="004912CA" w:rsidRPr="004912CA" w:rsidRDefault="004912CA" w:rsidP="004912CA">
          <w:pPr>
            <w:jc w:val="both"/>
            <w:rPr>
              <w:rFonts w:ascii="Arial" w:hAnsi="Arial" w:cs="Arial"/>
              <w:sz w:val="24"/>
              <w:szCs w:val="24"/>
            </w:rPr>
          </w:pPr>
          <w:r w:rsidRPr="004912CA">
            <w:rPr>
              <w:rFonts w:ascii="Arial" w:hAnsi="Arial" w:cs="Arial"/>
              <w:sz w:val="24"/>
              <w:szCs w:val="24"/>
            </w:rPr>
            <w:t>Lewin's Force Field Analysis revealed a balance of substantial driving forces, including operational data, senior leadership support, and governance legitimacy, against significant resisting forces rooted in associate concerns about personal routines, childcare, and transport. The application of Lewin's Three-Step Model generated a series of practical recommendations, centred on more effective unfreezing through early consultation, a phased and well-supported movement stage, and a structured refreezing process that embeds the change within organisational culture. Herzberg's Two-Factor Theory highlighted the importance of attending to both hygiene factors and motivators during the change process, with particular emphasis on associate involvement, recognition, and transparent communication.</w:t>
          </w:r>
        </w:p>
        <w:p w14:paraId="05DB412B" w14:textId="77777777" w:rsidR="004912CA" w:rsidRPr="004912CA" w:rsidRDefault="004912CA" w:rsidP="004912CA">
          <w:pPr>
            <w:jc w:val="both"/>
            <w:rPr>
              <w:rFonts w:ascii="Arial" w:hAnsi="Arial" w:cs="Arial"/>
              <w:sz w:val="24"/>
              <w:szCs w:val="24"/>
            </w:rPr>
          </w:pPr>
          <w:r w:rsidRPr="004912CA">
            <w:rPr>
              <w:rFonts w:ascii="Arial" w:hAnsi="Arial" w:cs="Arial"/>
              <w:sz w:val="24"/>
              <w:szCs w:val="24"/>
            </w:rPr>
            <w:t>A further insight emerging from this analysis is the importance of empathetic leadership in managing organisational change. While the operational rationale for the schedule revision was clear, the absence of empathetic engagement limited associate buy</w:t>
          </w:r>
          <w:r w:rsidRPr="004912CA">
            <w:rPr>
              <w:rFonts w:ascii="Arial" w:hAnsi="Arial" w:cs="Arial"/>
              <w:sz w:val="24"/>
              <w:szCs w:val="24"/>
            </w:rPr>
            <w:noBreakHyphen/>
            <w:t>in and amplified resistance. Demonstrating empathy — by acknowledging the personal impact of the change, listening actively to concerns, and responding with practical support — would have strengthened psychological safety and trust, both of which are essential for successful change adoption.</w:t>
          </w:r>
        </w:p>
        <w:p w14:paraId="475FC625" w14:textId="77777777" w:rsidR="004912CA" w:rsidRPr="004912CA" w:rsidRDefault="004912CA" w:rsidP="004912CA">
          <w:pPr>
            <w:jc w:val="both"/>
            <w:rPr>
              <w:rFonts w:ascii="Arial" w:hAnsi="Arial" w:cs="Arial"/>
              <w:sz w:val="24"/>
              <w:szCs w:val="24"/>
            </w:rPr>
          </w:pPr>
          <w:r w:rsidRPr="004912CA">
            <w:rPr>
              <w:rFonts w:ascii="Arial" w:hAnsi="Arial" w:cs="Arial"/>
              <w:sz w:val="24"/>
              <w:szCs w:val="24"/>
            </w:rPr>
            <w:t>The critical success factors for future change initiatives at CWL1 include: early and meaningful associate engagement in the change design process; clear, multi-channel communication of both the operational rationale and the associate-level benefits of proposed changes; the appointment of Change Champions to provide peer-level support; a phased implementation approach to allow for iterative learning; the sustained use of motivational strategies throughout the transition period; and the integration of empathetic leadership practices to ensure associates feel understood, valued, and supported throughout the change journey. By embedding these principles within its change management practice, CWL1 can build the organisational resilience and associate trust necessary to navigate future change initiatives more effectively and with greater workforce support.</w:t>
          </w:r>
        </w:p>
        <w:p w14:paraId="4E4B61E5" w14:textId="77777777" w:rsidR="004912CA" w:rsidRDefault="004912CA">
          <w:pPr>
            <w:rPr>
              <w:rFonts w:asciiTheme="majorHAnsi" w:eastAsiaTheme="majorEastAsia" w:hAnsiTheme="majorHAnsi" w:cstheme="majorBidi"/>
              <w:color w:val="2E74B5" w:themeColor="accent1" w:themeShade="BF"/>
              <w:sz w:val="32"/>
              <w:szCs w:val="32"/>
            </w:rPr>
          </w:pPr>
          <w:r>
            <w:br w:type="page"/>
          </w:r>
        </w:p>
        <w:p w14:paraId="7202FDFC" w14:textId="08660E9D" w:rsidR="00AA2A91" w:rsidRDefault="00AA2A91" w:rsidP="00AA2A91">
          <w:pPr>
            <w:pStyle w:val="Heading1"/>
          </w:pPr>
          <w:bookmarkStart w:id="13" w:name="_Toc227094168"/>
          <w:r>
            <w:lastRenderedPageBreak/>
            <w:t>Bibliography</w:t>
          </w:r>
          <w:bookmarkEnd w:id="13"/>
        </w:p>
        <w:p w14:paraId="78111B39" w14:textId="77777777" w:rsidR="000E1F36" w:rsidRPr="000E1F36" w:rsidRDefault="000E1F36" w:rsidP="000E1F36">
          <w:pPr>
            <w:jc w:val="both"/>
            <w:rPr>
              <w:rFonts w:ascii="Arial" w:hAnsi="Arial" w:cs="Arial"/>
              <w:sz w:val="24"/>
              <w:szCs w:val="24"/>
            </w:rPr>
          </w:pPr>
          <w:r w:rsidRPr="000E1F36">
            <w:rPr>
              <w:rFonts w:ascii="Arial" w:hAnsi="Arial" w:cs="Arial"/>
              <w:sz w:val="24"/>
              <w:szCs w:val="24"/>
            </w:rPr>
            <w:t xml:space="preserve">Armstrong, M. (2014) </w:t>
          </w:r>
          <w:r w:rsidRPr="000E1F36">
            <w:rPr>
              <w:rFonts w:ascii="Arial" w:hAnsi="Arial" w:cs="Arial"/>
              <w:i/>
              <w:iCs/>
              <w:sz w:val="24"/>
              <w:szCs w:val="24"/>
            </w:rPr>
            <w:t>Armstrong's Handbook of Human Resource Management Practice</w:t>
          </w:r>
          <w:r w:rsidRPr="000E1F36">
            <w:rPr>
              <w:rFonts w:ascii="Arial" w:hAnsi="Arial" w:cs="Arial"/>
              <w:sz w:val="24"/>
              <w:szCs w:val="24"/>
            </w:rPr>
            <w:t xml:space="preserve">. 13th </w:t>
          </w:r>
          <w:proofErr w:type="spellStart"/>
          <w:r w:rsidRPr="000E1F36">
            <w:rPr>
              <w:rFonts w:ascii="Arial" w:hAnsi="Arial" w:cs="Arial"/>
              <w:sz w:val="24"/>
              <w:szCs w:val="24"/>
            </w:rPr>
            <w:t>edn</w:t>
          </w:r>
          <w:proofErr w:type="spellEnd"/>
          <w:r w:rsidRPr="000E1F36">
            <w:rPr>
              <w:rFonts w:ascii="Arial" w:hAnsi="Arial" w:cs="Arial"/>
              <w:sz w:val="24"/>
              <w:szCs w:val="24"/>
            </w:rPr>
            <w:t>. London: Kogan Page.</w:t>
          </w:r>
        </w:p>
        <w:p w14:paraId="434E521E" w14:textId="77777777" w:rsidR="000E1F36" w:rsidRPr="000E1F36" w:rsidRDefault="000E1F36" w:rsidP="000E1F36">
          <w:pPr>
            <w:jc w:val="both"/>
            <w:rPr>
              <w:rFonts w:ascii="Arial" w:hAnsi="Arial" w:cs="Arial"/>
              <w:sz w:val="24"/>
              <w:szCs w:val="24"/>
            </w:rPr>
          </w:pPr>
          <w:r w:rsidRPr="000E1F36">
            <w:rPr>
              <w:rFonts w:ascii="Arial" w:hAnsi="Arial" w:cs="Arial"/>
              <w:sz w:val="24"/>
              <w:szCs w:val="24"/>
            </w:rPr>
            <w:t xml:space="preserve">Amazon Internal Operations (2023) </w:t>
          </w:r>
          <w:r w:rsidRPr="000E1F36">
            <w:rPr>
              <w:rFonts w:ascii="Arial" w:hAnsi="Arial" w:cs="Arial"/>
              <w:i/>
              <w:iCs/>
              <w:sz w:val="24"/>
              <w:szCs w:val="24"/>
            </w:rPr>
            <w:t>Approvals and Change Governance Framework: CWL1 Site Operations</w:t>
          </w:r>
          <w:r w:rsidRPr="000E1F36">
            <w:rPr>
              <w:rFonts w:ascii="Arial" w:hAnsi="Arial" w:cs="Arial"/>
              <w:sz w:val="24"/>
              <w:szCs w:val="24"/>
            </w:rPr>
            <w:t>. Internal document (unpublished). Amazon UK Services Ltd.</w:t>
          </w:r>
        </w:p>
        <w:p w14:paraId="2EB11ED8" w14:textId="476879FA" w:rsidR="000E1F36" w:rsidRPr="000E1F36" w:rsidRDefault="000E1F36" w:rsidP="000E1F36">
          <w:pPr>
            <w:jc w:val="both"/>
            <w:rPr>
              <w:rFonts w:ascii="Arial" w:hAnsi="Arial" w:cs="Arial"/>
              <w:sz w:val="24"/>
              <w:szCs w:val="24"/>
            </w:rPr>
          </w:pPr>
          <w:r w:rsidRPr="000E1F36">
            <w:rPr>
              <w:rFonts w:ascii="Arial" w:hAnsi="Arial" w:cs="Arial"/>
              <w:sz w:val="24"/>
              <w:szCs w:val="24"/>
            </w:rPr>
            <w:t xml:space="preserve">Amazon (2023) </w:t>
          </w:r>
          <w:r w:rsidRPr="000E1F36">
            <w:rPr>
              <w:rFonts w:ascii="Arial" w:hAnsi="Arial" w:cs="Arial"/>
              <w:i/>
              <w:iCs/>
              <w:sz w:val="24"/>
              <w:szCs w:val="24"/>
            </w:rPr>
            <w:t>Amazon in the UK: Our Fulfilment Network</w:t>
          </w:r>
          <w:r w:rsidRPr="000E1F36">
            <w:rPr>
              <w:rFonts w:ascii="Arial" w:hAnsi="Arial" w:cs="Arial"/>
              <w:sz w:val="24"/>
              <w:szCs w:val="24"/>
            </w:rPr>
            <w:t xml:space="preserve">. Available at: https://www.aboutamazon.co.uk (Accessed: </w:t>
          </w:r>
          <w:r w:rsidR="00181679">
            <w:rPr>
              <w:rFonts w:ascii="Arial" w:hAnsi="Arial" w:cs="Arial"/>
              <w:sz w:val="24"/>
              <w:szCs w:val="24"/>
            </w:rPr>
            <w:t>01</w:t>
          </w:r>
          <w:r w:rsidRPr="000E1F36">
            <w:rPr>
              <w:rFonts w:ascii="Arial" w:hAnsi="Arial" w:cs="Arial"/>
              <w:sz w:val="24"/>
              <w:szCs w:val="24"/>
            </w:rPr>
            <w:t xml:space="preserve"> April 202</w:t>
          </w:r>
          <w:r w:rsidR="00181679">
            <w:rPr>
              <w:rFonts w:ascii="Arial" w:hAnsi="Arial" w:cs="Arial"/>
              <w:sz w:val="24"/>
              <w:szCs w:val="24"/>
            </w:rPr>
            <w:t>6</w:t>
          </w:r>
          <w:r w:rsidRPr="000E1F36">
            <w:rPr>
              <w:rFonts w:ascii="Arial" w:hAnsi="Arial" w:cs="Arial"/>
              <w:sz w:val="24"/>
              <w:szCs w:val="24"/>
            </w:rPr>
            <w:t>).</w:t>
          </w:r>
        </w:p>
        <w:p w14:paraId="5BF9050E" w14:textId="77777777" w:rsidR="000E1F36" w:rsidRPr="000E1F36" w:rsidRDefault="000E1F36" w:rsidP="000E1F36">
          <w:pPr>
            <w:jc w:val="both"/>
            <w:rPr>
              <w:rFonts w:ascii="Arial" w:hAnsi="Arial" w:cs="Arial"/>
              <w:sz w:val="24"/>
              <w:szCs w:val="24"/>
            </w:rPr>
          </w:pPr>
          <w:r w:rsidRPr="000E1F36">
            <w:rPr>
              <w:rFonts w:ascii="Arial" w:hAnsi="Arial" w:cs="Arial"/>
              <w:sz w:val="24"/>
              <w:szCs w:val="24"/>
            </w:rPr>
            <w:t xml:space="preserve">Burnes, B. (2004) ‘Kurt Lewin and the Planned Approach to Change: A Re-appraisal’, </w:t>
          </w:r>
          <w:r w:rsidRPr="000E1F36">
            <w:rPr>
              <w:rFonts w:ascii="Arial" w:hAnsi="Arial" w:cs="Arial"/>
              <w:i/>
              <w:iCs/>
              <w:sz w:val="24"/>
              <w:szCs w:val="24"/>
            </w:rPr>
            <w:t>Journal of Management Studies</w:t>
          </w:r>
          <w:r w:rsidRPr="000E1F36">
            <w:rPr>
              <w:rFonts w:ascii="Arial" w:hAnsi="Arial" w:cs="Arial"/>
              <w:sz w:val="24"/>
              <w:szCs w:val="24"/>
            </w:rPr>
            <w:t>, 41(6), pp. 977–1002.</w:t>
          </w:r>
        </w:p>
        <w:p w14:paraId="7B43D9F3" w14:textId="77777777" w:rsidR="000E1F36" w:rsidRPr="000E1F36" w:rsidRDefault="000E1F36" w:rsidP="000E1F36">
          <w:pPr>
            <w:jc w:val="both"/>
            <w:rPr>
              <w:rFonts w:ascii="Arial" w:hAnsi="Arial" w:cs="Arial"/>
              <w:sz w:val="24"/>
              <w:szCs w:val="24"/>
            </w:rPr>
          </w:pPr>
          <w:r w:rsidRPr="000E1F36">
            <w:rPr>
              <w:rFonts w:ascii="Arial" w:hAnsi="Arial" w:cs="Arial"/>
              <w:sz w:val="24"/>
              <w:szCs w:val="24"/>
            </w:rPr>
            <w:t xml:space="preserve">Burnes, B. (2017) </w:t>
          </w:r>
          <w:r w:rsidRPr="000E1F36">
            <w:rPr>
              <w:rFonts w:ascii="Arial" w:hAnsi="Arial" w:cs="Arial"/>
              <w:i/>
              <w:iCs/>
              <w:sz w:val="24"/>
              <w:szCs w:val="24"/>
            </w:rPr>
            <w:t>Managing Change</w:t>
          </w:r>
          <w:r w:rsidRPr="000E1F36">
            <w:rPr>
              <w:rFonts w:ascii="Arial" w:hAnsi="Arial" w:cs="Arial"/>
              <w:sz w:val="24"/>
              <w:szCs w:val="24"/>
            </w:rPr>
            <w:t xml:space="preserve">. 7th </w:t>
          </w:r>
          <w:proofErr w:type="spellStart"/>
          <w:r w:rsidRPr="000E1F36">
            <w:rPr>
              <w:rFonts w:ascii="Arial" w:hAnsi="Arial" w:cs="Arial"/>
              <w:sz w:val="24"/>
              <w:szCs w:val="24"/>
            </w:rPr>
            <w:t>edn</w:t>
          </w:r>
          <w:proofErr w:type="spellEnd"/>
          <w:r w:rsidRPr="000E1F36">
            <w:rPr>
              <w:rFonts w:ascii="Arial" w:hAnsi="Arial" w:cs="Arial"/>
              <w:sz w:val="24"/>
              <w:szCs w:val="24"/>
            </w:rPr>
            <w:t>. Harlow: Pearson Education.</w:t>
          </w:r>
        </w:p>
        <w:p w14:paraId="750D46BF" w14:textId="77777777" w:rsidR="000E1F36" w:rsidRPr="000E1F36" w:rsidRDefault="000E1F36" w:rsidP="000E1F36">
          <w:pPr>
            <w:jc w:val="both"/>
            <w:rPr>
              <w:rFonts w:ascii="Arial" w:hAnsi="Arial" w:cs="Arial"/>
              <w:sz w:val="24"/>
              <w:szCs w:val="24"/>
            </w:rPr>
          </w:pPr>
          <w:r w:rsidRPr="000E1F36">
            <w:rPr>
              <w:rFonts w:ascii="Arial" w:hAnsi="Arial" w:cs="Arial"/>
              <w:sz w:val="24"/>
              <w:szCs w:val="24"/>
            </w:rPr>
            <w:t xml:space="preserve">Cameron, E. and Green, M. (2015) </w:t>
          </w:r>
          <w:r w:rsidRPr="000E1F36">
            <w:rPr>
              <w:rFonts w:ascii="Arial" w:hAnsi="Arial" w:cs="Arial"/>
              <w:i/>
              <w:iCs/>
              <w:sz w:val="24"/>
              <w:szCs w:val="24"/>
            </w:rPr>
            <w:t>Making Sense of Change Management: A Complete Guide to the Models, Tools and Techniques of Organisational Change</w:t>
          </w:r>
          <w:r w:rsidRPr="000E1F36">
            <w:rPr>
              <w:rFonts w:ascii="Arial" w:hAnsi="Arial" w:cs="Arial"/>
              <w:sz w:val="24"/>
              <w:szCs w:val="24"/>
            </w:rPr>
            <w:t xml:space="preserve">. 4th </w:t>
          </w:r>
          <w:proofErr w:type="spellStart"/>
          <w:r w:rsidRPr="000E1F36">
            <w:rPr>
              <w:rFonts w:ascii="Arial" w:hAnsi="Arial" w:cs="Arial"/>
              <w:sz w:val="24"/>
              <w:szCs w:val="24"/>
            </w:rPr>
            <w:t>edn</w:t>
          </w:r>
          <w:proofErr w:type="spellEnd"/>
          <w:r w:rsidRPr="000E1F36">
            <w:rPr>
              <w:rFonts w:ascii="Arial" w:hAnsi="Arial" w:cs="Arial"/>
              <w:sz w:val="24"/>
              <w:szCs w:val="24"/>
            </w:rPr>
            <w:t>. London: Kogan Page.</w:t>
          </w:r>
        </w:p>
        <w:p w14:paraId="195FF6D0" w14:textId="77777777" w:rsidR="000E1F36" w:rsidRPr="000E1F36" w:rsidRDefault="000E1F36" w:rsidP="000E1F36">
          <w:pPr>
            <w:jc w:val="both"/>
            <w:rPr>
              <w:rFonts w:ascii="Arial" w:hAnsi="Arial" w:cs="Arial"/>
              <w:sz w:val="24"/>
              <w:szCs w:val="24"/>
            </w:rPr>
          </w:pPr>
          <w:r w:rsidRPr="000E1F36">
            <w:rPr>
              <w:rFonts w:ascii="Arial" w:hAnsi="Arial" w:cs="Arial"/>
              <w:sz w:val="24"/>
              <w:szCs w:val="24"/>
            </w:rPr>
            <w:t xml:space="preserve">Carnall, C. and By, R.T. (2014) </w:t>
          </w:r>
          <w:r w:rsidRPr="000E1F36">
            <w:rPr>
              <w:rFonts w:ascii="Arial" w:hAnsi="Arial" w:cs="Arial"/>
              <w:i/>
              <w:iCs/>
              <w:sz w:val="24"/>
              <w:szCs w:val="24"/>
            </w:rPr>
            <w:t>Managing Change in Organizations</w:t>
          </w:r>
          <w:r w:rsidRPr="000E1F36">
            <w:rPr>
              <w:rFonts w:ascii="Arial" w:hAnsi="Arial" w:cs="Arial"/>
              <w:sz w:val="24"/>
              <w:szCs w:val="24"/>
            </w:rPr>
            <w:t xml:space="preserve">. 6th </w:t>
          </w:r>
          <w:proofErr w:type="spellStart"/>
          <w:r w:rsidRPr="000E1F36">
            <w:rPr>
              <w:rFonts w:ascii="Arial" w:hAnsi="Arial" w:cs="Arial"/>
              <w:sz w:val="24"/>
              <w:szCs w:val="24"/>
            </w:rPr>
            <w:t>edn</w:t>
          </w:r>
          <w:proofErr w:type="spellEnd"/>
          <w:r w:rsidRPr="000E1F36">
            <w:rPr>
              <w:rFonts w:ascii="Arial" w:hAnsi="Arial" w:cs="Arial"/>
              <w:sz w:val="24"/>
              <w:szCs w:val="24"/>
            </w:rPr>
            <w:t>. Harlow: Pearson Education.</w:t>
          </w:r>
        </w:p>
        <w:p w14:paraId="118C52EC" w14:textId="77777777" w:rsidR="000E1F36" w:rsidRPr="000E1F36" w:rsidRDefault="000E1F36" w:rsidP="000E1F36">
          <w:pPr>
            <w:jc w:val="both"/>
            <w:rPr>
              <w:rFonts w:ascii="Arial" w:hAnsi="Arial" w:cs="Arial"/>
              <w:sz w:val="24"/>
              <w:szCs w:val="24"/>
            </w:rPr>
          </w:pPr>
          <w:r w:rsidRPr="000E1F36">
            <w:rPr>
              <w:rFonts w:ascii="Arial" w:hAnsi="Arial" w:cs="Arial"/>
              <w:sz w:val="24"/>
              <w:szCs w:val="24"/>
            </w:rPr>
            <w:t xml:space="preserve">Cummings, S., Bridgman, T. and Brown, K.G. (2016) ‘Unfreezing Change as Three Steps: Rethinking Kurt Lewin's Legacy for Change Management’, </w:t>
          </w:r>
          <w:r w:rsidRPr="000E1F36">
            <w:rPr>
              <w:rFonts w:ascii="Arial" w:hAnsi="Arial" w:cs="Arial"/>
              <w:i/>
              <w:iCs/>
              <w:sz w:val="24"/>
              <w:szCs w:val="24"/>
            </w:rPr>
            <w:t>Human Relations</w:t>
          </w:r>
          <w:r w:rsidRPr="000E1F36">
            <w:rPr>
              <w:rFonts w:ascii="Arial" w:hAnsi="Arial" w:cs="Arial"/>
              <w:sz w:val="24"/>
              <w:szCs w:val="24"/>
            </w:rPr>
            <w:t>, 69(1), pp. 33–60.</w:t>
          </w:r>
        </w:p>
        <w:p w14:paraId="4F55D48A" w14:textId="77777777" w:rsidR="000E1F36" w:rsidRPr="000E1F36" w:rsidRDefault="000E1F36" w:rsidP="000E1F36">
          <w:pPr>
            <w:jc w:val="both"/>
            <w:rPr>
              <w:rFonts w:ascii="Arial" w:hAnsi="Arial" w:cs="Arial"/>
              <w:sz w:val="24"/>
              <w:szCs w:val="24"/>
            </w:rPr>
          </w:pPr>
          <w:r w:rsidRPr="000E1F36">
            <w:rPr>
              <w:rFonts w:ascii="Arial" w:hAnsi="Arial" w:cs="Arial"/>
              <w:sz w:val="24"/>
              <w:szCs w:val="24"/>
            </w:rPr>
            <w:t xml:space="preserve">Dawson, P. (2003) </w:t>
          </w:r>
          <w:r w:rsidRPr="000E1F36">
            <w:rPr>
              <w:rFonts w:ascii="Arial" w:hAnsi="Arial" w:cs="Arial"/>
              <w:i/>
              <w:iCs/>
              <w:sz w:val="24"/>
              <w:szCs w:val="24"/>
            </w:rPr>
            <w:t>Understanding Organisational Change: The Contemporary Experience of People at Work</w:t>
          </w:r>
          <w:r w:rsidRPr="000E1F36">
            <w:rPr>
              <w:rFonts w:ascii="Arial" w:hAnsi="Arial" w:cs="Arial"/>
              <w:sz w:val="24"/>
              <w:szCs w:val="24"/>
            </w:rPr>
            <w:t>. London: SAGE Publications.</w:t>
          </w:r>
        </w:p>
        <w:p w14:paraId="2AC7A3CD" w14:textId="77777777" w:rsidR="000E1F36" w:rsidRPr="000E1F36" w:rsidRDefault="000E1F36" w:rsidP="000E1F36">
          <w:pPr>
            <w:jc w:val="both"/>
            <w:rPr>
              <w:rFonts w:ascii="Arial" w:hAnsi="Arial" w:cs="Arial"/>
              <w:sz w:val="24"/>
              <w:szCs w:val="24"/>
            </w:rPr>
          </w:pPr>
          <w:r w:rsidRPr="000E1F36">
            <w:rPr>
              <w:rFonts w:ascii="Arial" w:hAnsi="Arial" w:cs="Arial"/>
              <w:sz w:val="24"/>
              <w:szCs w:val="24"/>
            </w:rPr>
            <w:t xml:space="preserve">Dent, E.B. and Goldberg, S.G. (1999) ‘Challenging “Resistance to Change”’, </w:t>
          </w:r>
          <w:r w:rsidRPr="000E1F36">
            <w:rPr>
              <w:rFonts w:ascii="Arial" w:hAnsi="Arial" w:cs="Arial"/>
              <w:i/>
              <w:iCs/>
              <w:sz w:val="24"/>
              <w:szCs w:val="24"/>
            </w:rPr>
            <w:t>Journal of Applied Behavioural Science</w:t>
          </w:r>
          <w:r w:rsidRPr="000E1F36">
            <w:rPr>
              <w:rFonts w:ascii="Arial" w:hAnsi="Arial" w:cs="Arial"/>
              <w:sz w:val="24"/>
              <w:szCs w:val="24"/>
            </w:rPr>
            <w:t>, 35(1), pp. 25–41.</w:t>
          </w:r>
        </w:p>
        <w:p w14:paraId="47E3B801" w14:textId="77777777" w:rsidR="000E1F36" w:rsidRPr="000E1F36" w:rsidRDefault="000E1F36" w:rsidP="000E1F36">
          <w:pPr>
            <w:jc w:val="both"/>
            <w:rPr>
              <w:rFonts w:ascii="Arial" w:hAnsi="Arial" w:cs="Arial"/>
              <w:sz w:val="24"/>
              <w:szCs w:val="24"/>
            </w:rPr>
          </w:pPr>
          <w:r w:rsidRPr="000E1F36">
            <w:rPr>
              <w:rFonts w:ascii="Arial" w:hAnsi="Arial" w:cs="Arial"/>
              <w:sz w:val="24"/>
              <w:szCs w:val="24"/>
            </w:rPr>
            <w:t xml:space="preserve">Ford, J.D., Ford, L.W. and D’Amelio, A. (2008) ‘Resistance to Change: The Rest of the Story’, </w:t>
          </w:r>
          <w:r w:rsidRPr="000E1F36">
            <w:rPr>
              <w:rFonts w:ascii="Arial" w:hAnsi="Arial" w:cs="Arial"/>
              <w:i/>
              <w:iCs/>
              <w:sz w:val="24"/>
              <w:szCs w:val="24"/>
            </w:rPr>
            <w:t>Academy of Management Review</w:t>
          </w:r>
          <w:r w:rsidRPr="000E1F36">
            <w:rPr>
              <w:rFonts w:ascii="Arial" w:hAnsi="Arial" w:cs="Arial"/>
              <w:sz w:val="24"/>
              <w:szCs w:val="24"/>
            </w:rPr>
            <w:t>, 33(2), pp. 362–377.</w:t>
          </w:r>
        </w:p>
        <w:p w14:paraId="0616D19D" w14:textId="77777777" w:rsidR="000E1F36" w:rsidRPr="000E1F36" w:rsidRDefault="000E1F36" w:rsidP="000E1F36">
          <w:pPr>
            <w:jc w:val="both"/>
            <w:rPr>
              <w:rFonts w:ascii="Arial" w:hAnsi="Arial" w:cs="Arial"/>
              <w:sz w:val="24"/>
              <w:szCs w:val="24"/>
            </w:rPr>
          </w:pPr>
          <w:r w:rsidRPr="000E1F36">
            <w:rPr>
              <w:rFonts w:ascii="Arial" w:hAnsi="Arial" w:cs="Arial"/>
              <w:sz w:val="24"/>
              <w:szCs w:val="24"/>
            </w:rPr>
            <w:t xml:space="preserve">Hayes, J. (2018) </w:t>
          </w:r>
          <w:r w:rsidRPr="000E1F36">
            <w:rPr>
              <w:rFonts w:ascii="Arial" w:hAnsi="Arial" w:cs="Arial"/>
              <w:i/>
              <w:iCs/>
              <w:sz w:val="24"/>
              <w:szCs w:val="24"/>
            </w:rPr>
            <w:t>The Theory and Practice of Change Management</w:t>
          </w:r>
          <w:r w:rsidRPr="000E1F36">
            <w:rPr>
              <w:rFonts w:ascii="Arial" w:hAnsi="Arial" w:cs="Arial"/>
              <w:sz w:val="24"/>
              <w:szCs w:val="24"/>
            </w:rPr>
            <w:t xml:space="preserve">. 5th </w:t>
          </w:r>
          <w:proofErr w:type="spellStart"/>
          <w:r w:rsidRPr="000E1F36">
            <w:rPr>
              <w:rFonts w:ascii="Arial" w:hAnsi="Arial" w:cs="Arial"/>
              <w:sz w:val="24"/>
              <w:szCs w:val="24"/>
            </w:rPr>
            <w:t>edn</w:t>
          </w:r>
          <w:proofErr w:type="spellEnd"/>
          <w:r w:rsidRPr="000E1F36">
            <w:rPr>
              <w:rFonts w:ascii="Arial" w:hAnsi="Arial" w:cs="Arial"/>
              <w:sz w:val="24"/>
              <w:szCs w:val="24"/>
            </w:rPr>
            <w:t>. London: Palgrave Macmillan.</w:t>
          </w:r>
        </w:p>
        <w:p w14:paraId="34741FF2" w14:textId="77777777" w:rsidR="000E1F36" w:rsidRPr="000E1F36" w:rsidRDefault="000E1F36" w:rsidP="000E1F36">
          <w:pPr>
            <w:jc w:val="both"/>
            <w:rPr>
              <w:rFonts w:ascii="Arial" w:hAnsi="Arial" w:cs="Arial"/>
              <w:sz w:val="24"/>
              <w:szCs w:val="24"/>
            </w:rPr>
          </w:pPr>
          <w:r w:rsidRPr="000E1F36">
            <w:rPr>
              <w:rFonts w:ascii="Arial" w:hAnsi="Arial" w:cs="Arial"/>
              <w:sz w:val="24"/>
              <w:szCs w:val="24"/>
            </w:rPr>
            <w:t xml:space="preserve">Herzberg, F. (1959) </w:t>
          </w:r>
          <w:r w:rsidRPr="000E1F36">
            <w:rPr>
              <w:rFonts w:ascii="Arial" w:hAnsi="Arial" w:cs="Arial"/>
              <w:i/>
              <w:iCs/>
              <w:sz w:val="24"/>
              <w:szCs w:val="24"/>
            </w:rPr>
            <w:t>The Motivation to Work</w:t>
          </w:r>
          <w:r w:rsidRPr="000E1F36">
            <w:rPr>
              <w:rFonts w:ascii="Arial" w:hAnsi="Arial" w:cs="Arial"/>
              <w:sz w:val="24"/>
              <w:szCs w:val="24"/>
            </w:rPr>
            <w:t>. New York: John Wiley and Sons.</w:t>
          </w:r>
        </w:p>
        <w:p w14:paraId="65FA4B52" w14:textId="59CC78F3" w:rsidR="000E1F36" w:rsidRPr="000E1F36" w:rsidRDefault="000E1F36" w:rsidP="000E1F36">
          <w:pPr>
            <w:jc w:val="both"/>
            <w:rPr>
              <w:rFonts w:ascii="Arial" w:hAnsi="Arial" w:cs="Arial"/>
              <w:sz w:val="24"/>
              <w:szCs w:val="24"/>
            </w:rPr>
          </w:pPr>
          <w:r w:rsidRPr="000E1F36">
            <w:rPr>
              <w:rFonts w:ascii="Arial" w:hAnsi="Arial" w:cs="Arial"/>
              <w:sz w:val="24"/>
              <w:szCs w:val="24"/>
            </w:rPr>
            <w:t xml:space="preserve">Kanter, R.M. (2012) ‘Ten Reasons People Resist Change’, </w:t>
          </w:r>
          <w:r w:rsidRPr="000E1F36">
            <w:rPr>
              <w:rFonts w:ascii="Arial" w:hAnsi="Arial" w:cs="Arial"/>
              <w:i/>
              <w:iCs/>
              <w:sz w:val="24"/>
              <w:szCs w:val="24"/>
            </w:rPr>
            <w:t>Harvard Business Review</w:t>
          </w:r>
          <w:r w:rsidRPr="000E1F36">
            <w:rPr>
              <w:rFonts w:ascii="Arial" w:hAnsi="Arial" w:cs="Arial"/>
              <w:sz w:val="24"/>
              <w:szCs w:val="24"/>
            </w:rPr>
            <w:t xml:space="preserve">, 25 September. Available at: https://hbr.org/2012/09/ten-reasons-people-resist-change (hbr.org in Bing) (Accessed: </w:t>
          </w:r>
          <w:r w:rsidR="00181679">
            <w:rPr>
              <w:rFonts w:ascii="Arial" w:hAnsi="Arial" w:cs="Arial"/>
              <w:sz w:val="24"/>
              <w:szCs w:val="24"/>
            </w:rPr>
            <w:t>0</w:t>
          </w:r>
          <w:r w:rsidR="001E15AF">
            <w:rPr>
              <w:rFonts w:ascii="Arial" w:hAnsi="Arial" w:cs="Arial"/>
              <w:sz w:val="24"/>
              <w:szCs w:val="24"/>
            </w:rPr>
            <w:t>7</w:t>
          </w:r>
          <w:r w:rsidRPr="000E1F36">
            <w:rPr>
              <w:rFonts w:ascii="Arial" w:hAnsi="Arial" w:cs="Arial"/>
              <w:sz w:val="24"/>
              <w:szCs w:val="24"/>
            </w:rPr>
            <w:t xml:space="preserve"> April 202</w:t>
          </w:r>
          <w:r w:rsidR="00181679">
            <w:rPr>
              <w:rFonts w:ascii="Arial" w:hAnsi="Arial" w:cs="Arial"/>
              <w:sz w:val="24"/>
              <w:szCs w:val="24"/>
            </w:rPr>
            <w:t>6</w:t>
          </w:r>
          <w:r w:rsidRPr="000E1F36">
            <w:rPr>
              <w:rFonts w:ascii="Arial" w:hAnsi="Arial" w:cs="Arial"/>
              <w:sz w:val="24"/>
              <w:szCs w:val="24"/>
            </w:rPr>
            <w:t>).</w:t>
          </w:r>
        </w:p>
        <w:p w14:paraId="4E2882C6" w14:textId="09A8D8C6" w:rsidR="000E1F36" w:rsidRPr="000E1F36" w:rsidRDefault="000E1F36" w:rsidP="000E1F36">
          <w:pPr>
            <w:jc w:val="both"/>
            <w:rPr>
              <w:rFonts w:ascii="Arial" w:hAnsi="Arial" w:cs="Arial"/>
              <w:sz w:val="24"/>
              <w:szCs w:val="24"/>
            </w:rPr>
          </w:pPr>
          <w:r w:rsidRPr="000E1F36">
            <w:rPr>
              <w:rFonts w:ascii="Arial" w:hAnsi="Arial" w:cs="Arial"/>
              <w:sz w:val="24"/>
              <w:szCs w:val="24"/>
            </w:rPr>
            <w:t xml:space="preserve">Kantor, J. and </w:t>
          </w:r>
          <w:proofErr w:type="spellStart"/>
          <w:r w:rsidRPr="000E1F36">
            <w:rPr>
              <w:rFonts w:ascii="Arial" w:hAnsi="Arial" w:cs="Arial"/>
              <w:sz w:val="24"/>
              <w:szCs w:val="24"/>
            </w:rPr>
            <w:t>Streitfeld</w:t>
          </w:r>
          <w:proofErr w:type="spellEnd"/>
          <w:r w:rsidRPr="000E1F36">
            <w:rPr>
              <w:rFonts w:ascii="Arial" w:hAnsi="Arial" w:cs="Arial"/>
              <w:sz w:val="24"/>
              <w:szCs w:val="24"/>
            </w:rPr>
            <w:t xml:space="preserve">, D. (2015) ‘Inside Amazon: Wrestling Big Ideas in a Bruising Workplace’, </w:t>
          </w:r>
          <w:r w:rsidRPr="000E1F36">
            <w:rPr>
              <w:rFonts w:ascii="Arial" w:hAnsi="Arial" w:cs="Arial"/>
              <w:i/>
              <w:iCs/>
              <w:sz w:val="24"/>
              <w:szCs w:val="24"/>
            </w:rPr>
            <w:t>The New York Times</w:t>
          </w:r>
          <w:r w:rsidRPr="000E1F36">
            <w:rPr>
              <w:rFonts w:ascii="Arial" w:hAnsi="Arial" w:cs="Arial"/>
              <w:sz w:val="24"/>
              <w:szCs w:val="24"/>
            </w:rPr>
            <w:t xml:space="preserve">, 15 August. Available at: https://www.nytimes.com (Accessed: </w:t>
          </w:r>
          <w:r w:rsidR="00181679">
            <w:rPr>
              <w:rFonts w:ascii="Arial" w:hAnsi="Arial" w:cs="Arial"/>
              <w:sz w:val="24"/>
              <w:szCs w:val="24"/>
            </w:rPr>
            <w:t>02</w:t>
          </w:r>
          <w:r w:rsidRPr="000E1F36">
            <w:rPr>
              <w:rFonts w:ascii="Arial" w:hAnsi="Arial" w:cs="Arial"/>
              <w:sz w:val="24"/>
              <w:szCs w:val="24"/>
            </w:rPr>
            <w:t xml:space="preserve"> April 202</w:t>
          </w:r>
          <w:r w:rsidR="00181679">
            <w:rPr>
              <w:rFonts w:ascii="Arial" w:hAnsi="Arial" w:cs="Arial"/>
              <w:sz w:val="24"/>
              <w:szCs w:val="24"/>
            </w:rPr>
            <w:t>6</w:t>
          </w:r>
          <w:r w:rsidRPr="000E1F36">
            <w:rPr>
              <w:rFonts w:ascii="Arial" w:hAnsi="Arial" w:cs="Arial"/>
              <w:sz w:val="24"/>
              <w:szCs w:val="24"/>
            </w:rPr>
            <w:t>).</w:t>
          </w:r>
        </w:p>
        <w:p w14:paraId="032DB4AF" w14:textId="77777777" w:rsidR="000E1F36" w:rsidRPr="000E1F36" w:rsidRDefault="000E1F36" w:rsidP="000E1F36">
          <w:pPr>
            <w:jc w:val="both"/>
            <w:rPr>
              <w:rFonts w:ascii="Arial" w:hAnsi="Arial" w:cs="Arial"/>
              <w:sz w:val="24"/>
              <w:szCs w:val="24"/>
            </w:rPr>
          </w:pPr>
          <w:r w:rsidRPr="000E1F36">
            <w:rPr>
              <w:rFonts w:ascii="Arial" w:hAnsi="Arial" w:cs="Arial"/>
              <w:sz w:val="24"/>
              <w:szCs w:val="24"/>
            </w:rPr>
            <w:t xml:space="preserve">Kotter, J.P. (2012) </w:t>
          </w:r>
          <w:r w:rsidRPr="000E1F36">
            <w:rPr>
              <w:rFonts w:ascii="Arial" w:hAnsi="Arial" w:cs="Arial"/>
              <w:i/>
              <w:iCs/>
              <w:sz w:val="24"/>
              <w:szCs w:val="24"/>
            </w:rPr>
            <w:t>Leading Change</w:t>
          </w:r>
          <w:r w:rsidRPr="000E1F36">
            <w:rPr>
              <w:rFonts w:ascii="Arial" w:hAnsi="Arial" w:cs="Arial"/>
              <w:sz w:val="24"/>
              <w:szCs w:val="24"/>
            </w:rPr>
            <w:t>. Boston: Harvard Business Review Press.</w:t>
          </w:r>
        </w:p>
        <w:p w14:paraId="0B794D62" w14:textId="77777777" w:rsidR="000E1F36" w:rsidRPr="000E1F36" w:rsidRDefault="000E1F36" w:rsidP="000E1F36">
          <w:pPr>
            <w:jc w:val="both"/>
            <w:rPr>
              <w:rFonts w:ascii="Arial" w:hAnsi="Arial" w:cs="Arial"/>
              <w:sz w:val="24"/>
              <w:szCs w:val="24"/>
            </w:rPr>
          </w:pPr>
          <w:r w:rsidRPr="000E1F36">
            <w:rPr>
              <w:rFonts w:ascii="Arial" w:hAnsi="Arial" w:cs="Arial"/>
              <w:sz w:val="24"/>
              <w:szCs w:val="24"/>
            </w:rPr>
            <w:t xml:space="preserve">Lewin, K. (1951) </w:t>
          </w:r>
          <w:r w:rsidRPr="000E1F36">
            <w:rPr>
              <w:rFonts w:ascii="Arial" w:hAnsi="Arial" w:cs="Arial"/>
              <w:i/>
              <w:iCs/>
              <w:sz w:val="24"/>
              <w:szCs w:val="24"/>
            </w:rPr>
            <w:t>Field Theory in Social Science</w:t>
          </w:r>
          <w:r w:rsidRPr="000E1F36">
            <w:rPr>
              <w:rFonts w:ascii="Arial" w:hAnsi="Arial" w:cs="Arial"/>
              <w:sz w:val="24"/>
              <w:szCs w:val="24"/>
            </w:rPr>
            <w:t>. New York: Harper and Row.</w:t>
          </w:r>
        </w:p>
        <w:p w14:paraId="479A57BC" w14:textId="77777777" w:rsidR="000E1F36" w:rsidRPr="000E1F36" w:rsidRDefault="000E1F36" w:rsidP="000E1F36">
          <w:pPr>
            <w:jc w:val="both"/>
            <w:rPr>
              <w:rFonts w:ascii="Arial" w:hAnsi="Arial" w:cs="Arial"/>
              <w:sz w:val="24"/>
              <w:szCs w:val="24"/>
            </w:rPr>
          </w:pPr>
          <w:r w:rsidRPr="000E1F36">
            <w:rPr>
              <w:rFonts w:ascii="Arial" w:hAnsi="Arial" w:cs="Arial"/>
              <w:sz w:val="24"/>
              <w:szCs w:val="24"/>
            </w:rPr>
            <w:t xml:space="preserve">Maslow, A.H. (1943) ‘A Theory of Human Motivation’, </w:t>
          </w:r>
          <w:r w:rsidRPr="000E1F36">
            <w:rPr>
              <w:rFonts w:ascii="Arial" w:hAnsi="Arial" w:cs="Arial"/>
              <w:i/>
              <w:iCs/>
              <w:sz w:val="24"/>
              <w:szCs w:val="24"/>
            </w:rPr>
            <w:t>Psychological Review</w:t>
          </w:r>
          <w:r w:rsidRPr="000E1F36">
            <w:rPr>
              <w:rFonts w:ascii="Arial" w:hAnsi="Arial" w:cs="Arial"/>
              <w:sz w:val="24"/>
              <w:szCs w:val="24"/>
            </w:rPr>
            <w:t>, 50(4), pp. 370–396.</w:t>
          </w:r>
        </w:p>
        <w:p w14:paraId="07249B70" w14:textId="77777777" w:rsidR="000E1F36" w:rsidRPr="000E1F36" w:rsidRDefault="000E1F36" w:rsidP="000E1F36">
          <w:pPr>
            <w:jc w:val="both"/>
            <w:rPr>
              <w:rFonts w:ascii="Arial" w:hAnsi="Arial" w:cs="Arial"/>
              <w:sz w:val="24"/>
              <w:szCs w:val="24"/>
            </w:rPr>
          </w:pPr>
          <w:r w:rsidRPr="000E1F36">
            <w:rPr>
              <w:rFonts w:ascii="Arial" w:hAnsi="Arial" w:cs="Arial"/>
              <w:sz w:val="24"/>
              <w:szCs w:val="24"/>
            </w:rPr>
            <w:lastRenderedPageBreak/>
            <w:t xml:space="preserve">McGregor, D. (1960) </w:t>
          </w:r>
          <w:r w:rsidRPr="000E1F36">
            <w:rPr>
              <w:rFonts w:ascii="Arial" w:hAnsi="Arial" w:cs="Arial"/>
              <w:i/>
              <w:iCs/>
              <w:sz w:val="24"/>
              <w:szCs w:val="24"/>
            </w:rPr>
            <w:t>The Human Side of Enterprise</w:t>
          </w:r>
          <w:r w:rsidRPr="000E1F36">
            <w:rPr>
              <w:rFonts w:ascii="Arial" w:hAnsi="Arial" w:cs="Arial"/>
              <w:sz w:val="24"/>
              <w:szCs w:val="24"/>
            </w:rPr>
            <w:t>. New York: McGraw-Hill.</w:t>
          </w:r>
        </w:p>
        <w:p w14:paraId="226BBB35" w14:textId="77777777" w:rsidR="000E1F36" w:rsidRPr="000E1F36" w:rsidRDefault="000E1F36" w:rsidP="000E1F36">
          <w:pPr>
            <w:jc w:val="both"/>
            <w:rPr>
              <w:rFonts w:ascii="Arial" w:hAnsi="Arial" w:cs="Arial"/>
              <w:sz w:val="24"/>
              <w:szCs w:val="24"/>
            </w:rPr>
          </w:pPr>
          <w:r w:rsidRPr="000E1F36">
            <w:rPr>
              <w:rFonts w:ascii="Arial" w:hAnsi="Arial" w:cs="Arial"/>
              <w:sz w:val="24"/>
              <w:szCs w:val="24"/>
            </w:rPr>
            <w:t xml:space="preserve">Mullins, L.J. (2016) </w:t>
          </w:r>
          <w:r w:rsidRPr="000E1F36">
            <w:rPr>
              <w:rFonts w:ascii="Arial" w:hAnsi="Arial" w:cs="Arial"/>
              <w:i/>
              <w:iCs/>
              <w:sz w:val="24"/>
              <w:szCs w:val="24"/>
            </w:rPr>
            <w:t>Management and Organisational Behaviour</w:t>
          </w:r>
          <w:r w:rsidRPr="000E1F36">
            <w:rPr>
              <w:rFonts w:ascii="Arial" w:hAnsi="Arial" w:cs="Arial"/>
              <w:sz w:val="24"/>
              <w:szCs w:val="24"/>
            </w:rPr>
            <w:t xml:space="preserve">. 11th </w:t>
          </w:r>
          <w:proofErr w:type="spellStart"/>
          <w:r w:rsidRPr="000E1F36">
            <w:rPr>
              <w:rFonts w:ascii="Arial" w:hAnsi="Arial" w:cs="Arial"/>
              <w:sz w:val="24"/>
              <w:szCs w:val="24"/>
            </w:rPr>
            <w:t>edn</w:t>
          </w:r>
          <w:proofErr w:type="spellEnd"/>
          <w:r w:rsidRPr="000E1F36">
            <w:rPr>
              <w:rFonts w:ascii="Arial" w:hAnsi="Arial" w:cs="Arial"/>
              <w:sz w:val="24"/>
              <w:szCs w:val="24"/>
            </w:rPr>
            <w:t>. Harlow: Pearson Education.</w:t>
          </w:r>
        </w:p>
        <w:p w14:paraId="19F9977B" w14:textId="77777777" w:rsidR="000E1F36" w:rsidRPr="000E1F36" w:rsidRDefault="000E1F36" w:rsidP="000E1F36">
          <w:pPr>
            <w:jc w:val="both"/>
            <w:rPr>
              <w:rFonts w:ascii="Arial" w:hAnsi="Arial" w:cs="Arial"/>
              <w:sz w:val="24"/>
              <w:szCs w:val="24"/>
            </w:rPr>
          </w:pPr>
          <w:r w:rsidRPr="000E1F36">
            <w:rPr>
              <w:rFonts w:ascii="Arial" w:hAnsi="Arial" w:cs="Arial"/>
              <w:sz w:val="24"/>
              <w:szCs w:val="24"/>
            </w:rPr>
            <w:t xml:space="preserve">Paton, R.A. and McCalman, J. (2008) </w:t>
          </w:r>
          <w:r w:rsidRPr="000E1F36">
            <w:rPr>
              <w:rFonts w:ascii="Arial" w:hAnsi="Arial" w:cs="Arial"/>
              <w:i/>
              <w:iCs/>
              <w:sz w:val="24"/>
              <w:szCs w:val="24"/>
            </w:rPr>
            <w:t>Change Management: A Guide to Effective Implementation</w:t>
          </w:r>
          <w:r w:rsidRPr="000E1F36">
            <w:rPr>
              <w:rFonts w:ascii="Arial" w:hAnsi="Arial" w:cs="Arial"/>
              <w:sz w:val="24"/>
              <w:szCs w:val="24"/>
            </w:rPr>
            <w:t xml:space="preserve">. 3rd </w:t>
          </w:r>
          <w:proofErr w:type="spellStart"/>
          <w:r w:rsidRPr="000E1F36">
            <w:rPr>
              <w:rFonts w:ascii="Arial" w:hAnsi="Arial" w:cs="Arial"/>
              <w:sz w:val="24"/>
              <w:szCs w:val="24"/>
            </w:rPr>
            <w:t>edn</w:t>
          </w:r>
          <w:proofErr w:type="spellEnd"/>
          <w:r w:rsidRPr="000E1F36">
            <w:rPr>
              <w:rFonts w:ascii="Arial" w:hAnsi="Arial" w:cs="Arial"/>
              <w:sz w:val="24"/>
              <w:szCs w:val="24"/>
            </w:rPr>
            <w:t>. London: SAGE Publications.</w:t>
          </w:r>
        </w:p>
        <w:p w14:paraId="1734F824" w14:textId="77777777" w:rsidR="000E1F36" w:rsidRPr="000E1F36" w:rsidRDefault="000E1F36" w:rsidP="000E1F36">
          <w:pPr>
            <w:jc w:val="both"/>
            <w:rPr>
              <w:rFonts w:ascii="Arial" w:hAnsi="Arial" w:cs="Arial"/>
              <w:sz w:val="24"/>
              <w:szCs w:val="24"/>
            </w:rPr>
          </w:pPr>
          <w:proofErr w:type="spellStart"/>
          <w:r w:rsidRPr="000E1F36">
            <w:rPr>
              <w:rFonts w:ascii="Arial" w:hAnsi="Arial" w:cs="Arial"/>
              <w:sz w:val="24"/>
              <w:szCs w:val="24"/>
            </w:rPr>
            <w:t>Prosci</w:t>
          </w:r>
          <w:proofErr w:type="spellEnd"/>
          <w:r w:rsidRPr="000E1F36">
            <w:rPr>
              <w:rFonts w:ascii="Arial" w:hAnsi="Arial" w:cs="Arial"/>
              <w:sz w:val="24"/>
              <w:szCs w:val="24"/>
            </w:rPr>
            <w:t xml:space="preserve"> (2021) </w:t>
          </w:r>
          <w:r w:rsidRPr="000E1F36">
            <w:rPr>
              <w:rFonts w:ascii="Arial" w:hAnsi="Arial" w:cs="Arial"/>
              <w:i/>
              <w:iCs/>
              <w:sz w:val="24"/>
              <w:szCs w:val="24"/>
            </w:rPr>
            <w:t>Best Practices in Change Management</w:t>
          </w:r>
          <w:r w:rsidRPr="000E1F36">
            <w:rPr>
              <w:rFonts w:ascii="Arial" w:hAnsi="Arial" w:cs="Arial"/>
              <w:sz w:val="24"/>
              <w:szCs w:val="24"/>
            </w:rPr>
            <w:t xml:space="preserve">. 11th </w:t>
          </w:r>
          <w:proofErr w:type="spellStart"/>
          <w:r w:rsidRPr="000E1F36">
            <w:rPr>
              <w:rFonts w:ascii="Arial" w:hAnsi="Arial" w:cs="Arial"/>
              <w:sz w:val="24"/>
              <w:szCs w:val="24"/>
            </w:rPr>
            <w:t>edn</w:t>
          </w:r>
          <w:proofErr w:type="spellEnd"/>
          <w:r w:rsidRPr="000E1F36">
            <w:rPr>
              <w:rFonts w:ascii="Arial" w:hAnsi="Arial" w:cs="Arial"/>
              <w:sz w:val="24"/>
              <w:szCs w:val="24"/>
            </w:rPr>
            <w:t xml:space="preserve">. Fort Collins: </w:t>
          </w:r>
          <w:proofErr w:type="spellStart"/>
          <w:r w:rsidRPr="000E1F36">
            <w:rPr>
              <w:rFonts w:ascii="Arial" w:hAnsi="Arial" w:cs="Arial"/>
              <w:sz w:val="24"/>
              <w:szCs w:val="24"/>
            </w:rPr>
            <w:t>Prosci</w:t>
          </w:r>
          <w:proofErr w:type="spellEnd"/>
          <w:r w:rsidRPr="000E1F36">
            <w:rPr>
              <w:rFonts w:ascii="Arial" w:hAnsi="Arial" w:cs="Arial"/>
              <w:sz w:val="24"/>
              <w:szCs w:val="24"/>
            </w:rPr>
            <w:t xml:space="preserve"> Inc.</w:t>
          </w:r>
        </w:p>
        <w:p w14:paraId="6620483B" w14:textId="77777777" w:rsidR="000E1F36" w:rsidRPr="000E1F36" w:rsidRDefault="000E1F36" w:rsidP="000E1F36">
          <w:pPr>
            <w:jc w:val="both"/>
            <w:rPr>
              <w:rFonts w:ascii="Arial" w:hAnsi="Arial" w:cs="Arial"/>
              <w:sz w:val="24"/>
              <w:szCs w:val="24"/>
            </w:rPr>
          </w:pPr>
          <w:r w:rsidRPr="000E1F36">
            <w:rPr>
              <w:rFonts w:ascii="Arial" w:hAnsi="Arial" w:cs="Arial"/>
              <w:sz w:val="24"/>
              <w:szCs w:val="24"/>
            </w:rPr>
            <w:t xml:space="preserve">Robbins, S.P. and Judge, T.A. (2019) </w:t>
          </w:r>
          <w:r w:rsidRPr="000E1F36">
            <w:rPr>
              <w:rFonts w:ascii="Arial" w:hAnsi="Arial" w:cs="Arial"/>
              <w:i/>
              <w:iCs/>
              <w:sz w:val="24"/>
              <w:szCs w:val="24"/>
            </w:rPr>
            <w:t>Organizational Behaviour</w:t>
          </w:r>
          <w:r w:rsidRPr="000E1F36">
            <w:rPr>
              <w:rFonts w:ascii="Arial" w:hAnsi="Arial" w:cs="Arial"/>
              <w:sz w:val="24"/>
              <w:szCs w:val="24"/>
            </w:rPr>
            <w:t xml:space="preserve">. 18th </w:t>
          </w:r>
          <w:proofErr w:type="spellStart"/>
          <w:r w:rsidRPr="000E1F36">
            <w:rPr>
              <w:rFonts w:ascii="Arial" w:hAnsi="Arial" w:cs="Arial"/>
              <w:sz w:val="24"/>
              <w:szCs w:val="24"/>
            </w:rPr>
            <w:t>edn</w:t>
          </w:r>
          <w:proofErr w:type="spellEnd"/>
          <w:r w:rsidRPr="000E1F36">
            <w:rPr>
              <w:rFonts w:ascii="Arial" w:hAnsi="Arial" w:cs="Arial"/>
              <w:sz w:val="24"/>
              <w:szCs w:val="24"/>
            </w:rPr>
            <w:t>. Harlow: Pearson Education.</w:t>
          </w:r>
        </w:p>
        <w:p w14:paraId="7F7FE063" w14:textId="77777777" w:rsidR="000E1F36" w:rsidRPr="000E1F36" w:rsidRDefault="000E1F36" w:rsidP="000E1F36">
          <w:pPr>
            <w:jc w:val="both"/>
            <w:rPr>
              <w:rFonts w:ascii="Arial" w:hAnsi="Arial" w:cs="Arial"/>
              <w:sz w:val="24"/>
              <w:szCs w:val="24"/>
            </w:rPr>
          </w:pPr>
          <w:r w:rsidRPr="000E1F36">
            <w:rPr>
              <w:rFonts w:ascii="Arial" w:hAnsi="Arial" w:cs="Arial"/>
              <w:sz w:val="24"/>
              <w:szCs w:val="24"/>
            </w:rPr>
            <w:t xml:space="preserve">Schein, E.H. (1996) ‘Kurt Lewin's Change Theory in the Field and in the </w:t>
          </w:r>
          <w:proofErr w:type="gramStart"/>
          <w:r w:rsidRPr="000E1F36">
            <w:rPr>
              <w:rFonts w:ascii="Arial" w:hAnsi="Arial" w:cs="Arial"/>
              <w:sz w:val="24"/>
              <w:szCs w:val="24"/>
            </w:rPr>
            <w:t>Classroom</w:t>
          </w:r>
          <w:proofErr w:type="gramEnd"/>
          <w:r w:rsidRPr="000E1F36">
            <w:rPr>
              <w:rFonts w:ascii="Arial" w:hAnsi="Arial" w:cs="Arial"/>
              <w:sz w:val="24"/>
              <w:szCs w:val="24"/>
            </w:rPr>
            <w:t xml:space="preserve">: Notes Toward a Model of Managed Learning’, </w:t>
          </w:r>
          <w:r w:rsidRPr="000E1F36">
            <w:rPr>
              <w:rFonts w:ascii="Arial" w:hAnsi="Arial" w:cs="Arial"/>
              <w:i/>
              <w:iCs/>
              <w:sz w:val="24"/>
              <w:szCs w:val="24"/>
            </w:rPr>
            <w:t>Systems Practice</w:t>
          </w:r>
          <w:r w:rsidRPr="000E1F36">
            <w:rPr>
              <w:rFonts w:ascii="Arial" w:hAnsi="Arial" w:cs="Arial"/>
              <w:sz w:val="24"/>
              <w:szCs w:val="24"/>
            </w:rPr>
            <w:t>, 9(1), pp. 27–47.</w:t>
          </w:r>
        </w:p>
        <w:p w14:paraId="67D037D0" w14:textId="77777777" w:rsidR="000E1F36" w:rsidRPr="000E1F36" w:rsidRDefault="000E1F36" w:rsidP="000E1F36">
          <w:pPr>
            <w:jc w:val="both"/>
            <w:rPr>
              <w:rFonts w:ascii="Arial" w:hAnsi="Arial" w:cs="Arial"/>
              <w:sz w:val="24"/>
              <w:szCs w:val="24"/>
            </w:rPr>
          </w:pPr>
          <w:r w:rsidRPr="000E1F36">
            <w:rPr>
              <w:rFonts w:ascii="Arial" w:hAnsi="Arial" w:cs="Arial"/>
              <w:sz w:val="24"/>
              <w:szCs w:val="24"/>
            </w:rPr>
            <w:t xml:space="preserve">Senior, B. and Swailes, S. (2016) </w:t>
          </w:r>
          <w:r w:rsidRPr="000E1F36">
            <w:rPr>
              <w:rFonts w:ascii="Arial" w:hAnsi="Arial" w:cs="Arial"/>
              <w:i/>
              <w:iCs/>
              <w:sz w:val="24"/>
              <w:szCs w:val="24"/>
            </w:rPr>
            <w:t>Organizational Change</w:t>
          </w:r>
          <w:r w:rsidRPr="000E1F36">
            <w:rPr>
              <w:rFonts w:ascii="Arial" w:hAnsi="Arial" w:cs="Arial"/>
              <w:sz w:val="24"/>
              <w:szCs w:val="24"/>
            </w:rPr>
            <w:t xml:space="preserve">. 5th </w:t>
          </w:r>
          <w:proofErr w:type="spellStart"/>
          <w:r w:rsidRPr="000E1F36">
            <w:rPr>
              <w:rFonts w:ascii="Arial" w:hAnsi="Arial" w:cs="Arial"/>
              <w:sz w:val="24"/>
              <w:szCs w:val="24"/>
            </w:rPr>
            <w:t>edn</w:t>
          </w:r>
          <w:proofErr w:type="spellEnd"/>
          <w:r w:rsidRPr="000E1F36">
            <w:rPr>
              <w:rFonts w:ascii="Arial" w:hAnsi="Arial" w:cs="Arial"/>
              <w:sz w:val="24"/>
              <w:szCs w:val="24"/>
            </w:rPr>
            <w:t>. Harlow: Pearson Education.</w:t>
          </w:r>
        </w:p>
        <w:p w14:paraId="39FA1E86" w14:textId="77777777" w:rsidR="000E1F36" w:rsidRPr="000E1F36" w:rsidRDefault="000E1F36" w:rsidP="000E1F36">
          <w:pPr>
            <w:jc w:val="both"/>
            <w:rPr>
              <w:rFonts w:ascii="Arial" w:hAnsi="Arial" w:cs="Arial"/>
              <w:sz w:val="24"/>
              <w:szCs w:val="24"/>
            </w:rPr>
          </w:pPr>
          <w:r w:rsidRPr="000E1F36">
            <w:rPr>
              <w:rFonts w:ascii="Arial" w:hAnsi="Arial" w:cs="Arial"/>
              <w:sz w:val="24"/>
              <w:szCs w:val="24"/>
            </w:rPr>
            <w:t xml:space="preserve">Todnem By, R. (2005) ‘Organisational Change Management: A Critical Review’, </w:t>
          </w:r>
          <w:r w:rsidRPr="000E1F36">
            <w:rPr>
              <w:rFonts w:ascii="Arial" w:hAnsi="Arial" w:cs="Arial"/>
              <w:i/>
              <w:iCs/>
              <w:sz w:val="24"/>
              <w:szCs w:val="24"/>
            </w:rPr>
            <w:t>Journal of Change Management</w:t>
          </w:r>
          <w:r w:rsidRPr="000E1F36">
            <w:rPr>
              <w:rFonts w:ascii="Arial" w:hAnsi="Arial" w:cs="Arial"/>
              <w:sz w:val="24"/>
              <w:szCs w:val="24"/>
            </w:rPr>
            <w:t>, 5(4), pp. 369–380.</w:t>
          </w:r>
        </w:p>
        <w:p w14:paraId="4B71CD1A" w14:textId="77777777" w:rsidR="000E1F36" w:rsidRPr="000E1F36" w:rsidRDefault="000E1F36" w:rsidP="000E1F36">
          <w:pPr>
            <w:jc w:val="both"/>
            <w:rPr>
              <w:rFonts w:ascii="Arial" w:hAnsi="Arial" w:cs="Arial"/>
              <w:sz w:val="24"/>
              <w:szCs w:val="24"/>
            </w:rPr>
          </w:pPr>
          <w:r w:rsidRPr="000E1F36">
            <w:rPr>
              <w:rFonts w:ascii="Arial" w:hAnsi="Arial" w:cs="Arial"/>
              <w:sz w:val="24"/>
              <w:szCs w:val="24"/>
            </w:rPr>
            <w:t xml:space="preserve">Vroom, V.H. (1964) </w:t>
          </w:r>
          <w:r w:rsidRPr="000E1F36">
            <w:rPr>
              <w:rFonts w:ascii="Arial" w:hAnsi="Arial" w:cs="Arial"/>
              <w:i/>
              <w:iCs/>
              <w:sz w:val="24"/>
              <w:szCs w:val="24"/>
            </w:rPr>
            <w:t>Work and Motivation</w:t>
          </w:r>
          <w:r w:rsidRPr="000E1F36">
            <w:rPr>
              <w:rFonts w:ascii="Arial" w:hAnsi="Arial" w:cs="Arial"/>
              <w:sz w:val="24"/>
              <w:szCs w:val="24"/>
            </w:rPr>
            <w:t>. New York: John Wiley and Sons.</w:t>
          </w:r>
        </w:p>
        <w:p w14:paraId="7F890C1F" w14:textId="24165158" w:rsidR="00CA09F3" w:rsidRPr="00A1742E" w:rsidRDefault="00000000" w:rsidP="00A1742E">
          <w:pPr>
            <w:jc w:val="both"/>
            <w:rPr>
              <w:rFonts w:ascii="Arial" w:hAnsi="Arial" w:cs="Arial"/>
              <w:sz w:val="24"/>
              <w:szCs w:val="24"/>
            </w:rPr>
          </w:pPr>
        </w:p>
      </w:sdtContent>
    </w:sdt>
    <w:sectPr w:rsidR="00CA09F3" w:rsidRPr="00A1742E" w:rsidSect="007D194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4F30F51"/>
    <w:multiLevelType w:val="multilevel"/>
    <w:tmpl w:val="77A21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93C028C"/>
    <w:multiLevelType w:val="multilevel"/>
    <w:tmpl w:val="CBDC3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01604486">
    <w:abstractNumId w:val="0"/>
  </w:num>
  <w:num w:numId="2" w16cid:durableId="13992106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232C6"/>
    <w:rsid w:val="000A48D3"/>
    <w:rsid w:val="000E1F36"/>
    <w:rsid w:val="00107936"/>
    <w:rsid w:val="00115B96"/>
    <w:rsid w:val="0013236E"/>
    <w:rsid w:val="00181679"/>
    <w:rsid w:val="001E15AF"/>
    <w:rsid w:val="002668B8"/>
    <w:rsid w:val="00291E01"/>
    <w:rsid w:val="00292977"/>
    <w:rsid w:val="00324CCD"/>
    <w:rsid w:val="00480872"/>
    <w:rsid w:val="004912CA"/>
    <w:rsid w:val="004A11F6"/>
    <w:rsid w:val="004B71FD"/>
    <w:rsid w:val="004D519C"/>
    <w:rsid w:val="005014C5"/>
    <w:rsid w:val="00561F80"/>
    <w:rsid w:val="005864C7"/>
    <w:rsid w:val="00672495"/>
    <w:rsid w:val="00693E27"/>
    <w:rsid w:val="00732285"/>
    <w:rsid w:val="007D1947"/>
    <w:rsid w:val="008D4C45"/>
    <w:rsid w:val="00931CAA"/>
    <w:rsid w:val="009E3A43"/>
    <w:rsid w:val="00A12B58"/>
    <w:rsid w:val="00A1742E"/>
    <w:rsid w:val="00A4233F"/>
    <w:rsid w:val="00AA2A91"/>
    <w:rsid w:val="00BE5918"/>
    <w:rsid w:val="00C0725F"/>
    <w:rsid w:val="00C53186"/>
    <w:rsid w:val="00CA09F3"/>
    <w:rsid w:val="00D55AFC"/>
    <w:rsid w:val="00D854A5"/>
    <w:rsid w:val="00DC76A7"/>
    <w:rsid w:val="00E10445"/>
    <w:rsid w:val="00E91208"/>
    <w:rsid w:val="00F22256"/>
    <w:rsid w:val="00F94A82"/>
    <w:rsid w:val="00FC17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1742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Caption">
    <w:name w:val="caption"/>
    <w:basedOn w:val="Normal"/>
    <w:next w:val="Normal"/>
    <w:uiPriority w:val="35"/>
    <w:unhideWhenUsed/>
    <w:qFormat/>
    <w:rsid w:val="00A1742E"/>
    <w:pPr>
      <w:spacing w:after="200" w:line="240" w:lineRule="auto"/>
    </w:pPr>
    <w:rPr>
      <w:i/>
      <w:iCs/>
      <w:color w:val="44546A" w:themeColor="text2"/>
      <w:sz w:val="18"/>
      <w:szCs w:val="18"/>
    </w:rPr>
  </w:style>
  <w:style w:type="character" w:customStyle="1" w:styleId="Heading3Char">
    <w:name w:val="Heading 3 Char"/>
    <w:basedOn w:val="DefaultParagraphFont"/>
    <w:link w:val="Heading3"/>
    <w:uiPriority w:val="9"/>
    <w:rsid w:val="00A1742E"/>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A1742E"/>
    <w:pPr>
      <w:spacing w:after="100"/>
      <w:ind w:left="440"/>
    </w:pPr>
  </w:style>
  <w:style w:type="table" w:styleId="TableGridLight">
    <w:name w:val="Grid Table Light"/>
    <w:basedOn w:val="TableNormal"/>
    <w:uiPriority w:val="40"/>
    <w:rsid w:val="00F2225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rmalWeb">
    <w:name w:val="Normal (Web)"/>
    <w:basedOn w:val="Normal"/>
    <w:uiPriority w:val="99"/>
    <w:semiHidden/>
    <w:unhideWhenUsed/>
    <w:rsid w:val="004912CA"/>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77611"/>
    <w:rsid w:val="000A48D3"/>
    <w:rsid w:val="00145AD8"/>
    <w:rsid w:val="00242260"/>
    <w:rsid w:val="002450A7"/>
    <w:rsid w:val="00260D23"/>
    <w:rsid w:val="00291E01"/>
    <w:rsid w:val="003203C2"/>
    <w:rsid w:val="004B2D9D"/>
    <w:rsid w:val="004D25D2"/>
    <w:rsid w:val="005864C7"/>
    <w:rsid w:val="005A5228"/>
    <w:rsid w:val="00791FC0"/>
    <w:rsid w:val="009D7389"/>
    <w:rsid w:val="00A34C42"/>
    <w:rsid w:val="00A84AC0"/>
    <w:rsid w:val="00BC1251"/>
    <w:rsid w:val="00C53186"/>
    <w:rsid w:val="00C67429"/>
    <w:rsid w:val="00E10445"/>
    <w:rsid w:val="00F914F7"/>
    <w:rsid w:val="00F94A8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2026-03-01T00:00:00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9A4411D-997F-8045-84F8-91606ACD0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3475</Words>
  <Characters>19813</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Approaches to innovation and organisational change</vt:lpstr>
    </vt:vector>
  </TitlesOfParts>
  <Company>University of Wales Trinity Saint David</Company>
  <LinksUpToDate>false</LinksUpToDate>
  <CharactersWithSpaces>23242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Approaches to innovation and organisational change</dc:title>
  <dc:subject>Management, Innovation and Sustainability</dc:subject>
  <dc:creator>Marie Pitson</dc:creator>
  <cp:keywords/>
  <dc:description/>
  <cp:lastModifiedBy>Brooks, Grant</cp:lastModifiedBy>
  <cp:revision>4</cp:revision>
  <dcterms:created xsi:type="dcterms:W3CDTF">2026-04-19T10:15:00Z</dcterms:created>
  <dcterms:modified xsi:type="dcterms:W3CDTF">2026-04-19T10:16:00Z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9e68092-05df-4271-8e3e-b2a4c82ba797_Enabled">
    <vt:lpwstr>true</vt:lpwstr>
  </property>
  <property fmtid="{D5CDD505-2E9C-101B-9397-08002B2CF9AE}" pid="3" name="MSIP_Label_19e68092-05df-4271-8e3e-b2a4c82ba797_SetDate">
    <vt:lpwstr>2026-03-15T20:16:34Z</vt:lpwstr>
  </property>
  <property fmtid="{D5CDD505-2E9C-101B-9397-08002B2CF9AE}" pid="4" name="MSIP_Label_19e68092-05df-4271-8e3e-b2a4c82ba797_Method">
    <vt:lpwstr>Standard</vt:lpwstr>
  </property>
  <property fmtid="{D5CDD505-2E9C-101B-9397-08002B2CF9AE}" pid="5" name="MSIP_Label_19e68092-05df-4271-8e3e-b2a4c82ba797_Name">
    <vt:lpwstr>Amazon Confidential</vt:lpwstr>
  </property>
  <property fmtid="{D5CDD505-2E9C-101B-9397-08002B2CF9AE}" pid="6" name="MSIP_Label_19e68092-05df-4271-8e3e-b2a4c82ba797_SiteId">
    <vt:lpwstr>5280104a-472d-4538-9ccf-1e1d0efe8b1b</vt:lpwstr>
  </property>
  <property fmtid="{D5CDD505-2E9C-101B-9397-08002B2CF9AE}" pid="7" name="MSIP_Label_19e68092-05df-4271-8e3e-b2a4c82ba797_ActionId">
    <vt:lpwstr>621fb8be-cf54-492d-ab51-dbf3ce94f5a5</vt:lpwstr>
  </property>
  <property fmtid="{D5CDD505-2E9C-101B-9397-08002B2CF9AE}" pid="8" name="MSIP_Label_19e68092-05df-4271-8e3e-b2a4c82ba797_ContentBits">
    <vt:lpwstr>0</vt:lpwstr>
  </property>
  <property fmtid="{D5CDD505-2E9C-101B-9397-08002B2CF9AE}" pid="9" name="MSIP_Label_19e68092-05df-4271-8e3e-b2a4c82ba797_Tag">
    <vt:lpwstr>10, 3, 0, 1</vt:lpwstr>
  </property>
</Properties>
</file>