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DB49C6" w14:textId="77777777" w:rsidR="00E45FD2" w:rsidRDefault="00000000">
      <w:pPr>
        <w:spacing w:before="240" w:line="360" w:lineRule="auto"/>
        <w:jc w:val="center"/>
        <w:rPr>
          <w:rFonts w:ascii="Arial" w:eastAsia="Arial" w:hAnsi="Arial" w:cs="Arial"/>
          <w:b/>
          <w:bCs/>
        </w:rPr>
      </w:pPr>
      <w:r>
        <w:rPr>
          <w:rFonts w:ascii="Arial" w:eastAsia="Arial" w:hAnsi="Arial" w:cs="Arial"/>
          <w:b/>
          <w:bCs/>
        </w:rPr>
        <w:t>LCLM 6001 Strategic Management for Business</w:t>
      </w:r>
    </w:p>
    <w:p w14:paraId="3FAA0F44" w14:textId="77777777" w:rsidR="00E45FD2" w:rsidRDefault="00000000">
      <w:pPr>
        <w:spacing w:before="240" w:line="360" w:lineRule="auto"/>
        <w:jc w:val="center"/>
        <w:rPr>
          <w:rFonts w:ascii="Arial" w:eastAsia="Arial" w:hAnsi="Arial" w:cs="Arial"/>
          <w:b/>
          <w:bCs/>
        </w:rPr>
      </w:pPr>
      <w:r>
        <w:rPr>
          <w:rFonts w:ascii="Arial" w:eastAsia="Arial" w:hAnsi="Arial" w:cs="Arial"/>
          <w:b/>
          <w:bCs/>
        </w:rPr>
        <w:t>Individual Report</w:t>
      </w:r>
    </w:p>
    <w:p w14:paraId="7A18717A" w14:textId="77777777" w:rsidR="00E45FD2" w:rsidRDefault="00000000">
      <w:pPr>
        <w:spacing w:before="240" w:line="360" w:lineRule="auto"/>
        <w:jc w:val="center"/>
        <w:rPr>
          <w:rFonts w:ascii="Arial" w:eastAsia="Arial" w:hAnsi="Arial" w:cs="Arial"/>
          <w:b/>
          <w:bCs/>
        </w:rPr>
      </w:pPr>
      <w:r>
        <w:rPr>
          <w:rFonts w:ascii="Arial" w:eastAsia="Arial" w:hAnsi="Arial" w:cs="Arial"/>
          <w:b/>
          <w:bCs/>
        </w:rPr>
        <w:t>Student Name Chaudhry Badar Munir Mehar</w:t>
      </w:r>
    </w:p>
    <w:p w14:paraId="16C643FE" w14:textId="77777777" w:rsidR="00E45FD2" w:rsidRDefault="00000000">
      <w:pPr>
        <w:spacing w:before="240" w:line="360" w:lineRule="auto"/>
        <w:jc w:val="center"/>
        <w:rPr>
          <w:rFonts w:ascii="Arial" w:eastAsia="Arial" w:hAnsi="Arial" w:cs="Arial"/>
          <w:b/>
          <w:bCs/>
        </w:rPr>
      </w:pPr>
      <w:r>
        <w:rPr>
          <w:rFonts w:ascii="Arial" w:eastAsia="Arial" w:hAnsi="Arial" w:cs="Arial"/>
          <w:b/>
          <w:bCs/>
        </w:rPr>
        <w:t>Student ID: 234056</w:t>
      </w:r>
    </w:p>
    <w:p w14:paraId="4F2B25B0" w14:textId="77777777" w:rsidR="00E45FD2" w:rsidRDefault="00E45FD2">
      <w:pPr>
        <w:spacing w:before="240" w:line="360" w:lineRule="auto"/>
        <w:jc w:val="center"/>
        <w:rPr>
          <w:rFonts w:ascii="Arial" w:eastAsia="Arial" w:hAnsi="Arial" w:cs="Arial"/>
          <w:b/>
          <w:bCs/>
        </w:rPr>
      </w:pPr>
    </w:p>
    <w:p w14:paraId="4551B68A" w14:textId="77777777" w:rsidR="00E45FD2" w:rsidRDefault="00E45FD2">
      <w:pPr>
        <w:spacing w:before="240" w:line="360" w:lineRule="auto"/>
        <w:jc w:val="center"/>
        <w:rPr>
          <w:rFonts w:ascii="Arial" w:eastAsia="Arial" w:hAnsi="Arial" w:cs="Arial"/>
          <w:b/>
          <w:bCs/>
        </w:rPr>
      </w:pPr>
    </w:p>
    <w:p w14:paraId="6AD4B1A9" w14:textId="77777777" w:rsidR="00E45FD2" w:rsidRDefault="00E45FD2">
      <w:pPr>
        <w:spacing w:before="240" w:line="360" w:lineRule="auto"/>
        <w:jc w:val="center"/>
        <w:rPr>
          <w:rFonts w:ascii="Arial" w:eastAsia="Arial" w:hAnsi="Arial" w:cs="Arial"/>
          <w:b/>
          <w:bCs/>
        </w:rPr>
      </w:pPr>
    </w:p>
    <w:p w14:paraId="7CB07EF3" w14:textId="77777777" w:rsidR="00E45FD2" w:rsidRDefault="00E45FD2">
      <w:pPr>
        <w:spacing w:before="240" w:line="360" w:lineRule="auto"/>
        <w:jc w:val="center"/>
        <w:rPr>
          <w:rFonts w:ascii="Arial" w:eastAsia="Arial" w:hAnsi="Arial" w:cs="Arial"/>
          <w:b/>
          <w:bCs/>
        </w:rPr>
      </w:pPr>
    </w:p>
    <w:p w14:paraId="1A033979" w14:textId="77777777" w:rsidR="00E45FD2" w:rsidRDefault="00E45FD2">
      <w:pPr>
        <w:spacing w:before="240" w:line="360" w:lineRule="auto"/>
        <w:jc w:val="center"/>
        <w:rPr>
          <w:rFonts w:ascii="Arial" w:eastAsia="Arial" w:hAnsi="Arial" w:cs="Arial"/>
          <w:b/>
          <w:bCs/>
        </w:rPr>
      </w:pPr>
    </w:p>
    <w:p w14:paraId="08C0A0EA" w14:textId="77777777" w:rsidR="00E45FD2" w:rsidRDefault="00E45FD2">
      <w:pPr>
        <w:spacing w:before="240" w:line="360" w:lineRule="auto"/>
        <w:jc w:val="center"/>
        <w:rPr>
          <w:rFonts w:ascii="Arial" w:eastAsia="Arial" w:hAnsi="Arial" w:cs="Arial"/>
          <w:b/>
          <w:bCs/>
        </w:rPr>
      </w:pPr>
    </w:p>
    <w:p w14:paraId="60E9EF32" w14:textId="77777777" w:rsidR="00E45FD2" w:rsidRDefault="00E45FD2">
      <w:pPr>
        <w:spacing w:before="240" w:line="360" w:lineRule="auto"/>
        <w:jc w:val="center"/>
        <w:rPr>
          <w:rFonts w:ascii="Arial" w:eastAsia="Arial" w:hAnsi="Arial" w:cs="Arial"/>
          <w:b/>
          <w:bCs/>
        </w:rPr>
      </w:pPr>
    </w:p>
    <w:p w14:paraId="098A483B" w14:textId="77777777" w:rsidR="00E45FD2" w:rsidRDefault="00E45FD2">
      <w:pPr>
        <w:spacing w:before="240" w:line="360" w:lineRule="auto"/>
        <w:jc w:val="center"/>
        <w:rPr>
          <w:rFonts w:ascii="Arial" w:eastAsia="Arial" w:hAnsi="Arial" w:cs="Arial"/>
          <w:b/>
          <w:bCs/>
        </w:rPr>
      </w:pPr>
    </w:p>
    <w:p w14:paraId="1901A49A" w14:textId="77777777" w:rsidR="00E45FD2" w:rsidRDefault="00E45FD2">
      <w:pPr>
        <w:spacing w:before="240" w:line="360" w:lineRule="auto"/>
        <w:jc w:val="center"/>
        <w:rPr>
          <w:rFonts w:ascii="Arial" w:eastAsia="Arial" w:hAnsi="Arial" w:cs="Arial"/>
          <w:b/>
          <w:bCs/>
        </w:rPr>
      </w:pPr>
    </w:p>
    <w:p w14:paraId="6F145F04" w14:textId="77777777" w:rsidR="00E45FD2" w:rsidRDefault="00E45FD2">
      <w:pPr>
        <w:spacing w:before="240" w:line="360" w:lineRule="auto"/>
        <w:jc w:val="center"/>
        <w:rPr>
          <w:rFonts w:ascii="Arial" w:eastAsia="Arial" w:hAnsi="Arial" w:cs="Arial"/>
          <w:b/>
          <w:bCs/>
        </w:rPr>
      </w:pPr>
    </w:p>
    <w:p w14:paraId="7B8E09B2" w14:textId="77777777" w:rsidR="00E45FD2" w:rsidRDefault="00E45FD2">
      <w:pPr>
        <w:spacing w:before="240" w:line="360" w:lineRule="auto"/>
        <w:jc w:val="center"/>
        <w:rPr>
          <w:rFonts w:ascii="Arial" w:eastAsia="Arial" w:hAnsi="Arial" w:cs="Arial"/>
          <w:b/>
          <w:bCs/>
        </w:rPr>
      </w:pPr>
    </w:p>
    <w:p w14:paraId="1316EB93" w14:textId="77777777" w:rsidR="00E45FD2" w:rsidRDefault="00E45FD2">
      <w:pPr>
        <w:spacing w:before="240" w:line="360" w:lineRule="auto"/>
        <w:jc w:val="center"/>
        <w:rPr>
          <w:rFonts w:ascii="Arial" w:eastAsia="Arial" w:hAnsi="Arial" w:cs="Arial"/>
          <w:b/>
          <w:bCs/>
        </w:rPr>
      </w:pPr>
    </w:p>
    <w:p w14:paraId="71582E42" w14:textId="77777777" w:rsidR="00E45FD2" w:rsidRDefault="00E45FD2">
      <w:pPr>
        <w:spacing w:before="240" w:line="360" w:lineRule="auto"/>
        <w:jc w:val="center"/>
        <w:rPr>
          <w:rFonts w:ascii="Arial" w:eastAsia="Arial" w:hAnsi="Arial" w:cs="Arial"/>
          <w:b/>
          <w:bCs/>
        </w:rPr>
      </w:pPr>
    </w:p>
    <w:p w14:paraId="5EF37B3B" w14:textId="77777777" w:rsidR="00E45FD2" w:rsidRDefault="00E45FD2">
      <w:pPr>
        <w:spacing w:before="240" w:line="360" w:lineRule="auto"/>
        <w:jc w:val="center"/>
        <w:rPr>
          <w:rFonts w:ascii="Arial" w:eastAsia="Arial" w:hAnsi="Arial" w:cs="Arial"/>
          <w:b/>
          <w:bCs/>
        </w:rPr>
      </w:pPr>
    </w:p>
    <w:p w14:paraId="3DCB7DF2" w14:textId="77777777" w:rsidR="00E45FD2" w:rsidRDefault="00E45FD2">
      <w:pPr>
        <w:spacing w:before="240" w:line="360" w:lineRule="auto"/>
        <w:jc w:val="both"/>
        <w:rPr>
          <w:rFonts w:ascii="Arial" w:eastAsia="Arial" w:hAnsi="Arial" w:cs="Arial"/>
          <w:b/>
          <w:bCs/>
        </w:rPr>
      </w:pPr>
    </w:p>
    <w:p w14:paraId="42AB7BE3" w14:textId="77777777" w:rsidR="00E45FD2" w:rsidRDefault="00000000">
      <w:pPr>
        <w:pStyle w:val="Heading1"/>
        <w:rPr>
          <w:rFonts w:ascii="Arial" w:eastAsia="Arial" w:hAnsi="Arial" w:cs="Arial"/>
          <w:sz w:val="28"/>
          <w:szCs w:val="28"/>
        </w:rPr>
      </w:pPr>
      <w:bookmarkStart w:id="0" w:name="_heading=h.y8gqj3pfaudc" w:colFirst="0" w:colLast="0"/>
      <w:bookmarkEnd w:id="0"/>
      <w:r>
        <w:rPr>
          <w:rFonts w:ascii="Arial" w:eastAsia="Arial" w:hAnsi="Arial" w:cs="Arial"/>
          <w:sz w:val="28"/>
          <w:szCs w:val="28"/>
        </w:rPr>
        <w:lastRenderedPageBreak/>
        <w:t>1. EXECUTIVE SUMMARY</w:t>
      </w:r>
    </w:p>
    <w:p w14:paraId="47BC9E8A" w14:textId="674FD331" w:rsidR="00E45FD2" w:rsidRDefault="00000000">
      <w:pPr>
        <w:spacing w:before="240" w:line="360" w:lineRule="auto"/>
        <w:jc w:val="both"/>
        <w:rPr>
          <w:rFonts w:ascii="Arial" w:eastAsia="Arial" w:hAnsi="Arial" w:cs="Arial"/>
        </w:rPr>
      </w:pPr>
      <w:r>
        <w:rPr>
          <w:rFonts w:ascii="Arial" w:eastAsia="Arial" w:hAnsi="Arial" w:cs="Arial"/>
        </w:rPr>
        <w:t xml:space="preserve">The company is in the process of an important strategic transformation as part of its merger with Three UK to become the largest mobile operator in the United Kingdom. This report will provide a comprehensive strategic analysis of the current position of Vodafone and provide a strategy which will help the </w:t>
      </w:r>
      <w:r w:rsidR="009A6808">
        <w:rPr>
          <w:rFonts w:ascii="Arial" w:eastAsia="Arial" w:hAnsi="Arial" w:cs="Arial"/>
        </w:rPr>
        <w:t>organization</w:t>
      </w:r>
      <w:r>
        <w:rPr>
          <w:rFonts w:ascii="Arial" w:eastAsia="Arial" w:hAnsi="Arial" w:cs="Arial"/>
        </w:rPr>
        <w:t xml:space="preserve"> to grow in line with its long-term strategy. The report analyses the UK telecom sector, the internal and external strengths and weaknesses of Vodafone and its competition and new opportunities and is based on the framework of established strategies. </w:t>
      </w:r>
    </w:p>
    <w:p w14:paraId="2A1ADD44" w14:textId="77777777" w:rsidR="00E45FD2" w:rsidRDefault="00000000">
      <w:pPr>
        <w:spacing w:before="240" w:line="360" w:lineRule="auto"/>
        <w:jc w:val="both"/>
        <w:rPr>
          <w:rFonts w:ascii="Arial" w:eastAsia="Arial" w:hAnsi="Arial" w:cs="Arial"/>
        </w:rPr>
      </w:pPr>
      <w:r>
        <w:rPr>
          <w:rFonts w:ascii="Arial" w:eastAsia="Arial" w:hAnsi="Arial" w:cs="Arial"/>
        </w:rPr>
        <w:t xml:space="preserve">The strengths resulting from the environmental analysis are that it is well placed in the market, its network capacity has increased, and it has greater potential for innovation. However, it also raises some questions: regulatory pressures, capital costs and tough competition from competitors. Strategic options that are explored include market development, diversification, cost leadership and differentiation. </w:t>
      </w:r>
    </w:p>
    <w:p w14:paraId="63A737F7" w14:textId="20C3A144" w:rsidR="00E45FD2" w:rsidRDefault="00000000">
      <w:pPr>
        <w:spacing w:before="240" w:line="360" w:lineRule="auto"/>
        <w:jc w:val="both"/>
        <w:rPr>
          <w:rFonts w:ascii="Arial" w:eastAsia="Arial" w:hAnsi="Arial" w:cs="Arial"/>
        </w:rPr>
      </w:pPr>
      <w:r>
        <w:rPr>
          <w:rFonts w:ascii="Arial" w:eastAsia="Arial" w:hAnsi="Arial" w:cs="Arial"/>
        </w:rPr>
        <w:t xml:space="preserve">It recommends that the customer experience differentiation strategy should be followed and that it should be backed up by service innovation, that is, 5G. The strategy is based on the extensive network infrastructure of Vodafone, which it can leverage, as well as on the </w:t>
      </w:r>
      <w:r w:rsidR="009A6808">
        <w:rPr>
          <w:rFonts w:ascii="Arial" w:eastAsia="Arial" w:hAnsi="Arial" w:cs="Arial"/>
        </w:rPr>
        <w:t>organizational</w:t>
      </w:r>
      <w:r>
        <w:rPr>
          <w:rFonts w:ascii="Arial" w:eastAsia="Arial" w:hAnsi="Arial" w:cs="Arial"/>
        </w:rPr>
        <w:t xml:space="preserve"> values and changes in customer expectations </w:t>
      </w:r>
      <w:r w:rsidR="009A6808">
        <w:rPr>
          <w:rFonts w:ascii="Arial" w:eastAsia="Arial" w:hAnsi="Arial" w:cs="Arial"/>
        </w:rPr>
        <w:t>regarding</w:t>
      </w:r>
      <w:r>
        <w:rPr>
          <w:rFonts w:ascii="Arial" w:eastAsia="Arial" w:hAnsi="Arial" w:cs="Arial"/>
        </w:rPr>
        <w:t xml:space="preserve"> reliability, digital integration and </w:t>
      </w:r>
      <w:r w:rsidR="009A6808">
        <w:rPr>
          <w:rFonts w:ascii="Arial" w:eastAsia="Arial" w:hAnsi="Arial" w:cs="Arial"/>
        </w:rPr>
        <w:t>personalized</w:t>
      </w:r>
      <w:r>
        <w:rPr>
          <w:rFonts w:ascii="Arial" w:eastAsia="Arial" w:hAnsi="Arial" w:cs="Arial"/>
        </w:rPr>
        <w:t xml:space="preserve"> services. The strategy is evaluated based on a Suitability, Feasibility and Acceptability (SFA) matrix and is seen to have high SFA with the capabilities and interests of stakeholders such as Vodafone. </w:t>
      </w:r>
    </w:p>
    <w:p w14:paraId="211AFCC3" w14:textId="079145CF" w:rsidR="00E45FD2" w:rsidRDefault="00000000">
      <w:pPr>
        <w:spacing w:before="240" w:line="360" w:lineRule="auto"/>
        <w:jc w:val="both"/>
        <w:rPr>
          <w:rFonts w:ascii="Arial" w:eastAsia="Arial" w:hAnsi="Arial" w:cs="Arial"/>
        </w:rPr>
      </w:pPr>
      <w:r>
        <w:rPr>
          <w:rFonts w:ascii="Arial" w:eastAsia="Arial" w:hAnsi="Arial" w:cs="Arial"/>
        </w:rPr>
        <w:t xml:space="preserve">Stakeholder analysis was included along with a stakeholder engagement plan to help with effective implementation. The report ends with a detailed implementation roadmap with objectives, actions, timing and key performance indicators (KPIs). In sum, the suggested approach can enable </w:t>
      </w:r>
      <w:r w:rsidR="009A6808">
        <w:rPr>
          <w:rFonts w:ascii="Arial" w:eastAsia="Arial" w:hAnsi="Arial" w:cs="Arial"/>
        </w:rPr>
        <w:t>Vodafone Three</w:t>
      </w:r>
      <w:r>
        <w:rPr>
          <w:rFonts w:ascii="Arial" w:eastAsia="Arial" w:hAnsi="Arial" w:cs="Arial"/>
        </w:rPr>
        <w:t xml:space="preserve"> to develop sustainable growth and gain a competitive edge and create long-term value.</w:t>
      </w:r>
    </w:p>
    <w:p w14:paraId="235F8C40" w14:textId="77777777" w:rsidR="00E45FD2" w:rsidRDefault="00E45FD2">
      <w:pPr>
        <w:spacing w:before="240" w:line="360" w:lineRule="auto"/>
        <w:jc w:val="both"/>
        <w:rPr>
          <w:rFonts w:ascii="Arial" w:eastAsia="Arial" w:hAnsi="Arial" w:cs="Arial"/>
        </w:rPr>
      </w:pPr>
    </w:p>
    <w:p w14:paraId="23942AB3" w14:textId="77777777" w:rsidR="00E45FD2" w:rsidRDefault="00E45FD2">
      <w:pPr>
        <w:spacing w:before="240" w:line="360" w:lineRule="auto"/>
        <w:jc w:val="both"/>
        <w:rPr>
          <w:rFonts w:ascii="Arial" w:eastAsia="Arial" w:hAnsi="Arial" w:cs="Arial"/>
        </w:rPr>
      </w:pPr>
    </w:p>
    <w:p w14:paraId="0636D864" w14:textId="77777777" w:rsidR="00E45FD2" w:rsidRDefault="00000000">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lastRenderedPageBreak/>
        <w:t>Table of Contents</w:t>
      </w:r>
    </w:p>
    <w:sdt>
      <w:sdtPr>
        <w:id w:val="-1834736394"/>
        <w:docPartObj>
          <w:docPartGallery w:val="Table of Contents"/>
          <w:docPartUnique/>
        </w:docPartObj>
      </w:sdtPr>
      <w:sdtContent>
        <w:p w14:paraId="0118331F" w14:textId="77777777" w:rsidR="00E45FD2" w:rsidRDefault="00000000">
          <w:pPr>
            <w:pBdr>
              <w:top w:val="nil"/>
              <w:left w:val="nil"/>
              <w:bottom w:val="nil"/>
              <w:right w:val="nil"/>
              <w:between w:val="nil"/>
            </w:pBdr>
            <w:tabs>
              <w:tab w:val="right" w:leader="dot" w:pos="9350"/>
            </w:tabs>
            <w:spacing w:after="100"/>
            <w:rPr>
              <w:color w:val="000000"/>
            </w:rPr>
          </w:pPr>
          <w:r>
            <w:fldChar w:fldCharType="begin"/>
          </w:r>
          <w:r>
            <w:instrText xml:space="preserve"> TOC \h \u \z \t "Heading 1,1,Heading 2,2,Heading 3,3,"</w:instrText>
          </w:r>
          <w:r>
            <w:fldChar w:fldCharType="separate"/>
          </w:r>
          <w:hyperlink w:anchor="_heading=h.y8gqj3pfaudc">
            <w:r>
              <w:rPr>
                <w:rFonts w:ascii="Arial" w:eastAsia="Arial" w:hAnsi="Arial" w:cs="Arial"/>
                <w:color w:val="000000"/>
              </w:rPr>
              <w:t>1. EXECUTIVE SUMMARY</w:t>
            </w:r>
          </w:hyperlink>
          <w:hyperlink w:anchor="_heading=h.y8gqj3pfaudc">
            <w:r>
              <w:rPr>
                <w:color w:val="000000"/>
              </w:rPr>
              <w:tab/>
              <w:t>2</w:t>
            </w:r>
          </w:hyperlink>
        </w:p>
        <w:p w14:paraId="186DE7FB" w14:textId="77777777" w:rsidR="00E45FD2" w:rsidRDefault="00000000">
          <w:pPr>
            <w:pBdr>
              <w:top w:val="nil"/>
              <w:left w:val="nil"/>
              <w:bottom w:val="nil"/>
              <w:right w:val="nil"/>
              <w:between w:val="nil"/>
            </w:pBdr>
            <w:tabs>
              <w:tab w:val="right" w:leader="dot" w:pos="9350"/>
            </w:tabs>
            <w:spacing w:after="100"/>
            <w:rPr>
              <w:color w:val="000000"/>
            </w:rPr>
          </w:pPr>
          <w:hyperlink w:anchor="_heading=h.byn3drxt3ioy">
            <w:r>
              <w:rPr>
                <w:rFonts w:ascii="Arial" w:eastAsia="Arial" w:hAnsi="Arial" w:cs="Arial"/>
                <w:color w:val="000000"/>
              </w:rPr>
              <w:t>2. Introduction:</w:t>
            </w:r>
          </w:hyperlink>
          <w:hyperlink w:anchor="_heading=h.byn3drxt3ioy">
            <w:r>
              <w:rPr>
                <w:color w:val="000000"/>
              </w:rPr>
              <w:tab/>
              <w:t>4</w:t>
            </w:r>
          </w:hyperlink>
        </w:p>
        <w:p w14:paraId="4B69591B" w14:textId="77777777" w:rsidR="00E45FD2" w:rsidRDefault="00000000">
          <w:pPr>
            <w:pBdr>
              <w:top w:val="nil"/>
              <w:left w:val="nil"/>
              <w:bottom w:val="nil"/>
              <w:right w:val="nil"/>
              <w:between w:val="nil"/>
            </w:pBdr>
            <w:tabs>
              <w:tab w:val="right" w:leader="dot" w:pos="9350"/>
            </w:tabs>
            <w:spacing w:after="100"/>
            <w:rPr>
              <w:color w:val="000000"/>
            </w:rPr>
          </w:pPr>
          <w:hyperlink w:anchor="_heading=h.qv0ae3zgedna">
            <w:r>
              <w:rPr>
                <w:rFonts w:ascii="Arial" w:eastAsia="Arial" w:hAnsi="Arial" w:cs="Arial"/>
                <w:color w:val="000000"/>
              </w:rPr>
              <w:t>3. Evaluation of the Current Market Situation:</w:t>
            </w:r>
          </w:hyperlink>
          <w:hyperlink w:anchor="_heading=h.qv0ae3zgedna">
            <w:r>
              <w:rPr>
                <w:color w:val="000000"/>
              </w:rPr>
              <w:tab/>
              <w:t>5</w:t>
            </w:r>
          </w:hyperlink>
        </w:p>
        <w:p w14:paraId="238C4CBF" w14:textId="77777777" w:rsidR="00E45FD2" w:rsidRDefault="00000000">
          <w:pPr>
            <w:pBdr>
              <w:top w:val="nil"/>
              <w:left w:val="nil"/>
              <w:bottom w:val="nil"/>
              <w:right w:val="nil"/>
              <w:between w:val="nil"/>
            </w:pBdr>
            <w:tabs>
              <w:tab w:val="right" w:leader="dot" w:pos="9350"/>
            </w:tabs>
            <w:spacing w:after="100"/>
            <w:ind w:left="240"/>
            <w:rPr>
              <w:color w:val="000000"/>
            </w:rPr>
          </w:pPr>
          <w:hyperlink w:anchor="_heading=h.slmairdepfwu">
            <w:r>
              <w:rPr>
                <w:rFonts w:ascii="Arial" w:eastAsia="Arial" w:hAnsi="Arial" w:cs="Arial"/>
                <w:color w:val="000000"/>
              </w:rPr>
              <w:t>3.1 PESTEL Analysis:</w:t>
            </w:r>
          </w:hyperlink>
          <w:hyperlink w:anchor="_heading=h.slmairdepfwu">
            <w:r>
              <w:rPr>
                <w:color w:val="000000"/>
              </w:rPr>
              <w:tab/>
              <w:t>5</w:t>
            </w:r>
          </w:hyperlink>
        </w:p>
        <w:p w14:paraId="5868F4C8" w14:textId="77777777" w:rsidR="00E45FD2" w:rsidRDefault="00000000">
          <w:pPr>
            <w:pBdr>
              <w:top w:val="nil"/>
              <w:left w:val="nil"/>
              <w:bottom w:val="nil"/>
              <w:right w:val="nil"/>
              <w:between w:val="nil"/>
            </w:pBdr>
            <w:tabs>
              <w:tab w:val="right" w:leader="dot" w:pos="9350"/>
            </w:tabs>
            <w:spacing w:after="100"/>
            <w:ind w:left="240"/>
            <w:rPr>
              <w:color w:val="000000"/>
            </w:rPr>
          </w:pPr>
          <w:hyperlink w:anchor="_heading=h.eu44lk24dne0">
            <w:r>
              <w:rPr>
                <w:rFonts w:ascii="Arial" w:eastAsia="Arial" w:hAnsi="Arial" w:cs="Arial"/>
                <w:color w:val="000000"/>
              </w:rPr>
              <w:t>3.2 Porter’s Five Forces</w:t>
            </w:r>
          </w:hyperlink>
          <w:hyperlink w:anchor="_heading=h.eu44lk24dne0">
            <w:r>
              <w:rPr>
                <w:color w:val="000000"/>
              </w:rPr>
              <w:tab/>
              <w:t>7</w:t>
            </w:r>
          </w:hyperlink>
        </w:p>
        <w:p w14:paraId="4D837BBD" w14:textId="77777777" w:rsidR="00E45FD2" w:rsidRDefault="00000000">
          <w:pPr>
            <w:pBdr>
              <w:top w:val="nil"/>
              <w:left w:val="nil"/>
              <w:bottom w:val="nil"/>
              <w:right w:val="nil"/>
              <w:between w:val="nil"/>
            </w:pBdr>
            <w:tabs>
              <w:tab w:val="right" w:leader="dot" w:pos="9350"/>
            </w:tabs>
            <w:spacing w:after="100"/>
            <w:ind w:left="240"/>
            <w:rPr>
              <w:color w:val="000000"/>
            </w:rPr>
          </w:pPr>
          <w:hyperlink w:anchor="_heading=h.virasua5dnp6">
            <w:r>
              <w:rPr>
                <w:rFonts w:ascii="Arial" w:eastAsia="Arial" w:hAnsi="Arial" w:cs="Arial"/>
                <w:color w:val="000000"/>
              </w:rPr>
              <w:t>3.3 SWOT Analysis</w:t>
            </w:r>
          </w:hyperlink>
          <w:hyperlink w:anchor="_heading=h.virasua5dnp6">
            <w:r>
              <w:rPr>
                <w:color w:val="000000"/>
              </w:rPr>
              <w:tab/>
              <w:t>8</w:t>
            </w:r>
          </w:hyperlink>
        </w:p>
        <w:p w14:paraId="482EEEC1" w14:textId="77777777" w:rsidR="00E45FD2" w:rsidRDefault="00000000">
          <w:pPr>
            <w:pBdr>
              <w:top w:val="nil"/>
              <w:left w:val="nil"/>
              <w:bottom w:val="nil"/>
              <w:right w:val="nil"/>
              <w:between w:val="nil"/>
            </w:pBdr>
            <w:tabs>
              <w:tab w:val="right" w:leader="dot" w:pos="9350"/>
            </w:tabs>
            <w:spacing w:after="100"/>
            <w:rPr>
              <w:color w:val="000000"/>
            </w:rPr>
          </w:pPr>
          <w:hyperlink w:anchor="_heading=h.9gsl5l15fnvy">
            <w:r>
              <w:rPr>
                <w:rFonts w:ascii="Arial" w:eastAsia="Arial" w:hAnsi="Arial" w:cs="Arial"/>
                <w:color w:val="000000"/>
              </w:rPr>
              <w:t>4. Strategic Growth Options and Proposed Strategy:</w:t>
            </w:r>
          </w:hyperlink>
          <w:hyperlink w:anchor="_heading=h.9gsl5l15fnvy">
            <w:r>
              <w:rPr>
                <w:color w:val="000000"/>
              </w:rPr>
              <w:tab/>
              <w:t>10</w:t>
            </w:r>
          </w:hyperlink>
        </w:p>
        <w:p w14:paraId="4B8A4DEF" w14:textId="77777777" w:rsidR="00E45FD2" w:rsidRDefault="00000000">
          <w:pPr>
            <w:pBdr>
              <w:top w:val="nil"/>
              <w:left w:val="nil"/>
              <w:bottom w:val="nil"/>
              <w:right w:val="nil"/>
              <w:between w:val="nil"/>
            </w:pBdr>
            <w:tabs>
              <w:tab w:val="right" w:leader="dot" w:pos="9350"/>
            </w:tabs>
            <w:spacing w:after="100"/>
            <w:ind w:left="240"/>
            <w:rPr>
              <w:color w:val="000000"/>
            </w:rPr>
          </w:pPr>
          <w:hyperlink w:anchor="_heading=h.urf1h5pmqm3o">
            <w:r>
              <w:rPr>
                <w:rFonts w:ascii="Arial" w:eastAsia="Arial" w:hAnsi="Arial" w:cs="Arial"/>
                <w:color w:val="000000"/>
              </w:rPr>
              <w:t>4.1 Strategic Growth Options Using the Ansoff Matrix:</w:t>
            </w:r>
          </w:hyperlink>
          <w:hyperlink w:anchor="_heading=h.urf1h5pmqm3o">
            <w:r>
              <w:rPr>
                <w:color w:val="000000"/>
              </w:rPr>
              <w:tab/>
              <w:t>10</w:t>
            </w:r>
          </w:hyperlink>
        </w:p>
        <w:p w14:paraId="13DCB247" w14:textId="77777777" w:rsidR="00E45FD2" w:rsidRDefault="00000000">
          <w:pPr>
            <w:pBdr>
              <w:top w:val="nil"/>
              <w:left w:val="nil"/>
              <w:bottom w:val="nil"/>
              <w:right w:val="nil"/>
              <w:between w:val="nil"/>
            </w:pBdr>
            <w:tabs>
              <w:tab w:val="right" w:leader="dot" w:pos="9350"/>
            </w:tabs>
            <w:spacing w:after="100"/>
            <w:ind w:left="240"/>
            <w:rPr>
              <w:color w:val="000000"/>
            </w:rPr>
          </w:pPr>
          <w:hyperlink w:anchor="_heading=h.cs4n7120cwbk">
            <w:r>
              <w:rPr>
                <w:rFonts w:ascii="Arial" w:eastAsia="Arial" w:hAnsi="Arial" w:cs="Arial"/>
                <w:color w:val="000000"/>
              </w:rPr>
              <w:t>4.2 Strategic Options Using Porter’s Generic Strategies</w:t>
            </w:r>
          </w:hyperlink>
          <w:hyperlink w:anchor="_heading=h.cs4n7120cwbk">
            <w:r>
              <w:rPr>
                <w:color w:val="000000"/>
              </w:rPr>
              <w:tab/>
              <w:t>11</w:t>
            </w:r>
          </w:hyperlink>
        </w:p>
        <w:p w14:paraId="14B00937" w14:textId="77777777" w:rsidR="00E45FD2" w:rsidRDefault="00000000">
          <w:pPr>
            <w:pBdr>
              <w:top w:val="nil"/>
              <w:left w:val="nil"/>
              <w:bottom w:val="nil"/>
              <w:right w:val="nil"/>
              <w:between w:val="nil"/>
            </w:pBdr>
            <w:tabs>
              <w:tab w:val="right" w:leader="dot" w:pos="9350"/>
            </w:tabs>
            <w:spacing w:after="100"/>
            <w:ind w:left="240"/>
            <w:rPr>
              <w:color w:val="000000"/>
            </w:rPr>
          </w:pPr>
          <w:hyperlink w:anchor="_heading=h.tgdwlq4ycwv0">
            <w:r>
              <w:rPr>
                <w:rFonts w:ascii="Arial" w:eastAsia="Arial" w:hAnsi="Arial" w:cs="Arial"/>
                <w:color w:val="000000"/>
              </w:rPr>
              <w:t>4.3 Recommended Strategy: Customer-Experience Differentiation Supported by 5G Innovation</w:t>
            </w:r>
          </w:hyperlink>
          <w:hyperlink w:anchor="_heading=h.tgdwlq4ycwv0">
            <w:r>
              <w:rPr>
                <w:color w:val="000000"/>
              </w:rPr>
              <w:tab/>
              <w:t>12</w:t>
            </w:r>
          </w:hyperlink>
        </w:p>
        <w:p w14:paraId="405E3808" w14:textId="77777777" w:rsidR="00E45FD2" w:rsidRDefault="00000000">
          <w:pPr>
            <w:pBdr>
              <w:top w:val="nil"/>
              <w:left w:val="nil"/>
              <w:bottom w:val="nil"/>
              <w:right w:val="nil"/>
              <w:between w:val="nil"/>
            </w:pBdr>
            <w:tabs>
              <w:tab w:val="right" w:leader="dot" w:pos="9350"/>
            </w:tabs>
            <w:spacing w:after="100"/>
            <w:rPr>
              <w:color w:val="000000"/>
            </w:rPr>
          </w:pPr>
          <w:hyperlink w:anchor="_heading=h.as35t4fp5uqu">
            <w:r>
              <w:rPr>
                <w:rFonts w:ascii="Arial" w:eastAsia="Arial" w:hAnsi="Arial" w:cs="Arial"/>
                <w:color w:val="000000"/>
              </w:rPr>
              <w:t>5. Strategy Evaluation Using the SFA Framework</w:t>
            </w:r>
          </w:hyperlink>
          <w:hyperlink w:anchor="_heading=h.as35t4fp5uqu">
            <w:r>
              <w:rPr>
                <w:color w:val="000000"/>
              </w:rPr>
              <w:tab/>
              <w:t>13</w:t>
            </w:r>
          </w:hyperlink>
        </w:p>
        <w:p w14:paraId="79985575" w14:textId="77777777" w:rsidR="00E45FD2" w:rsidRDefault="00000000">
          <w:pPr>
            <w:pBdr>
              <w:top w:val="nil"/>
              <w:left w:val="nil"/>
              <w:bottom w:val="nil"/>
              <w:right w:val="nil"/>
              <w:between w:val="nil"/>
            </w:pBdr>
            <w:tabs>
              <w:tab w:val="right" w:leader="dot" w:pos="9350"/>
            </w:tabs>
            <w:spacing w:after="100"/>
            <w:ind w:left="240"/>
            <w:rPr>
              <w:color w:val="000000"/>
            </w:rPr>
          </w:pPr>
          <w:hyperlink w:anchor="_heading=h.ul2uhzgkstnh">
            <w:r>
              <w:rPr>
                <w:rFonts w:ascii="Arial" w:eastAsia="Arial" w:hAnsi="Arial" w:cs="Arial"/>
                <w:color w:val="000000"/>
              </w:rPr>
              <w:t>5.1 Suitability:</w:t>
            </w:r>
          </w:hyperlink>
          <w:hyperlink w:anchor="_heading=h.ul2uhzgkstnh">
            <w:r>
              <w:rPr>
                <w:color w:val="000000"/>
              </w:rPr>
              <w:tab/>
              <w:t>13</w:t>
            </w:r>
          </w:hyperlink>
        </w:p>
        <w:p w14:paraId="64135F70" w14:textId="77777777" w:rsidR="00E45FD2" w:rsidRDefault="00000000">
          <w:pPr>
            <w:pBdr>
              <w:top w:val="nil"/>
              <w:left w:val="nil"/>
              <w:bottom w:val="nil"/>
              <w:right w:val="nil"/>
              <w:between w:val="nil"/>
            </w:pBdr>
            <w:tabs>
              <w:tab w:val="right" w:leader="dot" w:pos="9350"/>
            </w:tabs>
            <w:spacing w:after="100"/>
            <w:ind w:left="240"/>
            <w:rPr>
              <w:color w:val="000000"/>
            </w:rPr>
          </w:pPr>
          <w:hyperlink w:anchor="_heading=h.17lbklt5v9w3">
            <w:r>
              <w:rPr>
                <w:rFonts w:ascii="Arial" w:eastAsia="Arial" w:hAnsi="Arial" w:cs="Arial"/>
                <w:color w:val="000000"/>
              </w:rPr>
              <w:t>5.2 Feasibility:</w:t>
            </w:r>
          </w:hyperlink>
          <w:hyperlink w:anchor="_heading=h.17lbklt5v9w3">
            <w:r>
              <w:rPr>
                <w:color w:val="000000"/>
              </w:rPr>
              <w:tab/>
              <w:t>13</w:t>
            </w:r>
          </w:hyperlink>
        </w:p>
        <w:p w14:paraId="5641484B" w14:textId="77777777" w:rsidR="00E45FD2" w:rsidRDefault="00000000">
          <w:pPr>
            <w:pBdr>
              <w:top w:val="nil"/>
              <w:left w:val="nil"/>
              <w:bottom w:val="nil"/>
              <w:right w:val="nil"/>
              <w:between w:val="nil"/>
            </w:pBdr>
            <w:tabs>
              <w:tab w:val="right" w:leader="dot" w:pos="9350"/>
            </w:tabs>
            <w:spacing w:after="100"/>
            <w:ind w:left="240"/>
            <w:rPr>
              <w:color w:val="000000"/>
            </w:rPr>
          </w:pPr>
          <w:hyperlink w:anchor="_heading=h.1gunm67ccx5h">
            <w:r>
              <w:rPr>
                <w:rFonts w:ascii="Arial" w:eastAsia="Arial" w:hAnsi="Arial" w:cs="Arial"/>
                <w:color w:val="000000"/>
              </w:rPr>
              <w:t>5.3 Acceptability:</w:t>
            </w:r>
          </w:hyperlink>
          <w:hyperlink w:anchor="_heading=h.1gunm67ccx5h">
            <w:r>
              <w:rPr>
                <w:color w:val="000000"/>
              </w:rPr>
              <w:tab/>
              <w:t>14</w:t>
            </w:r>
          </w:hyperlink>
        </w:p>
        <w:p w14:paraId="217F41B6" w14:textId="77777777" w:rsidR="00E45FD2" w:rsidRDefault="00000000">
          <w:pPr>
            <w:pBdr>
              <w:top w:val="nil"/>
              <w:left w:val="nil"/>
              <w:bottom w:val="nil"/>
              <w:right w:val="nil"/>
              <w:between w:val="nil"/>
            </w:pBdr>
            <w:tabs>
              <w:tab w:val="right" w:leader="dot" w:pos="9350"/>
            </w:tabs>
            <w:spacing w:after="100"/>
            <w:rPr>
              <w:color w:val="000000"/>
            </w:rPr>
          </w:pPr>
          <w:hyperlink w:anchor="_heading=h.nvfing7mrdw3">
            <w:r>
              <w:rPr>
                <w:rFonts w:ascii="Arial" w:eastAsia="Arial" w:hAnsi="Arial" w:cs="Arial"/>
                <w:color w:val="000000"/>
              </w:rPr>
              <w:t>6. Stakeholder Analysis:</w:t>
            </w:r>
          </w:hyperlink>
          <w:hyperlink w:anchor="_heading=h.nvfing7mrdw3">
            <w:r>
              <w:rPr>
                <w:color w:val="000000"/>
              </w:rPr>
              <w:tab/>
              <w:t>14</w:t>
            </w:r>
          </w:hyperlink>
        </w:p>
        <w:p w14:paraId="2A089C24" w14:textId="77777777" w:rsidR="00E45FD2" w:rsidRDefault="00000000">
          <w:pPr>
            <w:pBdr>
              <w:top w:val="nil"/>
              <w:left w:val="nil"/>
              <w:bottom w:val="nil"/>
              <w:right w:val="nil"/>
              <w:between w:val="nil"/>
            </w:pBdr>
            <w:tabs>
              <w:tab w:val="right" w:leader="dot" w:pos="9350"/>
            </w:tabs>
            <w:spacing w:after="100"/>
            <w:ind w:left="240"/>
            <w:rPr>
              <w:color w:val="000000"/>
            </w:rPr>
          </w:pPr>
          <w:hyperlink w:anchor="_heading=h.f2fokjnq9usy">
            <w:r>
              <w:rPr>
                <w:rFonts w:ascii="Arial" w:eastAsia="Arial" w:hAnsi="Arial" w:cs="Arial"/>
                <w:color w:val="000000"/>
              </w:rPr>
              <w:t>Stakeholder Engagement Plan:</w:t>
            </w:r>
          </w:hyperlink>
          <w:hyperlink w:anchor="_heading=h.f2fokjnq9usy">
            <w:r>
              <w:rPr>
                <w:color w:val="000000"/>
              </w:rPr>
              <w:tab/>
              <w:t>15</w:t>
            </w:r>
          </w:hyperlink>
        </w:p>
        <w:p w14:paraId="275ACD53" w14:textId="77777777" w:rsidR="00E45FD2" w:rsidRDefault="00000000">
          <w:pPr>
            <w:pBdr>
              <w:top w:val="nil"/>
              <w:left w:val="nil"/>
              <w:bottom w:val="nil"/>
              <w:right w:val="nil"/>
              <w:between w:val="nil"/>
            </w:pBdr>
            <w:tabs>
              <w:tab w:val="right" w:leader="dot" w:pos="9350"/>
            </w:tabs>
            <w:spacing w:after="100"/>
            <w:rPr>
              <w:color w:val="000000"/>
            </w:rPr>
          </w:pPr>
          <w:hyperlink w:anchor="_heading=h.oof2o19j5oe9">
            <w:r>
              <w:rPr>
                <w:rFonts w:ascii="Arial" w:eastAsia="Arial" w:hAnsi="Arial" w:cs="Arial"/>
                <w:color w:val="000000"/>
              </w:rPr>
              <w:t>7. Implementation and Monitoring:</w:t>
            </w:r>
          </w:hyperlink>
          <w:hyperlink w:anchor="_heading=h.oof2o19j5oe9">
            <w:r>
              <w:rPr>
                <w:color w:val="000000"/>
              </w:rPr>
              <w:tab/>
              <w:t>15</w:t>
            </w:r>
          </w:hyperlink>
        </w:p>
        <w:p w14:paraId="61839E20" w14:textId="77777777" w:rsidR="00E45FD2" w:rsidRDefault="00000000">
          <w:pPr>
            <w:pBdr>
              <w:top w:val="nil"/>
              <w:left w:val="nil"/>
              <w:bottom w:val="nil"/>
              <w:right w:val="nil"/>
              <w:between w:val="nil"/>
            </w:pBdr>
            <w:tabs>
              <w:tab w:val="right" w:leader="dot" w:pos="9350"/>
            </w:tabs>
            <w:spacing w:after="100"/>
            <w:ind w:left="240"/>
            <w:rPr>
              <w:color w:val="000000"/>
            </w:rPr>
          </w:pPr>
          <w:hyperlink w:anchor="_heading=h.g83l7t2hbu0u">
            <w:r>
              <w:rPr>
                <w:rFonts w:ascii="Arial" w:eastAsia="Arial" w:hAnsi="Arial" w:cs="Arial"/>
                <w:color w:val="000000"/>
              </w:rPr>
              <w:t>7.1 Strategic Objectives:</w:t>
            </w:r>
          </w:hyperlink>
          <w:hyperlink w:anchor="_heading=h.g83l7t2hbu0u">
            <w:r>
              <w:rPr>
                <w:color w:val="000000"/>
              </w:rPr>
              <w:tab/>
              <w:t>15</w:t>
            </w:r>
          </w:hyperlink>
        </w:p>
        <w:p w14:paraId="11561B94" w14:textId="77777777" w:rsidR="00E45FD2" w:rsidRDefault="00000000">
          <w:pPr>
            <w:pBdr>
              <w:top w:val="nil"/>
              <w:left w:val="nil"/>
              <w:bottom w:val="nil"/>
              <w:right w:val="nil"/>
              <w:between w:val="nil"/>
            </w:pBdr>
            <w:tabs>
              <w:tab w:val="right" w:leader="dot" w:pos="9350"/>
            </w:tabs>
            <w:spacing w:after="100"/>
            <w:ind w:left="240"/>
            <w:rPr>
              <w:color w:val="000000"/>
            </w:rPr>
          </w:pPr>
          <w:hyperlink w:anchor="_heading=h.cmx99vu24gkw">
            <w:r>
              <w:rPr>
                <w:rFonts w:ascii="Arial" w:eastAsia="Arial" w:hAnsi="Arial" w:cs="Arial"/>
                <w:color w:val="000000"/>
              </w:rPr>
              <w:t>7.2 Action Plan:</w:t>
            </w:r>
          </w:hyperlink>
          <w:hyperlink w:anchor="_heading=h.cmx99vu24gkw">
            <w:r>
              <w:rPr>
                <w:color w:val="000000"/>
              </w:rPr>
              <w:tab/>
              <w:t>16</w:t>
            </w:r>
          </w:hyperlink>
        </w:p>
        <w:p w14:paraId="2F6CAA19" w14:textId="77777777" w:rsidR="00E45FD2" w:rsidRDefault="00000000">
          <w:pPr>
            <w:pBdr>
              <w:top w:val="nil"/>
              <w:left w:val="nil"/>
              <w:bottom w:val="nil"/>
              <w:right w:val="nil"/>
              <w:between w:val="nil"/>
            </w:pBdr>
            <w:tabs>
              <w:tab w:val="right" w:leader="dot" w:pos="9350"/>
            </w:tabs>
            <w:spacing w:after="100"/>
            <w:ind w:left="240"/>
            <w:rPr>
              <w:color w:val="000000"/>
            </w:rPr>
          </w:pPr>
          <w:hyperlink w:anchor="_heading=h.lv229x2wmll9">
            <w:r>
              <w:rPr>
                <w:rFonts w:ascii="Arial" w:eastAsia="Arial" w:hAnsi="Arial" w:cs="Arial"/>
                <w:color w:val="000000"/>
              </w:rPr>
              <w:t>7.3 Key Performance Indicators (KPIs):</w:t>
            </w:r>
          </w:hyperlink>
          <w:hyperlink w:anchor="_heading=h.lv229x2wmll9">
            <w:r>
              <w:rPr>
                <w:color w:val="000000"/>
              </w:rPr>
              <w:tab/>
              <w:t>16</w:t>
            </w:r>
          </w:hyperlink>
        </w:p>
        <w:p w14:paraId="76C656CC" w14:textId="77777777" w:rsidR="00E45FD2" w:rsidRDefault="00000000">
          <w:pPr>
            <w:pBdr>
              <w:top w:val="nil"/>
              <w:left w:val="nil"/>
              <w:bottom w:val="nil"/>
              <w:right w:val="nil"/>
              <w:between w:val="nil"/>
            </w:pBdr>
            <w:tabs>
              <w:tab w:val="right" w:leader="dot" w:pos="9350"/>
            </w:tabs>
            <w:spacing w:after="100"/>
            <w:rPr>
              <w:color w:val="000000"/>
            </w:rPr>
          </w:pPr>
          <w:hyperlink w:anchor="_heading=h.hjtapqs69fwr">
            <w:r>
              <w:rPr>
                <w:rFonts w:ascii="Arial" w:eastAsia="Arial" w:hAnsi="Arial" w:cs="Arial"/>
                <w:color w:val="000000"/>
              </w:rPr>
              <w:t>8. Conclusion:</w:t>
            </w:r>
          </w:hyperlink>
          <w:hyperlink w:anchor="_heading=h.hjtapqs69fwr">
            <w:r>
              <w:rPr>
                <w:color w:val="000000"/>
              </w:rPr>
              <w:tab/>
              <w:t>17</w:t>
            </w:r>
          </w:hyperlink>
        </w:p>
        <w:p w14:paraId="31FCC885" w14:textId="77777777" w:rsidR="00E45FD2" w:rsidRDefault="00000000">
          <w:pPr>
            <w:pBdr>
              <w:top w:val="nil"/>
              <w:left w:val="nil"/>
              <w:bottom w:val="nil"/>
              <w:right w:val="nil"/>
              <w:between w:val="nil"/>
            </w:pBdr>
            <w:tabs>
              <w:tab w:val="right" w:leader="dot" w:pos="9350"/>
            </w:tabs>
            <w:spacing w:after="100"/>
            <w:rPr>
              <w:color w:val="000000"/>
            </w:rPr>
          </w:pPr>
          <w:hyperlink w:anchor="_heading=h.e2wvx8xhwci7">
            <w:r>
              <w:rPr>
                <w:rFonts w:ascii="Arial" w:eastAsia="Arial" w:hAnsi="Arial" w:cs="Arial"/>
                <w:color w:val="000000"/>
              </w:rPr>
              <w:t>References:</w:t>
            </w:r>
          </w:hyperlink>
          <w:hyperlink w:anchor="_heading=h.e2wvx8xhwci7">
            <w:r>
              <w:rPr>
                <w:color w:val="000000"/>
              </w:rPr>
              <w:tab/>
              <w:t>18</w:t>
            </w:r>
          </w:hyperlink>
        </w:p>
        <w:p w14:paraId="49A56C42" w14:textId="77777777" w:rsidR="00E45FD2" w:rsidRDefault="00000000">
          <w:r>
            <w:fldChar w:fldCharType="end"/>
          </w:r>
        </w:p>
      </w:sdtContent>
    </w:sdt>
    <w:p w14:paraId="6A3706ED" w14:textId="77777777" w:rsidR="00E45FD2" w:rsidRDefault="00E45FD2">
      <w:pPr>
        <w:spacing w:before="240" w:line="360" w:lineRule="auto"/>
        <w:jc w:val="both"/>
        <w:rPr>
          <w:rFonts w:ascii="Arial" w:eastAsia="Arial" w:hAnsi="Arial" w:cs="Arial"/>
          <w:b/>
          <w:bCs/>
        </w:rPr>
      </w:pPr>
    </w:p>
    <w:p w14:paraId="5C11A1F7" w14:textId="77777777" w:rsidR="00E45FD2" w:rsidRDefault="00E45FD2">
      <w:pPr>
        <w:spacing w:before="240" w:line="360" w:lineRule="auto"/>
        <w:jc w:val="both"/>
        <w:rPr>
          <w:rFonts w:ascii="Arial" w:eastAsia="Arial" w:hAnsi="Arial" w:cs="Arial"/>
          <w:b/>
          <w:bCs/>
        </w:rPr>
      </w:pPr>
    </w:p>
    <w:p w14:paraId="2B7F61D7" w14:textId="77777777" w:rsidR="00E45FD2" w:rsidRDefault="00000000">
      <w:pPr>
        <w:pStyle w:val="Heading1"/>
        <w:rPr>
          <w:rFonts w:ascii="Arial" w:eastAsia="Arial" w:hAnsi="Arial" w:cs="Arial"/>
          <w:sz w:val="28"/>
          <w:szCs w:val="28"/>
        </w:rPr>
      </w:pPr>
      <w:bookmarkStart w:id="1" w:name="_heading=h.byn3drxt3ioy" w:colFirst="0" w:colLast="0"/>
      <w:bookmarkEnd w:id="1"/>
      <w:r>
        <w:rPr>
          <w:rFonts w:ascii="Arial" w:eastAsia="Arial" w:hAnsi="Arial" w:cs="Arial"/>
          <w:sz w:val="28"/>
          <w:szCs w:val="28"/>
        </w:rPr>
        <w:lastRenderedPageBreak/>
        <w:t>2. Introduction:</w:t>
      </w:r>
    </w:p>
    <w:p w14:paraId="50D9382A" w14:textId="256A99AF" w:rsidR="00E45FD2" w:rsidRDefault="00000000">
      <w:pPr>
        <w:spacing w:before="240" w:line="360" w:lineRule="auto"/>
        <w:jc w:val="both"/>
        <w:rPr>
          <w:rFonts w:ascii="Arial" w:eastAsia="Arial" w:hAnsi="Arial" w:cs="Arial"/>
        </w:rPr>
      </w:pPr>
      <w:r>
        <w:rPr>
          <w:rFonts w:ascii="Arial" w:eastAsia="Arial" w:hAnsi="Arial" w:cs="Arial"/>
        </w:rPr>
        <w:t xml:space="preserve">Vodafone UK is amongst the largest telecoms in the United Kingdom and lies in a very dynamic and competitive telecommunications market. The </w:t>
      </w:r>
      <w:r w:rsidR="009A6808">
        <w:rPr>
          <w:rFonts w:ascii="Arial" w:eastAsia="Arial" w:hAnsi="Arial" w:cs="Arial"/>
        </w:rPr>
        <w:t>organization’s</w:t>
      </w:r>
      <w:r>
        <w:rPr>
          <w:rFonts w:ascii="Arial" w:eastAsia="Arial" w:hAnsi="Arial" w:cs="Arial"/>
        </w:rPr>
        <w:t xml:space="preserve"> corporate vision, that of "a connected and sustainable digital society", is the foundation for its strategic direction, which is guided by its mission to deliver reliable connectivity, improve customer experience and foster technological innovation in its markets (Vodafone Group, 2025). Vodafone is a company that places great importance on operation excellence, customer centricity and responsible data leadership (Kotler &amp; Keller, 2022), and this is reflected in its values: fast, simple, trustworthy. In a fast-changing world of technology, customer expectations and competition, these values are growing more important to the company's success as the </w:t>
      </w:r>
      <w:r w:rsidR="009A6808">
        <w:rPr>
          <w:rFonts w:ascii="Arial" w:eastAsia="Arial" w:hAnsi="Arial" w:cs="Arial"/>
        </w:rPr>
        <w:t>organization</w:t>
      </w:r>
      <w:r>
        <w:rPr>
          <w:rFonts w:ascii="Arial" w:eastAsia="Arial" w:hAnsi="Arial" w:cs="Arial"/>
        </w:rPr>
        <w:t xml:space="preserve"> continues to function during these times. </w:t>
      </w:r>
    </w:p>
    <w:p w14:paraId="384C92E7" w14:textId="0C7A512B" w:rsidR="00E45FD2" w:rsidRDefault="00000000">
      <w:pPr>
        <w:spacing w:before="240" w:line="360" w:lineRule="auto"/>
        <w:jc w:val="both"/>
        <w:rPr>
          <w:rFonts w:ascii="Arial" w:eastAsia="Arial" w:hAnsi="Arial" w:cs="Arial"/>
        </w:rPr>
      </w:pPr>
      <w:r>
        <w:rPr>
          <w:rFonts w:ascii="Arial" w:eastAsia="Arial" w:hAnsi="Arial" w:cs="Arial"/>
        </w:rPr>
        <w:t xml:space="preserve">2025 is an important year for the </w:t>
      </w:r>
      <w:r w:rsidR="009A6808">
        <w:rPr>
          <w:rFonts w:ascii="Arial" w:eastAsia="Arial" w:hAnsi="Arial" w:cs="Arial"/>
        </w:rPr>
        <w:t>organization</w:t>
      </w:r>
      <w:r>
        <w:rPr>
          <w:rFonts w:ascii="Arial" w:eastAsia="Arial" w:hAnsi="Arial" w:cs="Arial"/>
        </w:rPr>
        <w:t xml:space="preserve"> as it strategically transitions with the Vodafone UK and Three UK mergers. Now known as ‘</w:t>
      </w:r>
      <w:r w:rsidR="009A6808">
        <w:rPr>
          <w:rFonts w:ascii="Arial" w:eastAsia="Arial" w:hAnsi="Arial" w:cs="Arial"/>
        </w:rPr>
        <w:t>Vodafone Three</w:t>
      </w:r>
      <w:r>
        <w:rPr>
          <w:rFonts w:ascii="Arial" w:eastAsia="Arial" w:hAnsi="Arial" w:cs="Arial"/>
        </w:rPr>
        <w:t xml:space="preserve">', the joint venture has approximately 27 million customers and benefits from the network, spectrum and operational synergies that significantly improve its competitiveness (Grant, 2022). It is an era of strategic transformation coinciding with a major transformation in the </w:t>
      </w:r>
      <w:r w:rsidR="009A6808">
        <w:rPr>
          <w:rFonts w:ascii="Arial" w:eastAsia="Arial" w:hAnsi="Arial" w:cs="Arial"/>
        </w:rPr>
        <w:t>industry, driven</w:t>
      </w:r>
      <w:r>
        <w:rPr>
          <w:rFonts w:ascii="Arial" w:eastAsia="Arial" w:hAnsi="Arial" w:cs="Arial"/>
        </w:rPr>
        <w:t xml:space="preserve"> by the rapid deployment of 5G, an increased regulatory focus, and </w:t>
      </w:r>
      <w:r w:rsidR="009A6808">
        <w:rPr>
          <w:rFonts w:ascii="Arial" w:eastAsia="Arial" w:hAnsi="Arial" w:cs="Arial"/>
        </w:rPr>
        <w:t>more</w:t>
      </w:r>
      <w:r>
        <w:rPr>
          <w:rFonts w:ascii="Arial" w:eastAsia="Arial" w:hAnsi="Arial" w:cs="Arial"/>
        </w:rPr>
        <w:t xml:space="preserve"> advanced integrated digital services (Johnson et al., 2020). </w:t>
      </w:r>
      <w:r w:rsidR="009A6808">
        <w:rPr>
          <w:rFonts w:ascii="Arial" w:eastAsia="Arial" w:hAnsi="Arial" w:cs="Arial"/>
        </w:rPr>
        <w:t>Consequently</w:t>
      </w:r>
      <w:r>
        <w:rPr>
          <w:rFonts w:ascii="Arial" w:eastAsia="Arial" w:hAnsi="Arial" w:cs="Arial"/>
        </w:rPr>
        <w:t xml:space="preserve">, Vodafone has challenges and opportunities in terms of investment needs, competitiveness and technology disruption. </w:t>
      </w:r>
    </w:p>
    <w:p w14:paraId="6CAC741E" w14:textId="042C84F8" w:rsidR="00E45FD2" w:rsidRDefault="00000000">
      <w:pPr>
        <w:spacing w:before="240" w:line="360" w:lineRule="auto"/>
        <w:jc w:val="both"/>
        <w:rPr>
          <w:rFonts w:ascii="Arial" w:eastAsia="Arial" w:hAnsi="Arial" w:cs="Arial"/>
        </w:rPr>
      </w:pPr>
      <w:r>
        <w:rPr>
          <w:rFonts w:ascii="Arial" w:eastAsia="Arial" w:hAnsi="Arial" w:cs="Arial"/>
        </w:rPr>
        <w:t xml:space="preserve">Therefore, strategic planning is required to guarantee the sustainability of the </w:t>
      </w:r>
      <w:r w:rsidR="009A6808">
        <w:rPr>
          <w:rFonts w:ascii="Arial" w:eastAsia="Arial" w:hAnsi="Arial" w:cs="Arial"/>
        </w:rPr>
        <w:t>organizations</w:t>
      </w:r>
      <w:r>
        <w:rPr>
          <w:rFonts w:ascii="Arial" w:eastAsia="Arial" w:hAnsi="Arial" w:cs="Arial"/>
        </w:rPr>
        <w:t xml:space="preserve"> and a competitive advantage in the long run. The present situation of the company Vodafone has been </w:t>
      </w:r>
      <w:r w:rsidR="009A6808">
        <w:rPr>
          <w:rFonts w:ascii="Arial" w:eastAsia="Arial" w:hAnsi="Arial" w:cs="Arial"/>
        </w:rPr>
        <w:t>analyzed</w:t>
      </w:r>
      <w:r>
        <w:rPr>
          <w:rFonts w:ascii="Arial" w:eastAsia="Arial" w:hAnsi="Arial" w:cs="Arial"/>
        </w:rPr>
        <w:t xml:space="preserve"> using various strategic frameworks, and for the company a growth strategy has been recommended based on the capability, values and long-term goals of the company. The analysis will aim to inform evidence-based decision-making and make recommendations for sustainable growth.</w:t>
      </w:r>
    </w:p>
    <w:p w14:paraId="2EEF98B0" w14:textId="77777777" w:rsidR="00E45FD2" w:rsidRDefault="00000000">
      <w:pPr>
        <w:pStyle w:val="Heading1"/>
        <w:rPr>
          <w:rFonts w:ascii="Arial" w:eastAsia="Arial" w:hAnsi="Arial" w:cs="Arial"/>
          <w:sz w:val="28"/>
          <w:szCs w:val="28"/>
        </w:rPr>
      </w:pPr>
      <w:bookmarkStart w:id="2" w:name="_heading=h.qv0ae3zgedna" w:colFirst="0" w:colLast="0"/>
      <w:bookmarkEnd w:id="2"/>
      <w:r>
        <w:rPr>
          <w:rFonts w:ascii="Arial" w:eastAsia="Arial" w:hAnsi="Arial" w:cs="Arial"/>
          <w:sz w:val="28"/>
          <w:szCs w:val="28"/>
        </w:rPr>
        <w:lastRenderedPageBreak/>
        <w:t>3. Evaluation of the Current Market Situation:</w:t>
      </w:r>
    </w:p>
    <w:p w14:paraId="38C16018" w14:textId="77777777" w:rsidR="00E45FD2" w:rsidRDefault="00000000">
      <w:pPr>
        <w:spacing w:before="240" w:line="360" w:lineRule="auto"/>
        <w:jc w:val="both"/>
        <w:rPr>
          <w:rFonts w:ascii="Arial" w:eastAsia="Arial" w:hAnsi="Arial" w:cs="Arial"/>
        </w:rPr>
      </w:pPr>
      <w:r>
        <w:rPr>
          <w:rFonts w:ascii="Arial" w:eastAsia="Arial" w:hAnsi="Arial" w:cs="Arial"/>
        </w:rPr>
        <w:t xml:space="preserve">In the final section, PESTEL analysis and Porter's five forces analysis are used to determine the market position of Vodafone after the merger in 2025 </w:t>
      </w:r>
      <w:proofErr w:type="gramStart"/>
      <w:r>
        <w:rPr>
          <w:rFonts w:ascii="Arial" w:eastAsia="Arial" w:hAnsi="Arial" w:cs="Arial"/>
        </w:rPr>
        <w:t>and also</w:t>
      </w:r>
      <w:proofErr w:type="gramEnd"/>
      <w:r>
        <w:rPr>
          <w:rFonts w:ascii="Arial" w:eastAsia="Arial" w:hAnsi="Arial" w:cs="Arial"/>
        </w:rPr>
        <w:t xml:space="preserve"> to complete the SWOT analysis.</w:t>
      </w:r>
    </w:p>
    <w:p w14:paraId="6D904F7C" w14:textId="77777777" w:rsidR="00E45FD2" w:rsidRDefault="00000000">
      <w:pPr>
        <w:pStyle w:val="Heading2"/>
        <w:rPr>
          <w:rFonts w:ascii="Arial" w:eastAsia="Arial" w:hAnsi="Arial" w:cs="Arial"/>
          <w:sz w:val="28"/>
          <w:szCs w:val="28"/>
        </w:rPr>
      </w:pPr>
      <w:bookmarkStart w:id="3" w:name="_heading=h.slmairdepfwu" w:colFirst="0" w:colLast="0"/>
      <w:bookmarkEnd w:id="3"/>
      <w:r>
        <w:rPr>
          <w:rFonts w:ascii="Arial" w:eastAsia="Arial" w:hAnsi="Arial" w:cs="Arial"/>
          <w:sz w:val="28"/>
          <w:szCs w:val="28"/>
        </w:rPr>
        <w:t>3.1 PESTEL Analysis:</w:t>
      </w:r>
    </w:p>
    <w:p w14:paraId="54462EEC" w14:textId="0219CF5D" w:rsidR="00E45FD2" w:rsidRDefault="00000000">
      <w:pPr>
        <w:spacing w:before="240" w:line="360" w:lineRule="auto"/>
        <w:jc w:val="both"/>
        <w:rPr>
          <w:rFonts w:ascii="Arial" w:eastAsia="Arial" w:hAnsi="Arial" w:cs="Arial"/>
        </w:rPr>
      </w:pPr>
      <w:r>
        <w:rPr>
          <w:rFonts w:ascii="Arial" w:eastAsia="Arial" w:hAnsi="Arial" w:cs="Arial"/>
        </w:rPr>
        <w:t xml:space="preserve">PESTEL analysis can assist </w:t>
      </w:r>
      <w:r w:rsidR="009A6808">
        <w:rPr>
          <w:rFonts w:ascii="Arial" w:eastAsia="Arial" w:hAnsi="Arial" w:cs="Arial"/>
        </w:rPr>
        <w:t>organizations</w:t>
      </w:r>
      <w:r>
        <w:rPr>
          <w:rFonts w:ascii="Arial" w:eastAsia="Arial" w:hAnsi="Arial" w:cs="Arial"/>
        </w:rPr>
        <w:t xml:space="preserve"> to think about macroenvironmental factors that affect their decision-making (Johnson et al., 2020).</w:t>
      </w:r>
    </w:p>
    <w:p w14:paraId="2382FCB6" w14:textId="77777777" w:rsidR="00E45FD2" w:rsidRDefault="00000000">
      <w:pPr>
        <w:spacing w:before="240" w:line="360" w:lineRule="auto"/>
        <w:jc w:val="both"/>
        <w:rPr>
          <w:rFonts w:ascii="Arial" w:eastAsia="Arial" w:hAnsi="Arial" w:cs="Arial"/>
          <w:b/>
          <w:bCs/>
        </w:rPr>
      </w:pPr>
      <w:r>
        <w:rPr>
          <w:rFonts w:ascii="Arial" w:eastAsia="Arial" w:hAnsi="Arial" w:cs="Arial"/>
          <w:b/>
          <w:bCs/>
        </w:rPr>
        <w:t>Political Factors:</w:t>
      </w:r>
    </w:p>
    <w:p w14:paraId="732597F3" w14:textId="0363F344" w:rsidR="00E45FD2" w:rsidRDefault="00000000">
      <w:pPr>
        <w:spacing w:before="240" w:line="360" w:lineRule="auto"/>
        <w:jc w:val="both"/>
        <w:rPr>
          <w:rFonts w:ascii="Arial" w:eastAsia="Arial" w:hAnsi="Arial" w:cs="Arial"/>
        </w:rPr>
      </w:pPr>
      <w:r>
        <w:rPr>
          <w:rFonts w:ascii="Arial" w:eastAsia="Arial" w:hAnsi="Arial" w:cs="Arial"/>
        </w:rPr>
        <w:t xml:space="preserve">The UK telecoms have been greatly affected by government policies regarding this digital infrastructure, spectrum and competition. The political debate surrounding the Vodafone–Three merger has been wide-ranging, focusing on the issue of market concentration and how it will affect the price the customer will have to pay for their service (Ofcom, 2025). Political oversight and oversight may impede strategic decisions and </w:t>
      </w:r>
      <w:r w:rsidR="009A6808">
        <w:rPr>
          <w:rFonts w:ascii="Arial" w:eastAsia="Arial" w:hAnsi="Arial" w:cs="Arial"/>
        </w:rPr>
        <w:t>drive-up</w:t>
      </w:r>
      <w:r>
        <w:rPr>
          <w:rFonts w:ascii="Arial" w:eastAsia="Arial" w:hAnsi="Arial" w:cs="Arial"/>
        </w:rPr>
        <w:t xml:space="preserve"> compliance costs for </w:t>
      </w:r>
      <w:r w:rsidR="009A6808">
        <w:rPr>
          <w:rFonts w:ascii="Arial" w:eastAsia="Arial" w:hAnsi="Arial" w:cs="Arial"/>
        </w:rPr>
        <w:t>Vodafone Three</w:t>
      </w:r>
      <w:r>
        <w:rPr>
          <w:rFonts w:ascii="Arial" w:eastAsia="Arial" w:hAnsi="Arial" w:cs="Arial"/>
        </w:rPr>
        <w:t xml:space="preserve">, while initiatives for nationwide 5G coverage and digital inclusion </w:t>
      </w:r>
      <w:r w:rsidR="00EF54C5">
        <w:rPr>
          <w:rFonts w:ascii="Arial" w:eastAsia="Arial" w:hAnsi="Arial" w:cs="Arial"/>
        </w:rPr>
        <w:t>open</w:t>
      </w:r>
      <w:r>
        <w:rPr>
          <w:rFonts w:ascii="Arial" w:eastAsia="Arial" w:hAnsi="Arial" w:cs="Arial"/>
        </w:rPr>
        <w:t xml:space="preserve"> opportunities for the company.</w:t>
      </w:r>
    </w:p>
    <w:p w14:paraId="04432A36" w14:textId="77777777" w:rsidR="00E45FD2" w:rsidRDefault="00000000">
      <w:pPr>
        <w:spacing w:before="240" w:line="360" w:lineRule="auto"/>
        <w:jc w:val="both"/>
        <w:rPr>
          <w:rFonts w:ascii="Arial" w:eastAsia="Arial" w:hAnsi="Arial" w:cs="Arial"/>
          <w:b/>
          <w:bCs/>
        </w:rPr>
      </w:pPr>
      <w:r>
        <w:rPr>
          <w:rFonts w:ascii="Arial" w:eastAsia="Arial" w:hAnsi="Arial" w:cs="Arial"/>
          <w:b/>
          <w:bCs/>
        </w:rPr>
        <w:t>Economic Factors:</w:t>
      </w:r>
    </w:p>
    <w:p w14:paraId="1FB70082" w14:textId="544EDADA" w:rsidR="00E45FD2" w:rsidRDefault="00000000">
      <w:pPr>
        <w:spacing w:before="240" w:line="360" w:lineRule="auto"/>
        <w:jc w:val="both"/>
        <w:rPr>
          <w:rFonts w:ascii="Arial" w:eastAsia="Arial" w:hAnsi="Arial" w:cs="Arial"/>
        </w:rPr>
      </w:pPr>
      <w:r>
        <w:rPr>
          <w:rFonts w:ascii="Arial" w:eastAsia="Arial" w:hAnsi="Arial" w:cs="Arial"/>
        </w:rPr>
        <w:t xml:space="preserve">Consumer spending on mobile and broadband services is impacted by economic conditions. The moderate GDP growth and the rise of inflation have increased the price sensitivity in the United Kingdom, where Vodafone Three </w:t>
      </w:r>
      <w:r w:rsidR="009A6808">
        <w:rPr>
          <w:rFonts w:ascii="Arial" w:eastAsia="Arial" w:hAnsi="Arial" w:cs="Arial"/>
        </w:rPr>
        <w:t>must</w:t>
      </w:r>
      <w:r>
        <w:rPr>
          <w:rFonts w:ascii="Arial" w:eastAsia="Arial" w:hAnsi="Arial" w:cs="Arial"/>
        </w:rPr>
        <w:t xml:space="preserve"> </w:t>
      </w:r>
      <w:r w:rsidR="00EF54C5">
        <w:rPr>
          <w:rFonts w:ascii="Arial" w:eastAsia="Arial" w:hAnsi="Arial" w:cs="Arial"/>
        </w:rPr>
        <w:t>investigate</w:t>
      </w:r>
      <w:r>
        <w:rPr>
          <w:rFonts w:ascii="Arial" w:eastAsia="Arial" w:hAnsi="Arial" w:cs="Arial"/>
        </w:rPr>
        <w:t xml:space="preserve"> balancing the massive investment in 5G with competitive pricing (PwC, 2024). It is expected that cost synergies from the merger will be around £700 million per year, which will improve the long-term financial resilience of the group (Deloitte, 2025).</w:t>
      </w:r>
    </w:p>
    <w:p w14:paraId="4A9B391E" w14:textId="77777777" w:rsidR="00E45FD2" w:rsidRDefault="00000000">
      <w:pPr>
        <w:spacing w:before="240" w:line="360" w:lineRule="auto"/>
        <w:jc w:val="both"/>
        <w:rPr>
          <w:rFonts w:ascii="Arial" w:eastAsia="Arial" w:hAnsi="Arial" w:cs="Arial"/>
          <w:b/>
          <w:bCs/>
        </w:rPr>
      </w:pPr>
      <w:r>
        <w:rPr>
          <w:rFonts w:ascii="Arial" w:eastAsia="Arial" w:hAnsi="Arial" w:cs="Arial"/>
          <w:b/>
          <w:bCs/>
        </w:rPr>
        <w:t>Social Factors:</w:t>
      </w:r>
    </w:p>
    <w:p w14:paraId="3FEB0F16" w14:textId="77777777" w:rsidR="00E45FD2" w:rsidRDefault="00000000">
      <w:pPr>
        <w:spacing w:before="240" w:line="360" w:lineRule="auto"/>
        <w:jc w:val="both"/>
        <w:rPr>
          <w:rFonts w:ascii="Arial" w:eastAsia="Arial" w:hAnsi="Arial" w:cs="Arial"/>
        </w:rPr>
      </w:pPr>
      <w:r>
        <w:rPr>
          <w:rFonts w:ascii="Arial" w:eastAsia="Arial" w:hAnsi="Arial" w:cs="Arial"/>
        </w:rPr>
        <w:t xml:space="preserve">The need for custom-made digital solutions is in a steady increase, as is the need for connectedness. Work at home, learning at home and entertainment at home have made high-speed networks more important than ever (Kotler &amp; Keller, 2022). All these </w:t>
      </w:r>
      <w:r>
        <w:rPr>
          <w:rFonts w:ascii="Arial" w:eastAsia="Arial" w:hAnsi="Arial" w:cs="Arial"/>
        </w:rPr>
        <w:lastRenderedPageBreak/>
        <w:t>experiences are expected to be seamless and digital—offering opportunities to bundle packaged services into packages (Accenture, 2024).</w:t>
      </w:r>
    </w:p>
    <w:p w14:paraId="37AE9B01" w14:textId="77777777" w:rsidR="00E45FD2" w:rsidRDefault="00000000">
      <w:pPr>
        <w:spacing w:before="240" w:line="360" w:lineRule="auto"/>
        <w:jc w:val="both"/>
        <w:rPr>
          <w:rFonts w:ascii="Arial" w:eastAsia="Arial" w:hAnsi="Arial" w:cs="Arial"/>
          <w:b/>
          <w:bCs/>
        </w:rPr>
      </w:pPr>
      <w:r>
        <w:rPr>
          <w:rFonts w:ascii="Arial" w:eastAsia="Arial" w:hAnsi="Arial" w:cs="Arial"/>
          <w:b/>
          <w:bCs/>
        </w:rPr>
        <w:t>Technological Factors:</w:t>
      </w:r>
    </w:p>
    <w:p w14:paraId="407D514D" w14:textId="77777777" w:rsidR="00E45FD2" w:rsidRDefault="00000000">
      <w:pPr>
        <w:spacing w:before="240" w:line="360" w:lineRule="auto"/>
        <w:jc w:val="both"/>
        <w:rPr>
          <w:rFonts w:ascii="Arial" w:eastAsia="Arial" w:hAnsi="Arial" w:cs="Arial"/>
        </w:rPr>
      </w:pPr>
      <w:r>
        <w:rPr>
          <w:rFonts w:ascii="Arial" w:eastAsia="Arial" w:hAnsi="Arial" w:cs="Arial"/>
        </w:rPr>
        <w:t>5G, IoT, AI &amp; Cloud are new technologies transforming the telecom sector. The standalone 5G deployment in Vodafone Three will help it cater to its mission of supporting its future growth (Ghosh, 2023), but rapid innovation brings in its own set of challenges (Grant, 2022).</w:t>
      </w:r>
    </w:p>
    <w:p w14:paraId="22A4CBF2" w14:textId="77777777" w:rsidR="00E45FD2" w:rsidRDefault="00000000">
      <w:pPr>
        <w:spacing w:before="240" w:line="360" w:lineRule="auto"/>
        <w:jc w:val="both"/>
        <w:rPr>
          <w:rFonts w:ascii="Arial" w:eastAsia="Arial" w:hAnsi="Arial" w:cs="Arial"/>
          <w:b/>
          <w:bCs/>
        </w:rPr>
      </w:pPr>
      <w:r>
        <w:rPr>
          <w:rFonts w:ascii="Arial" w:eastAsia="Arial" w:hAnsi="Arial" w:cs="Arial"/>
          <w:b/>
          <w:bCs/>
        </w:rPr>
        <w:t>Environmental Factors:</w:t>
      </w:r>
    </w:p>
    <w:p w14:paraId="2730B5A4" w14:textId="77777777" w:rsidR="00E45FD2" w:rsidRDefault="00000000">
      <w:pPr>
        <w:spacing w:before="240" w:line="360" w:lineRule="auto"/>
        <w:jc w:val="both"/>
        <w:rPr>
          <w:rFonts w:ascii="Arial" w:eastAsia="Arial" w:hAnsi="Arial" w:cs="Arial"/>
        </w:rPr>
      </w:pPr>
      <w:r>
        <w:rPr>
          <w:rFonts w:ascii="Arial" w:eastAsia="Arial" w:hAnsi="Arial" w:cs="Arial"/>
        </w:rPr>
        <w:t>Commitments to sustainability involve decreasing emissions, having more efficient use of energy, and investing in green technologies (Vodafone Group, 2025; Elkington, 2018).</w:t>
      </w:r>
    </w:p>
    <w:p w14:paraId="12B52D4C" w14:textId="77777777" w:rsidR="00E45FD2" w:rsidRDefault="00000000">
      <w:pPr>
        <w:spacing w:before="240" w:line="360" w:lineRule="auto"/>
        <w:jc w:val="both"/>
        <w:rPr>
          <w:rFonts w:ascii="Arial" w:eastAsia="Arial" w:hAnsi="Arial" w:cs="Arial"/>
          <w:b/>
          <w:bCs/>
        </w:rPr>
      </w:pPr>
      <w:r>
        <w:rPr>
          <w:rFonts w:ascii="Arial" w:eastAsia="Arial" w:hAnsi="Arial" w:cs="Arial"/>
          <w:b/>
          <w:bCs/>
        </w:rPr>
        <w:t>Legal Factors:</w:t>
      </w:r>
    </w:p>
    <w:p w14:paraId="4B97727C" w14:textId="77777777" w:rsidR="00E45FD2" w:rsidRDefault="00000000">
      <w:pPr>
        <w:spacing w:before="240" w:line="360" w:lineRule="auto"/>
        <w:jc w:val="both"/>
        <w:rPr>
          <w:rFonts w:ascii="Arial" w:eastAsia="Arial" w:hAnsi="Arial" w:cs="Arial"/>
        </w:rPr>
      </w:pPr>
      <w:r>
        <w:rPr>
          <w:rFonts w:ascii="Arial" w:eastAsia="Arial" w:hAnsi="Arial" w:cs="Arial"/>
        </w:rPr>
        <w:t>Compliance Requirements according to strict data protection regulations and consumer &amp; competition regulations. As a result of the merger, costs may also accrue from network access for smaller operators (Ofcom 2025; Deloitte 2025).</w:t>
      </w:r>
    </w:p>
    <w:p w14:paraId="0C0FC987" w14:textId="77777777" w:rsidR="00E45FD2" w:rsidRDefault="00000000">
      <w:pPr>
        <w:spacing w:before="240" w:line="360" w:lineRule="auto"/>
        <w:jc w:val="center"/>
        <w:rPr>
          <w:rFonts w:ascii="Arial" w:eastAsia="Arial" w:hAnsi="Arial" w:cs="Arial"/>
        </w:rPr>
      </w:pPr>
      <w:r>
        <w:rPr>
          <w:rFonts w:ascii="Arial" w:eastAsia="Arial" w:hAnsi="Arial" w:cs="Arial"/>
          <w:noProof/>
        </w:rPr>
        <w:lastRenderedPageBreak/>
        <w:drawing>
          <wp:inline distT="0" distB="0" distL="0" distR="0" wp14:anchorId="0C083B15" wp14:editId="32CF409D">
            <wp:extent cx="5738966" cy="3825977"/>
            <wp:effectExtent l="0" t="0" r="0" b="0"/>
            <wp:docPr id="1"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6"/>
                    <a:srcRect/>
                    <a:stretch>
                      <a:fillRect/>
                    </a:stretch>
                  </pic:blipFill>
                  <pic:spPr>
                    <a:xfrm>
                      <a:off x="0" y="0"/>
                      <a:ext cx="5738966" cy="3825977"/>
                    </a:xfrm>
                    <a:prstGeom prst="rect">
                      <a:avLst/>
                    </a:prstGeom>
                    <a:ln/>
                  </pic:spPr>
                </pic:pic>
              </a:graphicData>
            </a:graphic>
          </wp:inline>
        </w:drawing>
      </w:r>
    </w:p>
    <w:p w14:paraId="54B308A6" w14:textId="77777777" w:rsidR="00E45FD2" w:rsidRDefault="00000000">
      <w:pPr>
        <w:spacing w:before="240" w:line="360" w:lineRule="auto"/>
        <w:jc w:val="center"/>
        <w:rPr>
          <w:rFonts w:ascii="Arial" w:eastAsia="Arial" w:hAnsi="Arial" w:cs="Arial"/>
          <w:i/>
          <w:iCs/>
        </w:rPr>
      </w:pPr>
      <w:r>
        <w:rPr>
          <w:rFonts w:ascii="Arial" w:eastAsia="Arial" w:hAnsi="Arial" w:cs="Arial"/>
          <w:i/>
          <w:iCs/>
        </w:rPr>
        <w:t>Figure 1: PESTLE Analysis (Johnson et al., 2020).</w:t>
      </w:r>
    </w:p>
    <w:p w14:paraId="735FA284" w14:textId="77777777" w:rsidR="00E45FD2" w:rsidRDefault="00000000">
      <w:pPr>
        <w:pStyle w:val="Heading2"/>
        <w:rPr>
          <w:rFonts w:ascii="Arial" w:eastAsia="Arial" w:hAnsi="Arial" w:cs="Arial"/>
          <w:sz w:val="28"/>
          <w:szCs w:val="28"/>
        </w:rPr>
      </w:pPr>
      <w:bookmarkStart w:id="4" w:name="_heading=h.eu44lk24dne0" w:colFirst="0" w:colLast="0"/>
      <w:bookmarkEnd w:id="4"/>
      <w:r>
        <w:rPr>
          <w:rFonts w:ascii="Arial" w:eastAsia="Arial" w:hAnsi="Arial" w:cs="Arial"/>
          <w:sz w:val="28"/>
          <w:szCs w:val="28"/>
        </w:rPr>
        <w:t>3.2 Porter’s Five Forces</w:t>
      </w:r>
    </w:p>
    <w:p w14:paraId="36EA9678" w14:textId="77777777" w:rsidR="00E45FD2" w:rsidRDefault="00000000">
      <w:pPr>
        <w:spacing w:before="240" w:line="360" w:lineRule="auto"/>
        <w:jc w:val="both"/>
        <w:rPr>
          <w:rFonts w:ascii="Arial" w:eastAsia="Arial" w:hAnsi="Arial" w:cs="Arial"/>
        </w:rPr>
      </w:pPr>
      <w:r>
        <w:rPr>
          <w:rFonts w:ascii="Arial" w:eastAsia="Arial" w:hAnsi="Arial" w:cs="Arial"/>
        </w:rPr>
        <w:t xml:space="preserve">Porter's Five Forces provides an understanding of the competitiveness of the market on which a company (UK telecom market) operates (Porter, 2008). </w:t>
      </w:r>
    </w:p>
    <w:p w14:paraId="609B3E74" w14:textId="4C169B98" w:rsidR="00E45FD2" w:rsidRDefault="00000000">
      <w:pPr>
        <w:spacing w:before="240" w:line="360" w:lineRule="auto"/>
        <w:jc w:val="both"/>
        <w:rPr>
          <w:rFonts w:ascii="Arial" w:eastAsia="Arial" w:hAnsi="Arial" w:cs="Arial"/>
        </w:rPr>
      </w:pPr>
      <w:r>
        <w:rPr>
          <w:rFonts w:ascii="Arial" w:eastAsia="Arial" w:hAnsi="Arial" w:cs="Arial"/>
        </w:rPr>
        <w:t xml:space="preserve">New entrants into the UK telecom market are not a major concern, as it is difficult to invest heavily in infrastructure, and the cost of acquiring spectrum </w:t>
      </w:r>
      <w:r w:rsidR="00EF54C5">
        <w:rPr>
          <w:rFonts w:ascii="Arial" w:eastAsia="Arial" w:hAnsi="Arial" w:cs="Arial"/>
        </w:rPr>
        <w:t>licenses</w:t>
      </w:r>
      <w:r>
        <w:rPr>
          <w:rFonts w:ascii="Arial" w:eastAsia="Arial" w:hAnsi="Arial" w:cs="Arial"/>
        </w:rPr>
        <w:t>, combined with regulatory and other obstacles, is very high, and another merger in the form of the Vodafone–Three deal has reduced the number of operators. Moderate supplier power: There are high switching costs to change supplier with key players Ericsson, Nokia, etc., but having the scale of Vodafone helps to negotiate with suppliers (Ghosh, 2023). Buyer power is high as the buyers are very price sensitive and can easily switch products due to low switching costs (Kotler &amp; Keller, 2022). Moderate pressure (Accenture, 2024) is being put on substitutes like Wi</w:t>
      </w:r>
      <w:r>
        <w:rPr>
          <w:rFonts w:ascii="Cambria Math" w:eastAsia="Cambria Math" w:hAnsi="Cambria Math" w:cs="Cambria Math"/>
        </w:rPr>
        <w:t>‑</w:t>
      </w:r>
      <w:r>
        <w:rPr>
          <w:rFonts w:ascii="Arial" w:eastAsia="Arial" w:hAnsi="Arial" w:cs="Arial"/>
        </w:rPr>
        <w:t xml:space="preserve">Fi, VoIP and fixed broadband. The market is competitive, </w:t>
      </w:r>
      <w:r>
        <w:rPr>
          <w:rFonts w:ascii="Arial" w:eastAsia="Arial" w:hAnsi="Arial" w:cs="Arial"/>
        </w:rPr>
        <w:lastRenderedPageBreak/>
        <w:t>and other competitors include the previous mergers of BT/EE and Virgin Media along with O2/Sky (Johnson et al., 2020).</w:t>
      </w:r>
    </w:p>
    <w:p w14:paraId="3EB7BF35" w14:textId="77777777" w:rsidR="00E45FD2" w:rsidRDefault="00000000">
      <w:pPr>
        <w:spacing w:before="240" w:line="360" w:lineRule="auto"/>
        <w:jc w:val="center"/>
        <w:rPr>
          <w:rFonts w:ascii="Arial" w:eastAsia="Arial" w:hAnsi="Arial" w:cs="Arial"/>
        </w:rPr>
      </w:pPr>
      <w:r>
        <w:rPr>
          <w:rFonts w:ascii="Arial" w:eastAsia="Arial" w:hAnsi="Arial" w:cs="Arial"/>
          <w:noProof/>
        </w:rPr>
        <w:drawing>
          <wp:inline distT="0" distB="0" distL="0" distR="0" wp14:anchorId="53EE926A" wp14:editId="0273BC03">
            <wp:extent cx="3000384" cy="3381524"/>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000384" cy="3381524"/>
                    </a:xfrm>
                    <a:prstGeom prst="rect">
                      <a:avLst/>
                    </a:prstGeom>
                    <a:ln/>
                  </pic:spPr>
                </pic:pic>
              </a:graphicData>
            </a:graphic>
          </wp:inline>
        </w:drawing>
      </w:r>
    </w:p>
    <w:p w14:paraId="2A2F30A4" w14:textId="77777777" w:rsidR="00E45FD2" w:rsidRDefault="00000000">
      <w:pPr>
        <w:spacing w:before="240" w:line="360" w:lineRule="auto"/>
        <w:jc w:val="center"/>
        <w:rPr>
          <w:rFonts w:ascii="Arial" w:eastAsia="Arial" w:hAnsi="Arial" w:cs="Arial"/>
          <w:i/>
          <w:iCs/>
        </w:rPr>
      </w:pPr>
      <w:r>
        <w:rPr>
          <w:rFonts w:ascii="Arial" w:eastAsia="Arial" w:hAnsi="Arial" w:cs="Arial"/>
          <w:i/>
          <w:iCs/>
        </w:rPr>
        <w:t>Figure 2: Porter’s Five Forces (Porter, 2008).</w:t>
      </w:r>
    </w:p>
    <w:p w14:paraId="6F69DBFE" w14:textId="77777777" w:rsidR="00E45FD2" w:rsidRDefault="00000000">
      <w:pPr>
        <w:pStyle w:val="Heading2"/>
        <w:rPr>
          <w:rFonts w:ascii="Arial" w:eastAsia="Arial" w:hAnsi="Arial" w:cs="Arial"/>
          <w:sz w:val="28"/>
          <w:szCs w:val="28"/>
        </w:rPr>
      </w:pPr>
      <w:bookmarkStart w:id="5" w:name="_heading=h.virasua5dnp6" w:colFirst="0" w:colLast="0"/>
      <w:bookmarkEnd w:id="5"/>
      <w:r>
        <w:rPr>
          <w:rFonts w:ascii="Arial" w:eastAsia="Arial" w:hAnsi="Arial" w:cs="Arial"/>
          <w:sz w:val="28"/>
          <w:szCs w:val="28"/>
        </w:rPr>
        <w:t>3.3 SWOT Analysis</w:t>
      </w:r>
    </w:p>
    <w:p w14:paraId="4B298600" w14:textId="77777777" w:rsidR="00E45FD2" w:rsidRDefault="00000000">
      <w:pPr>
        <w:spacing w:before="240" w:line="360" w:lineRule="auto"/>
        <w:jc w:val="both"/>
        <w:rPr>
          <w:rFonts w:ascii="Arial" w:eastAsia="Arial" w:hAnsi="Arial" w:cs="Arial"/>
        </w:rPr>
      </w:pPr>
      <w:r>
        <w:rPr>
          <w:rFonts w:ascii="Arial" w:eastAsia="Arial" w:hAnsi="Arial" w:cs="Arial"/>
        </w:rPr>
        <w:t>Strengths and weaknesses are internal factors, while opportunities and threats are external factors and are combined in a SWOT analysis (Gerry et al., 2020).</w:t>
      </w:r>
    </w:p>
    <w:p w14:paraId="1306890A" w14:textId="77777777" w:rsidR="00E45FD2" w:rsidRDefault="00000000">
      <w:pPr>
        <w:spacing w:before="240" w:line="360" w:lineRule="auto"/>
        <w:jc w:val="both"/>
        <w:rPr>
          <w:rFonts w:ascii="Arial" w:eastAsia="Arial" w:hAnsi="Arial" w:cs="Arial"/>
          <w:b/>
          <w:bCs/>
        </w:rPr>
      </w:pPr>
      <w:r>
        <w:rPr>
          <w:rFonts w:ascii="Arial" w:eastAsia="Arial" w:hAnsi="Arial" w:cs="Arial"/>
          <w:b/>
          <w:bCs/>
        </w:rPr>
        <w:t>Strengths</w:t>
      </w:r>
    </w:p>
    <w:p w14:paraId="7CC412B4" w14:textId="2E8C7D59" w:rsidR="00E45FD2" w:rsidRDefault="00EF54C5">
      <w:pPr>
        <w:spacing w:before="240" w:line="360" w:lineRule="auto"/>
        <w:jc w:val="both"/>
        <w:rPr>
          <w:rFonts w:ascii="Arial" w:eastAsia="Arial" w:hAnsi="Arial" w:cs="Arial"/>
        </w:rPr>
      </w:pPr>
      <w:r>
        <w:rPr>
          <w:rFonts w:ascii="Arial" w:eastAsia="Arial" w:hAnsi="Arial" w:cs="Arial"/>
        </w:rPr>
        <w:t>Vodafone Three</w:t>
      </w:r>
      <w:r w:rsidR="00000000">
        <w:rPr>
          <w:rFonts w:ascii="Arial" w:eastAsia="Arial" w:hAnsi="Arial" w:cs="Arial"/>
        </w:rPr>
        <w:t xml:space="preserve"> benefits include raising network capacity, adding extra spectrum and the powerful economies of scale. This integration contributes to the improvement of 4G/5G coverage, which helps to reduce the number of “not spots” and improve customer experience (PwC, 2024). The high brand visibility and its presence in the world also contribute towards the competitive advantage (Kotler &amp; Keller, 2022).</w:t>
      </w:r>
    </w:p>
    <w:p w14:paraId="090E8DF0" w14:textId="77777777" w:rsidR="00E45FD2" w:rsidRDefault="00000000">
      <w:pPr>
        <w:spacing w:before="240" w:line="360" w:lineRule="auto"/>
        <w:jc w:val="both"/>
        <w:rPr>
          <w:rFonts w:ascii="Arial" w:eastAsia="Arial" w:hAnsi="Arial" w:cs="Arial"/>
          <w:b/>
          <w:bCs/>
        </w:rPr>
      </w:pPr>
      <w:r>
        <w:rPr>
          <w:rFonts w:ascii="Arial" w:eastAsia="Arial" w:hAnsi="Arial" w:cs="Arial"/>
          <w:b/>
          <w:bCs/>
        </w:rPr>
        <w:t>Weaknesses</w:t>
      </w:r>
    </w:p>
    <w:p w14:paraId="0E67DE1F" w14:textId="77777777" w:rsidR="00E45FD2" w:rsidRDefault="00000000">
      <w:pPr>
        <w:spacing w:before="240" w:line="360" w:lineRule="auto"/>
        <w:jc w:val="both"/>
        <w:rPr>
          <w:rFonts w:ascii="Arial" w:eastAsia="Arial" w:hAnsi="Arial" w:cs="Arial"/>
        </w:rPr>
      </w:pPr>
      <w:r>
        <w:rPr>
          <w:rFonts w:ascii="Arial" w:eastAsia="Arial" w:hAnsi="Arial" w:cs="Arial"/>
        </w:rPr>
        <w:lastRenderedPageBreak/>
        <w:t>There are operational risks due to high capital expenditure and integration challenges. The reputation of Vodafone's customer service could prove to be a negative influence on their distinctions (Accenture, 2024). Also, the merger process could result in regulatory oversight and limit strategic flexibility (Ofcom, 2025).</w:t>
      </w:r>
    </w:p>
    <w:p w14:paraId="41C10C00" w14:textId="77777777" w:rsidR="00E45FD2" w:rsidRDefault="00000000">
      <w:pPr>
        <w:spacing w:before="240" w:line="360" w:lineRule="auto"/>
        <w:jc w:val="both"/>
        <w:rPr>
          <w:rFonts w:ascii="Arial" w:eastAsia="Arial" w:hAnsi="Arial" w:cs="Arial"/>
          <w:b/>
          <w:bCs/>
        </w:rPr>
      </w:pPr>
      <w:r>
        <w:rPr>
          <w:rFonts w:ascii="Arial" w:eastAsia="Arial" w:hAnsi="Arial" w:cs="Arial"/>
          <w:b/>
          <w:bCs/>
        </w:rPr>
        <w:t>Opportunities</w:t>
      </w:r>
    </w:p>
    <w:p w14:paraId="25F63371" w14:textId="77777777" w:rsidR="00E45FD2" w:rsidRDefault="00000000">
      <w:pPr>
        <w:spacing w:before="240" w:line="360" w:lineRule="auto"/>
        <w:jc w:val="both"/>
        <w:rPr>
          <w:rFonts w:ascii="Arial" w:eastAsia="Arial" w:hAnsi="Arial" w:cs="Arial"/>
        </w:rPr>
      </w:pPr>
      <w:r>
        <w:rPr>
          <w:rFonts w:ascii="Arial" w:eastAsia="Arial" w:hAnsi="Arial" w:cs="Arial"/>
        </w:rPr>
        <w:t>With the arrival of 5G technology comes new revenue opportunities in IoT, smart cities, autonomous car solutions and enterprise solutions (Ghosh, 2023). As the demand for digital ecosystems keeps rising, so do the opportunities for service innovation and quality of customer experience (Johnson et al., 2020).</w:t>
      </w:r>
    </w:p>
    <w:p w14:paraId="71204EEA" w14:textId="77777777" w:rsidR="00E45FD2" w:rsidRDefault="00000000">
      <w:pPr>
        <w:spacing w:before="240" w:line="360" w:lineRule="auto"/>
        <w:jc w:val="both"/>
        <w:rPr>
          <w:rFonts w:ascii="Arial" w:eastAsia="Arial" w:hAnsi="Arial" w:cs="Arial"/>
          <w:b/>
          <w:bCs/>
        </w:rPr>
      </w:pPr>
      <w:r>
        <w:rPr>
          <w:rFonts w:ascii="Arial" w:eastAsia="Arial" w:hAnsi="Arial" w:cs="Arial"/>
          <w:b/>
          <w:bCs/>
        </w:rPr>
        <w:t>Threats</w:t>
      </w:r>
    </w:p>
    <w:p w14:paraId="7F80512D" w14:textId="77777777" w:rsidR="00E45FD2" w:rsidRDefault="00000000">
      <w:pPr>
        <w:spacing w:before="240" w:line="360" w:lineRule="auto"/>
        <w:jc w:val="both"/>
        <w:rPr>
          <w:rFonts w:ascii="Arial" w:eastAsia="Arial" w:hAnsi="Arial" w:cs="Arial"/>
        </w:rPr>
      </w:pPr>
      <w:r>
        <w:rPr>
          <w:rFonts w:ascii="Arial" w:eastAsia="Arial" w:hAnsi="Arial" w:cs="Arial"/>
        </w:rPr>
        <w:t>Market share is at risk by fierce competition from BT/EE and Virgin Media O2. The service becomes invalidated at a greater rate of technological change. There may be regulatory restraints on pricing strategy and/or an additional compliance cost (Grant, 2022).</w:t>
      </w:r>
    </w:p>
    <w:p w14:paraId="78B73A62" w14:textId="77777777" w:rsidR="00E45FD2" w:rsidRDefault="00000000">
      <w:pPr>
        <w:spacing w:before="240" w:line="360" w:lineRule="auto"/>
        <w:jc w:val="center"/>
        <w:rPr>
          <w:rFonts w:ascii="Arial" w:eastAsia="Arial" w:hAnsi="Arial" w:cs="Arial"/>
        </w:rPr>
      </w:pPr>
      <w:r>
        <w:rPr>
          <w:rFonts w:ascii="Arial" w:eastAsia="Arial" w:hAnsi="Arial" w:cs="Arial"/>
          <w:noProof/>
        </w:rPr>
        <w:drawing>
          <wp:inline distT="0" distB="0" distL="0" distR="0" wp14:anchorId="2D0067DA" wp14:editId="039CE8D9">
            <wp:extent cx="4333584" cy="3822047"/>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t="6927" b="4878"/>
                    <a:stretch>
                      <a:fillRect/>
                    </a:stretch>
                  </pic:blipFill>
                  <pic:spPr>
                    <a:xfrm>
                      <a:off x="0" y="0"/>
                      <a:ext cx="4333584" cy="3822047"/>
                    </a:xfrm>
                    <a:prstGeom prst="rect">
                      <a:avLst/>
                    </a:prstGeom>
                    <a:ln/>
                  </pic:spPr>
                </pic:pic>
              </a:graphicData>
            </a:graphic>
          </wp:inline>
        </w:drawing>
      </w:r>
    </w:p>
    <w:p w14:paraId="2847B85D" w14:textId="77777777" w:rsidR="00E45FD2" w:rsidRDefault="00000000">
      <w:pPr>
        <w:spacing w:before="240" w:line="360" w:lineRule="auto"/>
        <w:jc w:val="center"/>
        <w:rPr>
          <w:rFonts w:ascii="Arial" w:eastAsia="Arial" w:hAnsi="Arial" w:cs="Arial"/>
          <w:i/>
          <w:iCs/>
        </w:rPr>
      </w:pPr>
      <w:r>
        <w:rPr>
          <w:rFonts w:ascii="Arial" w:eastAsia="Arial" w:hAnsi="Arial" w:cs="Arial"/>
          <w:i/>
          <w:iCs/>
        </w:rPr>
        <w:lastRenderedPageBreak/>
        <w:t>Figure 3: SWOT Analysis (Gerry et al., 2020).</w:t>
      </w:r>
    </w:p>
    <w:p w14:paraId="62789DE0" w14:textId="77777777" w:rsidR="00E45FD2" w:rsidRDefault="00000000">
      <w:pPr>
        <w:pStyle w:val="Heading1"/>
        <w:rPr>
          <w:rFonts w:ascii="Arial" w:eastAsia="Arial" w:hAnsi="Arial" w:cs="Arial"/>
          <w:sz w:val="28"/>
          <w:szCs w:val="28"/>
        </w:rPr>
      </w:pPr>
      <w:bookmarkStart w:id="6" w:name="_heading=h.9gsl5l15fnvy" w:colFirst="0" w:colLast="0"/>
      <w:bookmarkEnd w:id="6"/>
      <w:r>
        <w:rPr>
          <w:rFonts w:ascii="Arial" w:eastAsia="Arial" w:hAnsi="Arial" w:cs="Arial"/>
          <w:sz w:val="28"/>
          <w:szCs w:val="28"/>
        </w:rPr>
        <w:t>4. Strategic Growth Options and Proposed Strategy:</w:t>
      </w:r>
    </w:p>
    <w:p w14:paraId="484D8F43" w14:textId="77777777" w:rsidR="00E45FD2" w:rsidRDefault="00000000">
      <w:pPr>
        <w:spacing w:before="240" w:line="360" w:lineRule="auto"/>
        <w:jc w:val="both"/>
        <w:rPr>
          <w:rFonts w:ascii="Arial" w:eastAsia="Arial" w:hAnsi="Arial" w:cs="Arial"/>
        </w:rPr>
      </w:pPr>
      <w:r>
        <w:rPr>
          <w:rFonts w:ascii="Arial" w:eastAsia="Arial" w:hAnsi="Arial" w:cs="Arial"/>
        </w:rPr>
        <w:t>In this section the direction of growth is discussed through the Ansoff Matrix, Porter's generic strategies and the rationale for the posited direction of growth.</w:t>
      </w:r>
    </w:p>
    <w:p w14:paraId="627DE4F7" w14:textId="77777777" w:rsidR="00E45FD2" w:rsidRDefault="00000000">
      <w:pPr>
        <w:pStyle w:val="Heading2"/>
        <w:rPr>
          <w:rFonts w:ascii="Arial" w:eastAsia="Arial" w:hAnsi="Arial" w:cs="Arial"/>
          <w:sz w:val="28"/>
          <w:szCs w:val="28"/>
        </w:rPr>
      </w:pPr>
      <w:bookmarkStart w:id="7" w:name="_heading=h.urf1h5pmqm3o" w:colFirst="0" w:colLast="0"/>
      <w:bookmarkEnd w:id="7"/>
      <w:r>
        <w:rPr>
          <w:rFonts w:ascii="Arial" w:eastAsia="Arial" w:hAnsi="Arial" w:cs="Arial"/>
          <w:sz w:val="28"/>
          <w:szCs w:val="28"/>
        </w:rPr>
        <w:t>4.1 Strategic Growth Options Using the Ansoff Matrix:</w:t>
      </w:r>
    </w:p>
    <w:p w14:paraId="12C5B997" w14:textId="5C84F338" w:rsidR="00E45FD2" w:rsidRDefault="00000000">
      <w:pPr>
        <w:spacing w:before="240" w:line="360" w:lineRule="auto"/>
        <w:jc w:val="both"/>
        <w:rPr>
          <w:rFonts w:ascii="Arial" w:eastAsia="Arial" w:hAnsi="Arial" w:cs="Arial"/>
        </w:rPr>
      </w:pPr>
      <w:r>
        <w:rPr>
          <w:rFonts w:ascii="Arial" w:eastAsia="Arial" w:hAnsi="Arial" w:cs="Arial"/>
        </w:rPr>
        <w:t xml:space="preserve">Among the most popular matrices is the Ansoff Matrix, which provides four possible avenues of growth: market penetration, market development, product development and diversification (Ansoff, 1988). It helps </w:t>
      </w:r>
      <w:r w:rsidR="00EF54C5">
        <w:rPr>
          <w:rFonts w:ascii="Arial" w:eastAsia="Arial" w:hAnsi="Arial" w:cs="Arial"/>
        </w:rPr>
        <w:t>organizations</w:t>
      </w:r>
      <w:r>
        <w:rPr>
          <w:rFonts w:ascii="Arial" w:eastAsia="Arial" w:hAnsi="Arial" w:cs="Arial"/>
        </w:rPr>
        <w:t xml:space="preserve"> to determine the risk level and alignment to current capabilities (Johnson et al., 2020).</w:t>
      </w:r>
    </w:p>
    <w:p w14:paraId="466D91DF" w14:textId="77777777" w:rsidR="00E45FD2" w:rsidRDefault="00000000">
      <w:pPr>
        <w:spacing w:before="240" w:line="360" w:lineRule="auto"/>
        <w:jc w:val="center"/>
        <w:rPr>
          <w:rFonts w:ascii="Arial" w:eastAsia="Arial" w:hAnsi="Arial" w:cs="Arial"/>
        </w:rPr>
      </w:pPr>
      <w:r>
        <w:rPr>
          <w:rFonts w:ascii="Arial" w:eastAsia="Arial" w:hAnsi="Arial" w:cs="Arial"/>
          <w:noProof/>
        </w:rPr>
        <w:drawing>
          <wp:inline distT="0" distB="0" distL="0" distR="0" wp14:anchorId="359D7E5C" wp14:editId="76056BBB">
            <wp:extent cx="5849166" cy="3248478"/>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849166" cy="3248478"/>
                    </a:xfrm>
                    <a:prstGeom prst="rect">
                      <a:avLst/>
                    </a:prstGeom>
                    <a:ln/>
                  </pic:spPr>
                </pic:pic>
              </a:graphicData>
            </a:graphic>
          </wp:inline>
        </w:drawing>
      </w:r>
    </w:p>
    <w:p w14:paraId="748204CE" w14:textId="77777777" w:rsidR="00E45FD2" w:rsidRDefault="00000000">
      <w:pPr>
        <w:spacing w:before="240" w:line="360" w:lineRule="auto"/>
        <w:jc w:val="center"/>
        <w:rPr>
          <w:rFonts w:ascii="Arial" w:eastAsia="Arial" w:hAnsi="Arial" w:cs="Arial"/>
          <w:i/>
          <w:iCs/>
        </w:rPr>
      </w:pPr>
      <w:r>
        <w:rPr>
          <w:rFonts w:ascii="Arial" w:eastAsia="Arial" w:hAnsi="Arial" w:cs="Arial"/>
          <w:i/>
          <w:iCs/>
        </w:rPr>
        <w:t>Figure 4: Ansoff Matrix (Johnson et al., 2020).</w:t>
      </w:r>
    </w:p>
    <w:p w14:paraId="3AFF4926" w14:textId="77777777" w:rsidR="00E45FD2" w:rsidRDefault="00000000">
      <w:pPr>
        <w:spacing w:before="240" w:line="360" w:lineRule="auto"/>
        <w:jc w:val="both"/>
        <w:rPr>
          <w:rFonts w:ascii="Arial" w:eastAsia="Arial" w:hAnsi="Arial" w:cs="Arial"/>
          <w:b/>
          <w:bCs/>
        </w:rPr>
      </w:pPr>
      <w:r>
        <w:rPr>
          <w:rFonts w:ascii="Arial" w:eastAsia="Arial" w:hAnsi="Arial" w:cs="Arial"/>
          <w:b/>
          <w:bCs/>
        </w:rPr>
        <w:t>Market Penetration:</w:t>
      </w:r>
    </w:p>
    <w:p w14:paraId="6EA60973" w14:textId="77777777" w:rsidR="00E45FD2" w:rsidRDefault="00000000">
      <w:pPr>
        <w:spacing w:before="240" w:line="360" w:lineRule="auto"/>
        <w:jc w:val="both"/>
        <w:rPr>
          <w:rFonts w:ascii="Arial" w:eastAsia="Arial" w:hAnsi="Arial" w:cs="Arial"/>
        </w:rPr>
      </w:pPr>
      <w:r>
        <w:rPr>
          <w:rFonts w:ascii="Arial" w:eastAsia="Arial" w:hAnsi="Arial" w:cs="Arial"/>
        </w:rPr>
        <w:t xml:space="preserve">'Market penetration' means to grow market share in existing markets with current services. This can be achieved in the form of competitive prices, specific promotions or better customer service at Vodafone Three. However, the competition level and high price </w:t>
      </w:r>
      <w:r>
        <w:rPr>
          <w:rFonts w:ascii="Arial" w:eastAsia="Arial" w:hAnsi="Arial" w:cs="Arial"/>
        </w:rPr>
        <w:lastRenderedPageBreak/>
        <w:t>elasticity of the tech-driven UK telecom sector limit the level of differentiation that can be achieved in the long run (Kotler &amp; Keller, 2022).</w:t>
      </w:r>
    </w:p>
    <w:p w14:paraId="72C56807" w14:textId="77777777" w:rsidR="00E45FD2" w:rsidRDefault="00000000">
      <w:pPr>
        <w:spacing w:before="240" w:line="360" w:lineRule="auto"/>
        <w:jc w:val="both"/>
        <w:rPr>
          <w:rFonts w:ascii="Arial" w:eastAsia="Arial" w:hAnsi="Arial" w:cs="Arial"/>
          <w:b/>
          <w:bCs/>
        </w:rPr>
      </w:pPr>
      <w:r>
        <w:rPr>
          <w:rFonts w:ascii="Arial" w:eastAsia="Arial" w:hAnsi="Arial" w:cs="Arial"/>
          <w:b/>
          <w:bCs/>
        </w:rPr>
        <w:t>Market Development:</w:t>
      </w:r>
    </w:p>
    <w:p w14:paraId="1A34BA13" w14:textId="218D4C07" w:rsidR="00E45FD2" w:rsidRDefault="00000000">
      <w:pPr>
        <w:spacing w:before="240" w:line="360" w:lineRule="auto"/>
        <w:jc w:val="both"/>
        <w:rPr>
          <w:rFonts w:ascii="Arial" w:eastAsia="Arial" w:hAnsi="Arial" w:cs="Arial"/>
        </w:rPr>
      </w:pPr>
      <w:r>
        <w:rPr>
          <w:rFonts w:ascii="Arial" w:eastAsia="Arial" w:hAnsi="Arial" w:cs="Arial"/>
        </w:rPr>
        <w:t xml:space="preserve">Market development is a marketing process of seeking out new market segments of customers that can be reached. If there are networks that are geographically constrained, or networks that don't have business coverage, then </w:t>
      </w:r>
      <w:r w:rsidR="00EF54C5">
        <w:rPr>
          <w:rFonts w:ascii="Arial" w:eastAsia="Arial" w:hAnsi="Arial" w:cs="Arial"/>
        </w:rPr>
        <w:t>Vodafone Three</w:t>
      </w:r>
      <w:r>
        <w:rPr>
          <w:rFonts w:ascii="Arial" w:eastAsia="Arial" w:hAnsi="Arial" w:cs="Arial"/>
        </w:rPr>
        <w:t xml:space="preserve"> can find opportunities or may find opportunities in the UK, but not enough that it takes to build out the network and receive the permits from the regulators.</w:t>
      </w:r>
    </w:p>
    <w:p w14:paraId="73D3232C" w14:textId="77777777" w:rsidR="00E45FD2" w:rsidRDefault="00000000">
      <w:pPr>
        <w:spacing w:before="240" w:line="360" w:lineRule="auto"/>
        <w:jc w:val="both"/>
        <w:rPr>
          <w:rFonts w:ascii="Arial" w:eastAsia="Arial" w:hAnsi="Arial" w:cs="Arial"/>
          <w:b/>
          <w:bCs/>
        </w:rPr>
      </w:pPr>
      <w:r>
        <w:rPr>
          <w:rFonts w:ascii="Arial" w:eastAsia="Arial" w:hAnsi="Arial" w:cs="Arial"/>
          <w:b/>
          <w:bCs/>
        </w:rPr>
        <w:t>Product Development:</w:t>
      </w:r>
    </w:p>
    <w:p w14:paraId="05F938A3" w14:textId="73563B71" w:rsidR="00E45FD2" w:rsidRDefault="00000000">
      <w:pPr>
        <w:spacing w:before="240" w:line="360" w:lineRule="auto"/>
        <w:jc w:val="both"/>
        <w:rPr>
          <w:rFonts w:ascii="Arial" w:eastAsia="Arial" w:hAnsi="Arial" w:cs="Arial"/>
        </w:rPr>
      </w:pPr>
      <w:r>
        <w:rPr>
          <w:rFonts w:ascii="Arial" w:eastAsia="Arial" w:hAnsi="Arial" w:cs="Arial"/>
        </w:rPr>
        <w:t xml:space="preserve">Product development: This option is a new service, which is offered to people in the same market. </w:t>
      </w:r>
      <w:r w:rsidR="00EF54C5">
        <w:rPr>
          <w:rFonts w:ascii="Arial" w:eastAsia="Arial" w:hAnsi="Arial" w:cs="Arial"/>
        </w:rPr>
        <w:t>Vodafone Three</w:t>
      </w:r>
      <w:r>
        <w:rPr>
          <w:rFonts w:ascii="Arial" w:eastAsia="Arial" w:hAnsi="Arial" w:cs="Arial"/>
        </w:rPr>
        <w:t xml:space="preserve"> might want to provide some services like ‘Cloud Solutions, IoT Platforms or Cybersecurity Services', which may prove to be a new direction and will be a significant amount of investment (Ghosh, 2023).</w:t>
      </w:r>
    </w:p>
    <w:p w14:paraId="44FE7D30" w14:textId="77777777" w:rsidR="00E45FD2" w:rsidRDefault="00000000">
      <w:pPr>
        <w:spacing w:before="240" w:line="360" w:lineRule="auto"/>
        <w:jc w:val="both"/>
        <w:rPr>
          <w:rFonts w:ascii="Arial" w:eastAsia="Arial" w:hAnsi="Arial" w:cs="Arial"/>
          <w:b/>
          <w:bCs/>
        </w:rPr>
      </w:pPr>
      <w:r>
        <w:rPr>
          <w:rFonts w:ascii="Arial" w:eastAsia="Arial" w:hAnsi="Arial" w:cs="Arial"/>
          <w:b/>
          <w:bCs/>
        </w:rPr>
        <w:t>Diversification:</w:t>
      </w:r>
    </w:p>
    <w:p w14:paraId="72156836" w14:textId="77777777" w:rsidR="00E45FD2" w:rsidRDefault="00000000">
      <w:pPr>
        <w:spacing w:before="240" w:line="360" w:lineRule="auto"/>
        <w:jc w:val="both"/>
        <w:rPr>
          <w:rFonts w:ascii="Arial" w:eastAsia="Arial" w:hAnsi="Arial" w:cs="Arial"/>
        </w:rPr>
      </w:pPr>
      <w:r>
        <w:rPr>
          <w:rFonts w:ascii="Arial" w:eastAsia="Arial" w:hAnsi="Arial" w:cs="Arial"/>
        </w:rPr>
        <w:t>Diversification is an approach of penetrating a new product in a new market. One of these opportunities is the smart city system, autonomous vehicle connectivity and digital health solutions, which are high risk because the market is immature and there is uncertainty of the technology (Elkington, 2018).</w:t>
      </w:r>
    </w:p>
    <w:p w14:paraId="3A4BCE49" w14:textId="77777777" w:rsidR="00E45FD2" w:rsidRDefault="00000000">
      <w:pPr>
        <w:pStyle w:val="Heading2"/>
        <w:rPr>
          <w:rFonts w:ascii="Arial" w:eastAsia="Arial" w:hAnsi="Arial" w:cs="Arial"/>
          <w:sz w:val="28"/>
          <w:szCs w:val="28"/>
        </w:rPr>
      </w:pPr>
      <w:bookmarkStart w:id="8" w:name="_heading=h.cs4n7120cwbk" w:colFirst="0" w:colLast="0"/>
      <w:bookmarkEnd w:id="8"/>
      <w:r>
        <w:rPr>
          <w:rFonts w:ascii="Arial" w:eastAsia="Arial" w:hAnsi="Arial" w:cs="Arial"/>
          <w:sz w:val="28"/>
          <w:szCs w:val="28"/>
        </w:rPr>
        <w:t>4.2 Strategic Options Using Porter’s Generic Strategies</w:t>
      </w:r>
    </w:p>
    <w:p w14:paraId="0935AB4D" w14:textId="58425014" w:rsidR="00E45FD2" w:rsidRDefault="00000000">
      <w:pPr>
        <w:spacing w:before="240" w:line="360" w:lineRule="auto"/>
        <w:jc w:val="both"/>
        <w:rPr>
          <w:rFonts w:ascii="Arial" w:eastAsia="Arial" w:hAnsi="Arial" w:cs="Arial"/>
        </w:rPr>
      </w:pPr>
      <w:r>
        <w:rPr>
          <w:rFonts w:ascii="Arial" w:eastAsia="Arial" w:hAnsi="Arial" w:cs="Arial"/>
        </w:rPr>
        <w:t xml:space="preserve">The concepts of Porter's generic strategies can be used to comprehend how the </w:t>
      </w:r>
      <w:r w:rsidR="00EF54C5">
        <w:rPr>
          <w:rFonts w:ascii="Arial" w:eastAsia="Arial" w:hAnsi="Arial" w:cs="Arial"/>
        </w:rPr>
        <w:t>organizations</w:t>
      </w:r>
      <w:r>
        <w:rPr>
          <w:rFonts w:ascii="Arial" w:eastAsia="Arial" w:hAnsi="Arial" w:cs="Arial"/>
        </w:rPr>
        <w:t xml:space="preserve"> can attain cost leadership, differentiation and focus competitively (Porter, 2008).</w:t>
      </w:r>
    </w:p>
    <w:p w14:paraId="6AF96836" w14:textId="228E828E" w:rsidR="00E45FD2" w:rsidRDefault="00EF54C5">
      <w:pPr>
        <w:spacing w:before="240" w:line="360" w:lineRule="auto"/>
        <w:jc w:val="both"/>
        <w:rPr>
          <w:rFonts w:ascii="Arial" w:eastAsia="Arial" w:hAnsi="Arial" w:cs="Arial"/>
          <w:b/>
          <w:bCs/>
        </w:rPr>
      </w:pPr>
      <w:r>
        <w:rPr>
          <w:rFonts w:ascii="Arial" w:eastAsia="Arial" w:hAnsi="Arial" w:cs="Arial"/>
          <w:b/>
          <w:bCs/>
        </w:rPr>
        <w:t>Leadership Cost</w:t>
      </w:r>
      <w:r w:rsidR="00000000">
        <w:rPr>
          <w:rFonts w:ascii="Arial" w:eastAsia="Arial" w:hAnsi="Arial" w:cs="Arial"/>
          <w:b/>
          <w:bCs/>
        </w:rPr>
        <w:t>:</w:t>
      </w:r>
    </w:p>
    <w:p w14:paraId="7D1FC524" w14:textId="3B322218" w:rsidR="00E45FD2" w:rsidRDefault="00000000">
      <w:pPr>
        <w:spacing w:before="240" w:line="360" w:lineRule="auto"/>
        <w:jc w:val="both"/>
        <w:rPr>
          <w:rFonts w:ascii="Arial" w:eastAsia="Arial" w:hAnsi="Arial" w:cs="Arial"/>
        </w:rPr>
      </w:pPr>
      <w:r>
        <w:rPr>
          <w:rFonts w:ascii="Arial" w:eastAsia="Arial" w:hAnsi="Arial" w:cs="Arial"/>
        </w:rPr>
        <w:t xml:space="preserve">The cost leadership is to achieve cost reduction, which in turn provides competitive prices. Networks can be integrated in this merger, and cost synergies can be </w:t>
      </w:r>
      <w:proofErr w:type="spellStart"/>
      <w:r>
        <w:rPr>
          <w:rFonts w:ascii="Arial" w:eastAsia="Arial" w:hAnsi="Arial" w:cs="Arial"/>
        </w:rPr>
        <w:t>realised</w:t>
      </w:r>
      <w:proofErr w:type="spellEnd"/>
      <w:r>
        <w:rPr>
          <w:rFonts w:ascii="Arial" w:eastAsia="Arial" w:hAnsi="Arial" w:cs="Arial"/>
        </w:rPr>
        <w:t xml:space="preserve"> here as well as in the sharing of infrastructure. However, getting the cost-competitive strategy can </w:t>
      </w:r>
      <w:r>
        <w:rPr>
          <w:rFonts w:ascii="Arial" w:eastAsia="Arial" w:hAnsi="Arial" w:cs="Arial"/>
        </w:rPr>
        <w:lastRenderedPageBreak/>
        <w:t xml:space="preserve">result in de-branding the product, which might also </w:t>
      </w:r>
      <w:r w:rsidR="00EF54C5">
        <w:rPr>
          <w:rFonts w:ascii="Arial" w:eastAsia="Arial" w:hAnsi="Arial" w:cs="Arial"/>
        </w:rPr>
        <w:t>conflict with</w:t>
      </w:r>
      <w:r>
        <w:rPr>
          <w:rFonts w:ascii="Arial" w:eastAsia="Arial" w:hAnsi="Arial" w:cs="Arial"/>
        </w:rPr>
        <w:t xml:space="preserve"> Vodafone's customer experience (Johnson et al., 2020).</w:t>
      </w:r>
    </w:p>
    <w:p w14:paraId="46DAFB13" w14:textId="77777777" w:rsidR="00E45FD2" w:rsidRDefault="00000000">
      <w:pPr>
        <w:spacing w:before="240" w:line="360" w:lineRule="auto"/>
        <w:jc w:val="both"/>
        <w:rPr>
          <w:rFonts w:ascii="Arial" w:eastAsia="Arial" w:hAnsi="Arial" w:cs="Arial"/>
          <w:b/>
          <w:bCs/>
        </w:rPr>
      </w:pPr>
      <w:r>
        <w:rPr>
          <w:rFonts w:ascii="Arial" w:eastAsia="Arial" w:hAnsi="Arial" w:cs="Arial"/>
          <w:b/>
          <w:bCs/>
        </w:rPr>
        <w:t>Differentiation:</w:t>
      </w:r>
    </w:p>
    <w:p w14:paraId="59DEF1A0" w14:textId="77777777" w:rsidR="00E45FD2" w:rsidRDefault="00000000">
      <w:pPr>
        <w:spacing w:before="240" w:line="360" w:lineRule="auto"/>
        <w:jc w:val="both"/>
        <w:rPr>
          <w:rFonts w:ascii="Arial" w:eastAsia="Arial" w:hAnsi="Arial" w:cs="Arial"/>
        </w:rPr>
      </w:pPr>
      <w:r>
        <w:rPr>
          <w:rFonts w:ascii="Arial" w:eastAsia="Arial" w:hAnsi="Arial" w:cs="Arial"/>
        </w:rPr>
        <w:t>Differentiation involves providing special value by delivering a better service level, being innovative or through a dramatic customer experience. The differentiation potential lies with Vodafone Three with its enhanced functionality of the network, its aspiration towards 5G and its goal to be a leader in digital services. This aligns with consumer expectations of the timely, reliable and digital product and service delivery methods they’ve come to expect (Accenture, 2024).</w:t>
      </w:r>
    </w:p>
    <w:p w14:paraId="58E86C47" w14:textId="77777777" w:rsidR="00E45FD2" w:rsidRDefault="00000000">
      <w:pPr>
        <w:spacing w:before="240" w:line="360" w:lineRule="auto"/>
        <w:jc w:val="both"/>
        <w:rPr>
          <w:rFonts w:ascii="Arial" w:eastAsia="Arial" w:hAnsi="Arial" w:cs="Arial"/>
          <w:b/>
          <w:bCs/>
        </w:rPr>
      </w:pPr>
      <w:r>
        <w:rPr>
          <w:rFonts w:ascii="Arial" w:eastAsia="Arial" w:hAnsi="Arial" w:cs="Arial"/>
          <w:b/>
          <w:bCs/>
        </w:rPr>
        <w:t>Focus Strategy:</w:t>
      </w:r>
    </w:p>
    <w:p w14:paraId="678EC1DF" w14:textId="77777777" w:rsidR="00E45FD2" w:rsidRDefault="00000000">
      <w:pPr>
        <w:spacing w:before="240" w:line="360" w:lineRule="auto"/>
        <w:jc w:val="both"/>
        <w:rPr>
          <w:rFonts w:ascii="Arial" w:eastAsia="Arial" w:hAnsi="Arial" w:cs="Arial"/>
        </w:rPr>
      </w:pPr>
      <w:r>
        <w:rPr>
          <w:rFonts w:ascii="Arial" w:eastAsia="Arial" w:hAnsi="Arial" w:cs="Arial"/>
        </w:rPr>
        <w:t xml:space="preserve">A focus strategy is a strategy which is used in niche markets. Vodafone Three could be used for enterprise connectivity or IoT (Internet of Things). This is possible but may reduce the overall market impact of the transaction and can still fail to </w:t>
      </w:r>
      <w:proofErr w:type="spellStart"/>
      <w:r>
        <w:rPr>
          <w:rFonts w:ascii="Arial" w:eastAsia="Arial" w:hAnsi="Arial" w:cs="Arial"/>
        </w:rPr>
        <w:t>realise</w:t>
      </w:r>
      <w:proofErr w:type="spellEnd"/>
      <w:r>
        <w:rPr>
          <w:rFonts w:ascii="Arial" w:eastAsia="Arial" w:hAnsi="Arial" w:cs="Arial"/>
        </w:rPr>
        <w:t xml:space="preserve"> the benefits of the transaction in terms of efficiency size (Grant, 2022).</w:t>
      </w:r>
    </w:p>
    <w:p w14:paraId="6AB07F4C" w14:textId="77777777" w:rsidR="00E45FD2" w:rsidRDefault="00000000">
      <w:pPr>
        <w:pStyle w:val="Heading2"/>
        <w:jc w:val="both"/>
        <w:rPr>
          <w:rFonts w:ascii="Arial" w:eastAsia="Arial" w:hAnsi="Arial" w:cs="Arial"/>
          <w:sz w:val="28"/>
          <w:szCs w:val="28"/>
        </w:rPr>
      </w:pPr>
      <w:bookmarkStart w:id="9" w:name="_heading=h.tgdwlq4ycwv0" w:colFirst="0" w:colLast="0"/>
      <w:bookmarkEnd w:id="9"/>
      <w:r>
        <w:rPr>
          <w:rFonts w:ascii="Arial" w:eastAsia="Arial" w:hAnsi="Arial" w:cs="Arial"/>
          <w:sz w:val="28"/>
          <w:szCs w:val="28"/>
        </w:rPr>
        <w:t>4.3 Recommended Strategy: Customer-Experience Differentiation Supported by 5G Innovation</w:t>
      </w:r>
    </w:p>
    <w:p w14:paraId="1010670C" w14:textId="1B7A9406" w:rsidR="00E45FD2" w:rsidRDefault="00EF54C5">
      <w:pPr>
        <w:spacing w:before="240" w:line="360" w:lineRule="auto"/>
        <w:jc w:val="both"/>
        <w:rPr>
          <w:rFonts w:ascii="Arial" w:eastAsia="Arial" w:hAnsi="Arial" w:cs="Arial"/>
        </w:rPr>
      </w:pPr>
      <w:r>
        <w:rPr>
          <w:rFonts w:ascii="Arial" w:eastAsia="Arial" w:hAnsi="Arial" w:cs="Arial"/>
        </w:rPr>
        <w:t>Service</w:t>
      </w:r>
      <w:r w:rsidR="00000000">
        <w:rPr>
          <w:rFonts w:ascii="Arial" w:eastAsia="Arial" w:hAnsi="Arial" w:cs="Arial"/>
        </w:rPr>
        <w:t xml:space="preserve"> innovation via customer differentiation is the most fitting solution that can be adopted by </w:t>
      </w:r>
      <w:r>
        <w:rPr>
          <w:rFonts w:ascii="Arial" w:eastAsia="Arial" w:hAnsi="Arial" w:cs="Arial"/>
        </w:rPr>
        <w:t>Vodafone Three</w:t>
      </w:r>
      <w:r w:rsidR="00000000">
        <w:rPr>
          <w:rFonts w:ascii="Arial" w:eastAsia="Arial" w:hAnsi="Arial" w:cs="Arial"/>
        </w:rPr>
        <w:t xml:space="preserve"> through 5G. This is due to its increased network infrastructure, values of </w:t>
      </w:r>
      <w:r>
        <w:rPr>
          <w:rFonts w:ascii="Arial" w:eastAsia="Arial" w:hAnsi="Arial" w:cs="Arial"/>
        </w:rPr>
        <w:t>organization</w:t>
      </w:r>
      <w:r w:rsidR="00000000">
        <w:rPr>
          <w:rFonts w:ascii="Arial" w:eastAsia="Arial" w:hAnsi="Arial" w:cs="Arial"/>
        </w:rPr>
        <w:t xml:space="preserve"> and customer expectations. Differentiation enables competition on service quality instead of price – it </w:t>
      </w:r>
      <w:r>
        <w:rPr>
          <w:rFonts w:ascii="Arial" w:eastAsia="Arial" w:hAnsi="Arial" w:cs="Arial"/>
        </w:rPr>
        <w:t>minimizes</w:t>
      </w:r>
      <w:r w:rsidR="00000000">
        <w:rPr>
          <w:rFonts w:ascii="Arial" w:eastAsia="Arial" w:hAnsi="Arial" w:cs="Arial"/>
        </w:rPr>
        <w:t xml:space="preserve"> the risk of being price sensitive. With its greater capabilities, 5G is poised to be the next generation of digital connectivity, including IoT connectivity and smart homes, with better performance and low latency (Ghosh, 2023). </w:t>
      </w:r>
    </w:p>
    <w:p w14:paraId="604DE211" w14:textId="735CFB8B" w:rsidR="00E45FD2" w:rsidRDefault="00000000">
      <w:pPr>
        <w:spacing w:before="240" w:line="360" w:lineRule="auto"/>
        <w:jc w:val="both"/>
        <w:rPr>
          <w:rFonts w:ascii="Arial" w:eastAsia="Arial" w:hAnsi="Arial" w:cs="Arial"/>
        </w:rPr>
      </w:pPr>
      <w:r>
        <w:rPr>
          <w:rFonts w:ascii="Arial" w:eastAsia="Arial" w:hAnsi="Arial" w:cs="Arial"/>
        </w:rPr>
        <w:t xml:space="preserve">Furthermore, it complements the objective of Vodafone's aspiration of creating an interconnected digital society and enhances its customer-centric strategy. Further, this helps towards Vodafone's vision of a digitally connected society and </w:t>
      </w:r>
      <w:r w:rsidR="00EF54C5">
        <w:rPr>
          <w:rFonts w:ascii="Arial" w:eastAsia="Arial" w:hAnsi="Arial" w:cs="Arial"/>
        </w:rPr>
        <w:t>optimizes</w:t>
      </w:r>
      <w:r>
        <w:rPr>
          <w:rFonts w:ascii="Arial" w:eastAsia="Arial" w:hAnsi="Arial" w:cs="Arial"/>
        </w:rPr>
        <w:t xml:space="preserve"> its customer-centric approach (Vodafone Group, 2025). It also helps to enhance </w:t>
      </w:r>
      <w:r>
        <w:rPr>
          <w:rFonts w:ascii="Arial" w:eastAsia="Arial" w:hAnsi="Arial" w:cs="Arial"/>
        </w:rPr>
        <w:lastRenderedPageBreak/>
        <w:t>sustainability, brand loyalty and competitive advantage over BT/EE and Virgin Media O2 (Kotler &amp; Keller, 2022).</w:t>
      </w:r>
    </w:p>
    <w:p w14:paraId="26E6948C" w14:textId="77777777" w:rsidR="00E45FD2" w:rsidRDefault="00000000">
      <w:pPr>
        <w:pStyle w:val="Heading1"/>
        <w:rPr>
          <w:rFonts w:ascii="Arial" w:eastAsia="Arial" w:hAnsi="Arial" w:cs="Arial"/>
          <w:sz w:val="28"/>
          <w:szCs w:val="28"/>
        </w:rPr>
      </w:pPr>
      <w:bookmarkStart w:id="10" w:name="_heading=h.as35t4fp5uqu" w:colFirst="0" w:colLast="0"/>
      <w:bookmarkEnd w:id="10"/>
      <w:r>
        <w:rPr>
          <w:rFonts w:ascii="Arial" w:eastAsia="Arial" w:hAnsi="Arial" w:cs="Arial"/>
          <w:sz w:val="28"/>
          <w:szCs w:val="28"/>
        </w:rPr>
        <w:t>5. Strategy Evaluation Using the SFA Framework</w:t>
      </w:r>
    </w:p>
    <w:p w14:paraId="76DD87B0" w14:textId="747E5168" w:rsidR="00E45FD2" w:rsidRDefault="00000000">
      <w:pPr>
        <w:spacing w:before="240" w:line="360" w:lineRule="auto"/>
        <w:jc w:val="both"/>
        <w:rPr>
          <w:rFonts w:ascii="Arial" w:eastAsia="Arial" w:hAnsi="Arial" w:cs="Arial"/>
        </w:rPr>
      </w:pPr>
      <w:r>
        <w:rPr>
          <w:rFonts w:ascii="Arial" w:eastAsia="Arial" w:hAnsi="Arial" w:cs="Arial"/>
        </w:rPr>
        <w:t xml:space="preserve">Leveraging 5G innovation to differentiate customer experience, as </w:t>
      </w:r>
      <w:r w:rsidR="00EF54C5">
        <w:rPr>
          <w:rFonts w:ascii="Arial" w:eastAsia="Arial" w:hAnsi="Arial" w:cs="Arial"/>
        </w:rPr>
        <w:t>Vodafone Three</w:t>
      </w:r>
      <w:r>
        <w:rPr>
          <w:rFonts w:ascii="Arial" w:eastAsia="Arial" w:hAnsi="Arial" w:cs="Arial"/>
        </w:rPr>
        <w:t xml:space="preserve"> aims to do, is defensible, data-driven and strategic with the use of the SFA model.</w:t>
      </w:r>
    </w:p>
    <w:p w14:paraId="2BAB5A0F" w14:textId="77777777" w:rsidR="00E45FD2" w:rsidRDefault="00000000">
      <w:pPr>
        <w:pStyle w:val="Heading2"/>
        <w:jc w:val="both"/>
        <w:rPr>
          <w:rFonts w:ascii="Arial" w:eastAsia="Arial" w:hAnsi="Arial" w:cs="Arial"/>
          <w:sz w:val="28"/>
          <w:szCs w:val="28"/>
        </w:rPr>
      </w:pPr>
      <w:bookmarkStart w:id="11" w:name="_heading=h.ul2uhzgkstnh" w:colFirst="0" w:colLast="0"/>
      <w:bookmarkEnd w:id="11"/>
      <w:r>
        <w:rPr>
          <w:rFonts w:ascii="Arial" w:eastAsia="Arial" w:hAnsi="Arial" w:cs="Arial"/>
          <w:sz w:val="28"/>
          <w:szCs w:val="28"/>
        </w:rPr>
        <w:t>5.1 Suitability:</w:t>
      </w:r>
    </w:p>
    <w:p w14:paraId="67AAB34F" w14:textId="1C61BDFB" w:rsidR="00E45FD2" w:rsidRDefault="00000000">
      <w:pPr>
        <w:spacing w:before="240" w:line="360" w:lineRule="auto"/>
        <w:jc w:val="both"/>
        <w:rPr>
          <w:rFonts w:ascii="Arial" w:eastAsia="Arial" w:hAnsi="Arial" w:cs="Arial"/>
        </w:rPr>
      </w:pPr>
      <w:r>
        <w:rPr>
          <w:rFonts w:ascii="Arial" w:eastAsia="Arial" w:hAnsi="Arial" w:cs="Arial"/>
        </w:rPr>
        <w:t xml:space="preserve">Suitability checks to ensure that a strategy is suitable for </w:t>
      </w:r>
      <w:r w:rsidR="00EF54C5">
        <w:rPr>
          <w:rFonts w:ascii="Arial" w:eastAsia="Arial" w:hAnsi="Arial" w:cs="Arial"/>
        </w:rPr>
        <w:t>Vodafone Three</w:t>
      </w:r>
      <w:r>
        <w:rPr>
          <w:rFonts w:ascii="Arial" w:eastAsia="Arial" w:hAnsi="Arial" w:cs="Arial"/>
        </w:rPr>
        <w:t xml:space="preserve"> in terms of its strategic position and environmental pressures. Considering the competitiveness, the rapidly evolving technology and stringent regulations, Vodafone Three's differentiated approach through increased network capacity and improved 5G infrastructure after the merger has been beneficial (Grant, 2022). These facilitate high-quality services, lower latency and enhanced digital integration (Accenture, 2024). </w:t>
      </w:r>
    </w:p>
    <w:p w14:paraId="1AADD0F1" w14:textId="77777777" w:rsidR="00E45FD2" w:rsidRDefault="00000000">
      <w:pPr>
        <w:spacing w:before="240" w:line="360" w:lineRule="auto"/>
        <w:jc w:val="both"/>
        <w:rPr>
          <w:rFonts w:ascii="Arial" w:eastAsia="Arial" w:hAnsi="Arial" w:cs="Arial"/>
        </w:rPr>
      </w:pPr>
      <w:r>
        <w:rPr>
          <w:rFonts w:ascii="Arial" w:eastAsia="Arial" w:hAnsi="Arial" w:cs="Arial"/>
        </w:rPr>
        <w:t>Differentiation is also aligned with industry trends like IoT, smart home solutions and enterprise platforms (Ghosh, 2023); it abides by the values of speed and trust which Vodafone embraces, and it decreases price competition as the buyer power in the industry is high (Kotler &amp; Keller, 2022).</w:t>
      </w:r>
    </w:p>
    <w:p w14:paraId="19356EF7" w14:textId="77777777" w:rsidR="00E45FD2" w:rsidRDefault="00000000">
      <w:pPr>
        <w:pStyle w:val="Heading2"/>
        <w:jc w:val="both"/>
        <w:rPr>
          <w:rFonts w:ascii="Arial" w:eastAsia="Arial" w:hAnsi="Arial" w:cs="Arial"/>
          <w:sz w:val="28"/>
          <w:szCs w:val="28"/>
        </w:rPr>
      </w:pPr>
      <w:bookmarkStart w:id="12" w:name="_heading=h.17lbklt5v9w3" w:colFirst="0" w:colLast="0"/>
      <w:bookmarkEnd w:id="12"/>
      <w:r>
        <w:rPr>
          <w:rFonts w:ascii="Arial" w:eastAsia="Arial" w:hAnsi="Arial" w:cs="Arial"/>
          <w:sz w:val="28"/>
          <w:szCs w:val="28"/>
        </w:rPr>
        <w:t>5.2 Feasibility:</w:t>
      </w:r>
    </w:p>
    <w:p w14:paraId="31EEC329" w14:textId="499CE56D" w:rsidR="00E45FD2" w:rsidRDefault="00000000">
      <w:pPr>
        <w:spacing w:before="240" w:line="360" w:lineRule="auto"/>
        <w:jc w:val="both"/>
        <w:rPr>
          <w:rFonts w:ascii="Arial" w:eastAsia="Arial" w:hAnsi="Arial" w:cs="Arial"/>
        </w:rPr>
      </w:pPr>
      <w:r>
        <w:rPr>
          <w:rFonts w:ascii="Arial" w:eastAsia="Arial" w:hAnsi="Arial" w:cs="Arial"/>
        </w:rPr>
        <w:t xml:space="preserve">Feasibility investigates the presence (or not) of resources and capabilities needed for </w:t>
      </w:r>
      <w:r w:rsidR="00EF54C5">
        <w:rPr>
          <w:rFonts w:ascii="Arial" w:eastAsia="Arial" w:hAnsi="Arial" w:cs="Arial"/>
        </w:rPr>
        <w:t>Vodafone Three</w:t>
      </w:r>
      <w:r>
        <w:rPr>
          <w:rFonts w:ascii="Arial" w:eastAsia="Arial" w:hAnsi="Arial" w:cs="Arial"/>
        </w:rPr>
        <w:t xml:space="preserve"> to implement the strategy. The merger also strengthens the potential of many cost synergies, shared infrastructure and increased financial capacity, all of which are important for 5G and the development of digital services and customer experience (Deloitte, 2025). Rapid deployment of advanced networks is supported via strong technological capabilities and partnerships with Ericsson and Nokia, which also facilitate the deployment of advanced networks, especially in Canada. </w:t>
      </w:r>
    </w:p>
    <w:p w14:paraId="2FC1D609" w14:textId="77777777" w:rsidR="00E45FD2" w:rsidRDefault="00000000">
      <w:pPr>
        <w:spacing w:before="240" w:line="360" w:lineRule="auto"/>
        <w:jc w:val="both"/>
        <w:rPr>
          <w:rFonts w:ascii="Arial" w:eastAsia="Arial" w:hAnsi="Arial" w:cs="Arial"/>
        </w:rPr>
      </w:pPr>
      <w:r>
        <w:rPr>
          <w:rFonts w:ascii="Arial" w:eastAsia="Arial" w:hAnsi="Arial" w:cs="Arial"/>
        </w:rPr>
        <w:t xml:space="preserve">Vodafone has a world-class portfolio in digital and has the managerial skills to back it up (Johnson et al., 2020). Issues include integration complexity and high capital expenditure, </w:t>
      </w:r>
      <w:r>
        <w:rPr>
          <w:rFonts w:ascii="Arial" w:eastAsia="Arial" w:hAnsi="Arial" w:cs="Arial"/>
        </w:rPr>
        <w:lastRenderedPageBreak/>
        <w:t>which can be addressed with a phased approach and strong change management (Grant, 2022).</w:t>
      </w:r>
    </w:p>
    <w:p w14:paraId="3A3CDE74" w14:textId="77777777" w:rsidR="00E45FD2" w:rsidRDefault="00000000">
      <w:pPr>
        <w:pStyle w:val="Heading2"/>
        <w:jc w:val="both"/>
        <w:rPr>
          <w:rFonts w:ascii="Arial" w:eastAsia="Arial" w:hAnsi="Arial" w:cs="Arial"/>
          <w:sz w:val="28"/>
          <w:szCs w:val="28"/>
        </w:rPr>
      </w:pPr>
      <w:bookmarkStart w:id="13" w:name="_heading=h.1gunm67ccx5h" w:colFirst="0" w:colLast="0"/>
      <w:bookmarkEnd w:id="13"/>
      <w:r>
        <w:rPr>
          <w:rFonts w:ascii="Arial" w:eastAsia="Arial" w:hAnsi="Arial" w:cs="Arial"/>
          <w:sz w:val="28"/>
          <w:szCs w:val="28"/>
        </w:rPr>
        <w:t>5.3 Acceptability:</w:t>
      </w:r>
    </w:p>
    <w:p w14:paraId="4C2ED10C" w14:textId="44EA0642" w:rsidR="00E45FD2" w:rsidRDefault="00000000">
      <w:pPr>
        <w:spacing w:before="240" w:line="360" w:lineRule="auto"/>
        <w:jc w:val="both"/>
        <w:rPr>
          <w:rFonts w:ascii="Arial" w:eastAsia="Arial" w:hAnsi="Arial" w:cs="Arial"/>
        </w:rPr>
      </w:pPr>
      <w:r>
        <w:rPr>
          <w:rFonts w:ascii="Arial" w:eastAsia="Arial" w:hAnsi="Arial" w:cs="Arial"/>
        </w:rPr>
        <w:t xml:space="preserve">Anticipated returns, risks and reactions of stakeholders are considered acceptable. Differentiation is acceptable because it's a means to ensure long-term revenue growth, deliver value added services and boost customer loyalty. Shopperlong-terme helps in decreasing </w:t>
      </w:r>
      <w:r w:rsidR="00EF54C5">
        <w:rPr>
          <w:rFonts w:ascii="Arial" w:eastAsia="Arial" w:hAnsi="Arial" w:cs="Arial"/>
        </w:rPr>
        <w:t>upvalue</w:t>
      </w:r>
      <w:r>
        <w:rPr>
          <w:rFonts w:ascii="Arial" w:eastAsia="Arial" w:hAnsi="Arial" w:cs="Arial"/>
        </w:rPr>
        <w:t xml:space="preserve">-added, rising ARPU and improving brand equity (Kotler &amp; Keller, 2022). The benefits to stakeholders are improved quality of service, enhancing skills of employees, regulatory provision for digital inclusion (Ofcom, 2025) and sustainable returns to shareholders (Accenture, 2024). </w:t>
      </w:r>
    </w:p>
    <w:p w14:paraId="3B168915" w14:textId="77777777" w:rsidR="00E45FD2" w:rsidRDefault="00000000">
      <w:pPr>
        <w:spacing w:before="240" w:line="360" w:lineRule="auto"/>
        <w:jc w:val="both"/>
        <w:rPr>
          <w:rFonts w:ascii="Arial" w:eastAsia="Arial" w:hAnsi="Arial" w:cs="Arial"/>
        </w:rPr>
      </w:pPr>
      <w:r>
        <w:rPr>
          <w:rFonts w:ascii="Arial" w:eastAsia="Arial" w:hAnsi="Arial" w:cs="Arial"/>
        </w:rPr>
        <w:t>Even though the potential investments may be postponed and there is a huge amount of money to invest, the demand for more sophisticated digital services and the improved financial situation of Vodafone Three after the merger mitigate these risks (Deloitte, 2025).</w:t>
      </w:r>
    </w:p>
    <w:p w14:paraId="6A95CEA8" w14:textId="77777777" w:rsidR="00E45FD2" w:rsidRDefault="00000000">
      <w:pPr>
        <w:pStyle w:val="Heading1"/>
        <w:rPr>
          <w:rFonts w:ascii="Arial" w:eastAsia="Arial" w:hAnsi="Arial" w:cs="Arial"/>
          <w:sz w:val="28"/>
          <w:szCs w:val="28"/>
        </w:rPr>
      </w:pPr>
      <w:bookmarkStart w:id="14" w:name="_heading=h.nvfing7mrdw3" w:colFirst="0" w:colLast="0"/>
      <w:bookmarkEnd w:id="14"/>
      <w:r>
        <w:rPr>
          <w:rFonts w:ascii="Arial" w:eastAsia="Arial" w:hAnsi="Arial" w:cs="Arial"/>
          <w:sz w:val="28"/>
          <w:szCs w:val="28"/>
        </w:rPr>
        <w:t>6. Stakeholder Analysis:</w:t>
      </w:r>
    </w:p>
    <w:p w14:paraId="1025EFAE" w14:textId="49DCB430" w:rsidR="00E45FD2" w:rsidRDefault="00EF54C5">
      <w:pPr>
        <w:spacing w:before="240" w:line="360" w:lineRule="auto"/>
        <w:jc w:val="both"/>
        <w:rPr>
          <w:rFonts w:ascii="Arial" w:eastAsia="Arial" w:hAnsi="Arial" w:cs="Arial"/>
        </w:rPr>
      </w:pPr>
      <w:r>
        <w:rPr>
          <w:rFonts w:ascii="Arial" w:eastAsia="Arial" w:hAnsi="Arial" w:cs="Arial"/>
        </w:rPr>
        <w:t>Vodafone Three’s</w:t>
      </w:r>
      <w:r w:rsidR="00000000">
        <w:rPr>
          <w:rFonts w:ascii="Arial" w:eastAsia="Arial" w:hAnsi="Arial" w:cs="Arial"/>
        </w:rPr>
        <w:t xml:space="preserve"> customer experience strategy, achieved through 5G innovation, will impact on a diverse mix of stakeholders: customers, employees, regulators, suppliers, shareholders and local communities. </w:t>
      </w:r>
    </w:p>
    <w:p w14:paraId="1A68A83A" w14:textId="77777777" w:rsidR="00E45FD2" w:rsidRDefault="00000000">
      <w:pPr>
        <w:spacing w:before="240" w:line="360" w:lineRule="auto"/>
        <w:jc w:val="both"/>
        <w:rPr>
          <w:rFonts w:ascii="Arial" w:eastAsia="Arial" w:hAnsi="Arial" w:cs="Arial"/>
        </w:rPr>
      </w:pPr>
      <w:r>
        <w:rPr>
          <w:rFonts w:ascii="Arial" w:eastAsia="Arial" w:hAnsi="Arial" w:cs="Arial"/>
        </w:rPr>
        <w:t xml:space="preserve">Customers are more interested and powerful, but they are sensitive to higher prices, and they can gain higher reliability, higher speed and superior digital services (Kotler &amp; Keller, 2022). As a result of the new job demands imposed upon staff in jobs related to digital innovation, 5G deployment and customer experience, training has become an important consideration in plans to boost competitiveness and job security (Johnson et al., 2020). Regulators (Ofcom, 2025) have a strong influence and are likely to listen to anything regarding the improvement of the quality of networks, regarding digital inclusion, and of course, regarding pricing and data privacy. Since no shareholder desires a quick get-rich scheme, differentiation will work better despite high investment for sustainable returns, Grant (2022) added. As for suppliers and partners, there will be an extra need to use </w:t>
      </w:r>
      <w:r>
        <w:rPr>
          <w:rFonts w:ascii="Arial" w:eastAsia="Arial" w:hAnsi="Arial" w:cs="Arial"/>
        </w:rPr>
        <w:lastRenderedPageBreak/>
        <w:t>improved technology, in turn boosting collaboration (Ghosh, 2023). Better connectivity and digital inclusion, along with job creation, add to the sustainability requirements of Vodafone that benefits communities and society (Elkington, 2018).</w:t>
      </w:r>
    </w:p>
    <w:p w14:paraId="3C0A6D85" w14:textId="77777777" w:rsidR="00E45FD2" w:rsidRDefault="00000000">
      <w:pPr>
        <w:pStyle w:val="Heading2"/>
        <w:jc w:val="both"/>
        <w:rPr>
          <w:rFonts w:ascii="Arial" w:eastAsia="Arial" w:hAnsi="Arial" w:cs="Arial"/>
          <w:sz w:val="28"/>
          <w:szCs w:val="28"/>
        </w:rPr>
      </w:pPr>
      <w:bookmarkStart w:id="15" w:name="_heading=h.f2fokjnq9usy" w:colFirst="0" w:colLast="0"/>
      <w:bookmarkEnd w:id="15"/>
      <w:r>
        <w:rPr>
          <w:rFonts w:ascii="Arial" w:eastAsia="Arial" w:hAnsi="Arial" w:cs="Arial"/>
          <w:sz w:val="28"/>
          <w:szCs w:val="28"/>
        </w:rPr>
        <w:t>Stakeholder Engagement Plan:</w:t>
      </w:r>
    </w:p>
    <w:p w14:paraId="771866D9" w14:textId="080B2C36" w:rsidR="00E45FD2" w:rsidRDefault="00000000">
      <w:pPr>
        <w:spacing w:before="240" w:line="360" w:lineRule="auto"/>
        <w:jc w:val="both"/>
        <w:rPr>
          <w:rFonts w:ascii="Arial" w:eastAsia="Arial" w:hAnsi="Arial" w:cs="Arial"/>
        </w:rPr>
      </w:pPr>
      <w:r>
        <w:rPr>
          <w:rFonts w:ascii="Arial" w:eastAsia="Arial" w:hAnsi="Arial" w:cs="Arial"/>
        </w:rPr>
        <w:t xml:space="preserve">The engagement plan should aim to gain buying from the stakeholders. Where high-power parties, such as regulators and customers, are involved, then careful management is required, involving clear communication, service quality reporting and compliance assurance (Freeman, 1984). To encourage participation of employees in innovation activities, training </w:t>
      </w:r>
      <w:r w:rsidR="00EF54C5">
        <w:rPr>
          <w:rFonts w:ascii="Arial" w:eastAsia="Arial" w:hAnsi="Arial" w:cs="Arial"/>
        </w:rPr>
        <w:t>programmers</w:t>
      </w:r>
      <w:r>
        <w:rPr>
          <w:rFonts w:ascii="Arial" w:eastAsia="Arial" w:hAnsi="Arial" w:cs="Arial"/>
        </w:rPr>
        <w:t xml:space="preserve">, and internal communication are required (Johnson et al., 2020). The management should be able to update the shareholders with respect to their financial performance and plan. Digital inclusion and sustainability </w:t>
      </w:r>
      <w:r w:rsidR="00EF54C5">
        <w:rPr>
          <w:rFonts w:ascii="Arial" w:eastAsia="Arial" w:hAnsi="Arial" w:cs="Arial"/>
        </w:rPr>
        <w:t>programmers</w:t>
      </w:r>
      <w:r>
        <w:rPr>
          <w:rFonts w:ascii="Arial" w:eastAsia="Arial" w:hAnsi="Arial" w:cs="Arial"/>
        </w:rPr>
        <w:t xml:space="preserve"> to engage communities.</w:t>
      </w:r>
    </w:p>
    <w:p w14:paraId="7E2E835F" w14:textId="77777777" w:rsidR="00E45FD2" w:rsidRDefault="00000000">
      <w:pPr>
        <w:pStyle w:val="Heading1"/>
        <w:rPr>
          <w:rFonts w:ascii="Arial" w:eastAsia="Arial" w:hAnsi="Arial" w:cs="Arial"/>
          <w:sz w:val="28"/>
          <w:szCs w:val="28"/>
        </w:rPr>
      </w:pPr>
      <w:bookmarkStart w:id="16" w:name="_heading=h.oof2o19j5oe9" w:colFirst="0" w:colLast="0"/>
      <w:bookmarkEnd w:id="16"/>
      <w:r>
        <w:rPr>
          <w:rFonts w:ascii="Arial" w:eastAsia="Arial" w:hAnsi="Arial" w:cs="Arial"/>
          <w:sz w:val="28"/>
          <w:szCs w:val="28"/>
        </w:rPr>
        <w:t>7. Implementation and Monitoring:</w:t>
      </w:r>
    </w:p>
    <w:p w14:paraId="5972CD1E" w14:textId="77777777" w:rsidR="00E45FD2" w:rsidRDefault="00000000">
      <w:pPr>
        <w:pStyle w:val="Heading2"/>
        <w:jc w:val="both"/>
        <w:rPr>
          <w:rFonts w:ascii="Arial" w:eastAsia="Arial" w:hAnsi="Arial" w:cs="Arial"/>
          <w:sz w:val="28"/>
          <w:szCs w:val="28"/>
        </w:rPr>
      </w:pPr>
      <w:bookmarkStart w:id="17" w:name="_heading=h.g83l7t2hbu0u" w:colFirst="0" w:colLast="0"/>
      <w:bookmarkEnd w:id="17"/>
      <w:r>
        <w:rPr>
          <w:rFonts w:ascii="Arial" w:eastAsia="Arial" w:hAnsi="Arial" w:cs="Arial"/>
          <w:sz w:val="28"/>
          <w:szCs w:val="28"/>
        </w:rPr>
        <w:t>7.1 Strategic Objectives:</w:t>
      </w:r>
    </w:p>
    <w:p w14:paraId="2433F09C" w14:textId="77777777" w:rsidR="00E45FD2" w:rsidRDefault="00000000">
      <w:pPr>
        <w:spacing w:before="240" w:line="360" w:lineRule="auto"/>
        <w:jc w:val="both"/>
        <w:rPr>
          <w:rFonts w:ascii="Arial" w:eastAsia="Arial" w:hAnsi="Arial" w:cs="Arial"/>
        </w:rPr>
      </w:pPr>
      <w:r>
        <w:rPr>
          <w:rFonts w:ascii="Arial" w:eastAsia="Arial" w:hAnsi="Arial" w:cs="Arial"/>
        </w:rPr>
        <w:t xml:space="preserve">These are the strategic objectives that support the differentiation strategy: </w:t>
      </w:r>
    </w:p>
    <w:p w14:paraId="77A25C0C" w14:textId="1FAFE170" w:rsidR="00E45FD2" w:rsidRDefault="00000000">
      <w:pPr>
        <w:numPr>
          <w:ilvl w:val="0"/>
          <w:numId w:val="3"/>
        </w:numPr>
        <w:pBdr>
          <w:top w:val="nil"/>
          <w:left w:val="nil"/>
          <w:bottom w:val="nil"/>
          <w:right w:val="nil"/>
          <w:between w:val="nil"/>
        </w:pBdr>
        <w:spacing w:before="240" w:after="0" w:line="360" w:lineRule="auto"/>
        <w:jc w:val="both"/>
        <w:rPr>
          <w:rFonts w:ascii="Arial" w:eastAsia="Arial" w:hAnsi="Arial" w:cs="Arial"/>
          <w:color w:val="000000"/>
        </w:rPr>
      </w:pPr>
      <w:r>
        <w:rPr>
          <w:rFonts w:ascii="Arial" w:eastAsia="Arial" w:hAnsi="Arial" w:cs="Arial"/>
          <w:color w:val="000000"/>
        </w:rPr>
        <w:t xml:space="preserve">Deliver higher quality network performances and digital service innovation to customers. This fits the values that Vodafone stands for (Speed, simplicity and trust) and represents customers' needs </w:t>
      </w:r>
      <w:r w:rsidR="00EF54C5">
        <w:rPr>
          <w:rFonts w:ascii="Arial" w:eastAsia="Arial" w:hAnsi="Arial" w:cs="Arial"/>
          <w:color w:val="000000"/>
        </w:rPr>
        <w:t>regarding</w:t>
      </w:r>
      <w:r>
        <w:rPr>
          <w:rFonts w:ascii="Arial" w:eastAsia="Arial" w:hAnsi="Arial" w:cs="Arial"/>
          <w:color w:val="000000"/>
        </w:rPr>
        <w:t xml:space="preserve"> reliability and </w:t>
      </w:r>
      <w:r w:rsidR="00EF54C5">
        <w:rPr>
          <w:rFonts w:ascii="Arial" w:eastAsia="Arial" w:hAnsi="Arial" w:cs="Arial"/>
          <w:color w:val="000000"/>
        </w:rPr>
        <w:t>digitalization</w:t>
      </w:r>
      <w:r>
        <w:rPr>
          <w:rFonts w:ascii="Arial" w:eastAsia="Arial" w:hAnsi="Arial" w:cs="Arial"/>
          <w:color w:val="000000"/>
        </w:rPr>
        <w:t xml:space="preserve"> (Kotler &amp; Keller, 2022). </w:t>
      </w:r>
    </w:p>
    <w:p w14:paraId="2AB22E39" w14:textId="77777777" w:rsidR="00E45FD2" w:rsidRDefault="00000000">
      <w:pPr>
        <w:numPr>
          <w:ilvl w:val="0"/>
          <w:numId w:val="3"/>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Fast-track the national journey towards becoming a stand-alone 5G leader. With the swift pace of technological progress, infrastructure investments need to be kept up to ensure competitive advantage (Ghosh, 2023).</w:t>
      </w:r>
    </w:p>
    <w:p w14:paraId="10A40FE9" w14:textId="2FA12787" w:rsidR="00E45FD2" w:rsidRDefault="00000000">
      <w:pPr>
        <w:numPr>
          <w:ilvl w:val="0"/>
          <w:numId w:val="3"/>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Develop digital solutions with added value such as IoT platforms, smart home solutions and enterprise connectivity. These services will continue to ensure that </w:t>
      </w:r>
      <w:r w:rsidR="00EF54C5">
        <w:rPr>
          <w:rFonts w:ascii="Arial" w:eastAsia="Arial" w:hAnsi="Arial" w:cs="Arial"/>
          <w:color w:val="000000"/>
        </w:rPr>
        <w:t>Vodafone Three</w:t>
      </w:r>
      <w:r>
        <w:rPr>
          <w:rFonts w:ascii="Arial" w:eastAsia="Arial" w:hAnsi="Arial" w:cs="Arial"/>
          <w:color w:val="000000"/>
        </w:rPr>
        <w:t xml:space="preserve"> will have a long-term income diversification and boost its market, (Grant, 2022). </w:t>
      </w:r>
    </w:p>
    <w:p w14:paraId="010310E6" w14:textId="77777777" w:rsidR="00E45FD2" w:rsidRDefault="00000000">
      <w:pPr>
        <w:numPr>
          <w:ilvl w:val="0"/>
          <w:numId w:val="3"/>
        </w:num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Tech &amp; Training to enhance Customer service skills. Good customer service can help lower customer churn and induce customer loyalty (Accenture, 2024).</w:t>
      </w:r>
    </w:p>
    <w:p w14:paraId="6DAC0452" w14:textId="77777777" w:rsidR="00E45FD2" w:rsidRDefault="00000000">
      <w:pPr>
        <w:pStyle w:val="Heading2"/>
        <w:jc w:val="both"/>
        <w:rPr>
          <w:rFonts w:ascii="Arial" w:eastAsia="Arial" w:hAnsi="Arial" w:cs="Arial"/>
          <w:sz w:val="28"/>
          <w:szCs w:val="28"/>
        </w:rPr>
      </w:pPr>
      <w:bookmarkStart w:id="18" w:name="_heading=h.cmx99vu24gkw" w:colFirst="0" w:colLast="0"/>
      <w:bookmarkEnd w:id="18"/>
      <w:r>
        <w:rPr>
          <w:rFonts w:ascii="Arial" w:eastAsia="Arial" w:hAnsi="Arial" w:cs="Arial"/>
          <w:sz w:val="28"/>
          <w:szCs w:val="28"/>
        </w:rPr>
        <w:lastRenderedPageBreak/>
        <w:t>7.2 Action Plan:</w:t>
      </w:r>
    </w:p>
    <w:p w14:paraId="7B2EA38A" w14:textId="77777777" w:rsidR="00E45FD2" w:rsidRDefault="00000000">
      <w:pPr>
        <w:spacing w:before="240" w:line="360" w:lineRule="auto"/>
        <w:jc w:val="both"/>
        <w:rPr>
          <w:rFonts w:ascii="Arial" w:eastAsia="Arial" w:hAnsi="Arial" w:cs="Arial"/>
        </w:rPr>
      </w:pPr>
      <w:r>
        <w:rPr>
          <w:rFonts w:ascii="Arial" w:eastAsia="Arial" w:hAnsi="Arial" w:cs="Arial"/>
        </w:rPr>
        <w:t>A plan for action is designed under the system approach for its implementation:</w:t>
      </w:r>
    </w:p>
    <w:p w14:paraId="4744E423" w14:textId="77777777" w:rsidR="00E45FD2" w:rsidRDefault="00000000">
      <w:pPr>
        <w:numPr>
          <w:ilvl w:val="0"/>
          <w:numId w:val="1"/>
        </w:numPr>
        <w:spacing w:before="240" w:line="360" w:lineRule="auto"/>
        <w:jc w:val="both"/>
      </w:pPr>
      <w:r>
        <w:rPr>
          <w:rFonts w:ascii="Arial" w:eastAsia="Arial" w:hAnsi="Arial" w:cs="Arial"/>
          <w:b/>
          <w:bCs/>
        </w:rPr>
        <w:t>Network Enhancement:</w:t>
      </w:r>
      <w:r>
        <w:rPr>
          <w:rFonts w:ascii="Arial" w:eastAsia="Arial" w:hAnsi="Arial" w:cs="Arial"/>
        </w:rPr>
        <w:t xml:space="preserve"> 5G base station investment, network upgrade, and coverage expansion to the under-served areas. To enable the timely deployment, the company will be collaborating with its suppliers like Ericsson and Nokia (Ghosh, 2023).</w:t>
      </w:r>
    </w:p>
    <w:p w14:paraId="38F0E80F" w14:textId="77777777" w:rsidR="00E45FD2" w:rsidRDefault="00000000">
      <w:pPr>
        <w:numPr>
          <w:ilvl w:val="0"/>
          <w:numId w:val="1"/>
        </w:numPr>
        <w:spacing w:before="240" w:line="360" w:lineRule="auto"/>
        <w:jc w:val="both"/>
      </w:pPr>
      <w:r>
        <w:rPr>
          <w:rFonts w:ascii="Arial" w:eastAsia="Arial" w:hAnsi="Arial" w:cs="Arial"/>
          <w:b/>
          <w:bCs/>
        </w:rPr>
        <w:t>Digital Service Innovation:</w:t>
      </w:r>
      <w:r>
        <w:rPr>
          <w:rFonts w:ascii="Arial" w:eastAsia="Arial" w:hAnsi="Arial" w:cs="Arial"/>
        </w:rPr>
        <w:t xml:space="preserve"> Create cross-functional innovation teams for the creation of IoT, cloud and smart home solutions. Collaborating with tech companies helps to speed up product development (Johnson et al., 2020).</w:t>
      </w:r>
    </w:p>
    <w:p w14:paraId="0D035D05" w14:textId="53C33DB5" w:rsidR="00E45FD2" w:rsidRDefault="00000000">
      <w:pPr>
        <w:numPr>
          <w:ilvl w:val="0"/>
          <w:numId w:val="1"/>
        </w:numPr>
        <w:spacing w:before="240" w:line="360" w:lineRule="auto"/>
        <w:jc w:val="both"/>
      </w:pPr>
      <w:r>
        <w:rPr>
          <w:rFonts w:ascii="Arial" w:eastAsia="Arial" w:hAnsi="Arial" w:cs="Arial"/>
          <w:b/>
          <w:bCs/>
        </w:rPr>
        <w:t>Customer-Experience Improvements:</w:t>
      </w:r>
      <w:r>
        <w:rPr>
          <w:rFonts w:ascii="Arial" w:eastAsia="Arial" w:hAnsi="Arial" w:cs="Arial"/>
        </w:rPr>
        <w:t xml:space="preserve"> Integrate AI-based customer support, </w:t>
      </w:r>
      <w:r w:rsidR="00EF54C5">
        <w:rPr>
          <w:rFonts w:ascii="Arial" w:eastAsia="Arial" w:hAnsi="Arial" w:cs="Arial"/>
        </w:rPr>
        <w:t>optimize</w:t>
      </w:r>
      <w:r>
        <w:rPr>
          <w:rFonts w:ascii="Arial" w:eastAsia="Arial" w:hAnsi="Arial" w:cs="Arial"/>
        </w:rPr>
        <w:t xml:space="preserve"> customer journeys and create improved self-service opportunities to improve customer experience (Kotler &amp; Keller, 2022).</w:t>
      </w:r>
    </w:p>
    <w:p w14:paraId="55144CED" w14:textId="77777777" w:rsidR="00E45FD2" w:rsidRDefault="00000000">
      <w:pPr>
        <w:numPr>
          <w:ilvl w:val="0"/>
          <w:numId w:val="1"/>
        </w:numPr>
        <w:spacing w:before="240" w:line="360" w:lineRule="auto"/>
        <w:jc w:val="both"/>
      </w:pPr>
      <w:r>
        <w:rPr>
          <w:rFonts w:ascii="Arial" w:eastAsia="Arial" w:hAnsi="Arial" w:cs="Arial"/>
          <w:b/>
          <w:bCs/>
        </w:rPr>
        <w:t>Employee Training:</w:t>
      </w:r>
      <w:r>
        <w:rPr>
          <w:rFonts w:ascii="Arial" w:eastAsia="Arial" w:hAnsi="Arial" w:cs="Arial"/>
        </w:rPr>
        <w:t xml:space="preserve"> Provide employee readiness by conducting digital skills, customer experience management training and 5G technologies (Grant, 2022).</w:t>
      </w:r>
    </w:p>
    <w:p w14:paraId="06D7FE36" w14:textId="77777777" w:rsidR="00E45FD2" w:rsidRDefault="00000000">
      <w:pPr>
        <w:numPr>
          <w:ilvl w:val="0"/>
          <w:numId w:val="1"/>
        </w:numPr>
        <w:spacing w:before="240" w:line="360" w:lineRule="auto"/>
        <w:jc w:val="both"/>
      </w:pPr>
      <w:r>
        <w:rPr>
          <w:rFonts w:ascii="Arial" w:eastAsia="Arial" w:hAnsi="Arial" w:cs="Arial"/>
          <w:b/>
          <w:bCs/>
        </w:rPr>
        <w:t>Regulatory Compliance:</w:t>
      </w:r>
      <w:r>
        <w:rPr>
          <w:rFonts w:ascii="Arial" w:eastAsia="Arial" w:hAnsi="Arial" w:cs="Arial"/>
        </w:rPr>
        <w:t xml:space="preserve"> Continuous monitoring for regulatory issues such as data protection compliance, competition law and network quality standards with Ofcom (Ofcom, 2025).</w:t>
      </w:r>
    </w:p>
    <w:p w14:paraId="2740167D" w14:textId="77777777" w:rsidR="00E45FD2" w:rsidRDefault="00000000">
      <w:pPr>
        <w:pStyle w:val="Heading2"/>
        <w:jc w:val="both"/>
        <w:rPr>
          <w:rFonts w:ascii="Arial" w:eastAsia="Arial" w:hAnsi="Arial" w:cs="Arial"/>
          <w:sz w:val="28"/>
          <w:szCs w:val="28"/>
        </w:rPr>
      </w:pPr>
      <w:bookmarkStart w:id="19" w:name="_heading=h.lv229x2wmll9" w:colFirst="0" w:colLast="0"/>
      <w:bookmarkEnd w:id="19"/>
      <w:r>
        <w:rPr>
          <w:rFonts w:ascii="Arial" w:eastAsia="Arial" w:hAnsi="Arial" w:cs="Arial"/>
          <w:sz w:val="28"/>
          <w:szCs w:val="28"/>
        </w:rPr>
        <w:t>7.3 Key Performance Indicators (KPIs):</w:t>
      </w:r>
    </w:p>
    <w:p w14:paraId="60AB8E14" w14:textId="77777777" w:rsidR="00E45FD2" w:rsidRDefault="00000000">
      <w:pPr>
        <w:spacing w:before="240" w:line="360" w:lineRule="auto"/>
        <w:jc w:val="both"/>
        <w:rPr>
          <w:rFonts w:ascii="Arial" w:eastAsia="Arial" w:hAnsi="Arial" w:cs="Arial"/>
        </w:rPr>
      </w:pPr>
      <w:r>
        <w:rPr>
          <w:rFonts w:ascii="Arial" w:eastAsia="Arial" w:hAnsi="Arial" w:cs="Arial"/>
        </w:rPr>
        <w:t>KPIs help to measure the progress and performance of the strategy:</w:t>
      </w:r>
    </w:p>
    <w:p w14:paraId="307678D9" w14:textId="77777777" w:rsidR="00E45FD2" w:rsidRDefault="00000000">
      <w:pPr>
        <w:numPr>
          <w:ilvl w:val="0"/>
          <w:numId w:val="2"/>
        </w:numPr>
        <w:spacing w:before="240" w:line="360" w:lineRule="auto"/>
        <w:jc w:val="both"/>
      </w:pPr>
      <w:r>
        <w:rPr>
          <w:rFonts w:ascii="Arial" w:eastAsia="Arial" w:hAnsi="Arial" w:cs="Arial"/>
          <w:b/>
          <w:bCs/>
        </w:rPr>
        <w:t>Network KPIs:</w:t>
      </w:r>
      <w:r>
        <w:rPr>
          <w:rFonts w:ascii="Arial" w:eastAsia="Arial" w:hAnsi="Arial" w:cs="Arial"/>
        </w:rPr>
        <w:t xml:space="preserve"> The percentage of 5G coverage in the area, the average download/upload speed of the network in the area, and the average latency performance of the network in the area.</w:t>
      </w:r>
    </w:p>
    <w:p w14:paraId="4C06DFAB" w14:textId="77777777" w:rsidR="00E45FD2" w:rsidRDefault="00000000">
      <w:pPr>
        <w:numPr>
          <w:ilvl w:val="0"/>
          <w:numId w:val="2"/>
        </w:numPr>
        <w:spacing w:before="240" w:line="360" w:lineRule="auto"/>
        <w:jc w:val="both"/>
      </w:pPr>
      <w:r>
        <w:rPr>
          <w:rFonts w:ascii="Arial" w:eastAsia="Arial" w:hAnsi="Arial" w:cs="Arial"/>
          <w:b/>
          <w:bCs/>
        </w:rPr>
        <w:t>Customer KPIs:</w:t>
      </w:r>
      <w:r>
        <w:rPr>
          <w:rFonts w:ascii="Arial" w:eastAsia="Arial" w:hAnsi="Arial" w:cs="Arial"/>
        </w:rPr>
        <w:t xml:space="preserve"> Net Promoter Score (NPS), customer satisfaction index, churn rate.</w:t>
      </w:r>
    </w:p>
    <w:p w14:paraId="3EBF7DDC" w14:textId="56B307B2" w:rsidR="00E45FD2" w:rsidRDefault="00000000">
      <w:pPr>
        <w:numPr>
          <w:ilvl w:val="0"/>
          <w:numId w:val="2"/>
        </w:numPr>
        <w:spacing w:before="240" w:line="360" w:lineRule="auto"/>
        <w:jc w:val="both"/>
      </w:pPr>
      <w:r>
        <w:rPr>
          <w:rFonts w:ascii="Arial" w:eastAsia="Arial" w:hAnsi="Arial" w:cs="Arial"/>
          <w:b/>
          <w:bCs/>
        </w:rPr>
        <w:lastRenderedPageBreak/>
        <w:t>Financial KPIs:</w:t>
      </w:r>
      <w:r>
        <w:rPr>
          <w:rFonts w:ascii="Arial" w:eastAsia="Arial" w:hAnsi="Arial" w:cs="Arial"/>
        </w:rPr>
        <w:t xml:space="preserve"> ARPU growth, digital service revenue &amp; cost synergy </w:t>
      </w:r>
      <w:r w:rsidR="00EF54C5">
        <w:rPr>
          <w:rFonts w:ascii="Arial" w:eastAsia="Arial" w:hAnsi="Arial" w:cs="Arial"/>
        </w:rPr>
        <w:t>realization</w:t>
      </w:r>
      <w:r>
        <w:rPr>
          <w:rFonts w:ascii="Arial" w:eastAsia="Arial" w:hAnsi="Arial" w:cs="Arial"/>
        </w:rPr>
        <w:t xml:space="preserve"> are financial KPIs.</w:t>
      </w:r>
    </w:p>
    <w:p w14:paraId="534C397C" w14:textId="4EBC4C4B" w:rsidR="00E45FD2" w:rsidRDefault="00000000">
      <w:pPr>
        <w:numPr>
          <w:ilvl w:val="0"/>
          <w:numId w:val="2"/>
        </w:numPr>
        <w:spacing w:before="240" w:line="360" w:lineRule="auto"/>
        <w:jc w:val="both"/>
      </w:pPr>
      <w:r>
        <w:rPr>
          <w:rFonts w:ascii="Arial" w:eastAsia="Arial" w:hAnsi="Arial" w:cs="Arial"/>
          <w:b/>
          <w:bCs/>
        </w:rPr>
        <w:t>Operational KPIs:</w:t>
      </w:r>
      <w:r>
        <w:rPr>
          <w:rFonts w:ascii="Arial" w:eastAsia="Arial" w:hAnsi="Arial" w:cs="Arial"/>
        </w:rPr>
        <w:t xml:space="preserve"> </w:t>
      </w:r>
      <w:r w:rsidR="00EF54C5">
        <w:rPr>
          <w:rFonts w:ascii="Arial" w:eastAsia="Arial" w:hAnsi="Arial" w:cs="Arial"/>
        </w:rPr>
        <w:t>Several</w:t>
      </w:r>
      <w:r>
        <w:rPr>
          <w:rFonts w:ascii="Arial" w:eastAsia="Arial" w:hAnsi="Arial" w:cs="Arial"/>
        </w:rPr>
        <w:t xml:space="preserve"> new digital services launched, employee training completion %.</w:t>
      </w:r>
    </w:p>
    <w:p w14:paraId="2E463EB6" w14:textId="4D679CAD" w:rsidR="00E45FD2" w:rsidRDefault="00000000">
      <w:pPr>
        <w:spacing w:before="240" w:line="360" w:lineRule="auto"/>
        <w:jc w:val="both"/>
        <w:rPr>
          <w:rFonts w:ascii="Arial" w:eastAsia="Arial" w:hAnsi="Arial" w:cs="Arial"/>
        </w:rPr>
      </w:pPr>
      <w:r>
        <w:rPr>
          <w:rFonts w:ascii="Arial" w:eastAsia="Arial" w:hAnsi="Arial" w:cs="Arial"/>
        </w:rPr>
        <w:t xml:space="preserve">These KPIs enable </w:t>
      </w:r>
      <w:r w:rsidR="00EF54C5">
        <w:rPr>
          <w:rFonts w:ascii="Arial" w:eastAsia="Arial" w:hAnsi="Arial" w:cs="Arial"/>
        </w:rPr>
        <w:t>Vodafone Three</w:t>
      </w:r>
      <w:r>
        <w:rPr>
          <w:rFonts w:ascii="Arial" w:eastAsia="Arial" w:hAnsi="Arial" w:cs="Arial"/>
        </w:rPr>
        <w:t xml:space="preserve"> to understand how they are performing and take the required steps to improve, if needed. To remain strategically aligned and competitively viable in the long term, continuous monitoring is crucial (Johnson et al., 2020).</w:t>
      </w:r>
    </w:p>
    <w:p w14:paraId="57E09ED6" w14:textId="77777777" w:rsidR="00E45FD2" w:rsidRDefault="00000000">
      <w:pPr>
        <w:pStyle w:val="Heading1"/>
        <w:rPr>
          <w:rFonts w:ascii="Arial" w:eastAsia="Arial" w:hAnsi="Arial" w:cs="Arial"/>
          <w:sz w:val="28"/>
          <w:szCs w:val="28"/>
        </w:rPr>
      </w:pPr>
      <w:bookmarkStart w:id="20" w:name="_heading=h.hjtapqs69fwr" w:colFirst="0" w:colLast="0"/>
      <w:bookmarkEnd w:id="20"/>
      <w:r>
        <w:rPr>
          <w:rFonts w:ascii="Arial" w:eastAsia="Arial" w:hAnsi="Arial" w:cs="Arial"/>
          <w:sz w:val="28"/>
          <w:szCs w:val="28"/>
        </w:rPr>
        <w:t>8. Conclusion:</w:t>
      </w:r>
    </w:p>
    <w:p w14:paraId="5F3A65F6" w14:textId="655F967E" w:rsidR="00E45FD2" w:rsidRDefault="00000000">
      <w:pPr>
        <w:spacing w:before="240" w:line="360" w:lineRule="auto"/>
        <w:jc w:val="both"/>
        <w:rPr>
          <w:rFonts w:ascii="Arial" w:eastAsia="Arial" w:hAnsi="Arial" w:cs="Arial"/>
        </w:rPr>
      </w:pPr>
      <w:r>
        <w:rPr>
          <w:rFonts w:ascii="Arial" w:eastAsia="Arial" w:hAnsi="Arial" w:cs="Arial"/>
        </w:rPr>
        <w:t xml:space="preserve">Vodafone Three's arrival onto the network will certainly present some challenging issues and </w:t>
      </w:r>
      <w:r w:rsidR="00EF54C5">
        <w:rPr>
          <w:rFonts w:ascii="Arial" w:eastAsia="Arial" w:hAnsi="Arial" w:cs="Arial"/>
        </w:rPr>
        <w:t>open</w:t>
      </w:r>
      <w:r>
        <w:rPr>
          <w:rFonts w:ascii="Arial" w:eastAsia="Arial" w:hAnsi="Arial" w:cs="Arial"/>
        </w:rPr>
        <w:t xml:space="preserve"> huge opportunities in an ever-changing telecom landscape. This report has identified that sustainable growth and a continued battle-winning advantage in the longer term can be achieved through a customer experience differentiation &amp; innovation approach through 5G. The environmental analysis also highlighted that, to face the competition and to satisfy customers' growing expectations, the performance of the network, the development of digital services and a better customer relationship are essential. The SFA evaluation process indicated that the recommended approach was appropriate, feasible and acceptable to key stakeholders, with the stakeholder analysis and implementation plan giving clear actions and monitoring mechanisms for its successful implementation. By relying on its innovations, service quality, customer-centric approach, and operations, Vodafone Three will reinforce the market position and generate long-term value for all its stakeholders.</w:t>
      </w:r>
    </w:p>
    <w:p w14:paraId="5E666F9F" w14:textId="77777777" w:rsidR="00E45FD2" w:rsidRDefault="00E45FD2">
      <w:pPr>
        <w:spacing w:before="240" w:line="360" w:lineRule="auto"/>
        <w:jc w:val="both"/>
        <w:rPr>
          <w:rFonts w:ascii="Arial" w:eastAsia="Arial" w:hAnsi="Arial" w:cs="Arial"/>
        </w:rPr>
      </w:pPr>
    </w:p>
    <w:p w14:paraId="1AD51E20" w14:textId="77777777" w:rsidR="00E45FD2" w:rsidRDefault="00E45FD2">
      <w:pPr>
        <w:spacing w:before="240" w:line="360" w:lineRule="auto"/>
        <w:jc w:val="both"/>
        <w:rPr>
          <w:rFonts w:ascii="Arial" w:eastAsia="Arial" w:hAnsi="Arial" w:cs="Arial"/>
        </w:rPr>
      </w:pPr>
    </w:p>
    <w:p w14:paraId="7CF172A9" w14:textId="77777777" w:rsidR="00E45FD2" w:rsidRDefault="00E45FD2">
      <w:pPr>
        <w:spacing w:before="240" w:line="360" w:lineRule="auto"/>
        <w:jc w:val="both"/>
        <w:rPr>
          <w:rFonts w:ascii="Arial" w:eastAsia="Arial" w:hAnsi="Arial" w:cs="Arial"/>
        </w:rPr>
      </w:pPr>
    </w:p>
    <w:p w14:paraId="55C8B0B5" w14:textId="77777777" w:rsidR="00E45FD2" w:rsidRDefault="00E45FD2">
      <w:pPr>
        <w:pStyle w:val="Heading2"/>
        <w:jc w:val="both"/>
        <w:rPr>
          <w:rFonts w:ascii="Arial" w:eastAsia="Arial" w:hAnsi="Arial" w:cs="Arial"/>
        </w:rPr>
      </w:pPr>
    </w:p>
    <w:p w14:paraId="0F2FFE93" w14:textId="77777777" w:rsidR="00E45FD2" w:rsidRDefault="00E45FD2">
      <w:pPr>
        <w:spacing w:before="240" w:line="360" w:lineRule="auto"/>
        <w:jc w:val="both"/>
        <w:rPr>
          <w:rFonts w:ascii="Arial" w:eastAsia="Arial" w:hAnsi="Arial" w:cs="Arial"/>
        </w:rPr>
      </w:pPr>
    </w:p>
    <w:p w14:paraId="3F4619AE" w14:textId="77777777" w:rsidR="00E45FD2" w:rsidRDefault="00000000">
      <w:pPr>
        <w:pStyle w:val="Heading1"/>
        <w:rPr>
          <w:rFonts w:ascii="Arial" w:eastAsia="Arial" w:hAnsi="Arial" w:cs="Arial"/>
          <w:sz w:val="28"/>
          <w:szCs w:val="28"/>
        </w:rPr>
      </w:pPr>
      <w:bookmarkStart w:id="21" w:name="_heading=h.e2wvx8xhwci7" w:colFirst="0" w:colLast="0"/>
      <w:bookmarkEnd w:id="21"/>
      <w:r>
        <w:rPr>
          <w:rFonts w:ascii="Arial" w:eastAsia="Arial" w:hAnsi="Arial" w:cs="Arial"/>
          <w:sz w:val="28"/>
          <w:szCs w:val="28"/>
        </w:rPr>
        <w:lastRenderedPageBreak/>
        <w:t>References:</w:t>
      </w:r>
    </w:p>
    <w:p w14:paraId="7F53FE9A" w14:textId="77777777" w:rsidR="00E45FD2" w:rsidRDefault="00000000">
      <w:pPr>
        <w:spacing w:before="240" w:line="360" w:lineRule="auto"/>
        <w:jc w:val="both"/>
        <w:rPr>
          <w:rFonts w:ascii="Arial" w:eastAsia="Arial" w:hAnsi="Arial" w:cs="Arial"/>
        </w:rPr>
      </w:pPr>
      <w:r>
        <w:rPr>
          <w:rFonts w:ascii="Arial" w:eastAsia="Arial" w:hAnsi="Arial" w:cs="Arial"/>
        </w:rPr>
        <w:t xml:space="preserve">Accenture (2024) </w:t>
      </w:r>
      <w:r>
        <w:rPr>
          <w:rFonts w:ascii="Arial" w:eastAsia="Arial" w:hAnsi="Arial" w:cs="Arial"/>
          <w:i/>
          <w:iCs/>
        </w:rPr>
        <w:t>Telecommunications Industry Outlook 2024</w:t>
      </w:r>
      <w:r>
        <w:rPr>
          <w:rFonts w:ascii="Arial" w:eastAsia="Arial" w:hAnsi="Arial" w:cs="Arial"/>
        </w:rPr>
        <w:t>. Dublin: Accenture.</w:t>
      </w:r>
    </w:p>
    <w:p w14:paraId="545B4458" w14:textId="77777777" w:rsidR="00E45FD2" w:rsidRDefault="00000000">
      <w:pPr>
        <w:spacing w:before="240" w:line="360" w:lineRule="auto"/>
        <w:jc w:val="both"/>
        <w:rPr>
          <w:rFonts w:ascii="Arial" w:eastAsia="Arial" w:hAnsi="Arial" w:cs="Arial"/>
        </w:rPr>
      </w:pPr>
      <w:r>
        <w:rPr>
          <w:rFonts w:ascii="Arial" w:eastAsia="Arial" w:hAnsi="Arial" w:cs="Arial"/>
        </w:rPr>
        <w:t xml:space="preserve">Ansoff, H.I. (1988) </w:t>
      </w:r>
      <w:r>
        <w:rPr>
          <w:rFonts w:ascii="Arial" w:eastAsia="Arial" w:hAnsi="Arial" w:cs="Arial"/>
          <w:i/>
          <w:iCs/>
        </w:rPr>
        <w:t>Corporate Strategy</w:t>
      </w:r>
      <w:r>
        <w:rPr>
          <w:rFonts w:ascii="Arial" w:eastAsia="Arial" w:hAnsi="Arial" w:cs="Arial"/>
        </w:rPr>
        <w:t>. New York: McGraw-Hill.</w:t>
      </w:r>
    </w:p>
    <w:p w14:paraId="4C59BB1C" w14:textId="77777777" w:rsidR="00E45FD2" w:rsidRDefault="00000000">
      <w:pPr>
        <w:spacing w:before="240" w:line="360" w:lineRule="auto"/>
        <w:jc w:val="both"/>
        <w:rPr>
          <w:rFonts w:ascii="Arial" w:eastAsia="Arial" w:hAnsi="Arial" w:cs="Arial"/>
        </w:rPr>
      </w:pPr>
      <w:r>
        <w:rPr>
          <w:rFonts w:ascii="Arial" w:eastAsia="Arial" w:hAnsi="Arial" w:cs="Arial"/>
        </w:rPr>
        <w:t xml:space="preserve">Deloitte (2025) </w:t>
      </w:r>
      <w:r>
        <w:rPr>
          <w:rFonts w:ascii="Arial" w:eastAsia="Arial" w:hAnsi="Arial" w:cs="Arial"/>
          <w:i/>
          <w:iCs/>
        </w:rPr>
        <w:t>UK Telecoms Market Forecasts and Merger Implications</w:t>
      </w:r>
      <w:r>
        <w:rPr>
          <w:rFonts w:ascii="Arial" w:eastAsia="Arial" w:hAnsi="Arial" w:cs="Arial"/>
        </w:rPr>
        <w:t>. London: Deloitte Insights.</w:t>
      </w:r>
    </w:p>
    <w:p w14:paraId="296C0487" w14:textId="77777777" w:rsidR="00E45FD2" w:rsidRDefault="00000000">
      <w:pPr>
        <w:spacing w:before="240" w:line="360" w:lineRule="auto"/>
        <w:jc w:val="both"/>
        <w:rPr>
          <w:rFonts w:ascii="Arial" w:eastAsia="Arial" w:hAnsi="Arial" w:cs="Arial"/>
        </w:rPr>
      </w:pPr>
      <w:r>
        <w:rPr>
          <w:rFonts w:ascii="Arial" w:eastAsia="Arial" w:hAnsi="Arial" w:cs="Arial"/>
        </w:rPr>
        <w:t xml:space="preserve">Elkington, J. (2018) </w:t>
      </w:r>
      <w:r>
        <w:rPr>
          <w:rFonts w:ascii="Arial" w:eastAsia="Arial" w:hAnsi="Arial" w:cs="Arial"/>
          <w:i/>
          <w:iCs/>
        </w:rPr>
        <w:t>25 Years of the Triple Bottom Line</w:t>
      </w:r>
      <w:r>
        <w:rPr>
          <w:rFonts w:ascii="Arial" w:eastAsia="Arial" w:hAnsi="Arial" w:cs="Arial"/>
        </w:rPr>
        <w:t>. California Management Review, 60(3), pp. 5–25.</w:t>
      </w:r>
    </w:p>
    <w:p w14:paraId="2FF68357" w14:textId="77777777" w:rsidR="00E45FD2" w:rsidRDefault="00000000">
      <w:pPr>
        <w:spacing w:before="240" w:line="360" w:lineRule="auto"/>
        <w:jc w:val="both"/>
        <w:rPr>
          <w:rFonts w:ascii="Arial" w:eastAsia="Arial" w:hAnsi="Arial" w:cs="Arial"/>
        </w:rPr>
      </w:pPr>
      <w:r>
        <w:rPr>
          <w:rFonts w:ascii="Arial" w:eastAsia="Arial" w:hAnsi="Arial" w:cs="Arial"/>
        </w:rPr>
        <w:t xml:space="preserve">Freeman, R.E. (1984) </w:t>
      </w:r>
      <w:r>
        <w:rPr>
          <w:rFonts w:ascii="Arial" w:eastAsia="Arial" w:hAnsi="Arial" w:cs="Arial"/>
          <w:i/>
          <w:iCs/>
        </w:rPr>
        <w:t>Strategic Management: A Stakeholder Approach</w:t>
      </w:r>
      <w:r>
        <w:rPr>
          <w:rFonts w:ascii="Arial" w:eastAsia="Arial" w:hAnsi="Arial" w:cs="Arial"/>
        </w:rPr>
        <w:t>. Boston: Pitman.</w:t>
      </w:r>
    </w:p>
    <w:p w14:paraId="1F196159" w14:textId="77777777" w:rsidR="00E45FD2" w:rsidRDefault="00000000">
      <w:pPr>
        <w:spacing w:before="240" w:line="360" w:lineRule="auto"/>
        <w:jc w:val="both"/>
        <w:rPr>
          <w:rFonts w:ascii="Arial" w:eastAsia="Arial" w:hAnsi="Arial" w:cs="Arial"/>
        </w:rPr>
      </w:pPr>
      <w:r>
        <w:rPr>
          <w:rFonts w:ascii="Arial" w:eastAsia="Arial" w:hAnsi="Arial" w:cs="Arial"/>
        </w:rPr>
        <w:t xml:space="preserve">Gerry, J., Scholes, K. and Whittington, R. (2020) </w:t>
      </w:r>
      <w:r>
        <w:rPr>
          <w:rFonts w:ascii="Arial" w:eastAsia="Arial" w:hAnsi="Arial" w:cs="Arial"/>
          <w:i/>
          <w:iCs/>
        </w:rPr>
        <w:t>Exploring Corporate Strategy</w:t>
      </w:r>
      <w:r>
        <w:rPr>
          <w:rFonts w:ascii="Arial" w:eastAsia="Arial" w:hAnsi="Arial" w:cs="Arial"/>
        </w:rPr>
        <w:t xml:space="preserve">. 12th </w:t>
      </w:r>
      <w:proofErr w:type="spellStart"/>
      <w:r>
        <w:rPr>
          <w:rFonts w:ascii="Arial" w:eastAsia="Arial" w:hAnsi="Arial" w:cs="Arial"/>
        </w:rPr>
        <w:t>edn</w:t>
      </w:r>
      <w:proofErr w:type="spellEnd"/>
      <w:r>
        <w:rPr>
          <w:rFonts w:ascii="Arial" w:eastAsia="Arial" w:hAnsi="Arial" w:cs="Arial"/>
        </w:rPr>
        <w:t>. Harlow: Pearson.</w:t>
      </w:r>
    </w:p>
    <w:p w14:paraId="2BB84469" w14:textId="77777777" w:rsidR="00E45FD2" w:rsidRDefault="00000000">
      <w:pPr>
        <w:spacing w:before="240" w:line="360" w:lineRule="auto"/>
        <w:jc w:val="both"/>
        <w:rPr>
          <w:rFonts w:ascii="Arial" w:eastAsia="Arial" w:hAnsi="Arial" w:cs="Arial"/>
        </w:rPr>
      </w:pPr>
      <w:r>
        <w:rPr>
          <w:rFonts w:ascii="Arial" w:eastAsia="Arial" w:hAnsi="Arial" w:cs="Arial"/>
        </w:rPr>
        <w:t xml:space="preserve">Ghosh, A. (2023) </w:t>
      </w:r>
      <w:r>
        <w:rPr>
          <w:rFonts w:ascii="Arial" w:eastAsia="Arial" w:hAnsi="Arial" w:cs="Arial"/>
          <w:i/>
          <w:iCs/>
        </w:rPr>
        <w:t>5G Evolution and Network Innovation</w:t>
      </w:r>
      <w:r>
        <w:rPr>
          <w:rFonts w:ascii="Arial" w:eastAsia="Arial" w:hAnsi="Arial" w:cs="Arial"/>
        </w:rPr>
        <w:t>. IEEE Communications Magazine, 61(4), pp. 12–19.</w:t>
      </w:r>
    </w:p>
    <w:p w14:paraId="57254902" w14:textId="77777777" w:rsidR="00E45FD2" w:rsidRDefault="00000000">
      <w:pPr>
        <w:spacing w:before="240" w:line="360" w:lineRule="auto"/>
        <w:jc w:val="both"/>
        <w:rPr>
          <w:rFonts w:ascii="Arial" w:eastAsia="Arial" w:hAnsi="Arial" w:cs="Arial"/>
        </w:rPr>
      </w:pPr>
      <w:r>
        <w:rPr>
          <w:rFonts w:ascii="Arial" w:eastAsia="Arial" w:hAnsi="Arial" w:cs="Arial"/>
        </w:rPr>
        <w:t xml:space="preserve">Grant, R.M. (2022) </w:t>
      </w:r>
      <w:r>
        <w:rPr>
          <w:rFonts w:ascii="Arial" w:eastAsia="Arial" w:hAnsi="Arial" w:cs="Arial"/>
          <w:i/>
          <w:iCs/>
        </w:rPr>
        <w:t>Contemporary Strategy Analysis</w:t>
      </w:r>
      <w:r>
        <w:rPr>
          <w:rFonts w:ascii="Arial" w:eastAsia="Arial" w:hAnsi="Arial" w:cs="Arial"/>
        </w:rPr>
        <w:t xml:space="preserve">. 11th </w:t>
      </w:r>
      <w:proofErr w:type="spellStart"/>
      <w:r>
        <w:rPr>
          <w:rFonts w:ascii="Arial" w:eastAsia="Arial" w:hAnsi="Arial" w:cs="Arial"/>
        </w:rPr>
        <w:t>edn</w:t>
      </w:r>
      <w:proofErr w:type="spellEnd"/>
      <w:r>
        <w:rPr>
          <w:rFonts w:ascii="Arial" w:eastAsia="Arial" w:hAnsi="Arial" w:cs="Arial"/>
        </w:rPr>
        <w:t>. Oxford: Wiley.</w:t>
      </w:r>
    </w:p>
    <w:p w14:paraId="4C6EBBE6" w14:textId="77777777" w:rsidR="00E45FD2" w:rsidRDefault="00000000">
      <w:pPr>
        <w:spacing w:before="240" w:line="360" w:lineRule="auto"/>
        <w:jc w:val="both"/>
        <w:rPr>
          <w:rFonts w:ascii="Arial" w:eastAsia="Arial" w:hAnsi="Arial" w:cs="Arial"/>
        </w:rPr>
      </w:pPr>
      <w:r>
        <w:rPr>
          <w:rFonts w:ascii="Arial" w:eastAsia="Arial" w:hAnsi="Arial" w:cs="Arial"/>
        </w:rPr>
        <w:t xml:space="preserve">Johnson, G., Whittington, R. and Scholes, K. (2020) </w:t>
      </w:r>
      <w:r>
        <w:rPr>
          <w:rFonts w:ascii="Arial" w:eastAsia="Arial" w:hAnsi="Arial" w:cs="Arial"/>
          <w:i/>
          <w:iCs/>
        </w:rPr>
        <w:t>Fundamentals of Strategy</w:t>
      </w:r>
      <w:r>
        <w:rPr>
          <w:rFonts w:ascii="Arial" w:eastAsia="Arial" w:hAnsi="Arial" w:cs="Arial"/>
        </w:rPr>
        <w:t xml:space="preserve">. 5th </w:t>
      </w:r>
      <w:proofErr w:type="spellStart"/>
      <w:r>
        <w:rPr>
          <w:rFonts w:ascii="Arial" w:eastAsia="Arial" w:hAnsi="Arial" w:cs="Arial"/>
        </w:rPr>
        <w:t>edn</w:t>
      </w:r>
      <w:proofErr w:type="spellEnd"/>
      <w:r>
        <w:rPr>
          <w:rFonts w:ascii="Arial" w:eastAsia="Arial" w:hAnsi="Arial" w:cs="Arial"/>
        </w:rPr>
        <w:t>. Harlow: Pearson.</w:t>
      </w:r>
    </w:p>
    <w:p w14:paraId="4F2B4F27" w14:textId="77777777" w:rsidR="00E45FD2" w:rsidRDefault="00000000">
      <w:pPr>
        <w:spacing w:before="240" w:line="360" w:lineRule="auto"/>
        <w:jc w:val="both"/>
        <w:rPr>
          <w:rFonts w:ascii="Arial" w:eastAsia="Arial" w:hAnsi="Arial" w:cs="Arial"/>
        </w:rPr>
      </w:pPr>
      <w:r>
        <w:rPr>
          <w:rFonts w:ascii="Arial" w:eastAsia="Arial" w:hAnsi="Arial" w:cs="Arial"/>
        </w:rPr>
        <w:t xml:space="preserve">Kotler, P. and Keller, K.L. (2022) </w:t>
      </w:r>
      <w:r>
        <w:rPr>
          <w:rFonts w:ascii="Arial" w:eastAsia="Arial" w:hAnsi="Arial" w:cs="Arial"/>
          <w:i/>
          <w:iCs/>
        </w:rPr>
        <w:t>Marketing Management</w:t>
      </w:r>
      <w:r>
        <w:rPr>
          <w:rFonts w:ascii="Arial" w:eastAsia="Arial" w:hAnsi="Arial" w:cs="Arial"/>
        </w:rPr>
        <w:t xml:space="preserve">. 16th </w:t>
      </w:r>
      <w:proofErr w:type="spellStart"/>
      <w:r>
        <w:rPr>
          <w:rFonts w:ascii="Arial" w:eastAsia="Arial" w:hAnsi="Arial" w:cs="Arial"/>
        </w:rPr>
        <w:t>edn</w:t>
      </w:r>
      <w:proofErr w:type="spellEnd"/>
      <w:r>
        <w:rPr>
          <w:rFonts w:ascii="Arial" w:eastAsia="Arial" w:hAnsi="Arial" w:cs="Arial"/>
        </w:rPr>
        <w:t>. Harlow: Pearson.</w:t>
      </w:r>
    </w:p>
    <w:p w14:paraId="4B887AE3" w14:textId="77777777" w:rsidR="00E45FD2" w:rsidRDefault="00000000">
      <w:pPr>
        <w:spacing w:before="240" w:line="360" w:lineRule="auto"/>
        <w:jc w:val="both"/>
        <w:rPr>
          <w:rFonts w:ascii="Arial" w:eastAsia="Arial" w:hAnsi="Arial" w:cs="Arial"/>
        </w:rPr>
      </w:pPr>
      <w:r>
        <w:rPr>
          <w:rFonts w:ascii="Arial" w:eastAsia="Arial" w:hAnsi="Arial" w:cs="Arial"/>
        </w:rPr>
        <w:t xml:space="preserve">Ofcom (2025) </w:t>
      </w:r>
      <w:r>
        <w:rPr>
          <w:rFonts w:ascii="Arial" w:eastAsia="Arial" w:hAnsi="Arial" w:cs="Arial"/>
          <w:i/>
          <w:iCs/>
        </w:rPr>
        <w:t>Telecoms Market Report 2025</w:t>
      </w:r>
      <w:r>
        <w:rPr>
          <w:rFonts w:ascii="Arial" w:eastAsia="Arial" w:hAnsi="Arial" w:cs="Arial"/>
        </w:rPr>
        <w:t>. London: Ofcom.</w:t>
      </w:r>
    </w:p>
    <w:p w14:paraId="4DDF29A2" w14:textId="77777777" w:rsidR="00E45FD2" w:rsidRDefault="00000000">
      <w:pPr>
        <w:spacing w:before="240" w:line="360" w:lineRule="auto"/>
        <w:jc w:val="both"/>
        <w:rPr>
          <w:rFonts w:ascii="Arial" w:eastAsia="Arial" w:hAnsi="Arial" w:cs="Arial"/>
        </w:rPr>
      </w:pPr>
      <w:r>
        <w:rPr>
          <w:rFonts w:ascii="Arial" w:eastAsia="Arial" w:hAnsi="Arial" w:cs="Arial"/>
        </w:rPr>
        <w:t xml:space="preserve">Porter, M.E. (2008) </w:t>
      </w:r>
      <w:r>
        <w:rPr>
          <w:rFonts w:ascii="Arial" w:eastAsia="Arial" w:hAnsi="Arial" w:cs="Arial"/>
          <w:i/>
          <w:iCs/>
        </w:rPr>
        <w:t>The Five Competitive Forces That Shape Strategy</w:t>
      </w:r>
      <w:r>
        <w:rPr>
          <w:rFonts w:ascii="Arial" w:eastAsia="Arial" w:hAnsi="Arial" w:cs="Arial"/>
        </w:rPr>
        <w:t>. Harvard Business Review, 86(1), pp. 78–93.</w:t>
      </w:r>
    </w:p>
    <w:p w14:paraId="054D1D86" w14:textId="77777777" w:rsidR="00E45FD2" w:rsidRDefault="00000000">
      <w:pPr>
        <w:spacing w:before="240" w:line="360" w:lineRule="auto"/>
        <w:jc w:val="both"/>
        <w:rPr>
          <w:rFonts w:ascii="Arial" w:eastAsia="Arial" w:hAnsi="Arial" w:cs="Arial"/>
        </w:rPr>
      </w:pPr>
      <w:r>
        <w:rPr>
          <w:rFonts w:ascii="Arial" w:eastAsia="Arial" w:hAnsi="Arial" w:cs="Arial"/>
        </w:rPr>
        <w:t xml:space="preserve">PwC (2024) </w:t>
      </w:r>
      <w:r>
        <w:rPr>
          <w:rFonts w:ascii="Arial" w:eastAsia="Arial" w:hAnsi="Arial" w:cs="Arial"/>
          <w:i/>
          <w:iCs/>
        </w:rPr>
        <w:t>UK Economic Outlook 2024</w:t>
      </w:r>
      <w:r>
        <w:rPr>
          <w:rFonts w:ascii="Arial" w:eastAsia="Arial" w:hAnsi="Arial" w:cs="Arial"/>
        </w:rPr>
        <w:t>. London: PricewaterhouseCoopers.</w:t>
      </w:r>
    </w:p>
    <w:p w14:paraId="7A723FD8" w14:textId="77777777" w:rsidR="00E45FD2" w:rsidRDefault="00000000">
      <w:pPr>
        <w:spacing w:before="240" w:line="360" w:lineRule="auto"/>
        <w:jc w:val="both"/>
        <w:rPr>
          <w:rFonts w:ascii="Arial" w:eastAsia="Arial" w:hAnsi="Arial" w:cs="Arial"/>
        </w:rPr>
      </w:pPr>
      <w:r>
        <w:rPr>
          <w:rFonts w:ascii="Arial" w:eastAsia="Arial" w:hAnsi="Arial" w:cs="Arial"/>
        </w:rPr>
        <w:t xml:space="preserve">Vodafone Group (2025) </w:t>
      </w:r>
      <w:r>
        <w:rPr>
          <w:rFonts w:ascii="Arial" w:eastAsia="Arial" w:hAnsi="Arial" w:cs="Arial"/>
          <w:i/>
          <w:iCs/>
        </w:rPr>
        <w:t>Annual Report and Sustainability Statement 2025</w:t>
      </w:r>
      <w:r>
        <w:rPr>
          <w:rFonts w:ascii="Arial" w:eastAsia="Arial" w:hAnsi="Arial" w:cs="Arial"/>
        </w:rPr>
        <w:t>. London: Vodafone Group Plc. Available at: https://reports.investors.vodafone.com/view/897876789/2/</w:t>
      </w:r>
    </w:p>
    <w:sectPr w:rsidR="00E45FD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embedRegular r:id="rId1" w:fontKey="{38E3A02D-4E4D-425E-B894-FB6C2402682E}"/>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embedRegular r:id="rId2" w:fontKey="{4C9FB80D-3247-4AFF-AC11-307F1D629EC4}"/>
    <w:embedItalic r:id="rId3" w:fontKey="{BED1E66A-8E41-4901-A0BB-38E7D1C1167D}"/>
  </w:font>
  <w:font w:name="Play">
    <w:charset w:val="00"/>
    <w:family w:val="auto"/>
    <w:pitch w:val="default"/>
    <w:embedRegular r:id="rId4" w:fontKey="{1ABC1897-E1EF-43DA-9EFD-89F1EB038968}"/>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5" w:fontKey="{CDCBDB19-ED2B-4A4C-B921-EDC4D28837C4}"/>
  </w:font>
  <w:font w:name="Calibri">
    <w:panose1 w:val="020F0502020204030204"/>
    <w:charset w:val="00"/>
    <w:family w:val="swiss"/>
    <w:pitch w:val="variable"/>
    <w:sig w:usb0="E4002EFF" w:usb1="C200247B" w:usb2="00000009" w:usb3="00000000" w:csb0="000001FF" w:csb1="00000000"/>
    <w:embedRegular r:id="rId6" w:fontKey="{ED57BA1F-5F02-4D30-8D57-CAD5129AE210}"/>
  </w:font>
  <w:font w:name="Cambria">
    <w:panose1 w:val="02040503050406030204"/>
    <w:charset w:val="00"/>
    <w:family w:val="roman"/>
    <w:pitch w:val="variable"/>
    <w:sig w:usb0="E00006FF" w:usb1="420024FF" w:usb2="02000000" w:usb3="00000000" w:csb0="0000019F" w:csb1="00000000"/>
    <w:embedRegular r:id="rId7" w:fontKey="{48D6B1DA-18A8-48C7-92E8-10B6DAAF17FB}"/>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30608E"/>
    <w:multiLevelType w:val="multilevel"/>
    <w:tmpl w:val="FBE04956"/>
    <w:lvl w:ilvl="0">
      <w:start w:val="1"/>
      <w:numFmt w:val="decimal"/>
      <w:lvlText w:val="%1."/>
      <w:lvlJc w:val="left"/>
      <w:pPr>
        <w:ind w:left="720" w:hanging="360"/>
      </w:pPr>
      <w:rPr>
        <w:b w:val="0"/>
        <w:bCs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567336E5"/>
    <w:multiLevelType w:val="multilevel"/>
    <w:tmpl w:val="A692B77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684E4B92"/>
    <w:multiLevelType w:val="multilevel"/>
    <w:tmpl w:val="C5F0FDC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726761228">
    <w:abstractNumId w:val="1"/>
  </w:num>
  <w:num w:numId="2" w16cid:durableId="571934766">
    <w:abstractNumId w:val="2"/>
  </w:num>
  <w:num w:numId="3" w16cid:durableId="9248485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5FD2"/>
    <w:rsid w:val="009A6808"/>
    <w:rsid w:val="00E45FD2"/>
    <w:rsid w:val="00E505AD"/>
    <w:rsid w:val="00EF54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B6078"/>
  <w15:docId w15:val="{0FC891E8-D6FD-4053-BD9B-50701F72F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rjt5+xAkgQavfKDC/2PdPqIFrnQ==">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18</Pages>
  <Words>4051</Words>
  <Characters>23097</Characters>
  <Application>Microsoft Office Word</Application>
  <DocSecurity>0</DocSecurity>
  <Lines>192</Lines>
  <Paragraphs>54</Paragraphs>
  <ScaleCrop>false</ScaleCrop>
  <Company/>
  <LinksUpToDate>false</LinksUpToDate>
  <CharactersWithSpaces>27094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Yasmin Hussain (2334055)</cp:lastModifiedBy>
  <cp:revision>3</cp:revision>
  <dcterms:created xsi:type="dcterms:W3CDTF">2026-08-11T19:24:00Z</dcterms:created>
  <dcterms:modified xsi:type="dcterms:W3CDTF">2026-08-11T19:31:00Z</dcterms:modified>
</cp:coreProperties>
</file>